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00CB6">
      <w:pPr>
        <w:spacing w:before="73" w:line="226" w:lineRule="auto"/>
        <w:ind w:left="1652"/>
        <w:outlineLvl w:val="0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7"/>
          <w:sz w:val="35"/>
          <w:szCs w:val="35"/>
        </w:rPr>
        <w:t>1-</w:t>
      </w:r>
      <w:r>
        <w:rPr>
          <w:rFonts w:hint="eastAsia" w:ascii="黑体" w:hAnsi="黑体" w:eastAsia="黑体" w:cs="黑体"/>
          <w:spacing w:val="7"/>
          <w:sz w:val="35"/>
          <w:szCs w:val="35"/>
          <w:lang w:val="en-US" w:eastAsia="zh-CN"/>
        </w:rPr>
        <w:t>3</w:t>
      </w:r>
      <w:r>
        <w:rPr>
          <w:rFonts w:ascii="黑体" w:hAnsi="黑体" w:eastAsia="黑体" w:cs="黑体"/>
          <w:spacing w:val="7"/>
          <w:sz w:val="35"/>
          <w:szCs w:val="35"/>
        </w:rPr>
        <w:t>月份全县主要经济指标完成情况</w:t>
      </w:r>
    </w:p>
    <w:p w14:paraId="2A0E94E1">
      <w:pPr>
        <w:spacing w:before="48"/>
      </w:pPr>
    </w:p>
    <w:tbl>
      <w:tblPr>
        <w:tblStyle w:val="4"/>
        <w:tblW w:w="7987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3"/>
        <w:gridCol w:w="5258"/>
        <w:gridCol w:w="1726"/>
      </w:tblGrid>
      <w:tr w14:paraId="277CFC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003" w:type="dxa"/>
            <w:tcBorders>
              <w:top w:val="single" w:color="000000" w:sz="14" w:space="0"/>
              <w:left w:val="nil"/>
            </w:tcBorders>
            <w:vAlign w:val="top"/>
          </w:tcPr>
          <w:p w14:paraId="2D08B9D2">
            <w:pPr>
              <w:pStyle w:val="5"/>
              <w:spacing w:before="238" w:line="216" w:lineRule="auto"/>
              <w:ind w:left="283"/>
            </w:pPr>
            <w:r>
              <w:rPr>
                <w:spacing w:val="-4"/>
              </w:rPr>
              <w:t>序号</w:t>
            </w:r>
          </w:p>
        </w:tc>
        <w:tc>
          <w:tcPr>
            <w:tcW w:w="5258" w:type="dxa"/>
            <w:tcBorders>
              <w:top w:val="single" w:color="000000" w:sz="14" w:space="0"/>
            </w:tcBorders>
            <w:vAlign w:val="top"/>
          </w:tcPr>
          <w:p w14:paraId="57FFA8FE">
            <w:pPr>
              <w:pStyle w:val="5"/>
              <w:spacing w:before="238" w:line="216" w:lineRule="auto"/>
              <w:ind w:left="2162"/>
            </w:pPr>
            <w:r>
              <w:rPr>
                <w:spacing w:val="-4"/>
              </w:rPr>
              <w:t>指标名称</w:t>
            </w:r>
          </w:p>
        </w:tc>
        <w:tc>
          <w:tcPr>
            <w:tcW w:w="1726" w:type="dxa"/>
            <w:tcBorders>
              <w:top w:val="single" w:color="000000" w:sz="14" w:space="0"/>
              <w:right w:val="nil"/>
            </w:tcBorders>
            <w:vAlign w:val="top"/>
          </w:tcPr>
          <w:p w14:paraId="395AFC70">
            <w:pPr>
              <w:pStyle w:val="5"/>
              <w:spacing w:before="237" w:line="214" w:lineRule="auto"/>
              <w:ind w:left="326"/>
            </w:pPr>
            <w:r>
              <w:rPr>
                <w:spacing w:val="-2"/>
              </w:rPr>
              <w:t>增幅（%）</w:t>
            </w:r>
          </w:p>
        </w:tc>
      </w:tr>
      <w:tr w14:paraId="742E1E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1003" w:type="dxa"/>
            <w:tcBorders>
              <w:left w:val="nil"/>
            </w:tcBorders>
            <w:vAlign w:val="top"/>
          </w:tcPr>
          <w:p w14:paraId="4B859A43">
            <w:pPr>
              <w:pStyle w:val="5"/>
              <w:spacing w:before="108" w:line="188" w:lineRule="auto"/>
              <w:ind w:left="480"/>
              <w:jc w:val="both"/>
            </w:pPr>
            <w:r>
              <w:t>1</w:t>
            </w:r>
          </w:p>
        </w:tc>
        <w:tc>
          <w:tcPr>
            <w:tcW w:w="5258" w:type="dxa"/>
            <w:vAlign w:val="top"/>
          </w:tcPr>
          <w:p w14:paraId="741E1264">
            <w:pPr>
              <w:pStyle w:val="5"/>
              <w:spacing w:before="77" w:line="214" w:lineRule="auto"/>
              <w:ind w:left="50"/>
              <w:rPr>
                <w:rFonts w:hint="eastAsia" w:eastAsia="FangSong_GB2312"/>
                <w:lang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地区生产总值</w:t>
            </w:r>
          </w:p>
        </w:tc>
        <w:tc>
          <w:tcPr>
            <w:tcW w:w="1726" w:type="dxa"/>
            <w:tcBorders>
              <w:right w:val="nil"/>
            </w:tcBorders>
            <w:vAlign w:val="top"/>
          </w:tcPr>
          <w:p w14:paraId="09A27615">
            <w:pPr>
              <w:pStyle w:val="5"/>
              <w:spacing w:before="108" w:line="188" w:lineRule="auto"/>
              <w:ind w:left="646"/>
              <w:jc w:val="both"/>
              <w:rPr>
                <w:rFonts w:hint="default" w:eastAsia="FangSong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5.8</w:t>
            </w:r>
          </w:p>
        </w:tc>
      </w:tr>
      <w:tr w14:paraId="3D8B85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1003" w:type="dxa"/>
            <w:tcBorders>
              <w:left w:val="nil"/>
            </w:tcBorders>
            <w:vAlign w:val="top"/>
          </w:tcPr>
          <w:p w14:paraId="02399651">
            <w:pPr>
              <w:pStyle w:val="5"/>
              <w:spacing w:before="108" w:line="188" w:lineRule="auto"/>
              <w:ind w:left="480"/>
              <w:jc w:val="both"/>
              <w:rPr>
                <w:rFonts w:hint="eastAsia" w:eastAsia="FangSong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258" w:type="dxa"/>
            <w:vAlign w:val="top"/>
          </w:tcPr>
          <w:p w14:paraId="6CC9E03D">
            <w:pPr>
              <w:pStyle w:val="5"/>
              <w:spacing w:before="77" w:line="214" w:lineRule="auto"/>
              <w:ind w:left="50" w:leftChars="0"/>
              <w:rPr>
                <w:spacing w:val="-2"/>
              </w:rPr>
            </w:pPr>
            <w:r>
              <w:rPr>
                <w:spacing w:val="-2"/>
              </w:rPr>
              <w:t>规模以上工业增加值</w:t>
            </w:r>
          </w:p>
        </w:tc>
        <w:tc>
          <w:tcPr>
            <w:tcW w:w="1726" w:type="dxa"/>
            <w:tcBorders>
              <w:right w:val="nil"/>
            </w:tcBorders>
            <w:vAlign w:val="center"/>
          </w:tcPr>
          <w:p w14:paraId="039EB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pacing w:val="-7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</w:t>
            </w:r>
          </w:p>
        </w:tc>
      </w:tr>
      <w:tr w14:paraId="5DC60B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003" w:type="dxa"/>
            <w:tcBorders>
              <w:left w:val="nil"/>
            </w:tcBorders>
            <w:vAlign w:val="top"/>
          </w:tcPr>
          <w:p w14:paraId="6C1BBBB8">
            <w:pPr>
              <w:pStyle w:val="5"/>
              <w:spacing w:before="115" w:line="187" w:lineRule="auto"/>
              <w:ind w:left="474"/>
              <w:jc w:val="both"/>
              <w:rPr>
                <w:rFonts w:hint="eastAsia" w:eastAsia="FangSong_GB2312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5258" w:type="dxa"/>
            <w:vAlign w:val="top"/>
          </w:tcPr>
          <w:p w14:paraId="0F66F757">
            <w:pPr>
              <w:pStyle w:val="5"/>
              <w:spacing w:before="84" w:line="211" w:lineRule="auto"/>
              <w:ind w:left="50"/>
            </w:pPr>
            <w:r>
              <w:rPr>
                <w:spacing w:val="-2"/>
              </w:rPr>
              <w:t>规模以上固定资产投资</w:t>
            </w:r>
          </w:p>
        </w:tc>
        <w:tc>
          <w:tcPr>
            <w:tcW w:w="1726" w:type="dxa"/>
            <w:tcBorders>
              <w:right w:val="nil"/>
            </w:tcBorders>
            <w:vAlign w:val="center"/>
          </w:tcPr>
          <w:p w14:paraId="0764F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pacing w:val="-7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</w:tr>
      <w:tr w14:paraId="14F801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1003" w:type="dxa"/>
            <w:tcBorders>
              <w:left w:val="nil"/>
            </w:tcBorders>
            <w:vAlign w:val="top"/>
          </w:tcPr>
          <w:p w14:paraId="45365E9C">
            <w:pPr>
              <w:pStyle w:val="5"/>
              <w:spacing w:before="117" w:line="185" w:lineRule="auto"/>
              <w:ind w:left="484"/>
              <w:jc w:val="both"/>
              <w:rPr>
                <w:rFonts w:hint="eastAsia" w:eastAsia="FangSong_GB2312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5258" w:type="dxa"/>
            <w:vAlign w:val="top"/>
          </w:tcPr>
          <w:p w14:paraId="5203A917">
            <w:pPr>
              <w:pStyle w:val="5"/>
              <w:spacing w:before="86" w:line="209" w:lineRule="auto"/>
              <w:ind w:left="48"/>
            </w:pPr>
            <w:r>
              <w:rPr>
                <w:spacing w:val="-4"/>
              </w:rPr>
              <w:t>工业投资</w:t>
            </w:r>
          </w:p>
        </w:tc>
        <w:tc>
          <w:tcPr>
            <w:tcW w:w="1726" w:type="dxa"/>
            <w:tcBorders>
              <w:right w:val="nil"/>
            </w:tcBorders>
            <w:vAlign w:val="center"/>
          </w:tcPr>
          <w:p w14:paraId="0F847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pacing w:val="-7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13.8</w:t>
            </w:r>
          </w:p>
        </w:tc>
      </w:tr>
      <w:tr w14:paraId="68B86B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1003" w:type="dxa"/>
            <w:tcBorders>
              <w:left w:val="nil"/>
            </w:tcBorders>
            <w:vAlign w:val="top"/>
          </w:tcPr>
          <w:p w14:paraId="5CEC9A01">
            <w:pPr>
              <w:pStyle w:val="5"/>
              <w:spacing w:before="117" w:line="185" w:lineRule="auto"/>
              <w:ind w:left="484"/>
              <w:jc w:val="both"/>
              <w:rPr>
                <w:rFonts w:hint="eastAsia" w:eastAsia="FangSong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5258" w:type="dxa"/>
            <w:vAlign w:val="top"/>
          </w:tcPr>
          <w:p w14:paraId="283762E6">
            <w:pPr>
              <w:pStyle w:val="5"/>
              <w:spacing w:before="86" w:line="209" w:lineRule="auto"/>
              <w:ind w:left="48"/>
              <w:rPr>
                <w:rFonts w:hint="default" w:eastAsia="FangSong_GB2312"/>
                <w:spacing w:val="-4"/>
                <w:lang w:val="en-US"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社会消费品零售总额</w:t>
            </w:r>
          </w:p>
        </w:tc>
        <w:tc>
          <w:tcPr>
            <w:tcW w:w="1726" w:type="dxa"/>
            <w:tcBorders>
              <w:right w:val="nil"/>
            </w:tcBorders>
            <w:vAlign w:val="center"/>
          </w:tcPr>
          <w:p w14:paraId="17169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pacing w:val="-7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</w:t>
            </w:r>
          </w:p>
        </w:tc>
      </w:tr>
      <w:tr w14:paraId="61E715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1003" w:type="dxa"/>
            <w:tcBorders>
              <w:left w:val="nil"/>
            </w:tcBorders>
            <w:vAlign w:val="top"/>
          </w:tcPr>
          <w:p w14:paraId="1EE1B250">
            <w:pPr>
              <w:pStyle w:val="5"/>
              <w:spacing w:before="124" w:line="180" w:lineRule="auto"/>
              <w:ind w:left="476"/>
              <w:jc w:val="both"/>
              <w:rPr>
                <w:rFonts w:hint="eastAsia" w:eastAsia="FangSong_GB2312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5258" w:type="dxa"/>
            <w:vAlign w:val="top"/>
          </w:tcPr>
          <w:p w14:paraId="1DFEC96A">
            <w:pPr>
              <w:pStyle w:val="5"/>
              <w:spacing w:before="92" w:line="204" w:lineRule="auto"/>
              <w:ind w:left="58"/>
            </w:pPr>
            <w:r>
              <w:rPr>
                <w:spacing w:val="-4"/>
              </w:rPr>
              <w:t>一般公共预算收入</w:t>
            </w:r>
          </w:p>
        </w:tc>
        <w:tc>
          <w:tcPr>
            <w:tcW w:w="1726" w:type="dxa"/>
            <w:tcBorders>
              <w:right w:val="nil"/>
            </w:tcBorders>
            <w:vAlign w:val="center"/>
          </w:tcPr>
          <w:p w14:paraId="01C50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pacing w:val="-7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 w14:paraId="403A16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003" w:type="dxa"/>
            <w:tcBorders>
              <w:left w:val="nil"/>
            </w:tcBorders>
            <w:vAlign w:val="top"/>
          </w:tcPr>
          <w:p w14:paraId="7C8191C3">
            <w:pPr>
              <w:pStyle w:val="5"/>
              <w:spacing w:before="132" w:line="174" w:lineRule="auto"/>
              <w:ind w:left="476"/>
              <w:jc w:val="both"/>
              <w:rPr>
                <w:rFonts w:hint="eastAsia" w:eastAsia="FangSong_GB2312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5258" w:type="dxa"/>
            <w:vAlign w:val="top"/>
          </w:tcPr>
          <w:p w14:paraId="3A250D2D">
            <w:pPr>
              <w:pStyle w:val="5"/>
              <w:spacing w:before="101" w:line="198" w:lineRule="auto"/>
              <w:ind w:left="44" w:leftChars="0"/>
            </w:pPr>
            <w:r>
              <w:rPr>
                <w:rFonts w:hint="eastAsia"/>
                <w:spacing w:val="-2"/>
                <w:lang w:val="en-US" w:eastAsia="zh-CN"/>
              </w:rPr>
              <w:t>全体居民人均可支配收入</w:t>
            </w:r>
          </w:p>
        </w:tc>
        <w:tc>
          <w:tcPr>
            <w:tcW w:w="1726" w:type="dxa"/>
            <w:tcBorders>
              <w:right w:val="nil"/>
            </w:tcBorders>
            <w:vAlign w:val="center"/>
          </w:tcPr>
          <w:p w14:paraId="3BBD2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pacing w:val="-7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</w:t>
            </w:r>
          </w:p>
        </w:tc>
      </w:tr>
      <w:tr w14:paraId="0EEFDA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1003" w:type="dxa"/>
            <w:tcBorders>
              <w:left w:val="nil"/>
            </w:tcBorders>
            <w:vAlign w:val="top"/>
          </w:tcPr>
          <w:p w14:paraId="3ED323B9">
            <w:pPr>
              <w:pStyle w:val="5"/>
              <w:spacing w:before="132" w:line="174" w:lineRule="auto"/>
              <w:ind w:left="476"/>
              <w:jc w:val="both"/>
              <w:rPr>
                <w:rFonts w:hint="eastAsia" w:eastAsia="FangSong_GB2312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5258" w:type="dxa"/>
            <w:vAlign w:val="top"/>
          </w:tcPr>
          <w:p w14:paraId="0C89E2EE">
            <w:pPr>
              <w:pStyle w:val="5"/>
              <w:spacing w:before="101" w:line="198" w:lineRule="auto"/>
              <w:ind w:left="44" w:leftChars="0"/>
            </w:pPr>
            <w:r>
              <w:rPr>
                <w:rFonts w:hint="eastAsia"/>
                <w:spacing w:val="-2"/>
                <w:lang w:val="en-US" w:eastAsia="zh-CN"/>
              </w:rPr>
              <w:t>城镇居民人均可支配收入</w:t>
            </w:r>
          </w:p>
        </w:tc>
        <w:tc>
          <w:tcPr>
            <w:tcW w:w="1726" w:type="dxa"/>
            <w:tcBorders>
              <w:right w:val="nil"/>
            </w:tcBorders>
            <w:vAlign w:val="center"/>
          </w:tcPr>
          <w:p w14:paraId="4882B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</w:t>
            </w:r>
          </w:p>
        </w:tc>
      </w:tr>
      <w:tr w14:paraId="590FC6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003" w:type="dxa"/>
            <w:tcBorders>
              <w:left w:val="nil"/>
            </w:tcBorders>
            <w:vAlign w:val="top"/>
          </w:tcPr>
          <w:p w14:paraId="7814A32E">
            <w:pPr>
              <w:pStyle w:val="5"/>
              <w:spacing w:before="132" w:line="174" w:lineRule="auto"/>
              <w:ind w:left="476"/>
              <w:jc w:val="both"/>
              <w:rPr>
                <w:rFonts w:hint="eastAsia" w:eastAsia="FangSong_GB2312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5258" w:type="dxa"/>
            <w:vAlign w:val="top"/>
          </w:tcPr>
          <w:p w14:paraId="7DF58AD1">
            <w:pPr>
              <w:pStyle w:val="5"/>
              <w:spacing w:before="101" w:line="198" w:lineRule="auto"/>
              <w:ind w:left="44"/>
            </w:pPr>
            <w:r>
              <w:rPr>
                <w:rFonts w:hint="eastAsia"/>
                <w:spacing w:val="-2"/>
                <w:lang w:val="en-US" w:eastAsia="zh-CN"/>
              </w:rPr>
              <w:t>农村居民人均可支配收入</w:t>
            </w:r>
          </w:p>
        </w:tc>
        <w:tc>
          <w:tcPr>
            <w:tcW w:w="1726" w:type="dxa"/>
            <w:tcBorders>
              <w:right w:val="nil"/>
            </w:tcBorders>
            <w:vAlign w:val="center"/>
          </w:tcPr>
          <w:p w14:paraId="21A99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pacing w:val="-7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</w:t>
            </w:r>
          </w:p>
        </w:tc>
      </w:tr>
      <w:tr w14:paraId="18D891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003" w:type="dxa"/>
            <w:tcBorders>
              <w:left w:val="nil"/>
            </w:tcBorders>
            <w:vAlign w:val="top"/>
          </w:tcPr>
          <w:p w14:paraId="16688C78">
            <w:pPr>
              <w:pStyle w:val="5"/>
              <w:spacing w:before="132" w:line="174" w:lineRule="auto"/>
              <w:ind w:left="476"/>
              <w:jc w:val="both"/>
              <w:rPr>
                <w:rFonts w:hint="default" w:eastAsia="FangSong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5258" w:type="dxa"/>
            <w:vAlign w:val="top"/>
          </w:tcPr>
          <w:p w14:paraId="57CAA113">
            <w:pPr>
              <w:pStyle w:val="5"/>
              <w:spacing w:before="101" w:line="198" w:lineRule="auto"/>
              <w:ind w:left="44"/>
              <w:rPr>
                <w:rFonts w:hint="eastAsia" w:eastAsia="FangSong_GB2312"/>
                <w:spacing w:val="-2"/>
                <w:lang w:val="en-US" w:eastAsia="zh-CN"/>
              </w:rPr>
            </w:pPr>
            <w:r>
              <w:rPr>
                <w:spacing w:val="-4"/>
              </w:rPr>
              <w:t>工业用电量</w:t>
            </w:r>
          </w:p>
        </w:tc>
        <w:tc>
          <w:tcPr>
            <w:tcW w:w="1726" w:type="dxa"/>
            <w:tcBorders>
              <w:right w:val="nil"/>
            </w:tcBorders>
            <w:vAlign w:val="center"/>
          </w:tcPr>
          <w:p w14:paraId="5BB9D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pacing w:val="-7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-5.6</w:t>
            </w:r>
          </w:p>
        </w:tc>
      </w:tr>
      <w:tr w14:paraId="78841D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003" w:type="dxa"/>
            <w:tcBorders>
              <w:left w:val="nil"/>
            </w:tcBorders>
            <w:vAlign w:val="top"/>
          </w:tcPr>
          <w:p w14:paraId="3453A329">
            <w:pPr>
              <w:pStyle w:val="5"/>
              <w:spacing w:before="132" w:line="174" w:lineRule="auto"/>
              <w:ind w:left="476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5258" w:type="dxa"/>
            <w:vAlign w:val="top"/>
          </w:tcPr>
          <w:p w14:paraId="3C0BB1A8">
            <w:pPr>
              <w:pStyle w:val="5"/>
              <w:spacing w:before="101" w:line="198" w:lineRule="auto"/>
              <w:ind w:left="44"/>
              <w:rPr>
                <w:rFonts w:hint="default" w:eastAsia="FangSong_GB2312"/>
                <w:spacing w:val="-4"/>
                <w:lang w:val="en-US"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规模以上工业总产值</w:t>
            </w:r>
          </w:p>
        </w:tc>
        <w:tc>
          <w:tcPr>
            <w:tcW w:w="1726" w:type="dxa"/>
            <w:tcBorders>
              <w:right w:val="nil"/>
            </w:tcBorders>
            <w:vAlign w:val="center"/>
          </w:tcPr>
          <w:p w14:paraId="6639B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</w:t>
            </w:r>
          </w:p>
        </w:tc>
      </w:tr>
      <w:tr w14:paraId="4A11D6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003" w:type="dxa"/>
            <w:tcBorders>
              <w:left w:val="nil"/>
            </w:tcBorders>
            <w:vAlign w:val="top"/>
          </w:tcPr>
          <w:p w14:paraId="146267E3">
            <w:pPr>
              <w:pStyle w:val="5"/>
              <w:spacing w:before="132" w:line="174" w:lineRule="auto"/>
              <w:ind w:left="476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5258" w:type="dxa"/>
            <w:vAlign w:val="top"/>
          </w:tcPr>
          <w:p w14:paraId="6D2612BB">
            <w:pPr>
              <w:pStyle w:val="5"/>
              <w:spacing w:before="101" w:line="198" w:lineRule="auto"/>
              <w:ind w:left="44" w:leftChars="0"/>
              <w:rPr>
                <w:rFonts w:hint="default" w:eastAsia="FangSong_GB2312"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建筑业总专包企业在地总产值</w:t>
            </w:r>
          </w:p>
        </w:tc>
        <w:tc>
          <w:tcPr>
            <w:tcW w:w="1726" w:type="dxa"/>
            <w:tcBorders>
              <w:right w:val="nil"/>
            </w:tcBorders>
            <w:vAlign w:val="center"/>
          </w:tcPr>
          <w:p w14:paraId="0A793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</w:t>
            </w:r>
          </w:p>
        </w:tc>
      </w:tr>
      <w:tr w14:paraId="4F5960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003" w:type="dxa"/>
            <w:tcBorders>
              <w:left w:val="nil"/>
            </w:tcBorders>
            <w:vAlign w:val="top"/>
          </w:tcPr>
          <w:p w14:paraId="1C7939EC">
            <w:pPr>
              <w:pStyle w:val="5"/>
              <w:spacing w:before="132" w:line="174" w:lineRule="auto"/>
              <w:ind w:left="476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5258" w:type="dxa"/>
            <w:vAlign w:val="top"/>
          </w:tcPr>
          <w:p w14:paraId="31681C41">
            <w:pPr>
              <w:pStyle w:val="5"/>
              <w:spacing w:before="101" w:line="198" w:lineRule="auto"/>
              <w:ind w:left="44" w:leftChars="0"/>
              <w:rPr>
                <w:rFonts w:hint="eastAsia"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批发业销售额</w:t>
            </w:r>
          </w:p>
        </w:tc>
        <w:tc>
          <w:tcPr>
            <w:tcW w:w="1726" w:type="dxa"/>
            <w:tcBorders>
              <w:right w:val="nil"/>
            </w:tcBorders>
            <w:vAlign w:val="center"/>
          </w:tcPr>
          <w:p w14:paraId="02D29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</w:tr>
      <w:tr w14:paraId="60C100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003" w:type="dxa"/>
            <w:tcBorders>
              <w:left w:val="nil"/>
            </w:tcBorders>
            <w:vAlign w:val="top"/>
          </w:tcPr>
          <w:p w14:paraId="66FC23C8">
            <w:pPr>
              <w:pStyle w:val="5"/>
              <w:spacing w:before="132" w:line="174" w:lineRule="auto"/>
              <w:ind w:left="476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5258" w:type="dxa"/>
            <w:vAlign w:val="top"/>
          </w:tcPr>
          <w:p w14:paraId="73A0A301">
            <w:pPr>
              <w:pStyle w:val="5"/>
              <w:spacing w:before="101" w:line="198" w:lineRule="auto"/>
              <w:ind w:left="44" w:leftChars="0"/>
              <w:rPr>
                <w:rFonts w:hint="eastAsia" w:eastAsia="FangSong_GB2312"/>
                <w:spacing w:val="-2"/>
                <w:lang w:val="en-US" w:eastAsia="zh-CN"/>
              </w:rPr>
            </w:pPr>
            <w:r>
              <w:rPr>
                <w:rFonts w:hint="eastAsia" w:eastAsia="FangSong_GB2312"/>
                <w:spacing w:val="-2"/>
                <w:lang w:val="en-US" w:eastAsia="zh-CN"/>
              </w:rPr>
              <w:t>零售业销售额</w:t>
            </w:r>
          </w:p>
        </w:tc>
        <w:tc>
          <w:tcPr>
            <w:tcW w:w="1726" w:type="dxa"/>
            <w:tcBorders>
              <w:right w:val="nil"/>
            </w:tcBorders>
            <w:vAlign w:val="center"/>
          </w:tcPr>
          <w:p w14:paraId="35008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</w:t>
            </w:r>
          </w:p>
        </w:tc>
      </w:tr>
      <w:tr w14:paraId="376F95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003" w:type="dxa"/>
            <w:tcBorders>
              <w:left w:val="nil"/>
            </w:tcBorders>
            <w:vAlign w:val="top"/>
          </w:tcPr>
          <w:p w14:paraId="56C56FB2">
            <w:pPr>
              <w:pStyle w:val="5"/>
              <w:spacing w:before="132" w:line="174" w:lineRule="auto"/>
              <w:ind w:left="476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5258" w:type="dxa"/>
            <w:vAlign w:val="top"/>
          </w:tcPr>
          <w:p w14:paraId="4C9B7F05">
            <w:pPr>
              <w:pStyle w:val="5"/>
              <w:spacing w:before="101" w:line="198" w:lineRule="auto"/>
              <w:ind w:left="44" w:leftChars="0"/>
              <w:rPr>
                <w:spacing w:val="-2"/>
              </w:rPr>
            </w:pPr>
            <w:r>
              <w:rPr>
                <w:rFonts w:hint="eastAsia"/>
                <w:spacing w:val="-2"/>
              </w:rPr>
              <w:t>住宿业营业额</w:t>
            </w:r>
          </w:p>
        </w:tc>
        <w:tc>
          <w:tcPr>
            <w:tcW w:w="1726" w:type="dxa"/>
            <w:tcBorders>
              <w:right w:val="nil"/>
            </w:tcBorders>
            <w:vAlign w:val="center"/>
          </w:tcPr>
          <w:p w14:paraId="58368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10.7</w:t>
            </w:r>
          </w:p>
        </w:tc>
      </w:tr>
      <w:tr w14:paraId="159B27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003" w:type="dxa"/>
            <w:tcBorders>
              <w:left w:val="nil"/>
            </w:tcBorders>
            <w:vAlign w:val="top"/>
          </w:tcPr>
          <w:p w14:paraId="1BA22D63">
            <w:pPr>
              <w:pStyle w:val="5"/>
              <w:spacing w:before="132" w:line="174" w:lineRule="auto"/>
              <w:ind w:left="476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5258" w:type="dxa"/>
            <w:vAlign w:val="top"/>
          </w:tcPr>
          <w:p w14:paraId="464F9743">
            <w:pPr>
              <w:pStyle w:val="5"/>
              <w:spacing w:before="101" w:line="198" w:lineRule="auto"/>
              <w:ind w:left="44" w:leftChars="0"/>
              <w:rPr>
                <w:spacing w:val="-2"/>
              </w:rPr>
            </w:pPr>
            <w:r>
              <w:rPr>
                <w:rFonts w:hint="eastAsia"/>
                <w:spacing w:val="-2"/>
              </w:rPr>
              <w:t>餐饮业营业额</w:t>
            </w:r>
          </w:p>
        </w:tc>
        <w:tc>
          <w:tcPr>
            <w:tcW w:w="1726" w:type="dxa"/>
            <w:tcBorders>
              <w:right w:val="nil"/>
            </w:tcBorders>
            <w:vAlign w:val="center"/>
          </w:tcPr>
          <w:p w14:paraId="1811E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8.7</w:t>
            </w:r>
          </w:p>
        </w:tc>
      </w:tr>
      <w:tr w14:paraId="566933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003" w:type="dxa"/>
            <w:tcBorders>
              <w:left w:val="nil"/>
            </w:tcBorders>
            <w:vAlign w:val="top"/>
          </w:tcPr>
          <w:p w14:paraId="36A7645B">
            <w:pPr>
              <w:pStyle w:val="5"/>
              <w:spacing w:before="132" w:line="174" w:lineRule="auto"/>
              <w:ind w:left="476"/>
              <w:jc w:val="both"/>
              <w:rPr>
                <w:rFonts w:hint="default" w:eastAsia="FangSong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5258" w:type="dxa"/>
            <w:vAlign w:val="top"/>
          </w:tcPr>
          <w:p w14:paraId="4F2D6CE7">
            <w:pPr>
              <w:pStyle w:val="5"/>
              <w:spacing w:before="101" w:line="198" w:lineRule="auto"/>
              <w:ind w:left="44" w:leftChars="0"/>
              <w:rPr>
                <w:rFonts w:hint="default" w:eastAsia="FangSong_GB2312"/>
                <w:spacing w:val="-2"/>
                <w:lang w:val="en-US" w:eastAsia="zh-CN"/>
              </w:rPr>
            </w:pPr>
            <w:r>
              <w:rPr>
                <w:spacing w:val="-2"/>
              </w:rPr>
              <w:t>金融机构本外币存款余额</w:t>
            </w:r>
          </w:p>
        </w:tc>
        <w:tc>
          <w:tcPr>
            <w:tcW w:w="1726" w:type="dxa"/>
            <w:tcBorders>
              <w:right w:val="nil"/>
            </w:tcBorders>
            <w:vAlign w:val="center"/>
          </w:tcPr>
          <w:p w14:paraId="76836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15.6</w:t>
            </w:r>
          </w:p>
        </w:tc>
      </w:tr>
      <w:tr w14:paraId="037DEC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003" w:type="dxa"/>
            <w:tcBorders>
              <w:left w:val="nil"/>
            </w:tcBorders>
            <w:vAlign w:val="top"/>
          </w:tcPr>
          <w:p w14:paraId="7B93E23D">
            <w:pPr>
              <w:pStyle w:val="5"/>
              <w:spacing w:before="135" w:line="172" w:lineRule="auto"/>
              <w:ind w:left="476"/>
              <w:jc w:val="both"/>
              <w:rPr>
                <w:rFonts w:hint="default" w:eastAsia="FangSong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5258" w:type="dxa"/>
            <w:vAlign w:val="top"/>
          </w:tcPr>
          <w:p w14:paraId="7B0F5D62">
            <w:pPr>
              <w:pStyle w:val="5"/>
              <w:spacing w:before="104" w:line="196" w:lineRule="auto"/>
              <w:ind w:left="45" w:firstLine="236" w:firstLineChars="100"/>
              <w:rPr>
                <w:rFonts w:hint="eastAsia" w:eastAsia="FangSong_GB2312"/>
                <w:spacing w:val="-2"/>
                <w:lang w:val="en-US" w:eastAsia="zh-CN"/>
              </w:rPr>
            </w:pPr>
            <w:r>
              <w:rPr>
                <w:spacing w:val="-2"/>
              </w:rPr>
              <w:t>#城乡居民储蓄存款</w:t>
            </w:r>
          </w:p>
        </w:tc>
        <w:tc>
          <w:tcPr>
            <w:tcW w:w="1726" w:type="dxa"/>
            <w:tcBorders>
              <w:right w:val="nil"/>
            </w:tcBorders>
            <w:vAlign w:val="center"/>
          </w:tcPr>
          <w:p w14:paraId="319AE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11.3</w:t>
            </w:r>
          </w:p>
        </w:tc>
      </w:tr>
      <w:tr w14:paraId="61440B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003" w:type="dxa"/>
            <w:tcBorders>
              <w:left w:val="nil"/>
            </w:tcBorders>
            <w:vAlign w:val="top"/>
          </w:tcPr>
          <w:p w14:paraId="64B4478B">
            <w:pPr>
              <w:pStyle w:val="5"/>
              <w:spacing w:before="138" w:line="170" w:lineRule="auto"/>
              <w:ind w:left="420"/>
              <w:jc w:val="both"/>
              <w:rPr>
                <w:rFonts w:hint="default" w:eastAsia="FangSong_GB2312"/>
                <w:lang w:val="en-US" w:eastAsia="zh-CN"/>
              </w:rPr>
            </w:pPr>
            <w:r>
              <w:rPr>
                <w:rFonts w:hint="eastAsia"/>
                <w:spacing w:val="-13"/>
                <w:lang w:val="en-US" w:eastAsia="zh-CN"/>
              </w:rPr>
              <w:t>20</w:t>
            </w:r>
          </w:p>
        </w:tc>
        <w:tc>
          <w:tcPr>
            <w:tcW w:w="5258" w:type="dxa"/>
            <w:vAlign w:val="top"/>
          </w:tcPr>
          <w:p w14:paraId="4141BFE2">
            <w:pPr>
              <w:pStyle w:val="5"/>
              <w:spacing w:before="106" w:line="194" w:lineRule="auto"/>
              <w:ind w:left="44"/>
              <w:rPr>
                <w:rFonts w:hint="eastAsia"/>
                <w:spacing w:val="-2"/>
                <w:lang w:val="en-US" w:eastAsia="zh-CN"/>
              </w:rPr>
            </w:pPr>
            <w:r>
              <w:rPr>
                <w:spacing w:val="-2"/>
              </w:rPr>
              <w:t>金融机构本外币贷款余额</w:t>
            </w:r>
          </w:p>
        </w:tc>
        <w:tc>
          <w:tcPr>
            <w:tcW w:w="1726" w:type="dxa"/>
            <w:tcBorders>
              <w:right w:val="nil"/>
            </w:tcBorders>
            <w:vAlign w:val="center"/>
          </w:tcPr>
          <w:p w14:paraId="3CD13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15.4</w:t>
            </w:r>
          </w:p>
        </w:tc>
      </w:tr>
      <w:tr w14:paraId="565321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003" w:type="dxa"/>
            <w:tcBorders>
              <w:left w:val="nil"/>
              <w:bottom w:val="single" w:color="000000" w:sz="14" w:space="0"/>
            </w:tcBorders>
            <w:vAlign w:val="top"/>
          </w:tcPr>
          <w:p w14:paraId="7C881F52">
            <w:pPr>
              <w:pStyle w:val="5"/>
              <w:spacing w:before="137" w:line="177" w:lineRule="auto"/>
              <w:ind w:left="420"/>
              <w:jc w:val="both"/>
              <w:rPr>
                <w:rFonts w:hint="default" w:eastAsia="FangSong_GB2312"/>
                <w:lang w:val="en-US" w:eastAsia="zh-CN"/>
              </w:rPr>
            </w:pPr>
            <w:r>
              <w:rPr>
                <w:rFonts w:hint="eastAsia"/>
                <w:spacing w:val="-13"/>
                <w:lang w:val="en-US" w:eastAsia="zh-CN"/>
              </w:rPr>
              <w:t>21</w:t>
            </w:r>
          </w:p>
        </w:tc>
        <w:tc>
          <w:tcPr>
            <w:tcW w:w="5258" w:type="dxa"/>
            <w:tcBorders>
              <w:bottom w:val="single" w:color="000000" w:sz="14" w:space="0"/>
            </w:tcBorders>
            <w:vAlign w:val="top"/>
          </w:tcPr>
          <w:p w14:paraId="7AC0393B">
            <w:pPr>
              <w:pStyle w:val="5"/>
              <w:spacing w:before="106" w:line="201" w:lineRule="auto"/>
              <w:ind w:left="53"/>
            </w:pPr>
            <w:r>
              <w:rPr>
                <w:spacing w:val="-3"/>
              </w:rPr>
              <w:t>商品房销售面积</w:t>
            </w:r>
          </w:p>
        </w:tc>
        <w:tc>
          <w:tcPr>
            <w:tcW w:w="1726" w:type="dxa"/>
            <w:tcBorders>
              <w:bottom w:val="single" w:color="000000" w:sz="14" w:space="0"/>
              <w:right w:val="nil"/>
            </w:tcBorders>
            <w:vAlign w:val="top"/>
          </w:tcPr>
          <w:p w14:paraId="299653A8">
            <w:pPr>
              <w:pStyle w:val="5"/>
              <w:spacing w:before="137" w:line="177" w:lineRule="auto"/>
              <w:ind w:left="629"/>
              <w:jc w:val="both"/>
              <w:rPr>
                <w:rFonts w:hint="default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-41.5</w:t>
            </w:r>
          </w:p>
        </w:tc>
      </w:tr>
    </w:tbl>
    <w:p w14:paraId="54B7054B">
      <w:pPr>
        <w:rPr>
          <w:rFonts w:ascii="Arial"/>
          <w:sz w:val="21"/>
        </w:rPr>
      </w:pPr>
    </w:p>
    <w:sectPr>
      <w:pgSz w:w="11905" w:h="16834"/>
      <w:pgMar w:top="1070" w:right="1785" w:bottom="0" w:left="134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WI5YmJhMjI2NTY1ZWY3ZWRmNzBmNWNhMzI2NjY1NjYifQ=="/>
  </w:docVars>
  <w:rsids>
    <w:rsidRoot w:val="00000000"/>
    <w:rsid w:val="0EF80318"/>
    <w:rsid w:val="17C56967"/>
    <w:rsid w:val="27D512D2"/>
    <w:rsid w:val="3150593A"/>
    <w:rsid w:val="3DA432AC"/>
    <w:rsid w:val="40DD327C"/>
    <w:rsid w:val="482102A6"/>
    <w:rsid w:val="6AFE18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234</Words>
  <Characters>298</Characters>
  <TotalTime>8</TotalTime>
  <ScaleCrop>false</ScaleCrop>
  <LinksUpToDate>false</LinksUpToDate>
  <CharactersWithSpaces>298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2024-12-27T10:00:00Z</dcterms:created>
  <dc:creator>Administrator</dc:creator>
  <cp:lastModifiedBy>罗思邈</cp:lastModifiedBy>
  <dcterms:modified xsi:type="dcterms:W3CDTF">2026-05-13T08:13:54Z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2025-02-11T10:15:42Z</vt:filetime>
  </property>
  <property fmtid="{D5CDD505-2E9C-101B-9397-08002B2CF9AE}" pid="4" name="KSOProductBuildVer">
    <vt:lpwstr>2052-12.1.0.24034</vt:lpwstr>
  </property>
  <property fmtid="{D5CDD505-2E9C-101B-9397-08002B2CF9AE}" pid="5" name="ICV">
    <vt:lpwstr>DDED2F51B83543CC949811574242753C_12</vt:lpwstr>
  </property>
  <property fmtid="{D5CDD505-2E9C-101B-9397-08002B2CF9AE}" pid="6" name="KSOTemplateDocerSaveRecord">
    <vt:lpwstr>eyJoZGlkIjoiMWI5YmJhMjI2NTY1ZWY3ZWRmNzBmNWNhMzI2NjY1NjYiLCJ1c2VySWQiOiIxNDYxMzcyNjA4In0=</vt:lpwstr>
  </property>
</Properties>
</file>