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244C03">
      <w:pPr>
        <w:rPr>
          <w:rFonts w:eastAsia="FangSong_GB2312"/>
          <w:color w:val="auto"/>
          <w:sz w:val="36"/>
          <w:szCs w:val="36"/>
        </w:rPr>
      </w:pPr>
      <w:r>
        <w:rPr>
          <w:rFonts w:eastAsia="FangSong_GB2312"/>
          <w:color w:val="auto"/>
          <w:sz w:val="36"/>
          <w:szCs w:val="36"/>
        </w:rPr>
        <w:drawing>
          <wp:inline distT="0" distB="0" distL="0" distR="0">
            <wp:extent cx="885190" cy="86296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0" cstate="print"/>
                    <a:srcRect/>
                    <a:stretch>
                      <a:fillRect/>
                    </a:stretch>
                  </pic:blipFill>
                  <pic:spPr>
                    <a:xfrm>
                      <a:off x="0" y="0"/>
                      <a:ext cx="885190" cy="862965"/>
                    </a:xfrm>
                    <a:prstGeom prst="rect">
                      <a:avLst/>
                    </a:prstGeom>
                    <a:noFill/>
                    <a:ln w="9525">
                      <a:noFill/>
                      <a:miter lim="800000"/>
                      <a:headEnd/>
                      <a:tailEnd/>
                    </a:ln>
                  </pic:spPr>
                </pic:pic>
              </a:graphicData>
            </a:graphic>
          </wp:inline>
        </w:drawing>
      </w:r>
    </w:p>
    <w:p w14:paraId="1998B693">
      <w:pPr>
        <w:rPr>
          <w:rFonts w:eastAsia="FangSong_GB2312"/>
          <w:color w:val="auto"/>
          <w:sz w:val="36"/>
          <w:szCs w:val="36"/>
        </w:rPr>
      </w:pPr>
    </w:p>
    <w:p w14:paraId="31D45204">
      <w:pPr>
        <w:rPr>
          <w:rFonts w:eastAsia="FangSong_GB2312"/>
          <w:color w:val="auto"/>
          <w:sz w:val="36"/>
          <w:szCs w:val="36"/>
        </w:rPr>
      </w:pPr>
    </w:p>
    <w:p w14:paraId="4A6BF8E3">
      <w:pPr>
        <w:rPr>
          <w:rFonts w:eastAsia="FangSong_GB2312"/>
          <w:color w:val="auto"/>
          <w:sz w:val="36"/>
          <w:szCs w:val="36"/>
        </w:rPr>
      </w:pPr>
    </w:p>
    <w:p w14:paraId="6B00B75C">
      <w:pPr>
        <w:rPr>
          <w:rFonts w:eastAsia="FangSong_GB2312"/>
          <w:color w:val="auto"/>
          <w:sz w:val="36"/>
          <w:szCs w:val="36"/>
        </w:rPr>
      </w:pPr>
    </w:p>
    <w:p w14:paraId="12ED9E5C">
      <w:pPr>
        <w:adjustRightInd w:val="0"/>
        <w:snapToGrid w:val="0"/>
        <w:jc w:val="center"/>
        <w:outlineLvl w:val="0"/>
        <w:rPr>
          <w:rFonts w:eastAsia="方正小标宋_GBK"/>
          <w:bCs/>
          <w:color w:val="auto"/>
          <w:sz w:val="72"/>
          <w:szCs w:val="72"/>
        </w:rPr>
      </w:pPr>
      <w:bookmarkStart w:id="0" w:name="_Toc26175"/>
      <w:r>
        <w:rPr>
          <w:rFonts w:eastAsia="方正小标宋_GBK"/>
          <w:bCs/>
          <w:color w:val="auto"/>
          <w:sz w:val="72"/>
          <w:szCs w:val="72"/>
        </w:rPr>
        <w:t>建设项目环境影响报告表</w:t>
      </w:r>
      <w:bookmarkEnd w:id="0"/>
    </w:p>
    <w:p w14:paraId="062A9929">
      <w:pPr>
        <w:adjustRightInd w:val="0"/>
        <w:snapToGrid w:val="0"/>
        <w:spacing w:beforeLines="80"/>
        <w:jc w:val="center"/>
        <w:rPr>
          <w:rFonts w:eastAsia="楷体_GB2312"/>
          <w:bCs/>
          <w:color w:val="auto"/>
          <w:sz w:val="48"/>
          <w:szCs w:val="48"/>
        </w:rPr>
      </w:pPr>
      <w:r>
        <w:rPr>
          <w:rFonts w:eastAsia="楷体_GB2312"/>
          <w:bCs/>
          <w:color w:val="auto"/>
          <w:sz w:val="48"/>
          <w:szCs w:val="48"/>
        </w:rPr>
        <w:t>（污染影响类）</w:t>
      </w:r>
    </w:p>
    <w:p w14:paraId="308D8A1F">
      <w:pPr>
        <w:adjustRightInd w:val="0"/>
        <w:snapToGrid w:val="0"/>
        <w:spacing w:line="288" w:lineRule="auto"/>
        <w:jc w:val="center"/>
        <w:outlineLvl w:val="0"/>
        <w:rPr>
          <w:rFonts w:eastAsia="华文仿宋"/>
          <w:color w:val="auto"/>
          <w:kern w:val="44"/>
          <w:sz w:val="44"/>
          <w:szCs w:val="44"/>
        </w:rPr>
      </w:pPr>
    </w:p>
    <w:p w14:paraId="298F690E">
      <w:pPr>
        <w:ind w:firstLine="1040"/>
        <w:rPr>
          <w:rFonts w:eastAsia="仿宋"/>
          <w:color w:val="auto"/>
          <w:sz w:val="44"/>
          <w:szCs w:val="44"/>
        </w:rPr>
      </w:pPr>
    </w:p>
    <w:p w14:paraId="6E11F1B6">
      <w:pPr>
        <w:ind w:firstLine="1040"/>
        <w:rPr>
          <w:rFonts w:eastAsia="仿宋"/>
          <w:color w:val="auto"/>
          <w:sz w:val="44"/>
          <w:szCs w:val="44"/>
        </w:rPr>
      </w:pPr>
    </w:p>
    <w:p w14:paraId="0183BEFD">
      <w:pPr>
        <w:ind w:firstLine="1040"/>
        <w:rPr>
          <w:rFonts w:eastAsia="仿宋"/>
          <w:color w:val="auto"/>
          <w:sz w:val="44"/>
          <w:szCs w:val="44"/>
        </w:rPr>
      </w:pPr>
    </w:p>
    <w:p w14:paraId="7348542F">
      <w:pPr>
        <w:adjustRightInd w:val="0"/>
        <w:snapToGrid w:val="0"/>
        <w:spacing w:line="288" w:lineRule="auto"/>
        <w:jc w:val="left"/>
        <w:rPr>
          <w:rFonts w:hint="default" w:eastAsia="FangSong_GB2312"/>
          <w:color w:val="auto"/>
          <w:sz w:val="36"/>
          <w:szCs w:val="36"/>
          <w:u w:val="single"/>
          <w:lang w:val="en-US" w:eastAsia="zh-CN"/>
        </w:rPr>
      </w:pPr>
      <w:r>
        <w:rPr>
          <w:rFonts w:eastAsia="FangSong_GB2312"/>
          <w:color w:val="auto"/>
          <w:sz w:val="36"/>
          <w:szCs w:val="36"/>
        </w:rPr>
        <w:t>项目名称：</w:t>
      </w:r>
      <w:r>
        <w:rPr>
          <w:rFonts w:hint="eastAsia" w:eastAsia="FangSong_GB2312"/>
          <w:color w:val="auto"/>
          <w:sz w:val="36"/>
          <w:szCs w:val="36"/>
          <w:u w:val="single"/>
          <w:lang w:val="en-US" w:eastAsia="zh-CN"/>
        </w:rPr>
        <w:t xml:space="preserve">  </w:t>
      </w:r>
      <w:r>
        <w:rPr>
          <w:rFonts w:hint="eastAsia" w:eastAsia="FangSong_GB2312"/>
          <w:color w:val="auto"/>
          <w:sz w:val="36"/>
          <w:szCs w:val="36"/>
          <w:u w:val="single"/>
          <w:lang w:eastAsia="zh-CN"/>
        </w:rPr>
        <w:t>三氯化磷及原料储存安全提升技改项目</w:t>
      </w:r>
      <w:r>
        <w:rPr>
          <w:rFonts w:hint="eastAsia" w:eastAsia="FangSong_GB2312"/>
          <w:color w:val="auto"/>
          <w:sz w:val="36"/>
          <w:szCs w:val="36"/>
          <w:u w:val="single"/>
          <w:lang w:val="en-US" w:eastAsia="zh-CN"/>
        </w:rPr>
        <w:t xml:space="preserve">   </w:t>
      </w:r>
    </w:p>
    <w:p w14:paraId="65B983B4">
      <w:pPr>
        <w:adjustRightInd w:val="0"/>
        <w:snapToGrid w:val="0"/>
        <w:spacing w:line="288" w:lineRule="auto"/>
        <w:jc w:val="left"/>
        <w:rPr>
          <w:rFonts w:hint="default" w:eastAsia="FangSong_GB2312"/>
          <w:color w:val="auto"/>
          <w:sz w:val="36"/>
          <w:szCs w:val="36"/>
          <w:u w:val="single"/>
          <w:lang w:val="en-US" w:eastAsia="zh-CN"/>
        </w:rPr>
      </w:pPr>
      <w:r>
        <w:rPr>
          <w:rFonts w:eastAsia="FangSong_GB2312"/>
          <w:color w:val="auto"/>
          <w:sz w:val="36"/>
          <w:szCs w:val="36"/>
        </w:rPr>
        <w:t>建设单位（盖章）：</w:t>
      </w:r>
      <w:r>
        <w:rPr>
          <w:rFonts w:hint="eastAsia" w:eastAsia="FangSong_GB2312"/>
          <w:color w:val="auto"/>
          <w:sz w:val="36"/>
          <w:szCs w:val="36"/>
          <w:u w:val="single"/>
          <w:lang w:val="en-US" w:eastAsia="zh-CN"/>
        </w:rPr>
        <w:t xml:space="preserve">      </w:t>
      </w:r>
      <w:r>
        <w:rPr>
          <w:rFonts w:hint="eastAsia" w:eastAsia="FangSong_GB2312"/>
          <w:color w:val="auto"/>
          <w:sz w:val="36"/>
          <w:szCs w:val="36"/>
          <w:u w:val="single"/>
          <w:lang w:eastAsia="zh-CN"/>
        </w:rPr>
        <w:t>淮安华源化工有限公司</w:t>
      </w:r>
      <w:r>
        <w:rPr>
          <w:rFonts w:hint="eastAsia" w:eastAsia="FangSong_GB2312"/>
          <w:color w:val="auto"/>
          <w:sz w:val="36"/>
          <w:szCs w:val="36"/>
          <w:u w:val="single"/>
          <w:lang w:val="en-US" w:eastAsia="zh-CN"/>
        </w:rPr>
        <w:t xml:space="preserve">     </w:t>
      </w:r>
    </w:p>
    <w:p w14:paraId="216E1C92">
      <w:pPr>
        <w:adjustRightInd w:val="0"/>
        <w:snapToGrid w:val="0"/>
        <w:spacing w:line="288" w:lineRule="auto"/>
        <w:jc w:val="left"/>
        <w:rPr>
          <w:rFonts w:hint="default" w:eastAsia="FangSong_GB2312"/>
          <w:color w:val="auto"/>
          <w:sz w:val="36"/>
          <w:szCs w:val="36"/>
          <w:u w:val="single"/>
          <w:lang w:val="en-US" w:eastAsia="zh-CN"/>
        </w:rPr>
      </w:pPr>
      <w:r>
        <w:rPr>
          <w:rFonts w:eastAsia="FangSong_GB2312"/>
          <w:color w:val="auto"/>
          <w:sz w:val="36"/>
          <w:szCs w:val="36"/>
        </w:rPr>
        <w:t>编制日期：</w:t>
      </w:r>
      <w:r>
        <w:rPr>
          <w:rFonts w:eastAsia="FangSong_GB2312"/>
          <w:color w:val="auto"/>
          <w:sz w:val="36"/>
          <w:szCs w:val="36"/>
          <w:u w:val="single"/>
        </w:rPr>
        <w:t xml:space="preserve">      </w:t>
      </w:r>
      <w:r>
        <w:rPr>
          <w:rFonts w:hint="eastAsia" w:eastAsia="FangSong_GB2312"/>
          <w:color w:val="auto"/>
          <w:sz w:val="36"/>
          <w:szCs w:val="36"/>
          <w:u w:val="single"/>
          <w:lang w:val="en-US" w:eastAsia="zh-CN"/>
        </w:rPr>
        <w:t xml:space="preserve">      </w:t>
      </w:r>
      <w:r>
        <w:rPr>
          <w:rFonts w:eastAsia="FangSong_GB2312"/>
          <w:color w:val="auto"/>
          <w:sz w:val="36"/>
          <w:szCs w:val="36"/>
          <w:u w:val="single"/>
        </w:rPr>
        <w:t xml:space="preserve">    202</w:t>
      </w:r>
      <w:r>
        <w:rPr>
          <w:rFonts w:hint="eastAsia" w:eastAsiaTheme="minorEastAsia"/>
          <w:color w:val="auto"/>
          <w:sz w:val="36"/>
          <w:szCs w:val="36"/>
          <w:u w:val="single"/>
          <w:lang w:val="en-US" w:eastAsia="zh-CN"/>
        </w:rPr>
        <w:t>6</w:t>
      </w:r>
      <w:r>
        <w:rPr>
          <w:rFonts w:eastAsia="FangSong_GB2312"/>
          <w:color w:val="auto"/>
          <w:sz w:val="36"/>
          <w:szCs w:val="36"/>
          <w:u w:val="single"/>
        </w:rPr>
        <w:t>年</w:t>
      </w:r>
      <w:r>
        <w:rPr>
          <w:rFonts w:hint="eastAsia" w:eastAsiaTheme="minorEastAsia"/>
          <w:color w:val="auto"/>
          <w:sz w:val="36"/>
          <w:szCs w:val="36"/>
          <w:u w:val="single"/>
          <w:lang w:val="en-US" w:eastAsia="zh-CN"/>
        </w:rPr>
        <w:t>1</w:t>
      </w:r>
      <w:r>
        <w:rPr>
          <w:rFonts w:eastAsia="FangSong_GB2312"/>
          <w:color w:val="auto"/>
          <w:sz w:val="36"/>
          <w:szCs w:val="36"/>
          <w:u w:val="single"/>
        </w:rPr>
        <w:t>月</w:t>
      </w:r>
      <w:r>
        <w:rPr>
          <w:rFonts w:hint="eastAsia" w:eastAsia="FangSong_GB2312"/>
          <w:color w:val="auto"/>
          <w:sz w:val="36"/>
          <w:szCs w:val="36"/>
          <w:u w:val="single"/>
          <w:lang w:val="en-US" w:eastAsia="zh-CN"/>
        </w:rPr>
        <w:t xml:space="preserve">           </w:t>
      </w:r>
    </w:p>
    <w:p w14:paraId="623A0E2B">
      <w:pPr>
        <w:adjustRightInd w:val="0"/>
        <w:snapToGrid w:val="0"/>
        <w:spacing w:line="288" w:lineRule="auto"/>
        <w:ind w:firstLine="1040"/>
        <w:jc w:val="left"/>
        <w:rPr>
          <w:rFonts w:eastAsia="FangSong_GB2312"/>
          <w:color w:val="auto"/>
          <w:sz w:val="36"/>
          <w:szCs w:val="36"/>
          <w:u w:val="single"/>
        </w:rPr>
      </w:pPr>
      <w:bookmarkStart w:id="1" w:name="_Hlk57884087"/>
    </w:p>
    <w:p w14:paraId="1D919C10">
      <w:pPr>
        <w:adjustRightInd w:val="0"/>
        <w:snapToGrid w:val="0"/>
        <w:spacing w:line="288" w:lineRule="auto"/>
        <w:ind w:firstLine="1040"/>
        <w:rPr>
          <w:rFonts w:eastAsia="FangSong_GB2312"/>
          <w:color w:val="auto"/>
          <w:sz w:val="36"/>
          <w:szCs w:val="36"/>
        </w:rPr>
      </w:pPr>
    </w:p>
    <w:p w14:paraId="6DD115DA">
      <w:pPr>
        <w:adjustRightInd w:val="0"/>
        <w:snapToGrid w:val="0"/>
        <w:spacing w:line="288" w:lineRule="auto"/>
        <w:ind w:firstLine="1040"/>
        <w:rPr>
          <w:rFonts w:eastAsia="FangSong_GB2312"/>
          <w:color w:val="auto"/>
          <w:sz w:val="36"/>
          <w:szCs w:val="36"/>
        </w:rPr>
      </w:pPr>
    </w:p>
    <w:p w14:paraId="7378DB29">
      <w:pPr>
        <w:adjustRightInd w:val="0"/>
        <w:snapToGrid w:val="0"/>
        <w:spacing w:line="288" w:lineRule="auto"/>
        <w:ind w:firstLine="1040"/>
        <w:rPr>
          <w:rFonts w:eastAsia="FangSong_GB2312"/>
          <w:color w:val="auto"/>
          <w:sz w:val="36"/>
          <w:szCs w:val="36"/>
        </w:rPr>
      </w:pPr>
    </w:p>
    <w:bookmarkEnd w:id="1"/>
    <w:p w14:paraId="745F9E32">
      <w:pPr>
        <w:adjustRightInd w:val="0"/>
        <w:snapToGrid w:val="0"/>
        <w:spacing w:line="288" w:lineRule="auto"/>
        <w:jc w:val="center"/>
        <w:rPr>
          <w:rFonts w:eastAsia="楷体_GB2312"/>
          <w:color w:val="auto"/>
          <w:sz w:val="36"/>
          <w:szCs w:val="36"/>
        </w:rPr>
      </w:pPr>
      <w:r>
        <w:rPr>
          <w:rFonts w:eastAsia="楷体_GB2312"/>
          <w:color w:val="auto"/>
          <w:sz w:val="36"/>
          <w:szCs w:val="36"/>
        </w:rPr>
        <w:t>中华人民共和国生态环境部制</w:t>
      </w:r>
    </w:p>
    <w:p w14:paraId="50F4DD1C">
      <w:pPr>
        <w:adjustRightInd w:val="0"/>
        <w:snapToGrid w:val="0"/>
        <w:spacing w:line="288" w:lineRule="auto"/>
        <w:ind w:firstLine="1040"/>
        <w:rPr>
          <w:rFonts w:eastAsiaTheme="minorEastAsia"/>
          <w:color w:val="auto"/>
          <w:sz w:val="36"/>
          <w:szCs w:val="36"/>
        </w:rPr>
      </w:pPr>
    </w:p>
    <w:p w14:paraId="136857D9">
      <w:pPr>
        <w:adjustRightInd w:val="0"/>
        <w:snapToGrid w:val="0"/>
        <w:spacing w:line="288" w:lineRule="auto"/>
        <w:ind w:firstLine="1040"/>
        <w:rPr>
          <w:rFonts w:eastAsiaTheme="minorEastAsia"/>
          <w:color w:val="auto"/>
          <w:sz w:val="36"/>
          <w:szCs w:val="36"/>
        </w:rPr>
      </w:pPr>
    </w:p>
    <w:p w14:paraId="2C2C62A3">
      <w:pPr>
        <w:adjustRightInd w:val="0"/>
        <w:snapToGrid w:val="0"/>
        <w:spacing w:line="288" w:lineRule="auto"/>
        <w:ind w:firstLine="1040"/>
        <w:rPr>
          <w:rFonts w:eastAsiaTheme="minorEastAsia"/>
          <w:color w:val="auto"/>
          <w:sz w:val="36"/>
          <w:szCs w:val="36"/>
        </w:rPr>
      </w:pPr>
    </w:p>
    <w:p w14:paraId="2EA46BA8">
      <w:pPr>
        <w:adjustRightInd w:val="0"/>
        <w:snapToGrid w:val="0"/>
        <w:spacing w:line="288" w:lineRule="auto"/>
        <w:ind w:firstLine="1040"/>
        <w:rPr>
          <w:rFonts w:eastAsiaTheme="minorEastAsia"/>
          <w:color w:val="auto"/>
          <w:sz w:val="36"/>
          <w:szCs w:val="36"/>
        </w:rPr>
      </w:pPr>
    </w:p>
    <w:p w14:paraId="3AEEEFB6">
      <w:pPr>
        <w:adjustRightInd w:val="0"/>
        <w:snapToGrid w:val="0"/>
        <w:spacing w:line="288" w:lineRule="auto"/>
        <w:ind w:firstLine="1040"/>
        <w:rPr>
          <w:rFonts w:eastAsiaTheme="minorEastAsia"/>
          <w:color w:val="auto"/>
          <w:sz w:val="36"/>
          <w:szCs w:val="36"/>
        </w:rPr>
      </w:pPr>
    </w:p>
    <w:p w14:paraId="0C0176C6">
      <w:pPr>
        <w:adjustRightInd w:val="0"/>
        <w:snapToGrid w:val="0"/>
        <w:spacing w:line="288" w:lineRule="auto"/>
        <w:ind w:firstLine="1040"/>
        <w:rPr>
          <w:rFonts w:eastAsiaTheme="minorEastAsia"/>
          <w:color w:val="auto"/>
          <w:sz w:val="36"/>
          <w:szCs w:val="36"/>
        </w:rPr>
      </w:pPr>
    </w:p>
    <w:p w14:paraId="252D9A81">
      <w:pPr>
        <w:adjustRightInd w:val="0"/>
        <w:snapToGrid w:val="0"/>
        <w:spacing w:line="288" w:lineRule="auto"/>
        <w:ind w:firstLine="1040"/>
        <w:rPr>
          <w:rFonts w:eastAsiaTheme="minorEastAsia"/>
          <w:color w:val="auto"/>
          <w:sz w:val="36"/>
          <w:szCs w:val="36"/>
        </w:rPr>
      </w:pPr>
    </w:p>
    <w:p w14:paraId="0D092E88">
      <w:pPr>
        <w:adjustRightInd w:val="0"/>
        <w:snapToGrid w:val="0"/>
        <w:spacing w:line="288" w:lineRule="auto"/>
        <w:ind w:firstLine="1040"/>
        <w:rPr>
          <w:rFonts w:eastAsiaTheme="minorEastAsia"/>
          <w:color w:val="auto"/>
          <w:sz w:val="36"/>
          <w:szCs w:val="36"/>
        </w:rPr>
      </w:pPr>
    </w:p>
    <w:p w14:paraId="461710DD">
      <w:pPr>
        <w:adjustRightInd w:val="0"/>
        <w:snapToGrid w:val="0"/>
        <w:spacing w:line="288" w:lineRule="auto"/>
        <w:ind w:firstLine="1040"/>
        <w:rPr>
          <w:rFonts w:eastAsiaTheme="minorEastAsia"/>
          <w:color w:val="auto"/>
          <w:sz w:val="36"/>
          <w:szCs w:val="36"/>
        </w:rPr>
      </w:pPr>
    </w:p>
    <w:p w14:paraId="2EFECC86">
      <w:pPr>
        <w:adjustRightInd w:val="0"/>
        <w:snapToGrid w:val="0"/>
        <w:spacing w:line="288" w:lineRule="auto"/>
        <w:ind w:firstLine="1040"/>
        <w:rPr>
          <w:rFonts w:eastAsiaTheme="minorEastAsia"/>
          <w:color w:val="auto"/>
          <w:sz w:val="36"/>
          <w:szCs w:val="36"/>
        </w:rPr>
      </w:pPr>
    </w:p>
    <w:p w14:paraId="175BA1EF">
      <w:pPr>
        <w:adjustRightInd w:val="0"/>
        <w:snapToGrid w:val="0"/>
        <w:spacing w:line="288" w:lineRule="auto"/>
        <w:ind w:firstLine="1040"/>
        <w:rPr>
          <w:rFonts w:eastAsiaTheme="minorEastAsia"/>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sdt>
      <w:sdtPr>
        <w:rPr>
          <w:b w:val="0"/>
          <w:bCs w:val="0"/>
          <w:color w:val="auto"/>
          <w:kern w:val="2"/>
          <w:sz w:val="21"/>
          <w:szCs w:val="24"/>
          <w:lang w:val="zh-CN"/>
        </w:rPr>
        <w:id w:val="-1456867091"/>
        <w:docPartObj>
          <w:docPartGallery w:val="Table of Contents"/>
          <w:docPartUnique/>
        </w:docPartObj>
      </w:sdtPr>
      <w:sdtEndPr>
        <w:rPr>
          <w:b w:val="0"/>
          <w:bCs w:val="0"/>
          <w:color w:val="auto"/>
          <w:kern w:val="2"/>
          <w:sz w:val="21"/>
          <w:szCs w:val="24"/>
          <w:lang w:val="zh-CN"/>
        </w:rPr>
      </w:sdtEndPr>
      <w:sdtContent>
        <w:p w14:paraId="58685DC8">
          <w:pPr>
            <w:pStyle w:val="388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eastAsiaTheme="minorEastAsia"/>
              <w:color w:val="auto"/>
              <w:sz w:val="24"/>
              <w:szCs w:val="24"/>
            </w:rPr>
          </w:pPr>
          <w:r>
            <w:rPr>
              <w:rFonts w:hAnsiTheme="minorEastAsia" w:eastAsiaTheme="minorEastAsia"/>
              <w:color w:val="auto"/>
              <w:sz w:val="24"/>
              <w:szCs w:val="24"/>
              <w:lang w:val="zh-CN"/>
            </w:rPr>
            <w:t>目录</w:t>
          </w:r>
        </w:p>
        <w:p w14:paraId="1C93781E">
          <w:pPr>
            <w:pStyle w:val="59"/>
            <w:tabs>
              <w:tab w:val="right" w:leader="dot" w:pos="8844"/>
            </w:tabs>
            <w:spacing w:line="360" w:lineRule="auto"/>
            <w:rPr>
              <w:color w:val="auto"/>
            </w:rPr>
          </w:pPr>
          <w:r>
            <w:rPr>
              <w:rFonts w:ascii="Times New Roman" w:hAnsi="Times New Roman" w:cs="Times New Roman" w:eastAsiaTheme="minorEastAsia"/>
              <w:color w:val="auto"/>
            </w:rPr>
            <w:fldChar w:fldCharType="begin"/>
          </w:r>
          <w:r>
            <w:rPr>
              <w:rFonts w:ascii="Times New Roman" w:hAnsi="Times New Roman" w:cs="Times New Roman" w:eastAsiaTheme="minorEastAsia"/>
              <w:color w:val="auto"/>
            </w:rPr>
            <w:instrText xml:space="preserve"> TOC \o "1-3" \h \z \u </w:instrText>
          </w:r>
          <w:r>
            <w:rPr>
              <w:rFonts w:ascii="Times New Roman" w:hAnsi="Times New Roman" w:cs="Times New Roman" w:eastAsiaTheme="minorEastAsia"/>
              <w:color w:val="auto"/>
            </w:rPr>
            <w:fldChar w:fldCharType="separate"/>
          </w:r>
          <w:r>
            <w:rPr>
              <w:rFonts w:ascii="Times New Roman" w:hAnsi="Times New Roman" w:cs="Times New Roman" w:eastAsiaTheme="minorEastAsia"/>
              <w:color w:val="auto"/>
            </w:rPr>
            <w:fldChar w:fldCharType="begin"/>
          </w:r>
          <w:r>
            <w:rPr>
              <w:rFonts w:ascii="Times New Roman" w:hAnsi="Times New Roman" w:cs="Times New Roman" w:eastAsiaTheme="minorEastAsia"/>
              <w:color w:val="auto"/>
            </w:rPr>
            <w:instrText xml:space="preserve"> HYPERLINK \l _Toc26175 </w:instrText>
          </w:r>
          <w:r>
            <w:rPr>
              <w:rFonts w:ascii="Times New Roman" w:hAnsi="Times New Roman" w:cs="Times New Roman" w:eastAsiaTheme="minorEastAsia"/>
              <w:color w:val="auto"/>
            </w:rPr>
            <w:fldChar w:fldCharType="separate"/>
          </w:r>
          <w:r>
            <w:rPr>
              <w:rFonts w:eastAsia="方正小标宋_GBK"/>
              <w:bCs/>
              <w:color w:val="auto"/>
              <w:szCs w:val="72"/>
            </w:rPr>
            <w:t>建设项目环境影响报告表</w:t>
          </w:r>
          <w:r>
            <w:rPr>
              <w:color w:val="auto"/>
            </w:rPr>
            <w:tab/>
          </w:r>
          <w:r>
            <w:rPr>
              <w:rFonts w:hint="eastAsia"/>
              <w:color w:val="auto"/>
              <w:lang w:val="en-US" w:eastAsia="zh-CN"/>
            </w:rPr>
            <w:t>1</w:t>
          </w:r>
          <w:r>
            <w:rPr>
              <w:rFonts w:ascii="Times New Roman" w:hAnsi="Times New Roman" w:cs="Times New Roman" w:eastAsiaTheme="minorEastAsia"/>
              <w:color w:val="auto"/>
            </w:rPr>
            <w:fldChar w:fldCharType="end"/>
          </w:r>
        </w:p>
        <w:p w14:paraId="163DB2B0">
          <w:pPr>
            <w:pStyle w:val="59"/>
            <w:tabs>
              <w:tab w:val="right" w:leader="dot" w:pos="8844"/>
            </w:tabs>
            <w:spacing w:line="360" w:lineRule="auto"/>
            <w:rPr>
              <w:color w:val="auto"/>
            </w:rPr>
          </w:pPr>
          <w:r>
            <w:rPr>
              <w:rFonts w:eastAsiaTheme="minorEastAsia"/>
              <w:bCs/>
              <w:color w:val="auto"/>
              <w:lang w:val="zh-CN"/>
            </w:rPr>
            <w:fldChar w:fldCharType="begin"/>
          </w:r>
          <w:r>
            <w:rPr>
              <w:rFonts w:eastAsiaTheme="minorEastAsia"/>
              <w:bCs/>
              <w:color w:val="auto"/>
              <w:lang w:val="zh-CN"/>
            </w:rPr>
            <w:instrText xml:space="preserve"> HYPERLINK \l _Toc245 </w:instrText>
          </w:r>
          <w:r>
            <w:rPr>
              <w:rFonts w:eastAsiaTheme="minorEastAsia"/>
              <w:bCs/>
              <w:color w:val="auto"/>
              <w:lang w:val="zh-CN"/>
            </w:rPr>
            <w:fldChar w:fldCharType="separate"/>
          </w:r>
          <w:r>
            <w:rPr>
              <w:rFonts w:ascii="Times New Roman" w:hAnsi="Times New Roman" w:eastAsia="黑体" w:cs="Times New Roman"/>
              <w:snapToGrid w:val="0"/>
              <w:color w:val="auto"/>
              <w:szCs w:val="30"/>
            </w:rPr>
            <w:t>一、建设项目基本情况</w:t>
          </w:r>
          <w:r>
            <w:rPr>
              <w:color w:val="auto"/>
            </w:rPr>
            <w:tab/>
          </w:r>
          <w:r>
            <w:rPr>
              <w:color w:val="auto"/>
            </w:rPr>
            <w:fldChar w:fldCharType="begin"/>
          </w:r>
          <w:r>
            <w:rPr>
              <w:color w:val="auto"/>
            </w:rPr>
            <w:instrText xml:space="preserve"> PAGEREF _Toc245 \h </w:instrText>
          </w:r>
          <w:r>
            <w:rPr>
              <w:color w:val="auto"/>
            </w:rPr>
            <w:fldChar w:fldCharType="separate"/>
          </w:r>
          <w:r>
            <w:rPr>
              <w:color w:val="auto"/>
            </w:rPr>
            <w:t>1</w:t>
          </w:r>
          <w:r>
            <w:rPr>
              <w:color w:val="auto"/>
            </w:rPr>
            <w:fldChar w:fldCharType="end"/>
          </w:r>
          <w:r>
            <w:rPr>
              <w:rFonts w:eastAsiaTheme="minorEastAsia"/>
              <w:bCs/>
              <w:color w:val="auto"/>
              <w:lang w:val="zh-CN"/>
            </w:rPr>
            <w:fldChar w:fldCharType="end"/>
          </w:r>
        </w:p>
        <w:p w14:paraId="484C39B3">
          <w:pPr>
            <w:pStyle w:val="59"/>
            <w:tabs>
              <w:tab w:val="right" w:leader="dot" w:pos="8844"/>
            </w:tabs>
            <w:spacing w:line="360" w:lineRule="auto"/>
            <w:rPr>
              <w:color w:val="auto"/>
            </w:rPr>
          </w:pPr>
          <w:r>
            <w:rPr>
              <w:rFonts w:eastAsiaTheme="minorEastAsia"/>
              <w:bCs/>
              <w:color w:val="auto"/>
              <w:lang w:val="zh-CN"/>
            </w:rPr>
            <w:fldChar w:fldCharType="begin"/>
          </w:r>
          <w:r>
            <w:rPr>
              <w:rFonts w:eastAsiaTheme="minorEastAsia"/>
              <w:bCs/>
              <w:color w:val="auto"/>
              <w:lang w:val="zh-CN"/>
            </w:rPr>
            <w:instrText xml:space="preserve"> HYPERLINK \l _Toc7955 </w:instrText>
          </w:r>
          <w:r>
            <w:rPr>
              <w:rFonts w:eastAsiaTheme="minorEastAsia"/>
              <w:bCs/>
              <w:color w:val="auto"/>
              <w:lang w:val="zh-CN"/>
            </w:rPr>
            <w:fldChar w:fldCharType="separate"/>
          </w:r>
          <w:r>
            <w:rPr>
              <w:rFonts w:ascii="Times New Roman" w:hAnsi="Times New Roman" w:eastAsia="黑体" w:cs="Times New Roman"/>
              <w:snapToGrid w:val="0"/>
              <w:color w:val="auto"/>
              <w:szCs w:val="30"/>
            </w:rPr>
            <w:t>二、建设项目工程分析</w:t>
          </w:r>
          <w:r>
            <w:rPr>
              <w:color w:val="auto"/>
            </w:rPr>
            <w:tab/>
          </w:r>
          <w:r>
            <w:rPr>
              <w:color w:val="auto"/>
            </w:rPr>
            <w:fldChar w:fldCharType="begin"/>
          </w:r>
          <w:r>
            <w:rPr>
              <w:color w:val="auto"/>
            </w:rPr>
            <w:instrText xml:space="preserve"> PAGEREF _Toc7955 \h </w:instrText>
          </w:r>
          <w:r>
            <w:rPr>
              <w:color w:val="auto"/>
            </w:rPr>
            <w:fldChar w:fldCharType="separate"/>
          </w:r>
          <w:r>
            <w:rPr>
              <w:color w:val="auto"/>
            </w:rPr>
            <w:t>20</w:t>
          </w:r>
          <w:r>
            <w:rPr>
              <w:color w:val="auto"/>
            </w:rPr>
            <w:fldChar w:fldCharType="end"/>
          </w:r>
          <w:r>
            <w:rPr>
              <w:rFonts w:eastAsiaTheme="minorEastAsia"/>
              <w:bCs/>
              <w:color w:val="auto"/>
              <w:lang w:val="zh-CN"/>
            </w:rPr>
            <w:fldChar w:fldCharType="end"/>
          </w:r>
        </w:p>
        <w:p w14:paraId="69A165D0">
          <w:pPr>
            <w:pStyle w:val="59"/>
            <w:tabs>
              <w:tab w:val="right" w:leader="dot" w:pos="8844"/>
            </w:tabs>
            <w:spacing w:line="360" w:lineRule="auto"/>
            <w:rPr>
              <w:color w:val="auto"/>
            </w:rPr>
          </w:pPr>
          <w:r>
            <w:rPr>
              <w:rFonts w:eastAsiaTheme="minorEastAsia"/>
              <w:bCs/>
              <w:color w:val="auto"/>
              <w:lang w:val="zh-CN"/>
            </w:rPr>
            <w:fldChar w:fldCharType="begin"/>
          </w:r>
          <w:r>
            <w:rPr>
              <w:rFonts w:eastAsiaTheme="minorEastAsia"/>
              <w:bCs/>
              <w:color w:val="auto"/>
              <w:lang w:val="zh-CN"/>
            </w:rPr>
            <w:instrText xml:space="preserve"> HYPERLINK \l _Toc3985 </w:instrText>
          </w:r>
          <w:r>
            <w:rPr>
              <w:rFonts w:eastAsiaTheme="minorEastAsia"/>
              <w:bCs/>
              <w:color w:val="auto"/>
              <w:lang w:val="zh-CN"/>
            </w:rPr>
            <w:fldChar w:fldCharType="separate"/>
          </w:r>
          <w:r>
            <w:rPr>
              <w:rFonts w:hint="eastAsia" w:ascii="Times New Roman" w:hAnsi="Times New Roman" w:eastAsia="黑体" w:cs="Times New Roman"/>
              <w:snapToGrid w:val="0"/>
              <w:color w:val="auto"/>
              <w:szCs w:val="30"/>
            </w:rPr>
            <w:t>三</w:t>
          </w:r>
          <w:r>
            <w:rPr>
              <w:rFonts w:ascii="Times New Roman" w:hAnsi="Times New Roman" w:eastAsia="黑体" w:cs="Times New Roman"/>
              <w:snapToGrid w:val="0"/>
              <w:color w:val="auto"/>
              <w:szCs w:val="30"/>
            </w:rPr>
            <w:t>、区域环境质量现状、环境保护目标及评价标准</w:t>
          </w:r>
          <w:r>
            <w:rPr>
              <w:color w:val="auto"/>
            </w:rPr>
            <w:tab/>
          </w:r>
          <w:r>
            <w:rPr>
              <w:color w:val="auto"/>
            </w:rPr>
            <w:fldChar w:fldCharType="begin"/>
          </w:r>
          <w:r>
            <w:rPr>
              <w:color w:val="auto"/>
            </w:rPr>
            <w:instrText xml:space="preserve"> PAGEREF _Toc3985 \h </w:instrText>
          </w:r>
          <w:r>
            <w:rPr>
              <w:color w:val="auto"/>
            </w:rPr>
            <w:fldChar w:fldCharType="separate"/>
          </w:r>
          <w:r>
            <w:rPr>
              <w:color w:val="auto"/>
            </w:rPr>
            <w:t>40</w:t>
          </w:r>
          <w:r>
            <w:rPr>
              <w:color w:val="auto"/>
            </w:rPr>
            <w:fldChar w:fldCharType="end"/>
          </w:r>
          <w:r>
            <w:rPr>
              <w:rFonts w:eastAsiaTheme="minorEastAsia"/>
              <w:bCs/>
              <w:color w:val="auto"/>
              <w:lang w:val="zh-CN"/>
            </w:rPr>
            <w:fldChar w:fldCharType="end"/>
          </w:r>
        </w:p>
        <w:p w14:paraId="36EE3C5D">
          <w:pPr>
            <w:pStyle w:val="59"/>
            <w:tabs>
              <w:tab w:val="right" w:leader="dot" w:pos="8844"/>
            </w:tabs>
            <w:spacing w:line="360" w:lineRule="auto"/>
            <w:rPr>
              <w:color w:val="auto"/>
            </w:rPr>
          </w:pPr>
          <w:r>
            <w:rPr>
              <w:rFonts w:eastAsiaTheme="minorEastAsia"/>
              <w:bCs/>
              <w:color w:val="auto"/>
              <w:lang w:val="zh-CN"/>
            </w:rPr>
            <w:fldChar w:fldCharType="begin"/>
          </w:r>
          <w:r>
            <w:rPr>
              <w:rFonts w:eastAsiaTheme="minorEastAsia"/>
              <w:bCs/>
              <w:color w:val="auto"/>
              <w:lang w:val="zh-CN"/>
            </w:rPr>
            <w:instrText xml:space="preserve"> HYPERLINK \l _Toc29561 </w:instrText>
          </w:r>
          <w:r>
            <w:rPr>
              <w:rFonts w:eastAsiaTheme="minorEastAsia"/>
              <w:bCs/>
              <w:color w:val="auto"/>
              <w:lang w:val="zh-CN"/>
            </w:rPr>
            <w:fldChar w:fldCharType="separate"/>
          </w:r>
          <w:r>
            <w:rPr>
              <w:rFonts w:ascii="Times New Roman" w:hAnsi="Times New Roman" w:eastAsia="黑体" w:cs="Times New Roman"/>
              <w:snapToGrid w:val="0"/>
              <w:color w:val="auto"/>
              <w:szCs w:val="30"/>
            </w:rPr>
            <w:t>四、主要环境影响和保护措施</w:t>
          </w:r>
          <w:r>
            <w:rPr>
              <w:color w:val="auto"/>
            </w:rPr>
            <w:tab/>
          </w:r>
          <w:r>
            <w:rPr>
              <w:color w:val="auto"/>
            </w:rPr>
            <w:fldChar w:fldCharType="begin"/>
          </w:r>
          <w:r>
            <w:rPr>
              <w:color w:val="auto"/>
            </w:rPr>
            <w:instrText xml:space="preserve"> PAGEREF _Toc29561 \h </w:instrText>
          </w:r>
          <w:r>
            <w:rPr>
              <w:color w:val="auto"/>
            </w:rPr>
            <w:fldChar w:fldCharType="separate"/>
          </w:r>
          <w:r>
            <w:rPr>
              <w:color w:val="auto"/>
            </w:rPr>
            <w:t>45</w:t>
          </w:r>
          <w:r>
            <w:rPr>
              <w:color w:val="auto"/>
            </w:rPr>
            <w:fldChar w:fldCharType="end"/>
          </w:r>
          <w:r>
            <w:rPr>
              <w:rFonts w:eastAsiaTheme="minorEastAsia"/>
              <w:bCs/>
              <w:color w:val="auto"/>
              <w:lang w:val="zh-CN"/>
            </w:rPr>
            <w:fldChar w:fldCharType="end"/>
          </w:r>
        </w:p>
        <w:p w14:paraId="2823A3AB">
          <w:pPr>
            <w:pStyle w:val="59"/>
            <w:tabs>
              <w:tab w:val="right" w:leader="dot" w:pos="8844"/>
            </w:tabs>
            <w:spacing w:line="360" w:lineRule="auto"/>
            <w:rPr>
              <w:color w:val="auto"/>
            </w:rPr>
          </w:pPr>
          <w:r>
            <w:rPr>
              <w:rFonts w:eastAsiaTheme="minorEastAsia"/>
              <w:bCs/>
              <w:color w:val="auto"/>
              <w:lang w:val="zh-CN"/>
            </w:rPr>
            <w:fldChar w:fldCharType="begin"/>
          </w:r>
          <w:r>
            <w:rPr>
              <w:rFonts w:eastAsiaTheme="minorEastAsia"/>
              <w:bCs/>
              <w:color w:val="auto"/>
              <w:lang w:val="zh-CN"/>
            </w:rPr>
            <w:instrText xml:space="preserve"> HYPERLINK \l _Toc32382 </w:instrText>
          </w:r>
          <w:r>
            <w:rPr>
              <w:rFonts w:eastAsiaTheme="minorEastAsia"/>
              <w:bCs/>
              <w:color w:val="auto"/>
              <w:lang w:val="zh-CN"/>
            </w:rPr>
            <w:fldChar w:fldCharType="separate"/>
          </w:r>
          <w:r>
            <w:rPr>
              <w:rFonts w:ascii="Times New Roman" w:hAnsi="Times New Roman" w:eastAsia="黑体" w:cs="Times New Roman"/>
              <w:snapToGrid w:val="0"/>
              <w:color w:val="auto"/>
              <w:szCs w:val="30"/>
            </w:rPr>
            <w:t>五、环境保护措施监督检查清单</w:t>
          </w:r>
          <w:r>
            <w:rPr>
              <w:color w:val="auto"/>
            </w:rPr>
            <w:tab/>
          </w:r>
          <w:r>
            <w:rPr>
              <w:color w:val="auto"/>
            </w:rPr>
            <w:fldChar w:fldCharType="begin"/>
          </w:r>
          <w:r>
            <w:rPr>
              <w:color w:val="auto"/>
            </w:rPr>
            <w:instrText xml:space="preserve"> PAGEREF _Toc32382 \h </w:instrText>
          </w:r>
          <w:r>
            <w:rPr>
              <w:color w:val="auto"/>
            </w:rPr>
            <w:fldChar w:fldCharType="separate"/>
          </w:r>
          <w:r>
            <w:rPr>
              <w:color w:val="auto"/>
            </w:rPr>
            <w:t>58</w:t>
          </w:r>
          <w:r>
            <w:rPr>
              <w:color w:val="auto"/>
            </w:rPr>
            <w:fldChar w:fldCharType="end"/>
          </w:r>
          <w:r>
            <w:rPr>
              <w:rFonts w:eastAsiaTheme="minorEastAsia"/>
              <w:bCs/>
              <w:color w:val="auto"/>
              <w:lang w:val="zh-CN"/>
            </w:rPr>
            <w:fldChar w:fldCharType="end"/>
          </w:r>
        </w:p>
        <w:p w14:paraId="7A755D3B">
          <w:pPr>
            <w:pStyle w:val="59"/>
            <w:tabs>
              <w:tab w:val="right" w:leader="dot" w:pos="8844"/>
            </w:tabs>
            <w:spacing w:line="360" w:lineRule="auto"/>
            <w:rPr>
              <w:color w:val="auto"/>
            </w:rPr>
          </w:pPr>
          <w:r>
            <w:rPr>
              <w:rFonts w:eastAsiaTheme="minorEastAsia"/>
              <w:bCs/>
              <w:color w:val="auto"/>
              <w:lang w:val="zh-CN"/>
            </w:rPr>
            <w:fldChar w:fldCharType="begin"/>
          </w:r>
          <w:r>
            <w:rPr>
              <w:rFonts w:eastAsiaTheme="minorEastAsia"/>
              <w:bCs/>
              <w:color w:val="auto"/>
              <w:lang w:val="zh-CN"/>
            </w:rPr>
            <w:instrText xml:space="preserve"> HYPERLINK \l _Toc16857 </w:instrText>
          </w:r>
          <w:r>
            <w:rPr>
              <w:rFonts w:eastAsiaTheme="minorEastAsia"/>
              <w:bCs/>
              <w:color w:val="auto"/>
              <w:lang w:val="zh-CN"/>
            </w:rPr>
            <w:fldChar w:fldCharType="separate"/>
          </w:r>
          <w:r>
            <w:rPr>
              <w:rFonts w:ascii="Times New Roman" w:hAnsi="Times New Roman" w:eastAsia="黑体" w:cs="Times New Roman"/>
              <w:snapToGrid w:val="0"/>
              <w:color w:val="auto"/>
              <w:szCs w:val="30"/>
            </w:rPr>
            <w:t>六、结论</w:t>
          </w:r>
          <w:r>
            <w:rPr>
              <w:color w:val="auto"/>
            </w:rPr>
            <w:tab/>
          </w:r>
          <w:r>
            <w:rPr>
              <w:color w:val="auto"/>
            </w:rPr>
            <w:fldChar w:fldCharType="begin"/>
          </w:r>
          <w:r>
            <w:rPr>
              <w:color w:val="auto"/>
            </w:rPr>
            <w:instrText xml:space="preserve"> PAGEREF _Toc16857 \h </w:instrText>
          </w:r>
          <w:r>
            <w:rPr>
              <w:color w:val="auto"/>
            </w:rPr>
            <w:fldChar w:fldCharType="separate"/>
          </w:r>
          <w:r>
            <w:rPr>
              <w:color w:val="auto"/>
            </w:rPr>
            <w:t>60</w:t>
          </w:r>
          <w:r>
            <w:rPr>
              <w:color w:val="auto"/>
            </w:rPr>
            <w:fldChar w:fldCharType="end"/>
          </w:r>
          <w:r>
            <w:rPr>
              <w:rFonts w:eastAsiaTheme="minorEastAsia"/>
              <w:bCs/>
              <w:color w:val="auto"/>
              <w:lang w:val="zh-CN"/>
            </w:rPr>
            <w:fldChar w:fldCharType="end"/>
          </w:r>
        </w:p>
        <w:p w14:paraId="47EC1915">
          <w:pPr>
            <w:pStyle w:val="59"/>
            <w:tabs>
              <w:tab w:val="right" w:leader="dot" w:pos="8844"/>
            </w:tabs>
            <w:spacing w:line="360" w:lineRule="auto"/>
            <w:rPr>
              <w:color w:val="auto"/>
            </w:rPr>
          </w:pPr>
          <w:r>
            <w:rPr>
              <w:rFonts w:eastAsiaTheme="minorEastAsia"/>
              <w:bCs/>
              <w:color w:val="auto"/>
              <w:lang w:val="zh-CN"/>
            </w:rPr>
            <w:fldChar w:fldCharType="begin"/>
          </w:r>
          <w:r>
            <w:rPr>
              <w:rFonts w:eastAsiaTheme="minorEastAsia"/>
              <w:bCs/>
              <w:color w:val="auto"/>
              <w:lang w:val="zh-CN"/>
            </w:rPr>
            <w:instrText xml:space="preserve"> HYPERLINK \l _Toc10869 </w:instrText>
          </w:r>
          <w:r>
            <w:rPr>
              <w:rFonts w:eastAsiaTheme="minorEastAsia"/>
              <w:bCs/>
              <w:color w:val="auto"/>
              <w:lang w:val="zh-CN"/>
            </w:rPr>
            <w:fldChar w:fldCharType="separate"/>
          </w:r>
          <w:r>
            <w:rPr>
              <w:rFonts w:ascii="Times New Roman" w:hAnsi="Times New Roman" w:eastAsia="黑体" w:cs="Times New Roman"/>
              <w:snapToGrid w:val="0"/>
              <w:color w:val="auto"/>
              <w:szCs w:val="32"/>
            </w:rPr>
            <w:t>附表</w:t>
          </w:r>
          <w:r>
            <w:rPr>
              <w:color w:val="auto"/>
            </w:rPr>
            <w:tab/>
          </w:r>
          <w:r>
            <w:rPr>
              <w:color w:val="auto"/>
            </w:rPr>
            <w:fldChar w:fldCharType="begin"/>
          </w:r>
          <w:r>
            <w:rPr>
              <w:color w:val="auto"/>
            </w:rPr>
            <w:instrText xml:space="preserve"> PAGEREF _Toc10869 \h </w:instrText>
          </w:r>
          <w:r>
            <w:rPr>
              <w:color w:val="auto"/>
            </w:rPr>
            <w:fldChar w:fldCharType="separate"/>
          </w:r>
          <w:r>
            <w:rPr>
              <w:color w:val="auto"/>
            </w:rPr>
            <w:t>61</w:t>
          </w:r>
          <w:r>
            <w:rPr>
              <w:color w:val="auto"/>
            </w:rPr>
            <w:fldChar w:fldCharType="end"/>
          </w:r>
          <w:r>
            <w:rPr>
              <w:rFonts w:eastAsiaTheme="minorEastAsia"/>
              <w:bCs/>
              <w:color w:val="auto"/>
              <w:lang w:val="zh-CN"/>
            </w:rPr>
            <w:fldChar w:fldCharType="end"/>
          </w:r>
        </w:p>
        <w:p w14:paraId="55E82AAA">
          <w:pPr>
            <w:pStyle w:val="59"/>
            <w:tabs>
              <w:tab w:val="right" w:leader="dot" w:pos="8844"/>
            </w:tabs>
            <w:spacing w:line="360" w:lineRule="auto"/>
            <w:rPr>
              <w:color w:val="auto"/>
            </w:rPr>
          </w:pPr>
          <w:r>
            <w:rPr>
              <w:rFonts w:eastAsiaTheme="minorEastAsia"/>
              <w:bCs/>
              <w:color w:val="auto"/>
              <w:lang w:val="zh-CN"/>
            </w:rPr>
            <w:fldChar w:fldCharType="begin"/>
          </w:r>
          <w:r>
            <w:rPr>
              <w:rFonts w:eastAsiaTheme="minorEastAsia"/>
              <w:bCs/>
              <w:color w:val="auto"/>
              <w:lang w:val="zh-CN"/>
            </w:rPr>
            <w:instrText xml:space="preserve"> HYPERLINK \l _Toc24326 </w:instrText>
          </w:r>
          <w:r>
            <w:rPr>
              <w:rFonts w:eastAsiaTheme="minorEastAsia"/>
              <w:bCs/>
              <w:color w:val="auto"/>
              <w:lang w:val="zh-CN"/>
            </w:rPr>
            <w:fldChar w:fldCharType="separate"/>
          </w:r>
          <w:r>
            <w:rPr>
              <w:rFonts w:ascii="Times New Roman" w:hAnsi="Times New Roman" w:eastAsia="方正小标宋_GBK" w:cs="Times New Roman"/>
              <w:snapToGrid w:val="0"/>
              <w:color w:val="auto"/>
              <w:szCs w:val="38"/>
            </w:rPr>
            <w:t>建设项目污染物排放量汇总表</w:t>
          </w:r>
          <w:r>
            <w:rPr>
              <w:color w:val="auto"/>
            </w:rPr>
            <w:tab/>
          </w:r>
          <w:r>
            <w:rPr>
              <w:color w:val="auto"/>
            </w:rPr>
            <w:fldChar w:fldCharType="begin"/>
          </w:r>
          <w:r>
            <w:rPr>
              <w:color w:val="auto"/>
            </w:rPr>
            <w:instrText xml:space="preserve"> PAGEREF _Toc24326 \h </w:instrText>
          </w:r>
          <w:r>
            <w:rPr>
              <w:color w:val="auto"/>
            </w:rPr>
            <w:fldChar w:fldCharType="separate"/>
          </w:r>
          <w:r>
            <w:rPr>
              <w:color w:val="auto"/>
            </w:rPr>
            <w:t>61</w:t>
          </w:r>
          <w:r>
            <w:rPr>
              <w:color w:val="auto"/>
            </w:rPr>
            <w:fldChar w:fldCharType="end"/>
          </w:r>
          <w:r>
            <w:rPr>
              <w:rFonts w:eastAsiaTheme="minorEastAsia"/>
              <w:bCs/>
              <w:color w:val="auto"/>
              <w:lang w:val="zh-CN"/>
            </w:rPr>
            <w:fldChar w:fldCharType="end"/>
          </w:r>
        </w:p>
        <w:p w14:paraId="496B4925">
          <w:pPr>
            <w:spacing w:line="360" w:lineRule="auto"/>
            <w:rPr>
              <w:color w:val="auto"/>
            </w:rPr>
          </w:pPr>
          <w:r>
            <w:rPr>
              <w:rFonts w:eastAsiaTheme="minorEastAsia"/>
              <w:bCs/>
              <w:color w:val="auto"/>
              <w:lang w:val="zh-CN"/>
            </w:rPr>
            <w:fldChar w:fldCharType="end"/>
          </w:r>
        </w:p>
      </w:sdtContent>
    </w:sdt>
    <w:p w14:paraId="658FC71D">
      <w:pPr>
        <w:adjustRightInd w:val="0"/>
        <w:snapToGrid w:val="0"/>
        <w:spacing w:line="288" w:lineRule="auto"/>
        <w:jc w:val="center"/>
        <w:rPr>
          <w:rFonts w:eastAsia="楷体_GB2312"/>
          <w:color w:val="auto"/>
          <w:sz w:val="36"/>
          <w:szCs w:val="36"/>
        </w:rPr>
      </w:pPr>
    </w:p>
    <w:p w14:paraId="3EB82B08">
      <w:pPr>
        <w:adjustRightInd w:val="0"/>
        <w:snapToGrid w:val="0"/>
        <w:spacing w:line="288" w:lineRule="auto"/>
        <w:jc w:val="center"/>
        <w:rPr>
          <w:rFonts w:eastAsia="楷体_GB2312"/>
          <w:color w:val="auto"/>
          <w:sz w:val="36"/>
          <w:szCs w:val="36"/>
        </w:rPr>
      </w:pPr>
    </w:p>
    <w:p w14:paraId="4718080D">
      <w:pPr>
        <w:adjustRightInd w:val="0"/>
        <w:snapToGrid w:val="0"/>
        <w:spacing w:line="288" w:lineRule="auto"/>
        <w:jc w:val="center"/>
        <w:rPr>
          <w:rFonts w:eastAsia="楷体_GB2312"/>
          <w:color w:val="auto"/>
          <w:sz w:val="36"/>
          <w:szCs w:val="36"/>
        </w:rPr>
      </w:pPr>
    </w:p>
    <w:p w14:paraId="4C07F268">
      <w:pPr>
        <w:adjustRightInd w:val="0"/>
        <w:snapToGrid w:val="0"/>
        <w:spacing w:line="288" w:lineRule="auto"/>
        <w:jc w:val="center"/>
        <w:rPr>
          <w:rFonts w:eastAsia="楷体_GB2312"/>
          <w:color w:val="auto"/>
          <w:sz w:val="36"/>
          <w:szCs w:val="36"/>
        </w:rPr>
      </w:pPr>
    </w:p>
    <w:p w14:paraId="0B4E6252">
      <w:pPr>
        <w:adjustRightInd w:val="0"/>
        <w:snapToGrid w:val="0"/>
        <w:spacing w:line="288" w:lineRule="auto"/>
        <w:jc w:val="center"/>
        <w:rPr>
          <w:rFonts w:eastAsia="楷体_GB2312"/>
          <w:color w:val="auto"/>
          <w:sz w:val="36"/>
          <w:szCs w:val="36"/>
        </w:rPr>
      </w:pPr>
    </w:p>
    <w:p w14:paraId="15E55C0C">
      <w:pPr>
        <w:adjustRightInd w:val="0"/>
        <w:snapToGrid w:val="0"/>
        <w:spacing w:line="288" w:lineRule="auto"/>
        <w:jc w:val="center"/>
        <w:rPr>
          <w:rFonts w:eastAsia="楷体_GB2312"/>
          <w:color w:val="auto"/>
          <w:sz w:val="36"/>
          <w:szCs w:val="36"/>
        </w:rPr>
      </w:pPr>
    </w:p>
    <w:p w14:paraId="5ABA4C2F">
      <w:pPr>
        <w:adjustRightInd w:val="0"/>
        <w:snapToGrid w:val="0"/>
        <w:spacing w:line="288" w:lineRule="auto"/>
        <w:jc w:val="center"/>
        <w:rPr>
          <w:rFonts w:eastAsia="楷体_GB2312"/>
          <w:color w:val="auto"/>
          <w:sz w:val="36"/>
          <w:szCs w:val="36"/>
        </w:rPr>
      </w:pPr>
    </w:p>
    <w:p w14:paraId="421F0BBB">
      <w:pPr>
        <w:adjustRightInd w:val="0"/>
        <w:snapToGrid w:val="0"/>
        <w:spacing w:line="288" w:lineRule="auto"/>
        <w:jc w:val="center"/>
        <w:rPr>
          <w:rFonts w:eastAsia="楷体_GB2312"/>
          <w:color w:val="auto"/>
          <w:sz w:val="36"/>
          <w:szCs w:val="36"/>
        </w:rPr>
      </w:pPr>
    </w:p>
    <w:p w14:paraId="6902C361">
      <w:pPr>
        <w:adjustRightInd w:val="0"/>
        <w:snapToGrid w:val="0"/>
        <w:spacing w:line="288" w:lineRule="auto"/>
        <w:jc w:val="center"/>
        <w:rPr>
          <w:rFonts w:eastAsia="楷体_GB2312"/>
          <w:color w:val="auto"/>
          <w:sz w:val="36"/>
          <w:szCs w:val="36"/>
        </w:rPr>
      </w:pPr>
    </w:p>
    <w:p w14:paraId="76BB96AE">
      <w:pPr>
        <w:adjustRightInd w:val="0"/>
        <w:snapToGrid w:val="0"/>
        <w:spacing w:line="288" w:lineRule="auto"/>
        <w:jc w:val="center"/>
        <w:rPr>
          <w:rFonts w:eastAsia="楷体_GB2312"/>
          <w:color w:val="auto"/>
          <w:sz w:val="36"/>
          <w:szCs w:val="36"/>
        </w:rPr>
      </w:pPr>
    </w:p>
    <w:p w14:paraId="56D284E7">
      <w:pPr>
        <w:adjustRightInd w:val="0"/>
        <w:snapToGrid w:val="0"/>
        <w:spacing w:line="288" w:lineRule="auto"/>
        <w:jc w:val="center"/>
        <w:rPr>
          <w:rFonts w:eastAsia="楷体_GB2312"/>
          <w:color w:val="auto"/>
          <w:sz w:val="36"/>
          <w:szCs w:val="36"/>
        </w:rPr>
      </w:pPr>
    </w:p>
    <w:p w14:paraId="6210BA2D">
      <w:pPr>
        <w:adjustRightInd w:val="0"/>
        <w:snapToGrid w:val="0"/>
        <w:spacing w:line="288" w:lineRule="auto"/>
        <w:jc w:val="center"/>
        <w:rPr>
          <w:rFonts w:eastAsia="楷体_GB2312"/>
          <w:color w:val="auto"/>
          <w:sz w:val="36"/>
          <w:szCs w:val="36"/>
        </w:rPr>
      </w:pPr>
    </w:p>
    <w:p w14:paraId="65969CBD">
      <w:pPr>
        <w:adjustRightInd w:val="0"/>
        <w:snapToGrid w:val="0"/>
        <w:spacing w:line="288" w:lineRule="auto"/>
        <w:jc w:val="center"/>
        <w:rPr>
          <w:rFonts w:eastAsia="楷体_GB2312"/>
          <w:color w:val="auto"/>
          <w:sz w:val="36"/>
          <w:szCs w:val="36"/>
        </w:rPr>
      </w:pPr>
    </w:p>
    <w:p w14:paraId="6246D5D4">
      <w:pPr>
        <w:adjustRightInd w:val="0"/>
        <w:snapToGrid w:val="0"/>
        <w:spacing w:line="288" w:lineRule="auto"/>
        <w:jc w:val="center"/>
        <w:rPr>
          <w:rFonts w:eastAsia="楷体_GB2312"/>
          <w:color w:val="auto"/>
          <w:sz w:val="36"/>
          <w:szCs w:val="36"/>
        </w:rPr>
      </w:pPr>
    </w:p>
    <w:p w14:paraId="67A65372">
      <w:pPr>
        <w:adjustRightInd w:val="0"/>
        <w:snapToGrid w:val="0"/>
        <w:spacing w:line="288" w:lineRule="auto"/>
        <w:jc w:val="center"/>
        <w:rPr>
          <w:rFonts w:eastAsia="楷体_GB2312"/>
          <w:color w:val="auto"/>
          <w:sz w:val="36"/>
          <w:szCs w:val="36"/>
        </w:rPr>
      </w:pPr>
    </w:p>
    <w:p w14:paraId="154F8BF6">
      <w:pPr>
        <w:adjustRightInd w:val="0"/>
        <w:snapToGrid w:val="0"/>
        <w:spacing w:line="288" w:lineRule="auto"/>
        <w:jc w:val="center"/>
        <w:rPr>
          <w:rFonts w:eastAsia="楷体_GB2312"/>
          <w:color w:val="auto"/>
          <w:sz w:val="36"/>
          <w:szCs w:val="36"/>
        </w:rPr>
      </w:pPr>
    </w:p>
    <w:p w14:paraId="6CC9C452">
      <w:pPr>
        <w:adjustRightInd w:val="0"/>
        <w:snapToGrid w:val="0"/>
        <w:spacing w:line="288" w:lineRule="auto"/>
        <w:jc w:val="center"/>
        <w:rPr>
          <w:rFonts w:eastAsia="楷体_GB2312"/>
          <w:color w:val="auto"/>
          <w:sz w:val="36"/>
          <w:szCs w:val="36"/>
        </w:rPr>
      </w:pPr>
    </w:p>
    <w:p w14:paraId="1927CCD7">
      <w:pPr>
        <w:adjustRightInd w:val="0"/>
        <w:snapToGrid w:val="0"/>
        <w:spacing w:line="288" w:lineRule="auto"/>
        <w:jc w:val="center"/>
        <w:rPr>
          <w:rFonts w:eastAsia="楷体_GB2312"/>
          <w:color w:val="auto"/>
          <w:sz w:val="36"/>
          <w:szCs w:val="36"/>
        </w:rPr>
      </w:pPr>
    </w:p>
    <w:p w14:paraId="13CBBA57">
      <w:pPr>
        <w:pStyle w:val="100"/>
        <w:rPr>
          <w:color w:val="auto"/>
        </w:rPr>
      </w:pPr>
      <w:r>
        <w:rPr>
          <w:color w:val="auto"/>
        </w:rPr>
        <w:br w:type="page"/>
      </w:r>
    </w:p>
    <w:p w14:paraId="7AF5F4FA">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2" w:firstLineChars="200"/>
        <w:textAlignment w:val="auto"/>
        <w:rPr>
          <w:rFonts w:ascii="Times New Roman" w:hAnsi="Times New Roman" w:cs="Times New Roman" w:eastAsiaTheme="minorEastAsia"/>
          <w:b/>
          <w:snapToGrid w:val="0"/>
          <w:color w:val="auto"/>
          <w:szCs w:val="24"/>
        </w:rPr>
      </w:pPr>
      <w:r>
        <w:rPr>
          <w:rFonts w:ascii="Times New Roman" w:cs="Times New Roman" w:hAnsiTheme="minorEastAsia" w:eastAsiaTheme="minorEastAsia"/>
          <w:b/>
          <w:snapToGrid w:val="0"/>
          <w:color w:val="auto"/>
          <w:szCs w:val="24"/>
        </w:rPr>
        <w:t>附件</w:t>
      </w:r>
    </w:p>
    <w:p w14:paraId="5EC672A7">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ascii="Times New Roman" w:hAnsi="Times New Roman" w:cs="Times New Roman" w:eastAsiaTheme="minorEastAsia"/>
          <w:snapToGrid w:val="0"/>
          <w:color w:val="auto"/>
          <w:szCs w:val="24"/>
        </w:rPr>
      </w:pPr>
      <w:r>
        <w:rPr>
          <w:rFonts w:ascii="Times New Roman" w:cs="Times New Roman" w:hAnsiTheme="minorEastAsia" w:eastAsiaTheme="minorEastAsia"/>
          <w:snapToGrid w:val="0"/>
          <w:color w:val="auto"/>
          <w:szCs w:val="24"/>
        </w:rPr>
        <w:t>附件</w:t>
      </w:r>
      <w:r>
        <w:rPr>
          <w:rFonts w:ascii="Times New Roman" w:hAnsi="Times New Roman" w:cs="Times New Roman" w:eastAsiaTheme="minorEastAsia"/>
          <w:snapToGrid w:val="0"/>
          <w:color w:val="auto"/>
          <w:szCs w:val="24"/>
        </w:rPr>
        <w:t>1</w:t>
      </w:r>
      <w:r>
        <w:rPr>
          <w:rFonts w:ascii="Times New Roman" w:cs="Times New Roman" w:hAnsiTheme="minorEastAsia" w:eastAsiaTheme="minorEastAsia"/>
          <w:snapToGrid w:val="0"/>
          <w:color w:val="auto"/>
          <w:szCs w:val="24"/>
        </w:rPr>
        <w:t>备案证</w:t>
      </w:r>
    </w:p>
    <w:p w14:paraId="64FF2BED">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ascii="Times New Roman" w:hAnsi="Times New Roman" w:cs="Times New Roman" w:eastAsiaTheme="minorEastAsia"/>
          <w:snapToGrid w:val="0"/>
          <w:color w:val="auto"/>
          <w:szCs w:val="24"/>
        </w:rPr>
      </w:pPr>
      <w:r>
        <w:rPr>
          <w:rFonts w:ascii="Times New Roman" w:cs="Times New Roman" w:hAnsiTheme="minorEastAsia" w:eastAsiaTheme="minorEastAsia"/>
          <w:snapToGrid w:val="0"/>
          <w:color w:val="auto"/>
          <w:szCs w:val="24"/>
        </w:rPr>
        <w:t>附件</w:t>
      </w:r>
      <w:r>
        <w:rPr>
          <w:rFonts w:ascii="Times New Roman" w:hAnsi="Times New Roman" w:cs="Times New Roman" w:eastAsiaTheme="minorEastAsia"/>
          <w:snapToGrid w:val="0"/>
          <w:color w:val="auto"/>
          <w:szCs w:val="24"/>
        </w:rPr>
        <w:t>2</w:t>
      </w:r>
      <w:r>
        <w:rPr>
          <w:rFonts w:ascii="Times New Roman" w:cs="Times New Roman" w:hAnsiTheme="minorEastAsia" w:eastAsiaTheme="minorEastAsia"/>
          <w:snapToGrid w:val="0"/>
          <w:color w:val="auto"/>
          <w:szCs w:val="24"/>
        </w:rPr>
        <w:t>营业执照</w:t>
      </w:r>
    </w:p>
    <w:p w14:paraId="55C9201E">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ascii="Times New Roman" w:hAnsi="Times New Roman" w:cs="Times New Roman" w:eastAsiaTheme="minorEastAsia"/>
          <w:snapToGrid w:val="0"/>
          <w:color w:val="auto"/>
          <w:szCs w:val="24"/>
        </w:rPr>
      </w:pPr>
      <w:r>
        <w:rPr>
          <w:rFonts w:ascii="Times New Roman" w:cs="Times New Roman" w:hAnsiTheme="minorEastAsia" w:eastAsiaTheme="minorEastAsia"/>
          <w:snapToGrid w:val="0"/>
          <w:color w:val="auto"/>
          <w:szCs w:val="24"/>
        </w:rPr>
        <w:t>附件</w:t>
      </w:r>
      <w:r>
        <w:rPr>
          <w:rFonts w:ascii="Times New Roman" w:hAnsi="Times New Roman" w:cs="Times New Roman" w:eastAsiaTheme="minorEastAsia"/>
          <w:snapToGrid w:val="0"/>
          <w:color w:val="auto"/>
          <w:szCs w:val="24"/>
        </w:rPr>
        <w:t>3</w:t>
      </w:r>
      <w:r>
        <w:rPr>
          <w:rFonts w:ascii="Times New Roman" w:cs="Times New Roman" w:hAnsiTheme="minorEastAsia" w:eastAsiaTheme="minorEastAsia"/>
          <w:snapToGrid w:val="0"/>
          <w:color w:val="auto"/>
          <w:szCs w:val="24"/>
        </w:rPr>
        <w:t>法人身份证</w:t>
      </w:r>
    </w:p>
    <w:p w14:paraId="3FE22D6C">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hAnsi="Times New Roman" w:cs="Times New Roman" w:eastAsiaTheme="minorEastAsia"/>
          <w:snapToGrid w:val="0"/>
          <w:color w:val="auto"/>
          <w:szCs w:val="24"/>
          <w:lang w:eastAsia="zh-CN"/>
        </w:rPr>
      </w:pPr>
      <w:r>
        <w:rPr>
          <w:rFonts w:ascii="Times New Roman" w:cs="Times New Roman" w:hAnsiTheme="minorEastAsia" w:eastAsiaTheme="minorEastAsia"/>
          <w:snapToGrid w:val="0"/>
          <w:color w:val="auto"/>
          <w:szCs w:val="24"/>
        </w:rPr>
        <w:t>附件</w:t>
      </w:r>
      <w:r>
        <w:rPr>
          <w:rFonts w:ascii="Times New Roman" w:hAnsi="Times New Roman" w:cs="Times New Roman" w:eastAsiaTheme="minorEastAsia"/>
          <w:snapToGrid w:val="0"/>
          <w:color w:val="auto"/>
          <w:szCs w:val="24"/>
        </w:rPr>
        <w:t>4</w:t>
      </w:r>
      <w:r>
        <w:rPr>
          <w:rFonts w:hint="eastAsia" w:ascii="Times New Roman" w:hAnsi="Times New Roman" w:cs="Times New Roman" w:eastAsiaTheme="minorEastAsia"/>
          <w:snapToGrid w:val="0"/>
          <w:color w:val="auto"/>
          <w:szCs w:val="24"/>
          <w:lang w:eastAsia="zh-CN"/>
        </w:rPr>
        <w:t>不动产权证</w:t>
      </w:r>
    </w:p>
    <w:p w14:paraId="0076F1C6">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ascii="Times New Roman" w:hAnsi="Times New Roman" w:cs="Times New Roman" w:eastAsiaTheme="minorEastAsia"/>
          <w:snapToGrid w:val="0"/>
          <w:color w:val="auto"/>
          <w:szCs w:val="24"/>
        </w:rPr>
      </w:pPr>
      <w:r>
        <w:rPr>
          <w:rFonts w:ascii="Times New Roman" w:cs="Times New Roman" w:hAnsiTheme="minorEastAsia" w:eastAsiaTheme="minorEastAsia"/>
          <w:snapToGrid w:val="0"/>
          <w:color w:val="auto"/>
          <w:szCs w:val="24"/>
        </w:rPr>
        <w:t>附件</w:t>
      </w:r>
      <w:r>
        <w:rPr>
          <w:rFonts w:ascii="Times New Roman" w:hAnsi="Times New Roman" w:cs="Times New Roman" w:eastAsiaTheme="minorEastAsia"/>
          <w:snapToGrid w:val="0"/>
          <w:color w:val="auto"/>
          <w:szCs w:val="24"/>
        </w:rPr>
        <w:t>5</w:t>
      </w:r>
      <w:r>
        <w:rPr>
          <w:rFonts w:ascii="Times New Roman" w:cs="Times New Roman" w:hAnsiTheme="minorEastAsia" w:eastAsiaTheme="minorEastAsia"/>
          <w:snapToGrid w:val="0"/>
          <w:color w:val="auto"/>
          <w:szCs w:val="24"/>
        </w:rPr>
        <w:t>委托书</w:t>
      </w:r>
    </w:p>
    <w:p w14:paraId="549AE23B">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ascii="Times New Roman" w:hAnsi="Times New Roman" w:cs="Times New Roman" w:eastAsiaTheme="minorEastAsia"/>
          <w:snapToGrid w:val="0"/>
          <w:color w:val="auto"/>
          <w:szCs w:val="24"/>
        </w:rPr>
      </w:pPr>
      <w:r>
        <w:rPr>
          <w:rFonts w:ascii="Times New Roman" w:cs="Times New Roman" w:hAnsiTheme="minorEastAsia" w:eastAsiaTheme="minorEastAsia"/>
          <w:snapToGrid w:val="0"/>
          <w:color w:val="auto"/>
          <w:szCs w:val="24"/>
        </w:rPr>
        <w:t>附件</w:t>
      </w:r>
      <w:r>
        <w:rPr>
          <w:rFonts w:ascii="Times New Roman" w:hAnsi="Times New Roman" w:cs="Times New Roman" w:eastAsiaTheme="minorEastAsia"/>
          <w:snapToGrid w:val="0"/>
          <w:color w:val="auto"/>
          <w:szCs w:val="24"/>
        </w:rPr>
        <w:t>6</w:t>
      </w:r>
      <w:r>
        <w:rPr>
          <w:rFonts w:hint="eastAsia" w:ascii="Times New Roman" w:hAnsi="Times New Roman" w:cs="Times New Roman" w:eastAsiaTheme="minorEastAsia"/>
          <w:snapToGrid w:val="0"/>
          <w:color w:val="auto"/>
          <w:szCs w:val="24"/>
        </w:rPr>
        <w:t>建设单位承诺书</w:t>
      </w:r>
    </w:p>
    <w:p w14:paraId="29681814">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ascii="Times New Roman" w:cs="Times New Roman" w:hAnsiTheme="minorEastAsia" w:eastAsiaTheme="minorEastAsia"/>
          <w:snapToGrid w:val="0"/>
          <w:color w:val="auto"/>
          <w:szCs w:val="24"/>
        </w:rPr>
      </w:pPr>
      <w:r>
        <w:rPr>
          <w:rFonts w:hint="eastAsia" w:ascii="Times New Roman" w:cs="Times New Roman" w:hAnsiTheme="minorEastAsia" w:eastAsiaTheme="minorEastAsia"/>
          <w:snapToGrid w:val="0"/>
          <w:color w:val="auto"/>
          <w:szCs w:val="24"/>
        </w:rPr>
        <w:t>附件</w:t>
      </w:r>
      <w:r>
        <w:rPr>
          <w:rFonts w:hint="eastAsia" w:ascii="Times New Roman" w:cs="Times New Roman" w:hAnsiTheme="minorEastAsia" w:eastAsiaTheme="minorEastAsia"/>
          <w:snapToGrid w:val="0"/>
          <w:color w:val="auto"/>
          <w:szCs w:val="24"/>
          <w:lang w:val="en-US" w:eastAsia="zh-CN"/>
        </w:rPr>
        <w:t>7</w:t>
      </w:r>
      <w:r>
        <w:rPr>
          <w:rFonts w:hint="eastAsia" w:ascii="Times New Roman" w:cs="Times New Roman" w:hAnsiTheme="minorEastAsia" w:eastAsiaTheme="minorEastAsia"/>
          <w:snapToGrid w:val="0"/>
          <w:color w:val="auto"/>
          <w:szCs w:val="24"/>
        </w:rPr>
        <w:t>建设项目环境影响评价文件报批申请书</w:t>
      </w:r>
    </w:p>
    <w:p w14:paraId="60815855">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ascii="Times New Roman" w:cs="Times New Roman" w:hAnsiTheme="minorEastAsia" w:eastAsiaTheme="minorEastAsia"/>
          <w:snapToGrid w:val="0"/>
          <w:color w:val="auto"/>
          <w:szCs w:val="24"/>
        </w:rPr>
      </w:pPr>
      <w:r>
        <w:rPr>
          <w:rFonts w:hint="eastAsia" w:ascii="Times New Roman" w:cs="Times New Roman" w:hAnsiTheme="minorEastAsia" w:eastAsiaTheme="minorEastAsia"/>
          <w:snapToGrid w:val="0"/>
          <w:color w:val="auto"/>
          <w:szCs w:val="24"/>
        </w:rPr>
        <w:t>附件</w:t>
      </w:r>
      <w:r>
        <w:rPr>
          <w:rFonts w:hint="eastAsia" w:ascii="Times New Roman" w:cs="Times New Roman" w:hAnsiTheme="minorEastAsia" w:eastAsiaTheme="minorEastAsia"/>
          <w:snapToGrid w:val="0"/>
          <w:color w:val="auto"/>
          <w:szCs w:val="24"/>
          <w:lang w:val="en-US" w:eastAsia="zh-CN"/>
        </w:rPr>
        <w:t>8</w:t>
      </w:r>
      <w:r>
        <w:rPr>
          <w:rFonts w:hint="eastAsia" w:ascii="Times New Roman" w:cs="Times New Roman" w:hAnsiTheme="minorEastAsia" w:eastAsiaTheme="minorEastAsia"/>
          <w:snapToGrid w:val="0"/>
          <w:color w:val="auto"/>
          <w:szCs w:val="24"/>
        </w:rPr>
        <w:t>政府信息公开删除内容申请表</w:t>
      </w:r>
    </w:p>
    <w:p w14:paraId="6EE17FE8">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eastAsia="zh-CN"/>
        </w:rPr>
      </w:pPr>
      <w:r>
        <w:rPr>
          <w:rFonts w:hint="eastAsia" w:ascii="Times New Roman" w:cs="Times New Roman" w:hAnsiTheme="minorEastAsia" w:eastAsiaTheme="minorEastAsia"/>
          <w:snapToGrid w:val="0"/>
          <w:color w:val="auto"/>
          <w:szCs w:val="24"/>
        </w:rPr>
        <w:t>附件</w:t>
      </w:r>
      <w:r>
        <w:rPr>
          <w:rFonts w:hint="eastAsia" w:ascii="Times New Roman" w:cs="Times New Roman" w:hAnsiTheme="minorEastAsia" w:eastAsiaTheme="minorEastAsia"/>
          <w:snapToGrid w:val="0"/>
          <w:color w:val="auto"/>
          <w:szCs w:val="24"/>
          <w:lang w:val="en-US" w:eastAsia="zh-CN"/>
        </w:rPr>
        <w:t>9</w:t>
      </w:r>
      <w:r>
        <w:rPr>
          <w:rFonts w:hint="eastAsia" w:ascii="Times New Roman" w:cs="Times New Roman" w:hAnsiTheme="minorEastAsia" w:eastAsiaTheme="minorEastAsia"/>
          <w:snapToGrid w:val="0"/>
          <w:color w:val="auto"/>
          <w:szCs w:val="24"/>
          <w:lang w:eastAsia="zh-CN"/>
        </w:rPr>
        <w:t>现有项目环保手续</w:t>
      </w:r>
    </w:p>
    <w:p w14:paraId="4AABBFAF">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eastAsia="zh-CN"/>
        </w:rPr>
      </w:pPr>
      <w:r>
        <w:rPr>
          <w:rFonts w:hint="eastAsia" w:ascii="Times New Roman" w:cs="Times New Roman" w:hAnsiTheme="minorEastAsia" w:eastAsiaTheme="minorEastAsia"/>
          <w:snapToGrid w:val="0"/>
          <w:color w:val="auto"/>
          <w:szCs w:val="24"/>
          <w:lang w:eastAsia="zh-CN"/>
        </w:rPr>
        <w:t>附件10生态环境分区管控综合查询报告</w:t>
      </w:r>
    </w:p>
    <w:p w14:paraId="48C64E68">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val="en-US" w:eastAsia="zh-CN"/>
        </w:rPr>
      </w:pPr>
      <w:r>
        <w:rPr>
          <w:rFonts w:hint="eastAsia" w:ascii="Times New Roman" w:cs="Times New Roman" w:hAnsiTheme="minorEastAsia" w:eastAsiaTheme="minorEastAsia"/>
          <w:snapToGrid w:val="0"/>
          <w:color w:val="auto"/>
          <w:szCs w:val="24"/>
          <w:lang w:eastAsia="zh-CN"/>
        </w:rPr>
        <w:t>附件</w:t>
      </w:r>
      <w:r>
        <w:rPr>
          <w:rFonts w:hint="eastAsia" w:ascii="Times New Roman" w:cs="Times New Roman" w:hAnsiTheme="minorEastAsia" w:eastAsiaTheme="minorEastAsia"/>
          <w:snapToGrid w:val="0"/>
          <w:color w:val="auto"/>
          <w:szCs w:val="24"/>
          <w:lang w:val="en-US" w:eastAsia="zh-CN"/>
        </w:rPr>
        <w:t>11公示截图</w:t>
      </w:r>
    </w:p>
    <w:p w14:paraId="1226DAE7">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val="en-US" w:eastAsia="zh-CN"/>
        </w:rPr>
      </w:pPr>
      <w:r>
        <w:rPr>
          <w:rFonts w:hint="eastAsia" w:ascii="Times New Roman" w:cs="Times New Roman" w:hAnsiTheme="minorEastAsia" w:eastAsiaTheme="minorEastAsia"/>
          <w:snapToGrid w:val="0"/>
          <w:color w:val="auto"/>
          <w:szCs w:val="24"/>
          <w:lang w:val="en-US" w:eastAsia="zh-CN"/>
        </w:rPr>
        <w:t>附件12环评合同</w:t>
      </w:r>
    </w:p>
    <w:p w14:paraId="422AE319">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default" w:ascii="Times New Roman" w:cs="Times New Roman" w:hAnsiTheme="minorEastAsia" w:eastAsiaTheme="minorEastAsia"/>
          <w:snapToGrid w:val="0"/>
          <w:color w:val="auto"/>
          <w:szCs w:val="24"/>
          <w:lang w:val="en-US" w:eastAsia="zh-CN"/>
        </w:rPr>
      </w:pPr>
      <w:r>
        <w:rPr>
          <w:rFonts w:hint="default" w:ascii="Times New Roman" w:cs="Times New Roman" w:hAnsiTheme="minorEastAsia" w:eastAsiaTheme="minorEastAsia"/>
          <w:snapToGrid w:val="0"/>
          <w:color w:val="auto"/>
          <w:szCs w:val="24"/>
          <w:lang w:val="en-US" w:eastAsia="zh-CN"/>
        </w:rPr>
        <w:t>附件13现场勘察记录单</w:t>
      </w:r>
    </w:p>
    <w:p w14:paraId="51AC9D2E">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val="en-US" w:eastAsia="zh-CN"/>
        </w:rPr>
      </w:pPr>
      <w:r>
        <w:rPr>
          <w:rFonts w:hint="eastAsia" w:ascii="Times New Roman" w:cs="Times New Roman" w:hAnsiTheme="minorEastAsia" w:eastAsiaTheme="minorEastAsia"/>
          <w:snapToGrid w:val="0"/>
          <w:color w:val="auto"/>
          <w:szCs w:val="24"/>
          <w:lang w:val="en-US" w:eastAsia="zh-CN"/>
        </w:rPr>
        <w:t>附件14 淮安华源化工有限公司土壤和地下水自行监测报告</w:t>
      </w:r>
    </w:p>
    <w:p w14:paraId="43A150BD">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val="en-US" w:eastAsia="zh-CN"/>
        </w:rPr>
      </w:pPr>
      <w:r>
        <w:rPr>
          <w:rFonts w:hint="eastAsia" w:ascii="Times New Roman" w:cs="Times New Roman" w:hAnsiTheme="minorEastAsia" w:eastAsiaTheme="minorEastAsia"/>
          <w:snapToGrid w:val="0"/>
          <w:color w:val="auto"/>
          <w:szCs w:val="24"/>
          <w:lang w:val="en-US" w:eastAsia="zh-CN"/>
        </w:rPr>
        <w:t>附件15 华源化工监控化学品生产特别许可证</w:t>
      </w:r>
    </w:p>
    <w:p w14:paraId="190C0478">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val="en-US" w:eastAsia="zh-CN"/>
        </w:rPr>
      </w:pPr>
      <w:r>
        <w:rPr>
          <w:rFonts w:hint="eastAsia" w:ascii="Times New Roman" w:cs="Times New Roman" w:hAnsiTheme="minorEastAsia" w:eastAsiaTheme="minorEastAsia"/>
          <w:snapToGrid w:val="0"/>
          <w:color w:val="auto"/>
          <w:szCs w:val="24"/>
          <w:lang w:val="en-US" w:eastAsia="zh-CN"/>
        </w:rPr>
        <w:t>附件16 淮安危化项目设计（简）审字〔2025〕19号</w:t>
      </w:r>
    </w:p>
    <w:p w14:paraId="15A27319">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val="en-US" w:eastAsia="zh-CN"/>
        </w:rPr>
      </w:pPr>
      <w:r>
        <w:rPr>
          <w:rFonts w:hint="eastAsia" w:ascii="Times New Roman" w:cs="Times New Roman" w:hAnsiTheme="minorEastAsia" w:eastAsiaTheme="minorEastAsia"/>
          <w:snapToGrid w:val="0"/>
          <w:color w:val="auto"/>
          <w:szCs w:val="24"/>
          <w:lang w:val="en-US" w:eastAsia="zh-CN"/>
        </w:rPr>
        <w:t xml:space="preserve">附件17 华源化工化工重点监测点认定文件 </w:t>
      </w:r>
    </w:p>
    <w:p w14:paraId="631BE254">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default" w:ascii="Times New Roman" w:cs="Times New Roman" w:hAnsiTheme="minorEastAsia" w:eastAsiaTheme="minorEastAsia"/>
          <w:snapToGrid w:val="0"/>
          <w:color w:val="auto"/>
          <w:szCs w:val="24"/>
          <w:lang w:val="en-US" w:eastAsia="zh-CN"/>
        </w:rPr>
      </w:pPr>
    </w:p>
    <w:p w14:paraId="61F9ACB5">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2" w:firstLineChars="200"/>
        <w:textAlignment w:val="auto"/>
        <w:rPr>
          <w:rFonts w:ascii="Times New Roman" w:hAnsi="Times New Roman" w:cs="Times New Roman" w:eastAsiaTheme="minorEastAsia"/>
          <w:b/>
          <w:snapToGrid w:val="0"/>
          <w:color w:val="auto"/>
          <w:szCs w:val="24"/>
        </w:rPr>
      </w:pPr>
      <w:r>
        <w:rPr>
          <w:rFonts w:ascii="Times New Roman" w:cs="Times New Roman" w:hAnsiTheme="minorEastAsia" w:eastAsiaTheme="minorEastAsia"/>
          <w:b/>
          <w:snapToGrid w:val="0"/>
          <w:color w:val="auto"/>
          <w:szCs w:val="24"/>
        </w:rPr>
        <w:t>附图</w:t>
      </w:r>
    </w:p>
    <w:p w14:paraId="72AC6EAD">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ascii="Times New Roman" w:cs="Times New Roman" w:hAnsiTheme="minorEastAsia" w:eastAsiaTheme="minorEastAsia"/>
          <w:snapToGrid w:val="0"/>
          <w:color w:val="auto"/>
          <w:szCs w:val="24"/>
        </w:rPr>
      </w:pPr>
      <w:r>
        <w:rPr>
          <w:rFonts w:hint="eastAsia" w:ascii="Times New Roman" w:cs="Times New Roman" w:hAnsiTheme="minorEastAsia" w:eastAsiaTheme="minorEastAsia"/>
          <w:snapToGrid w:val="0"/>
          <w:color w:val="auto"/>
          <w:szCs w:val="24"/>
        </w:rPr>
        <w:t>附图</w:t>
      </w:r>
      <w:r>
        <w:rPr>
          <w:rFonts w:hint="eastAsia" w:ascii="Times New Roman" w:cs="Times New Roman" w:hAnsiTheme="minorEastAsia" w:eastAsiaTheme="minorEastAsia"/>
          <w:snapToGrid w:val="0"/>
          <w:color w:val="auto"/>
          <w:szCs w:val="24"/>
          <w:lang w:val="en-US" w:eastAsia="zh-CN"/>
        </w:rPr>
        <w:t>1</w:t>
      </w:r>
      <w:r>
        <w:rPr>
          <w:rFonts w:hint="eastAsia" w:ascii="Times New Roman" w:cs="Times New Roman" w:hAnsiTheme="minorEastAsia" w:eastAsiaTheme="minorEastAsia"/>
          <w:snapToGrid w:val="0"/>
          <w:color w:val="auto"/>
          <w:szCs w:val="24"/>
        </w:rPr>
        <w:t>建设项目地理位置图</w:t>
      </w:r>
    </w:p>
    <w:p w14:paraId="230C7E58">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rPr>
      </w:pPr>
      <w:r>
        <w:rPr>
          <w:rFonts w:hint="eastAsia" w:ascii="Times New Roman" w:cs="Times New Roman" w:hAnsiTheme="minorEastAsia" w:eastAsiaTheme="minorEastAsia"/>
          <w:snapToGrid w:val="0"/>
          <w:color w:val="auto"/>
          <w:szCs w:val="24"/>
        </w:rPr>
        <w:t>附图</w:t>
      </w:r>
      <w:r>
        <w:rPr>
          <w:rFonts w:hint="eastAsia" w:ascii="Times New Roman" w:cs="Times New Roman" w:hAnsiTheme="minorEastAsia" w:eastAsiaTheme="minorEastAsia"/>
          <w:snapToGrid w:val="0"/>
          <w:color w:val="auto"/>
          <w:szCs w:val="24"/>
          <w:lang w:val="en-US" w:eastAsia="zh-CN"/>
        </w:rPr>
        <w:t>2</w:t>
      </w:r>
      <w:r>
        <w:rPr>
          <w:rFonts w:hint="eastAsia" w:ascii="Times New Roman" w:cs="Times New Roman" w:hAnsiTheme="minorEastAsia" w:eastAsiaTheme="minorEastAsia"/>
          <w:snapToGrid w:val="0"/>
          <w:color w:val="auto"/>
          <w:szCs w:val="24"/>
          <w:lang w:eastAsia="zh-CN"/>
        </w:rPr>
        <w:t>厂区雨污水管网分布图</w:t>
      </w:r>
    </w:p>
    <w:p w14:paraId="79333171">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rPr>
      </w:pPr>
      <w:r>
        <w:rPr>
          <w:rFonts w:hint="eastAsia" w:ascii="Times New Roman" w:cs="Times New Roman" w:hAnsiTheme="minorEastAsia" w:eastAsiaTheme="minorEastAsia"/>
          <w:snapToGrid w:val="0"/>
          <w:color w:val="auto"/>
          <w:szCs w:val="24"/>
        </w:rPr>
        <w:t>附图3  项目周边10km范围内水系图</w:t>
      </w:r>
    </w:p>
    <w:p w14:paraId="74CEBF67">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ascii="Times New Roman" w:cs="Times New Roman" w:hAnsiTheme="minorEastAsia" w:eastAsiaTheme="minorEastAsia"/>
          <w:snapToGrid w:val="0"/>
          <w:color w:val="auto"/>
          <w:szCs w:val="24"/>
        </w:rPr>
      </w:pPr>
      <w:r>
        <w:rPr>
          <w:rFonts w:ascii="Times New Roman" w:cs="Times New Roman" w:hAnsiTheme="minorEastAsia" w:eastAsiaTheme="minorEastAsia"/>
          <w:snapToGrid w:val="0"/>
          <w:color w:val="auto"/>
          <w:szCs w:val="24"/>
        </w:rPr>
        <w:t>附图</w:t>
      </w:r>
      <w:r>
        <w:rPr>
          <w:rFonts w:hint="eastAsia" w:ascii="Times New Roman" w:cs="Times New Roman" w:hAnsiTheme="minorEastAsia" w:eastAsiaTheme="minorEastAsia"/>
          <w:snapToGrid w:val="0"/>
          <w:color w:val="auto"/>
          <w:szCs w:val="24"/>
          <w:lang w:val="en-US" w:eastAsia="zh-CN"/>
        </w:rPr>
        <w:t>4</w:t>
      </w:r>
      <w:r>
        <w:rPr>
          <w:rFonts w:hint="eastAsia" w:ascii="Times New Roman" w:cs="Times New Roman" w:hAnsiTheme="minorEastAsia" w:eastAsiaTheme="minorEastAsia"/>
          <w:snapToGrid w:val="0"/>
          <w:color w:val="auto"/>
          <w:szCs w:val="24"/>
        </w:rPr>
        <w:t>建设项目周边5km状况图</w:t>
      </w:r>
    </w:p>
    <w:p w14:paraId="0C9E5819">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eastAsia="zh-CN"/>
        </w:rPr>
      </w:pPr>
      <w:r>
        <w:rPr>
          <w:rFonts w:hint="eastAsia" w:ascii="Times New Roman" w:cs="Times New Roman" w:hAnsiTheme="minorEastAsia" w:eastAsiaTheme="minorEastAsia"/>
          <w:snapToGrid w:val="0"/>
          <w:color w:val="auto"/>
          <w:szCs w:val="24"/>
          <w:lang w:eastAsia="zh-CN"/>
        </w:rPr>
        <w:t>附图5  建设项目平面布置图</w:t>
      </w:r>
    </w:p>
    <w:p w14:paraId="4CD2333D">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val="en-US" w:eastAsia="zh-CN"/>
        </w:rPr>
      </w:pPr>
      <w:r>
        <w:rPr>
          <w:rFonts w:hint="eastAsia" w:ascii="Times New Roman" w:cs="Times New Roman" w:hAnsiTheme="minorEastAsia" w:eastAsiaTheme="minorEastAsia"/>
          <w:snapToGrid w:val="0"/>
          <w:color w:val="auto"/>
          <w:szCs w:val="24"/>
          <w:lang w:val="en-US" w:eastAsia="zh-CN"/>
        </w:rPr>
        <w:t>附图6  建设项目周边状况及外部疏散图</w:t>
      </w:r>
    </w:p>
    <w:p w14:paraId="2E8ADC2C">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val="en-US" w:eastAsia="zh-CN"/>
        </w:rPr>
      </w:pPr>
      <w:r>
        <w:rPr>
          <w:rFonts w:hint="eastAsia" w:ascii="Times New Roman" w:cs="Times New Roman" w:hAnsiTheme="minorEastAsia" w:eastAsiaTheme="minorEastAsia"/>
          <w:snapToGrid w:val="0"/>
          <w:color w:val="auto"/>
          <w:szCs w:val="24"/>
          <w:lang w:val="en-US" w:eastAsia="zh-CN"/>
        </w:rPr>
        <w:t>附图7  建设项目危险单元分布图</w:t>
      </w:r>
    </w:p>
    <w:p w14:paraId="1E86FB00">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val="en-US" w:eastAsia="zh-CN"/>
        </w:rPr>
      </w:pPr>
      <w:r>
        <w:rPr>
          <w:rFonts w:hint="eastAsia" w:ascii="Times New Roman" w:cs="Times New Roman" w:hAnsiTheme="minorEastAsia" w:eastAsiaTheme="minorEastAsia"/>
          <w:snapToGrid w:val="0"/>
          <w:color w:val="auto"/>
          <w:szCs w:val="24"/>
          <w:lang w:val="en-US" w:eastAsia="zh-CN"/>
        </w:rPr>
        <w:t>附图8  建设项目风险防范措施分布图</w:t>
      </w:r>
    </w:p>
    <w:p w14:paraId="19B011CB">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val="en-US" w:eastAsia="zh-CN"/>
        </w:rPr>
      </w:pPr>
      <w:r>
        <w:rPr>
          <w:rFonts w:hint="eastAsia" w:ascii="Times New Roman" w:cs="Times New Roman" w:hAnsiTheme="minorEastAsia" w:eastAsiaTheme="minorEastAsia"/>
          <w:snapToGrid w:val="0"/>
          <w:color w:val="auto"/>
          <w:szCs w:val="24"/>
          <w:lang w:val="en-US" w:eastAsia="zh-CN"/>
        </w:rPr>
        <w:t>附图9.1 项目与江苏省生态红线区域相对位置图</w:t>
      </w:r>
    </w:p>
    <w:p w14:paraId="68E0E01D">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eastAsia="zh-CN"/>
        </w:rPr>
      </w:pPr>
      <w:r>
        <w:rPr>
          <w:rFonts w:hint="eastAsia" w:ascii="Times New Roman" w:cs="Times New Roman" w:hAnsiTheme="minorEastAsia" w:eastAsiaTheme="minorEastAsia"/>
          <w:snapToGrid w:val="0"/>
          <w:color w:val="auto"/>
          <w:szCs w:val="24"/>
          <w:lang w:eastAsia="zh-CN"/>
        </w:rPr>
        <w:t>附图9.2 建设项目与江苏省生态空间保护区域相对位置关系图</w:t>
      </w:r>
    </w:p>
    <w:p w14:paraId="0AE94570">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eastAsia="zh-CN"/>
        </w:rPr>
      </w:pPr>
      <w:r>
        <w:rPr>
          <w:rFonts w:hint="eastAsia" w:ascii="Times New Roman" w:cs="Times New Roman" w:hAnsiTheme="minorEastAsia" w:eastAsiaTheme="minorEastAsia"/>
          <w:snapToGrid w:val="0"/>
          <w:color w:val="auto"/>
          <w:szCs w:val="24"/>
          <w:lang w:eastAsia="zh-CN"/>
        </w:rPr>
        <w:t>附图9.3 建设项目与“淮安市环境管控单元图”位置关系图</w:t>
      </w:r>
    </w:p>
    <w:p w14:paraId="737188A5">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eastAsia="zh-CN"/>
        </w:rPr>
      </w:pPr>
      <w:r>
        <w:rPr>
          <w:rFonts w:hint="eastAsia" w:ascii="Times New Roman" w:cs="Times New Roman" w:hAnsiTheme="minorEastAsia" w:eastAsiaTheme="minorEastAsia"/>
          <w:snapToGrid w:val="0"/>
          <w:color w:val="auto"/>
          <w:szCs w:val="24"/>
          <w:lang w:eastAsia="zh-CN"/>
        </w:rPr>
        <w:t>附图10  建设项目厂区内部应急疏散图</w:t>
      </w:r>
    </w:p>
    <w:p w14:paraId="31A400C8">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eastAsia="zh-CN"/>
        </w:rPr>
      </w:pPr>
      <w:r>
        <w:rPr>
          <w:rFonts w:hint="eastAsia" w:ascii="Times New Roman" w:cs="Times New Roman" w:hAnsiTheme="minorEastAsia" w:eastAsiaTheme="minorEastAsia"/>
          <w:snapToGrid w:val="0"/>
          <w:color w:val="auto"/>
          <w:szCs w:val="24"/>
          <w:lang w:eastAsia="zh-CN"/>
        </w:rPr>
        <w:t>附图11 液氯库应急处置收集系统图</w:t>
      </w:r>
    </w:p>
    <w:p w14:paraId="1B354C0C">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eastAsia="zh-CN"/>
        </w:rPr>
      </w:pPr>
      <w:r>
        <w:rPr>
          <w:rFonts w:hint="eastAsia" w:ascii="Times New Roman" w:cs="Times New Roman" w:hAnsiTheme="minorEastAsia" w:eastAsiaTheme="minorEastAsia"/>
          <w:snapToGrid w:val="0"/>
          <w:color w:val="auto"/>
          <w:szCs w:val="24"/>
          <w:lang w:eastAsia="zh-CN"/>
        </w:rPr>
        <w:t>附图12 工程内部布置情况图</w:t>
      </w:r>
    </w:p>
    <w:p w14:paraId="2FD7B97D">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eastAsia="zh-CN"/>
        </w:rPr>
      </w:pPr>
      <w:r>
        <w:rPr>
          <w:rFonts w:hint="eastAsia" w:ascii="Times New Roman" w:cs="Times New Roman" w:hAnsiTheme="minorEastAsia" w:eastAsiaTheme="minorEastAsia"/>
          <w:snapToGrid w:val="0"/>
          <w:color w:val="auto"/>
          <w:szCs w:val="24"/>
          <w:lang w:eastAsia="zh-CN"/>
        </w:rPr>
        <w:t>附图13  项目地表水、地下水环境影响评价范围图</w:t>
      </w:r>
    </w:p>
    <w:p w14:paraId="680457B2">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eastAsia="zh-CN"/>
        </w:rPr>
      </w:pPr>
      <w:r>
        <w:rPr>
          <w:rFonts w:hint="eastAsia" w:ascii="Times New Roman" w:cs="Times New Roman" w:hAnsiTheme="minorEastAsia" w:eastAsiaTheme="minorEastAsia"/>
          <w:snapToGrid w:val="0"/>
          <w:color w:val="auto"/>
          <w:szCs w:val="24"/>
          <w:lang w:eastAsia="zh-CN"/>
        </w:rPr>
        <w:t>附图14.1 淮安华源化工有限公司氯气管道图</w:t>
      </w:r>
    </w:p>
    <w:p w14:paraId="302E0322">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eastAsia="zh-CN"/>
        </w:rPr>
      </w:pPr>
      <w:r>
        <w:rPr>
          <w:rFonts w:hint="eastAsia" w:ascii="Times New Roman" w:cs="Times New Roman" w:hAnsiTheme="minorEastAsia" w:eastAsiaTheme="minorEastAsia"/>
          <w:snapToGrid w:val="0"/>
          <w:color w:val="auto"/>
          <w:szCs w:val="24"/>
          <w:lang w:eastAsia="zh-CN"/>
        </w:rPr>
        <w:t>附图14.2 淮安华源化工有限公司黄磷池管道图</w:t>
      </w:r>
    </w:p>
    <w:p w14:paraId="66AE32B4">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eastAsia="zh-CN"/>
        </w:rPr>
      </w:pPr>
    </w:p>
    <w:p w14:paraId="5C53991D">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eastAsia="zh-CN"/>
        </w:rPr>
      </w:pPr>
    </w:p>
    <w:p w14:paraId="6FF64DBB">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eastAsia="zh-CN"/>
        </w:rPr>
      </w:pPr>
    </w:p>
    <w:p w14:paraId="6C7D7D25">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eastAsia="zh-CN"/>
        </w:rPr>
      </w:pPr>
    </w:p>
    <w:p w14:paraId="458B5E36">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eastAsia="zh-CN"/>
        </w:rPr>
      </w:pPr>
    </w:p>
    <w:p w14:paraId="125FD72C">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eastAsia="zh-CN"/>
        </w:rPr>
      </w:pPr>
    </w:p>
    <w:p w14:paraId="061BD4B8">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eastAsia="zh-CN"/>
        </w:rPr>
      </w:pPr>
    </w:p>
    <w:p w14:paraId="115D71B3">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eastAsia="zh-CN"/>
        </w:rPr>
      </w:pPr>
    </w:p>
    <w:p w14:paraId="15557198">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eastAsia="zh-CN"/>
        </w:rPr>
      </w:pPr>
    </w:p>
    <w:p w14:paraId="4E26FEB0">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eastAsia" w:ascii="Times New Roman" w:cs="Times New Roman" w:hAnsiTheme="minorEastAsia" w:eastAsiaTheme="minorEastAsia"/>
          <w:snapToGrid w:val="0"/>
          <w:color w:val="auto"/>
          <w:szCs w:val="24"/>
          <w:lang w:eastAsia="zh-CN"/>
        </w:rPr>
      </w:pPr>
    </w:p>
    <w:p w14:paraId="08B73181">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hint="default" w:ascii="Times New Roman" w:cs="Times New Roman" w:hAnsiTheme="minorEastAsia" w:eastAsiaTheme="minorEastAsia"/>
          <w:snapToGrid w:val="0"/>
          <w:color w:val="auto"/>
          <w:szCs w:val="24"/>
          <w:lang w:val="en-US" w:eastAsia="zh-CN"/>
        </w:rPr>
      </w:pPr>
    </w:p>
    <w:p w14:paraId="03B9822B">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firstLine="480" w:firstLineChars="200"/>
        <w:textAlignment w:val="auto"/>
        <w:rPr>
          <w:rFonts w:ascii="Times New Roman" w:cs="Times New Roman" w:hAnsiTheme="minorEastAsia" w:eastAsiaTheme="minorEastAsia"/>
          <w:snapToGrid w:val="0"/>
          <w:color w:val="auto"/>
          <w:szCs w:val="24"/>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0"/>
          <w:cols w:space="720" w:num="1"/>
          <w:docGrid w:linePitch="312" w:charSpace="0"/>
        </w:sectPr>
      </w:pPr>
    </w:p>
    <w:p w14:paraId="1EBFE8DC">
      <w:pPr>
        <w:pStyle w:val="81"/>
        <w:spacing w:before="0" w:beforeAutospacing="0" w:after="0" w:afterAutospacing="0"/>
        <w:jc w:val="center"/>
        <w:outlineLvl w:val="0"/>
        <w:rPr>
          <w:rFonts w:ascii="Times New Roman" w:hAnsi="Times New Roman" w:eastAsia="黑体" w:cs="Times New Roman"/>
          <w:snapToGrid w:val="0"/>
          <w:color w:val="auto"/>
          <w:sz w:val="30"/>
          <w:szCs w:val="30"/>
        </w:rPr>
      </w:pPr>
      <w:bookmarkStart w:id="2" w:name="_Toc245"/>
      <w:r>
        <w:rPr>
          <w:rFonts w:ascii="Times New Roman" w:hAnsi="Times New Roman" w:eastAsia="黑体" w:cs="Times New Roman"/>
          <w:snapToGrid w:val="0"/>
          <w:color w:val="auto"/>
          <w:sz w:val="30"/>
          <w:szCs w:val="30"/>
        </w:rPr>
        <w:t>一、建设项目基本情况</w:t>
      </w:r>
      <w:bookmarkEnd w:id="2"/>
    </w:p>
    <w:tbl>
      <w:tblPr>
        <w:tblStyle w:val="88"/>
        <w:tblpPr w:leftFromText="180" w:rightFromText="180" w:vertAnchor="text" w:tblpXSpec="center" w:tblpY="1"/>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56"/>
        <w:gridCol w:w="1250"/>
        <w:gridCol w:w="1848"/>
        <w:gridCol w:w="1844"/>
        <w:gridCol w:w="3471"/>
      </w:tblGrid>
      <w:tr w14:paraId="2F593A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06" w:type="dxa"/>
            <w:gridSpan w:val="2"/>
            <w:tcMar>
              <w:top w:w="16" w:type="dxa"/>
              <w:left w:w="16" w:type="dxa"/>
              <w:right w:w="16" w:type="dxa"/>
            </w:tcMar>
            <w:vAlign w:val="center"/>
          </w:tcPr>
          <w:p w14:paraId="1DA3EA96">
            <w:pPr>
              <w:adjustRightInd w:val="0"/>
              <w:snapToGrid w:val="0"/>
              <w:jc w:val="center"/>
              <w:rPr>
                <w:color w:val="auto"/>
                <w:sz w:val="24"/>
              </w:rPr>
            </w:pPr>
            <w:r>
              <w:rPr>
                <w:color w:val="auto"/>
                <w:sz w:val="24"/>
              </w:rPr>
              <w:t>建设项目名称</w:t>
            </w:r>
          </w:p>
        </w:tc>
        <w:tc>
          <w:tcPr>
            <w:tcW w:w="7163" w:type="dxa"/>
            <w:gridSpan w:val="3"/>
            <w:vAlign w:val="center"/>
          </w:tcPr>
          <w:p w14:paraId="0BADCD64">
            <w:pPr>
              <w:adjustRightInd w:val="0"/>
              <w:snapToGrid w:val="0"/>
              <w:jc w:val="center"/>
              <w:rPr>
                <w:rFonts w:hint="eastAsia" w:eastAsia="宋体"/>
                <w:color w:val="auto"/>
                <w:sz w:val="24"/>
                <w:lang w:eastAsia="zh-CN"/>
              </w:rPr>
            </w:pPr>
            <w:r>
              <w:rPr>
                <w:rFonts w:hint="eastAsia"/>
                <w:color w:val="auto"/>
                <w:sz w:val="24"/>
                <w:lang w:eastAsia="zh-CN"/>
              </w:rPr>
              <w:t>三氯化磷及原料储存安全提升技改项目</w:t>
            </w:r>
          </w:p>
        </w:tc>
      </w:tr>
      <w:tr w14:paraId="533CA5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06" w:type="dxa"/>
            <w:gridSpan w:val="2"/>
            <w:tcMar>
              <w:top w:w="16" w:type="dxa"/>
              <w:left w:w="16" w:type="dxa"/>
              <w:right w:w="16" w:type="dxa"/>
            </w:tcMar>
            <w:vAlign w:val="center"/>
          </w:tcPr>
          <w:p w14:paraId="5B5C1CCE">
            <w:pPr>
              <w:adjustRightInd w:val="0"/>
              <w:snapToGrid w:val="0"/>
              <w:jc w:val="center"/>
              <w:rPr>
                <w:color w:val="auto"/>
                <w:sz w:val="24"/>
              </w:rPr>
            </w:pPr>
            <w:r>
              <w:rPr>
                <w:color w:val="auto"/>
                <w:sz w:val="24"/>
              </w:rPr>
              <w:t>项目代码</w:t>
            </w:r>
          </w:p>
        </w:tc>
        <w:tc>
          <w:tcPr>
            <w:tcW w:w="7163" w:type="dxa"/>
            <w:gridSpan w:val="3"/>
            <w:vAlign w:val="center"/>
          </w:tcPr>
          <w:p w14:paraId="55A91A0C">
            <w:pPr>
              <w:adjustRightInd w:val="0"/>
              <w:snapToGrid w:val="0"/>
              <w:jc w:val="center"/>
              <w:rPr>
                <w:rFonts w:hint="eastAsia" w:eastAsia="宋体"/>
                <w:color w:val="auto"/>
                <w:sz w:val="24"/>
                <w:lang w:eastAsia="zh-CN"/>
              </w:rPr>
            </w:pPr>
            <w:r>
              <w:rPr>
                <w:rFonts w:hint="eastAsia"/>
                <w:color w:val="auto"/>
                <w:sz w:val="24"/>
                <w:lang w:eastAsia="zh-CN"/>
              </w:rPr>
              <w:t>2506-320826-07-02-321019</w:t>
            </w:r>
          </w:p>
        </w:tc>
      </w:tr>
      <w:tr w14:paraId="5C5D55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06" w:type="dxa"/>
            <w:gridSpan w:val="2"/>
            <w:tcMar>
              <w:top w:w="16" w:type="dxa"/>
              <w:left w:w="16" w:type="dxa"/>
              <w:right w:w="16" w:type="dxa"/>
            </w:tcMar>
            <w:vAlign w:val="center"/>
          </w:tcPr>
          <w:p w14:paraId="25CC0224">
            <w:pPr>
              <w:adjustRightInd w:val="0"/>
              <w:snapToGrid w:val="0"/>
              <w:jc w:val="center"/>
              <w:rPr>
                <w:color w:val="auto"/>
                <w:sz w:val="24"/>
              </w:rPr>
            </w:pPr>
            <w:r>
              <w:rPr>
                <w:color w:val="auto"/>
                <w:sz w:val="24"/>
              </w:rPr>
              <w:t>建设单位联系人</w:t>
            </w:r>
          </w:p>
        </w:tc>
        <w:tc>
          <w:tcPr>
            <w:tcW w:w="1848" w:type="dxa"/>
            <w:vAlign w:val="center"/>
          </w:tcPr>
          <w:p w14:paraId="1BF73A84">
            <w:pPr>
              <w:adjustRightInd w:val="0"/>
              <w:snapToGrid w:val="0"/>
              <w:jc w:val="center"/>
              <w:rPr>
                <w:color w:val="auto"/>
                <w:sz w:val="24"/>
              </w:rPr>
            </w:pPr>
            <w:r>
              <w:rPr>
                <w:rFonts w:hint="eastAsia"/>
                <w:color w:val="auto"/>
                <w:sz w:val="24"/>
              </w:rPr>
              <w:t>唐建华</w:t>
            </w:r>
          </w:p>
        </w:tc>
        <w:tc>
          <w:tcPr>
            <w:tcW w:w="1844" w:type="dxa"/>
            <w:vAlign w:val="center"/>
          </w:tcPr>
          <w:p w14:paraId="7393C731">
            <w:pPr>
              <w:adjustRightInd w:val="0"/>
              <w:snapToGrid w:val="0"/>
              <w:jc w:val="center"/>
              <w:rPr>
                <w:color w:val="auto"/>
                <w:sz w:val="24"/>
              </w:rPr>
            </w:pPr>
            <w:r>
              <w:rPr>
                <w:color w:val="auto"/>
                <w:sz w:val="24"/>
              </w:rPr>
              <w:t>联系方式</w:t>
            </w:r>
          </w:p>
        </w:tc>
        <w:tc>
          <w:tcPr>
            <w:tcW w:w="3471" w:type="dxa"/>
            <w:vAlign w:val="center"/>
          </w:tcPr>
          <w:p w14:paraId="7E6A7D1E">
            <w:pPr>
              <w:adjustRightInd w:val="0"/>
              <w:snapToGrid w:val="0"/>
              <w:jc w:val="center"/>
              <w:rPr>
                <w:rFonts w:hint="default" w:eastAsia="宋体"/>
                <w:color w:val="auto"/>
                <w:sz w:val="24"/>
                <w:lang w:val="en-US" w:eastAsia="zh-CN"/>
              </w:rPr>
            </w:pPr>
            <w:r>
              <w:rPr>
                <w:color w:val="auto"/>
                <w:sz w:val="24"/>
              </w:rPr>
              <w:t>1</w:t>
            </w:r>
            <w:r>
              <w:rPr>
                <w:rFonts w:hint="eastAsia"/>
                <w:color w:val="auto"/>
                <w:sz w:val="24"/>
                <w:lang w:val="en-US" w:eastAsia="zh-CN"/>
              </w:rPr>
              <w:t>5312320725</w:t>
            </w:r>
          </w:p>
        </w:tc>
      </w:tr>
      <w:tr w14:paraId="5B1743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06" w:type="dxa"/>
            <w:gridSpan w:val="2"/>
            <w:tcMar>
              <w:top w:w="16" w:type="dxa"/>
              <w:left w:w="16" w:type="dxa"/>
              <w:right w:w="16" w:type="dxa"/>
            </w:tcMar>
            <w:vAlign w:val="center"/>
          </w:tcPr>
          <w:p w14:paraId="593C5487">
            <w:pPr>
              <w:adjustRightInd w:val="0"/>
              <w:snapToGrid w:val="0"/>
              <w:jc w:val="center"/>
              <w:rPr>
                <w:color w:val="auto"/>
                <w:sz w:val="24"/>
              </w:rPr>
            </w:pPr>
            <w:r>
              <w:rPr>
                <w:color w:val="auto"/>
                <w:sz w:val="24"/>
              </w:rPr>
              <w:t>建设地点</w:t>
            </w:r>
          </w:p>
        </w:tc>
        <w:tc>
          <w:tcPr>
            <w:tcW w:w="7163" w:type="dxa"/>
            <w:gridSpan w:val="3"/>
            <w:vAlign w:val="center"/>
          </w:tcPr>
          <w:p w14:paraId="5D684695">
            <w:pPr>
              <w:adjustRightInd w:val="0"/>
              <w:snapToGrid w:val="0"/>
              <w:jc w:val="center"/>
              <w:rPr>
                <w:rFonts w:hint="eastAsia" w:eastAsia="宋体"/>
                <w:color w:val="auto"/>
                <w:sz w:val="24"/>
                <w:lang w:eastAsia="zh-CN"/>
              </w:rPr>
            </w:pPr>
            <w:r>
              <w:rPr>
                <w:color w:val="auto"/>
                <w:sz w:val="24"/>
              </w:rPr>
              <w:t>江苏省淮安市</w:t>
            </w:r>
            <w:r>
              <w:rPr>
                <w:rFonts w:hint="eastAsia"/>
                <w:color w:val="auto"/>
                <w:sz w:val="24"/>
                <w:lang w:eastAsia="zh-CN"/>
              </w:rPr>
              <w:t>涟水经济开发区循环经济产业园</w:t>
            </w:r>
          </w:p>
        </w:tc>
      </w:tr>
      <w:tr w14:paraId="725028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06" w:type="dxa"/>
            <w:gridSpan w:val="2"/>
            <w:tcMar>
              <w:top w:w="16" w:type="dxa"/>
              <w:left w:w="16" w:type="dxa"/>
              <w:right w:w="16" w:type="dxa"/>
            </w:tcMar>
            <w:vAlign w:val="center"/>
          </w:tcPr>
          <w:p w14:paraId="1001906D">
            <w:pPr>
              <w:adjustRightInd w:val="0"/>
              <w:snapToGrid w:val="0"/>
              <w:jc w:val="center"/>
              <w:rPr>
                <w:color w:val="auto"/>
                <w:sz w:val="24"/>
              </w:rPr>
            </w:pPr>
            <w:r>
              <w:rPr>
                <w:color w:val="auto"/>
                <w:sz w:val="24"/>
              </w:rPr>
              <w:t>地理坐标</w:t>
            </w:r>
          </w:p>
        </w:tc>
        <w:tc>
          <w:tcPr>
            <w:tcW w:w="7163" w:type="dxa"/>
            <w:gridSpan w:val="3"/>
            <w:vAlign w:val="center"/>
          </w:tcPr>
          <w:p w14:paraId="397BD861">
            <w:pPr>
              <w:pStyle w:val="81"/>
              <w:keepNext w:val="0"/>
              <w:keepLines w:val="0"/>
              <w:widowControl/>
              <w:suppressLineNumbers w:val="0"/>
              <w:spacing w:before="0" w:beforeAutospacing="0" w:after="0" w:afterAutospacing="0"/>
              <w:ind w:left="0" w:right="0" w:firstLine="0"/>
              <w:jc w:val="center"/>
              <w:rPr>
                <w:color w:val="auto"/>
                <w:sz w:val="24"/>
              </w:rPr>
            </w:pPr>
            <w:r>
              <w:rPr>
                <w:color w:val="auto"/>
                <w:sz w:val="24"/>
              </w:rPr>
              <w:t>（E119度1</w:t>
            </w:r>
            <w:r>
              <w:rPr>
                <w:rFonts w:hint="eastAsia"/>
                <w:color w:val="auto"/>
                <w:sz w:val="24"/>
                <w:lang w:val="en-US" w:eastAsia="zh-CN"/>
              </w:rPr>
              <w:t>9</w:t>
            </w:r>
            <w:r>
              <w:rPr>
                <w:color w:val="auto"/>
                <w:sz w:val="24"/>
              </w:rPr>
              <w:t>分</w:t>
            </w:r>
            <w:r>
              <w:rPr>
                <w:rFonts w:hint="eastAsia"/>
                <w:color w:val="auto"/>
                <w:sz w:val="24"/>
              </w:rPr>
              <w:t>4</w:t>
            </w:r>
            <w:r>
              <w:rPr>
                <w:rFonts w:hint="eastAsia"/>
                <w:color w:val="auto"/>
                <w:sz w:val="24"/>
                <w:lang w:val="en-US" w:eastAsia="zh-CN"/>
              </w:rPr>
              <w:t>.427</w:t>
            </w:r>
            <w:r>
              <w:rPr>
                <w:color w:val="auto"/>
                <w:sz w:val="24"/>
              </w:rPr>
              <w:t>秒，N33度4</w:t>
            </w:r>
            <w:r>
              <w:rPr>
                <w:rFonts w:hint="eastAsia"/>
                <w:color w:val="auto"/>
                <w:sz w:val="24"/>
                <w:lang w:val="en-US" w:eastAsia="zh-CN"/>
              </w:rPr>
              <w:t>9</w:t>
            </w:r>
            <w:r>
              <w:rPr>
                <w:color w:val="auto"/>
                <w:sz w:val="24"/>
              </w:rPr>
              <w:t>分</w:t>
            </w:r>
            <w:r>
              <w:rPr>
                <w:rFonts w:hint="eastAsia"/>
                <w:color w:val="auto"/>
                <w:sz w:val="24"/>
                <w:lang w:val="en-US" w:eastAsia="zh-CN"/>
              </w:rPr>
              <w:t>22.102</w:t>
            </w:r>
            <w:r>
              <w:rPr>
                <w:color w:val="auto"/>
                <w:sz w:val="24"/>
              </w:rPr>
              <w:t>秒）</w:t>
            </w:r>
          </w:p>
        </w:tc>
      </w:tr>
      <w:tr w14:paraId="681241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06" w:type="dxa"/>
            <w:gridSpan w:val="2"/>
            <w:tcMar>
              <w:top w:w="16" w:type="dxa"/>
              <w:left w:w="16" w:type="dxa"/>
              <w:right w:w="16" w:type="dxa"/>
            </w:tcMar>
            <w:vAlign w:val="center"/>
          </w:tcPr>
          <w:p w14:paraId="3D35CB51">
            <w:pPr>
              <w:adjustRightInd w:val="0"/>
              <w:snapToGrid w:val="0"/>
              <w:jc w:val="center"/>
              <w:rPr>
                <w:color w:val="auto"/>
                <w:sz w:val="24"/>
              </w:rPr>
            </w:pPr>
            <w:r>
              <w:rPr>
                <w:color w:val="auto"/>
                <w:sz w:val="24"/>
              </w:rPr>
              <w:t>国民经济</w:t>
            </w:r>
          </w:p>
          <w:p w14:paraId="16320D6E">
            <w:pPr>
              <w:adjustRightInd w:val="0"/>
              <w:snapToGrid w:val="0"/>
              <w:jc w:val="center"/>
              <w:rPr>
                <w:color w:val="auto"/>
                <w:sz w:val="24"/>
              </w:rPr>
            </w:pPr>
            <w:r>
              <w:rPr>
                <w:color w:val="auto"/>
                <w:sz w:val="24"/>
              </w:rPr>
              <w:t>行业类别</w:t>
            </w:r>
          </w:p>
        </w:tc>
        <w:tc>
          <w:tcPr>
            <w:tcW w:w="1848" w:type="dxa"/>
            <w:vAlign w:val="center"/>
          </w:tcPr>
          <w:p w14:paraId="3A67D6AC">
            <w:pPr>
              <w:adjustRightInd w:val="0"/>
              <w:snapToGrid w:val="0"/>
              <w:jc w:val="center"/>
              <w:rPr>
                <w:rFonts w:hint="eastAsia" w:eastAsia="宋体"/>
                <w:color w:val="auto"/>
                <w:sz w:val="24"/>
                <w:lang w:eastAsia="zh-CN"/>
              </w:rPr>
            </w:pPr>
            <w:r>
              <w:rPr>
                <w:rFonts w:hint="eastAsia"/>
                <w:color w:val="auto"/>
                <w:sz w:val="24"/>
                <w:lang w:eastAsia="zh-CN"/>
              </w:rPr>
              <w:t>G5942 危险化学品仓储</w:t>
            </w:r>
          </w:p>
        </w:tc>
        <w:tc>
          <w:tcPr>
            <w:tcW w:w="1844" w:type="dxa"/>
            <w:vAlign w:val="center"/>
          </w:tcPr>
          <w:p w14:paraId="4687533C">
            <w:pPr>
              <w:adjustRightInd w:val="0"/>
              <w:snapToGrid w:val="0"/>
              <w:jc w:val="center"/>
              <w:rPr>
                <w:color w:val="auto"/>
                <w:sz w:val="24"/>
              </w:rPr>
            </w:pPr>
            <w:bookmarkStart w:id="3" w:name="_Hlk49843745"/>
            <w:r>
              <w:rPr>
                <w:color w:val="auto"/>
                <w:sz w:val="24"/>
              </w:rPr>
              <w:t>建设项目</w:t>
            </w:r>
          </w:p>
          <w:p w14:paraId="4D054045">
            <w:pPr>
              <w:adjustRightInd w:val="0"/>
              <w:snapToGrid w:val="0"/>
              <w:jc w:val="center"/>
              <w:rPr>
                <w:color w:val="auto"/>
                <w:sz w:val="24"/>
              </w:rPr>
            </w:pPr>
            <w:r>
              <w:rPr>
                <w:color w:val="auto"/>
                <w:sz w:val="24"/>
              </w:rPr>
              <w:t>行业类别</w:t>
            </w:r>
            <w:bookmarkEnd w:id="3"/>
          </w:p>
        </w:tc>
        <w:tc>
          <w:tcPr>
            <w:tcW w:w="3471" w:type="dxa"/>
            <w:vAlign w:val="center"/>
          </w:tcPr>
          <w:p w14:paraId="33420073">
            <w:pPr>
              <w:adjustRightInd w:val="0"/>
              <w:snapToGrid w:val="0"/>
              <w:rPr>
                <w:rFonts w:hint="eastAsia"/>
                <w:color w:val="auto"/>
                <w:sz w:val="24"/>
              </w:rPr>
            </w:pPr>
            <w:r>
              <w:rPr>
                <w:rFonts w:hint="eastAsia"/>
                <w:color w:val="auto"/>
                <w:sz w:val="24"/>
              </w:rPr>
              <w:t>五十三、装卸搬运和仓储业59</w:t>
            </w:r>
          </w:p>
          <w:p w14:paraId="017FE71E">
            <w:pPr>
              <w:adjustRightInd w:val="0"/>
              <w:snapToGrid w:val="0"/>
              <w:rPr>
                <w:color w:val="auto"/>
                <w:sz w:val="24"/>
              </w:rPr>
            </w:pPr>
            <w:r>
              <w:rPr>
                <w:rFonts w:hint="eastAsia"/>
                <w:color w:val="auto"/>
                <w:sz w:val="24"/>
              </w:rPr>
              <w:t>149 危险品仓储 594（不含加油站的油库；不含加气站的气库）</w:t>
            </w:r>
          </w:p>
        </w:tc>
      </w:tr>
      <w:tr w14:paraId="70B68E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06" w:type="dxa"/>
            <w:gridSpan w:val="2"/>
            <w:tcMar>
              <w:top w:w="16" w:type="dxa"/>
              <w:left w:w="16" w:type="dxa"/>
              <w:right w:w="16" w:type="dxa"/>
            </w:tcMar>
            <w:vAlign w:val="center"/>
          </w:tcPr>
          <w:p w14:paraId="7D4E2345">
            <w:pPr>
              <w:adjustRightInd w:val="0"/>
              <w:snapToGrid w:val="0"/>
              <w:jc w:val="center"/>
              <w:rPr>
                <w:color w:val="auto"/>
                <w:sz w:val="24"/>
              </w:rPr>
            </w:pPr>
            <w:r>
              <w:rPr>
                <w:color w:val="auto"/>
                <w:sz w:val="24"/>
              </w:rPr>
              <w:t>建设性质</w:t>
            </w:r>
          </w:p>
        </w:tc>
        <w:tc>
          <w:tcPr>
            <w:tcW w:w="1848" w:type="dxa"/>
            <w:vAlign w:val="center"/>
          </w:tcPr>
          <w:p w14:paraId="41991FAB">
            <w:pPr>
              <w:jc w:val="left"/>
              <w:rPr>
                <w:color w:val="auto"/>
                <w:sz w:val="24"/>
              </w:rPr>
            </w:pPr>
            <w:r>
              <w:rPr>
                <w:rFonts w:hint="eastAsia"/>
                <w:color w:val="auto"/>
                <w:sz w:val="24"/>
                <w:lang w:eastAsia="zh-CN"/>
              </w:rPr>
              <w:t>□</w:t>
            </w:r>
            <w:r>
              <w:rPr>
                <w:color w:val="auto"/>
                <w:sz w:val="24"/>
              </w:rPr>
              <w:t>新建（迁建）</w:t>
            </w:r>
          </w:p>
          <w:p w14:paraId="10A3A6E8">
            <w:pPr>
              <w:jc w:val="left"/>
              <w:rPr>
                <w:color w:val="auto"/>
                <w:sz w:val="24"/>
              </w:rPr>
            </w:pPr>
            <w:r>
              <w:rPr>
                <w:rFonts w:hint="eastAsia"/>
                <w:color w:val="auto"/>
                <w:sz w:val="24"/>
                <w:lang w:eastAsia="zh-CN"/>
              </w:rPr>
              <w:t>□</w:t>
            </w:r>
            <w:r>
              <w:rPr>
                <w:color w:val="auto"/>
                <w:sz w:val="24"/>
              </w:rPr>
              <w:t>改建</w:t>
            </w:r>
          </w:p>
          <w:p w14:paraId="496407F1">
            <w:pPr>
              <w:jc w:val="left"/>
              <w:rPr>
                <w:color w:val="auto"/>
                <w:sz w:val="24"/>
              </w:rPr>
            </w:pPr>
            <w:r>
              <w:rPr>
                <w:rFonts w:hint="eastAsia"/>
                <w:color w:val="auto"/>
                <w:sz w:val="24"/>
                <w:lang w:eastAsia="zh-CN"/>
              </w:rPr>
              <w:t>□</w:t>
            </w:r>
            <w:r>
              <w:rPr>
                <w:color w:val="auto"/>
                <w:sz w:val="24"/>
              </w:rPr>
              <w:t>扩建</w:t>
            </w:r>
          </w:p>
          <w:p w14:paraId="22BA463E">
            <w:pPr>
              <w:jc w:val="left"/>
              <w:rPr>
                <w:color w:val="auto"/>
                <w:sz w:val="24"/>
              </w:rPr>
            </w:pPr>
            <w:r>
              <w:rPr>
                <w:rFonts w:hint="eastAsia"/>
                <w:color w:val="auto"/>
                <w:sz w:val="24"/>
                <w:lang w:eastAsia="zh-CN"/>
              </w:rPr>
              <w:t>☑</w:t>
            </w:r>
            <w:r>
              <w:rPr>
                <w:color w:val="auto"/>
                <w:sz w:val="24"/>
              </w:rPr>
              <w:t>技术改造</w:t>
            </w:r>
          </w:p>
        </w:tc>
        <w:tc>
          <w:tcPr>
            <w:tcW w:w="1844" w:type="dxa"/>
            <w:vAlign w:val="center"/>
          </w:tcPr>
          <w:p w14:paraId="1A3819F1">
            <w:pPr>
              <w:adjustRightInd w:val="0"/>
              <w:snapToGrid w:val="0"/>
              <w:jc w:val="center"/>
              <w:rPr>
                <w:color w:val="auto"/>
                <w:sz w:val="24"/>
              </w:rPr>
            </w:pPr>
            <w:r>
              <w:rPr>
                <w:color w:val="auto"/>
                <w:sz w:val="24"/>
              </w:rPr>
              <w:t>建设项目</w:t>
            </w:r>
          </w:p>
          <w:p w14:paraId="0B317D6F">
            <w:pPr>
              <w:adjustRightInd w:val="0"/>
              <w:snapToGrid w:val="0"/>
              <w:jc w:val="center"/>
              <w:rPr>
                <w:color w:val="auto"/>
                <w:sz w:val="24"/>
              </w:rPr>
            </w:pPr>
            <w:r>
              <w:rPr>
                <w:color w:val="auto"/>
                <w:sz w:val="24"/>
              </w:rPr>
              <w:t>申报情形</w:t>
            </w:r>
          </w:p>
        </w:tc>
        <w:tc>
          <w:tcPr>
            <w:tcW w:w="3471" w:type="dxa"/>
            <w:vAlign w:val="center"/>
          </w:tcPr>
          <w:p w14:paraId="13554F66">
            <w:pPr>
              <w:jc w:val="left"/>
              <w:rPr>
                <w:color w:val="auto"/>
                <w:sz w:val="24"/>
              </w:rPr>
            </w:pPr>
            <w:r>
              <w:rPr>
                <w:bCs/>
                <w:color w:val="auto"/>
                <w:szCs w:val="21"/>
              </w:rPr>
              <w:t>▉</w:t>
            </w:r>
            <w:r>
              <w:rPr>
                <w:color w:val="auto"/>
                <w:sz w:val="24"/>
              </w:rPr>
              <w:t>首次申报项目</w:t>
            </w:r>
          </w:p>
          <w:p w14:paraId="7ED46EED">
            <w:pPr>
              <w:jc w:val="left"/>
              <w:rPr>
                <w:color w:val="auto"/>
                <w:sz w:val="24"/>
              </w:rPr>
            </w:pPr>
            <w:r>
              <w:rPr>
                <w:rFonts w:hint="eastAsia"/>
                <w:color w:val="auto"/>
                <w:sz w:val="24"/>
                <w:lang w:eastAsia="zh-CN"/>
              </w:rPr>
              <w:t>□</w:t>
            </w:r>
            <w:r>
              <w:rPr>
                <w:color w:val="auto"/>
                <w:sz w:val="24"/>
              </w:rPr>
              <w:t>不予批准后再次申报项目</w:t>
            </w:r>
          </w:p>
          <w:p w14:paraId="381417A9">
            <w:pPr>
              <w:jc w:val="left"/>
              <w:rPr>
                <w:color w:val="auto"/>
                <w:sz w:val="24"/>
              </w:rPr>
            </w:pPr>
            <w:r>
              <w:rPr>
                <w:rFonts w:hint="eastAsia"/>
                <w:color w:val="auto"/>
                <w:sz w:val="24"/>
                <w:lang w:eastAsia="zh-CN"/>
              </w:rPr>
              <w:t>□</w:t>
            </w:r>
            <w:r>
              <w:rPr>
                <w:color w:val="auto"/>
                <w:sz w:val="24"/>
              </w:rPr>
              <w:t>超五年重新审核项目</w:t>
            </w:r>
          </w:p>
          <w:p w14:paraId="33958220">
            <w:pPr>
              <w:jc w:val="left"/>
              <w:rPr>
                <w:color w:val="auto"/>
                <w:sz w:val="24"/>
              </w:rPr>
            </w:pPr>
            <w:r>
              <w:rPr>
                <w:rFonts w:hint="eastAsia"/>
                <w:color w:val="auto"/>
                <w:sz w:val="24"/>
                <w:lang w:eastAsia="zh-CN"/>
              </w:rPr>
              <w:t>□</w:t>
            </w:r>
            <w:r>
              <w:rPr>
                <w:color w:val="auto"/>
                <w:sz w:val="24"/>
              </w:rPr>
              <w:t>重大变动重新报批项目</w:t>
            </w:r>
          </w:p>
        </w:tc>
      </w:tr>
      <w:tr w14:paraId="50FA21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06" w:type="dxa"/>
            <w:gridSpan w:val="2"/>
            <w:tcMar>
              <w:top w:w="16" w:type="dxa"/>
              <w:left w:w="16" w:type="dxa"/>
              <w:right w:w="16" w:type="dxa"/>
            </w:tcMar>
            <w:vAlign w:val="center"/>
          </w:tcPr>
          <w:p w14:paraId="301926FB">
            <w:pPr>
              <w:adjustRightInd w:val="0"/>
              <w:snapToGrid w:val="0"/>
              <w:jc w:val="center"/>
              <w:rPr>
                <w:color w:val="auto"/>
                <w:sz w:val="24"/>
              </w:rPr>
            </w:pPr>
            <w:r>
              <w:rPr>
                <w:color w:val="auto"/>
                <w:sz w:val="24"/>
              </w:rPr>
              <w:t>项目审批（核准/备案）部门（选填）</w:t>
            </w:r>
          </w:p>
        </w:tc>
        <w:tc>
          <w:tcPr>
            <w:tcW w:w="1848" w:type="dxa"/>
            <w:vAlign w:val="center"/>
          </w:tcPr>
          <w:p w14:paraId="1CE35D53">
            <w:pPr>
              <w:adjustRightInd w:val="0"/>
              <w:snapToGrid w:val="0"/>
              <w:jc w:val="center"/>
              <w:rPr>
                <w:rFonts w:hint="eastAsia" w:eastAsia="宋体"/>
                <w:color w:val="auto"/>
                <w:sz w:val="24"/>
                <w:lang w:eastAsia="zh-CN"/>
              </w:rPr>
            </w:pPr>
            <w:r>
              <w:rPr>
                <w:rFonts w:hint="eastAsia"/>
                <w:color w:val="auto"/>
                <w:sz w:val="24"/>
                <w:lang w:eastAsia="zh-CN"/>
              </w:rPr>
              <w:t>涟水县工业和信息化局</w:t>
            </w:r>
          </w:p>
        </w:tc>
        <w:tc>
          <w:tcPr>
            <w:tcW w:w="1844" w:type="dxa"/>
            <w:vAlign w:val="center"/>
          </w:tcPr>
          <w:p w14:paraId="21036A54">
            <w:pPr>
              <w:adjustRightInd w:val="0"/>
              <w:snapToGrid w:val="0"/>
              <w:jc w:val="center"/>
              <w:rPr>
                <w:color w:val="auto"/>
                <w:sz w:val="24"/>
              </w:rPr>
            </w:pPr>
            <w:r>
              <w:rPr>
                <w:color w:val="auto"/>
                <w:sz w:val="24"/>
              </w:rPr>
              <w:t>项目审批（核准/</w:t>
            </w:r>
          </w:p>
          <w:p w14:paraId="492482D0">
            <w:pPr>
              <w:adjustRightInd w:val="0"/>
              <w:snapToGrid w:val="0"/>
              <w:jc w:val="center"/>
              <w:rPr>
                <w:color w:val="auto"/>
                <w:sz w:val="24"/>
              </w:rPr>
            </w:pPr>
            <w:r>
              <w:rPr>
                <w:color w:val="auto"/>
                <w:sz w:val="24"/>
              </w:rPr>
              <w:t>备案）文号（选填）</w:t>
            </w:r>
          </w:p>
        </w:tc>
        <w:tc>
          <w:tcPr>
            <w:tcW w:w="3471" w:type="dxa"/>
            <w:vAlign w:val="center"/>
          </w:tcPr>
          <w:p w14:paraId="508317FA">
            <w:pPr>
              <w:jc w:val="center"/>
              <w:rPr>
                <w:rFonts w:hint="eastAsia" w:eastAsia="宋体"/>
                <w:color w:val="auto"/>
                <w:sz w:val="24"/>
                <w:lang w:eastAsia="zh-CN"/>
              </w:rPr>
            </w:pPr>
            <w:r>
              <w:rPr>
                <w:rFonts w:hint="eastAsia"/>
                <w:color w:val="auto"/>
                <w:sz w:val="24"/>
                <w:lang w:eastAsia="zh-CN"/>
              </w:rPr>
              <w:t>涟工信备〔2025〕18号</w:t>
            </w:r>
          </w:p>
        </w:tc>
      </w:tr>
      <w:tr w14:paraId="76AB6C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06" w:type="dxa"/>
            <w:gridSpan w:val="2"/>
            <w:tcMar>
              <w:top w:w="16" w:type="dxa"/>
              <w:left w:w="16" w:type="dxa"/>
              <w:right w:w="16" w:type="dxa"/>
            </w:tcMar>
            <w:vAlign w:val="center"/>
          </w:tcPr>
          <w:p w14:paraId="0388F8A7">
            <w:pPr>
              <w:adjustRightInd w:val="0"/>
              <w:snapToGrid w:val="0"/>
              <w:jc w:val="center"/>
              <w:rPr>
                <w:color w:val="auto"/>
                <w:sz w:val="24"/>
              </w:rPr>
            </w:pPr>
            <w:r>
              <w:rPr>
                <w:color w:val="auto"/>
                <w:sz w:val="24"/>
              </w:rPr>
              <w:t>总投资（万元）</w:t>
            </w:r>
          </w:p>
        </w:tc>
        <w:tc>
          <w:tcPr>
            <w:tcW w:w="1848" w:type="dxa"/>
            <w:vAlign w:val="center"/>
          </w:tcPr>
          <w:p w14:paraId="72A2D614">
            <w:pPr>
              <w:adjustRightInd w:val="0"/>
              <w:snapToGrid w:val="0"/>
              <w:jc w:val="center"/>
              <w:rPr>
                <w:rFonts w:hint="eastAsia" w:eastAsia="宋体"/>
                <w:color w:val="auto"/>
                <w:sz w:val="24"/>
                <w:lang w:eastAsia="zh-CN"/>
              </w:rPr>
            </w:pPr>
            <w:r>
              <w:rPr>
                <w:rFonts w:hint="eastAsia"/>
                <w:color w:val="auto"/>
                <w:sz w:val="24"/>
                <w:lang w:eastAsia="zh-CN"/>
              </w:rPr>
              <w:t>10800</w:t>
            </w:r>
          </w:p>
        </w:tc>
        <w:tc>
          <w:tcPr>
            <w:tcW w:w="1844" w:type="dxa"/>
            <w:tcMar>
              <w:top w:w="16" w:type="dxa"/>
              <w:left w:w="16" w:type="dxa"/>
              <w:right w:w="16" w:type="dxa"/>
            </w:tcMar>
            <w:vAlign w:val="center"/>
          </w:tcPr>
          <w:p w14:paraId="565333AF">
            <w:pPr>
              <w:adjustRightInd w:val="0"/>
              <w:snapToGrid w:val="0"/>
              <w:jc w:val="center"/>
              <w:rPr>
                <w:color w:val="auto"/>
                <w:sz w:val="24"/>
              </w:rPr>
            </w:pPr>
            <w:r>
              <w:rPr>
                <w:color w:val="auto"/>
                <w:sz w:val="24"/>
              </w:rPr>
              <w:t>环保投资（万元）</w:t>
            </w:r>
          </w:p>
        </w:tc>
        <w:tc>
          <w:tcPr>
            <w:tcW w:w="3471" w:type="dxa"/>
            <w:vAlign w:val="center"/>
          </w:tcPr>
          <w:p w14:paraId="091C1D75">
            <w:pPr>
              <w:adjustRightInd w:val="0"/>
              <w:snapToGrid w:val="0"/>
              <w:jc w:val="center"/>
              <w:rPr>
                <w:rFonts w:hint="default" w:eastAsia="宋体"/>
                <w:color w:val="auto"/>
                <w:sz w:val="24"/>
                <w:lang w:val="en-US" w:eastAsia="zh-CN"/>
              </w:rPr>
            </w:pPr>
            <w:r>
              <w:rPr>
                <w:rFonts w:hint="eastAsia"/>
                <w:color w:val="auto"/>
                <w:sz w:val="24"/>
                <w:lang w:val="en-US" w:eastAsia="zh-CN"/>
              </w:rPr>
              <w:t>20</w:t>
            </w:r>
          </w:p>
        </w:tc>
      </w:tr>
      <w:tr w14:paraId="36DBB2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06" w:type="dxa"/>
            <w:gridSpan w:val="2"/>
            <w:tcMar>
              <w:top w:w="16" w:type="dxa"/>
              <w:left w:w="16" w:type="dxa"/>
              <w:right w:w="16" w:type="dxa"/>
            </w:tcMar>
            <w:vAlign w:val="center"/>
          </w:tcPr>
          <w:p w14:paraId="1C87801B">
            <w:pPr>
              <w:adjustRightInd w:val="0"/>
              <w:snapToGrid w:val="0"/>
              <w:jc w:val="center"/>
              <w:rPr>
                <w:color w:val="auto"/>
                <w:sz w:val="24"/>
              </w:rPr>
            </w:pPr>
            <w:r>
              <w:rPr>
                <w:color w:val="auto"/>
                <w:sz w:val="24"/>
              </w:rPr>
              <w:t>环保投资占比（%）</w:t>
            </w:r>
          </w:p>
        </w:tc>
        <w:tc>
          <w:tcPr>
            <w:tcW w:w="1848" w:type="dxa"/>
            <w:vAlign w:val="center"/>
          </w:tcPr>
          <w:p w14:paraId="6B08C3C6">
            <w:pPr>
              <w:adjustRightInd w:val="0"/>
              <w:snapToGrid w:val="0"/>
              <w:jc w:val="center"/>
              <w:rPr>
                <w:rFonts w:hint="default" w:eastAsia="宋体"/>
                <w:color w:val="auto"/>
                <w:sz w:val="24"/>
                <w:lang w:val="en-US" w:eastAsia="zh-CN"/>
              </w:rPr>
            </w:pPr>
            <w:r>
              <w:rPr>
                <w:rFonts w:hint="eastAsia"/>
                <w:color w:val="auto"/>
                <w:sz w:val="24"/>
                <w:lang w:val="en-US" w:eastAsia="zh-CN"/>
              </w:rPr>
              <w:t>0.19</w:t>
            </w:r>
          </w:p>
        </w:tc>
        <w:tc>
          <w:tcPr>
            <w:tcW w:w="1844" w:type="dxa"/>
            <w:tcMar>
              <w:top w:w="16" w:type="dxa"/>
              <w:left w:w="16" w:type="dxa"/>
              <w:right w:w="16" w:type="dxa"/>
            </w:tcMar>
            <w:vAlign w:val="center"/>
          </w:tcPr>
          <w:p w14:paraId="052A8345">
            <w:pPr>
              <w:adjustRightInd w:val="0"/>
              <w:snapToGrid w:val="0"/>
              <w:jc w:val="center"/>
              <w:rPr>
                <w:color w:val="auto"/>
                <w:sz w:val="24"/>
              </w:rPr>
            </w:pPr>
            <w:r>
              <w:rPr>
                <w:color w:val="auto"/>
                <w:sz w:val="24"/>
              </w:rPr>
              <w:t>施工工期</w:t>
            </w:r>
          </w:p>
        </w:tc>
        <w:tc>
          <w:tcPr>
            <w:tcW w:w="3471" w:type="dxa"/>
            <w:vAlign w:val="center"/>
          </w:tcPr>
          <w:p w14:paraId="20861885">
            <w:pPr>
              <w:adjustRightInd w:val="0"/>
              <w:snapToGrid w:val="0"/>
              <w:jc w:val="center"/>
              <w:rPr>
                <w:color w:val="auto"/>
                <w:sz w:val="24"/>
              </w:rPr>
            </w:pPr>
            <w:r>
              <w:rPr>
                <w:rFonts w:hint="eastAsia"/>
                <w:color w:val="auto"/>
                <w:sz w:val="24"/>
                <w:lang w:val="en-US" w:eastAsia="zh-CN"/>
              </w:rPr>
              <w:t>2</w:t>
            </w:r>
            <w:r>
              <w:rPr>
                <w:color w:val="auto"/>
                <w:sz w:val="24"/>
              </w:rPr>
              <w:t>个月</w:t>
            </w:r>
          </w:p>
        </w:tc>
      </w:tr>
      <w:tr w14:paraId="077B36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06" w:type="dxa"/>
            <w:gridSpan w:val="2"/>
            <w:tcMar>
              <w:top w:w="16" w:type="dxa"/>
              <w:left w:w="16" w:type="dxa"/>
              <w:right w:w="16" w:type="dxa"/>
            </w:tcMar>
            <w:vAlign w:val="center"/>
          </w:tcPr>
          <w:p w14:paraId="60629417">
            <w:pPr>
              <w:adjustRightInd w:val="0"/>
              <w:snapToGrid w:val="0"/>
              <w:jc w:val="center"/>
              <w:rPr>
                <w:color w:val="auto"/>
                <w:sz w:val="24"/>
              </w:rPr>
            </w:pPr>
            <w:r>
              <w:rPr>
                <w:color w:val="auto"/>
                <w:sz w:val="24"/>
              </w:rPr>
              <w:t>是否开工建设</w:t>
            </w:r>
          </w:p>
        </w:tc>
        <w:tc>
          <w:tcPr>
            <w:tcW w:w="1848" w:type="dxa"/>
            <w:vAlign w:val="center"/>
          </w:tcPr>
          <w:p w14:paraId="637D03D5">
            <w:pPr>
              <w:adjustRightInd w:val="0"/>
              <w:snapToGrid w:val="0"/>
              <w:rPr>
                <w:color w:val="auto"/>
                <w:sz w:val="24"/>
              </w:rPr>
            </w:pPr>
            <w:r>
              <w:rPr>
                <w:color w:val="auto"/>
                <w:sz w:val="24"/>
              </w:rPr>
              <w:t>√否</w:t>
            </w:r>
          </w:p>
          <w:p w14:paraId="374F888B">
            <w:pPr>
              <w:adjustRightInd w:val="0"/>
              <w:snapToGrid w:val="0"/>
              <w:rPr>
                <w:color w:val="auto"/>
                <w:sz w:val="24"/>
              </w:rPr>
            </w:pPr>
            <w:r>
              <w:rPr>
                <w:rFonts w:hint="eastAsia"/>
                <w:color w:val="auto"/>
                <w:sz w:val="24"/>
                <w:lang w:eastAsia="zh-CN"/>
              </w:rPr>
              <w:t>□</w:t>
            </w:r>
            <w:r>
              <w:rPr>
                <w:color w:val="auto"/>
                <w:sz w:val="24"/>
              </w:rPr>
              <w:t>是：</w:t>
            </w:r>
          </w:p>
        </w:tc>
        <w:tc>
          <w:tcPr>
            <w:tcW w:w="1844" w:type="dxa"/>
            <w:tcMar>
              <w:top w:w="16" w:type="dxa"/>
              <w:left w:w="16" w:type="dxa"/>
              <w:right w:w="16" w:type="dxa"/>
            </w:tcMar>
            <w:vAlign w:val="center"/>
          </w:tcPr>
          <w:p w14:paraId="2D4BAA8A">
            <w:pPr>
              <w:adjustRightInd w:val="0"/>
              <w:snapToGrid w:val="0"/>
              <w:jc w:val="center"/>
              <w:rPr>
                <w:color w:val="auto"/>
                <w:spacing w:val="-6"/>
                <w:sz w:val="24"/>
              </w:rPr>
            </w:pPr>
            <w:r>
              <w:rPr>
                <w:color w:val="auto"/>
                <w:spacing w:val="-6"/>
                <w:sz w:val="24"/>
              </w:rPr>
              <w:t>用地（用海）</w:t>
            </w:r>
          </w:p>
          <w:p w14:paraId="5065FC36">
            <w:pPr>
              <w:adjustRightInd w:val="0"/>
              <w:snapToGrid w:val="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3471" w:type="dxa"/>
            <w:vAlign w:val="center"/>
          </w:tcPr>
          <w:p w14:paraId="1688FD70">
            <w:pPr>
              <w:adjustRightInd w:val="0"/>
              <w:snapToGrid w:val="0"/>
              <w:jc w:val="center"/>
              <w:rPr>
                <w:rFonts w:hint="eastAsia" w:eastAsia="宋体"/>
                <w:color w:val="auto"/>
                <w:sz w:val="24"/>
                <w:lang w:eastAsia="zh-CN"/>
              </w:rPr>
            </w:pPr>
            <w:r>
              <w:rPr>
                <w:rFonts w:hint="eastAsia"/>
                <w:color w:val="auto"/>
                <w:sz w:val="24"/>
                <w:lang w:val="en-US" w:eastAsia="zh-CN"/>
              </w:rPr>
              <w:t>不新增用地</w:t>
            </w:r>
          </w:p>
        </w:tc>
      </w:tr>
      <w:tr w14:paraId="5167CE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6" w:type="dxa"/>
            <w:gridSpan w:val="2"/>
            <w:vAlign w:val="center"/>
          </w:tcPr>
          <w:p w14:paraId="763595D6">
            <w:pPr>
              <w:autoSpaceDE w:val="0"/>
              <w:autoSpaceDN w:val="0"/>
              <w:adjustRightInd w:val="0"/>
              <w:snapToGrid w:val="0"/>
              <w:jc w:val="center"/>
              <w:rPr>
                <w:color w:val="auto"/>
                <w:kern w:val="0"/>
                <w:sz w:val="24"/>
              </w:rPr>
            </w:pPr>
            <w:r>
              <w:rPr>
                <w:color w:val="auto"/>
                <w:kern w:val="0"/>
                <w:sz w:val="24"/>
              </w:rPr>
              <w:t>专项评价</w:t>
            </w:r>
          </w:p>
          <w:p w14:paraId="23A848DA">
            <w:pPr>
              <w:autoSpaceDE w:val="0"/>
              <w:autoSpaceDN w:val="0"/>
              <w:adjustRightInd w:val="0"/>
              <w:snapToGrid w:val="0"/>
              <w:jc w:val="center"/>
              <w:rPr>
                <w:color w:val="auto"/>
                <w:kern w:val="0"/>
                <w:sz w:val="24"/>
              </w:rPr>
            </w:pPr>
            <w:r>
              <w:rPr>
                <w:color w:val="auto"/>
                <w:kern w:val="0"/>
                <w:sz w:val="24"/>
              </w:rPr>
              <w:t>设置情况</w:t>
            </w:r>
          </w:p>
        </w:tc>
        <w:tc>
          <w:tcPr>
            <w:tcW w:w="7163" w:type="dxa"/>
            <w:gridSpan w:val="3"/>
            <w:vAlign w:val="center"/>
          </w:tcPr>
          <w:p w14:paraId="2E46E5B3">
            <w:pPr>
              <w:autoSpaceDE w:val="0"/>
              <w:autoSpaceDN w:val="0"/>
              <w:adjustRightInd w:val="0"/>
              <w:snapToGrid w:val="0"/>
              <w:spacing w:line="360" w:lineRule="auto"/>
              <w:jc w:val="left"/>
              <w:rPr>
                <w:color w:val="auto"/>
                <w:kern w:val="0"/>
                <w:sz w:val="24"/>
              </w:rPr>
            </w:pPr>
            <w:r>
              <w:rPr>
                <w:color w:val="auto"/>
                <w:kern w:val="0"/>
                <w:sz w:val="24"/>
              </w:rPr>
              <w:t>根据《建设项目环境影响报告表编制技术指南（污染影响类）（试行）》中表1，对照《建设项目环境风险评价技术导则》（HJ169-2018），</w:t>
            </w:r>
            <w:r>
              <w:rPr>
                <w:color w:val="auto"/>
                <w:sz w:val="24"/>
              </w:rPr>
              <w:t>项目</w:t>
            </w:r>
            <w:r>
              <w:rPr>
                <w:color w:val="auto"/>
                <w:kern w:val="0"/>
                <w:sz w:val="24"/>
              </w:rPr>
              <w:t>涉及</w:t>
            </w:r>
            <w:r>
              <w:rPr>
                <w:rFonts w:hint="eastAsia"/>
                <w:color w:val="auto"/>
                <w:kern w:val="0"/>
                <w:sz w:val="24"/>
                <w:lang w:eastAsia="zh-CN"/>
              </w:rPr>
              <w:t>液氯、黄磷</w:t>
            </w:r>
            <w:r>
              <w:rPr>
                <w:color w:val="auto"/>
                <w:kern w:val="0"/>
                <w:sz w:val="24"/>
              </w:rPr>
              <w:t>等风险物质</w:t>
            </w:r>
            <w:r>
              <w:rPr>
                <w:rFonts w:hint="eastAsia"/>
                <w:color w:val="auto"/>
                <w:kern w:val="0"/>
                <w:sz w:val="24"/>
                <w:lang w:eastAsia="zh-CN"/>
              </w:rPr>
              <w:t>的储存</w:t>
            </w:r>
            <w:r>
              <w:rPr>
                <w:color w:val="auto"/>
                <w:kern w:val="0"/>
                <w:sz w:val="24"/>
              </w:rPr>
              <w:t>，经风险物质识别，本项目风险物质数量与临界量的比值为</w:t>
            </w:r>
            <w:r>
              <w:rPr>
                <w:rFonts w:hint="eastAsia"/>
                <w:color w:val="auto"/>
                <w:kern w:val="0"/>
                <w:sz w:val="24"/>
                <w:lang w:eastAsia="zh-CN"/>
              </w:rPr>
              <w:t>479.4155</w:t>
            </w:r>
            <w:r>
              <w:rPr>
                <w:color w:val="auto"/>
                <w:kern w:val="0"/>
                <w:sz w:val="24"/>
              </w:rPr>
              <w:t>，风险物质存储量超过其临界量，应编制环境风险专项。</w:t>
            </w:r>
          </w:p>
        </w:tc>
      </w:tr>
      <w:tr w14:paraId="2210D7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6" w:type="dxa"/>
            <w:gridSpan w:val="2"/>
            <w:vAlign w:val="center"/>
          </w:tcPr>
          <w:p w14:paraId="67CDABF7">
            <w:pPr>
              <w:autoSpaceDE w:val="0"/>
              <w:autoSpaceDN w:val="0"/>
              <w:adjustRightInd w:val="0"/>
              <w:snapToGrid w:val="0"/>
              <w:jc w:val="center"/>
              <w:rPr>
                <w:color w:val="auto"/>
                <w:kern w:val="0"/>
                <w:sz w:val="24"/>
              </w:rPr>
            </w:pPr>
            <w:r>
              <w:rPr>
                <w:color w:val="auto"/>
                <w:sz w:val="24"/>
              </w:rPr>
              <w:t>规划情况</w:t>
            </w:r>
          </w:p>
        </w:tc>
        <w:tc>
          <w:tcPr>
            <w:tcW w:w="7163" w:type="dxa"/>
            <w:gridSpan w:val="3"/>
            <w:vAlign w:val="center"/>
          </w:tcPr>
          <w:p w14:paraId="55163124">
            <w:pPr>
              <w:pStyle w:val="100"/>
              <w:spacing w:line="360" w:lineRule="auto"/>
              <w:rPr>
                <w:color w:val="auto"/>
              </w:rPr>
            </w:pPr>
            <w:r>
              <w:rPr>
                <w:rFonts w:hint="eastAsia" w:ascii="宋体" w:hAnsi="宋体"/>
                <w:bCs/>
                <w:color w:val="auto"/>
                <w:kern w:val="0"/>
                <w:sz w:val="24"/>
              </w:rPr>
              <w:t>《江苏涟水经济开发区循环经济产业园产业发展规划》，2022年1月</w:t>
            </w:r>
            <w:r>
              <w:rPr>
                <w:rFonts w:ascii="宋体" w:hAnsi="宋体"/>
                <w:bCs/>
                <w:color w:val="auto"/>
                <w:kern w:val="0"/>
                <w:sz w:val="24"/>
              </w:rPr>
              <w:t>《县政府关于同意调整江苏涟水经济开发区循环经济产业园产业发展定位的批复》（涟水县人民政府，涟政复〔2022〕11号，2022年3月11日）</w:t>
            </w:r>
          </w:p>
        </w:tc>
      </w:tr>
      <w:tr w14:paraId="0A456D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6" w:type="dxa"/>
            <w:gridSpan w:val="2"/>
            <w:vAlign w:val="center"/>
          </w:tcPr>
          <w:p w14:paraId="477893D4">
            <w:pPr>
              <w:adjustRightInd w:val="0"/>
              <w:snapToGrid w:val="0"/>
              <w:jc w:val="center"/>
              <w:rPr>
                <w:color w:val="auto"/>
                <w:sz w:val="24"/>
              </w:rPr>
            </w:pPr>
            <w:r>
              <w:rPr>
                <w:color w:val="auto"/>
                <w:sz w:val="24"/>
              </w:rPr>
              <w:t>规划环境影响</w:t>
            </w:r>
          </w:p>
          <w:p w14:paraId="683F8E8F">
            <w:pPr>
              <w:adjustRightInd w:val="0"/>
              <w:snapToGrid w:val="0"/>
              <w:jc w:val="center"/>
              <w:rPr>
                <w:color w:val="auto"/>
                <w:kern w:val="0"/>
                <w:sz w:val="24"/>
              </w:rPr>
            </w:pPr>
            <w:r>
              <w:rPr>
                <w:color w:val="auto"/>
                <w:sz w:val="24"/>
              </w:rPr>
              <w:t>评价情况</w:t>
            </w:r>
          </w:p>
        </w:tc>
        <w:tc>
          <w:tcPr>
            <w:tcW w:w="7163" w:type="dxa"/>
            <w:gridSpan w:val="3"/>
            <w:vAlign w:val="center"/>
          </w:tcPr>
          <w:p w14:paraId="6390D2B3">
            <w:pPr>
              <w:pStyle w:val="100"/>
              <w:rPr>
                <w:color w:val="auto"/>
              </w:rPr>
            </w:pPr>
          </w:p>
          <w:tbl>
            <w:tblPr>
              <w:tblStyle w:val="89"/>
              <w:tblW w:w="694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46"/>
              <w:gridCol w:w="2549"/>
              <w:gridCol w:w="1276"/>
              <w:gridCol w:w="2370"/>
            </w:tblGrid>
            <w:tr w14:paraId="27F885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6" w:type="dxa"/>
                  <w:vAlign w:val="center"/>
                </w:tcPr>
                <w:p w14:paraId="184AAE40">
                  <w:pPr>
                    <w:autoSpaceDE w:val="0"/>
                    <w:autoSpaceDN w:val="0"/>
                    <w:adjustRightInd w:val="0"/>
                    <w:spacing w:line="400" w:lineRule="exact"/>
                    <w:jc w:val="center"/>
                    <w:rPr>
                      <w:rFonts w:ascii="Times New Roman" w:cs="Times New Roman"/>
                      <w:b/>
                      <w:color w:val="auto"/>
                      <w:kern w:val="0"/>
                      <w:szCs w:val="21"/>
                    </w:rPr>
                  </w:pPr>
                  <w:r>
                    <w:rPr>
                      <w:rFonts w:hint="eastAsia" w:ascii="Times New Roman" w:cs="Times New Roman"/>
                      <w:b/>
                      <w:color w:val="auto"/>
                      <w:kern w:val="0"/>
                      <w:szCs w:val="21"/>
                    </w:rPr>
                    <w:t>序号</w:t>
                  </w:r>
                </w:p>
              </w:tc>
              <w:tc>
                <w:tcPr>
                  <w:tcW w:w="2549" w:type="dxa"/>
                  <w:vAlign w:val="center"/>
                </w:tcPr>
                <w:p w14:paraId="093DAA8B">
                  <w:pPr>
                    <w:autoSpaceDE w:val="0"/>
                    <w:autoSpaceDN w:val="0"/>
                    <w:adjustRightInd w:val="0"/>
                    <w:jc w:val="center"/>
                    <w:rPr>
                      <w:rFonts w:ascii="Times New Roman" w:cs="Times New Roman"/>
                      <w:b/>
                      <w:color w:val="auto"/>
                      <w:kern w:val="0"/>
                      <w:szCs w:val="21"/>
                    </w:rPr>
                  </w:pPr>
                  <w:r>
                    <w:rPr>
                      <w:rFonts w:hint="eastAsia" w:ascii="Times New Roman" w:cs="Times New Roman"/>
                      <w:b/>
                      <w:color w:val="auto"/>
                      <w:kern w:val="0"/>
                      <w:szCs w:val="21"/>
                    </w:rPr>
                    <w:t>规划环境影响评价文件名称</w:t>
                  </w:r>
                </w:p>
              </w:tc>
              <w:tc>
                <w:tcPr>
                  <w:tcW w:w="1276" w:type="dxa"/>
                  <w:vAlign w:val="center"/>
                </w:tcPr>
                <w:p w14:paraId="0041A570">
                  <w:pPr>
                    <w:autoSpaceDE w:val="0"/>
                    <w:autoSpaceDN w:val="0"/>
                    <w:adjustRightInd w:val="0"/>
                    <w:jc w:val="center"/>
                    <w:rPr>
                      <w:rFonts w:ascii="Times New Roman" w:cs="Times New Roman"/>
                      <w:b/>
                      <w:color w:val="auto"/>
                      <w:kern w:val="0"/>
                      <w:szCs w:val="21"/>
                    </w:rPr>
                  </w:pPr>
                  <w:r>
                    <w:rPr>
                      <w:rFonts w:hint="eastAsia" w:ascii="Times New Roman" w:cs="Times New Roman"/>
                      <w:b/>
                      <w:color w:val="auto"/>
                      <w:kern w:val="0"/>
                      <w:szCs w:val="21"/>
                    </w:rPr>
                    <w:t>召集审查机关</w:t>
                  </w:r>
                </w:p>
              </w:tc>
              <w:tc>
                <w:tcPr>
                  <w:tcW w:w="2370" w:type="dxa"/>
                  <w:vAlign w:val="center"/>
                </w:tcPr>
                <w:p w14:paraId="08825529">
                  <w:pPr>
                    <w:autoSpaceDE w:val="0"/>
                    <w:autoSpaceDN w:val="0"/>
                    <w:adjustRightInd w:val="0"/>
                    <w:jc w:val="center"/>
                    <w:rPr>
                      <w:rFonts w:ascii="Times New Roman" w:cs="Times New Roman"/>
                      <w:b/>
                      <w:color w:val="auto"/>
                      <w:kern w:val="0"/>
                      <w:szCs w:val="21"/>
                    </w:rPr>
                  </w:pPr>
                  <w:r>
                    <w:rPr>
                      <w:rFonts w:hint="eastAsia" w:ascii="Times New Roman" w:cs="Times New Roman"/>
                      <w:b/>
                      <w:color w:val="auto"/>
                      <w:kern w:val="0"/>
                      <w:szCs w:val="21"/>
                    </w:rPr>
                    <w:t>审查文件名称及文号</w:t>
                  </w:r>
                </w:p>
              </w:tc>
            </w:tr>
            <w:tr w14:paraId="4C7C75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6" w:type="dxa"/>
                  <w:vAlign w:val="center"/>
                </w:tcPr>
                <w:p w14:paraId="6215599B">
                  <w:pPr>
                    <w:autoSpaceDE w:val="0"/>
                    <w:autoSpaceDN w:val="0"/>
                    <w:adjustRightInd w:val="0"/>
                    <w:spacing w:line="400" w:lineRule="exact"/>
                    <w:jc w:val="center"/>
                    <w:rPr>
                      <w:rFonts w:ascii="Times New Roman" w:cs="Times New Roman"/>
                      <w:color w:val="auto"/>
                      <w:kern w:val="0"/>
                      <w:szCs w:val="21"/>
                    </w:rPr>
                  </w:pPr>
                  <w:r>
                    <w:rPr>
                      <w:rFonts w:ascii="Times New Roman" w:cs="Times New Roman"/>
                      <w:color w:val="auto"/>
                      <w:kern w:val="0"/>
                      <w:szCs w:val="21"/>
                    </w:rPr>
                    <w:t>1</w:t>
                  </w:r>
                </w:p>
              </w:tc>
              <w:tc>
                <w:tcPr>
                  <w:tcW w:w="2549" w:type="dxa"/>
                  <w:vAlign w:val="center"/>
                </w:tcPr>
                <w:p w14:paraId="4BE69F6F">
                  <w:pPr>
                    <w:autoSpaceDE w:val="0"/>
                    <w:autoSpaceDN w:val="0"/>
                    <w:adjustRightInd w:val="0"/>
                    <w:jc w:val="center"/>
                    <w:rPr>
                      <w:rFonts w:ascii="Times New Roman" w:cs="Times New Roman"/>
                      <w:color w:val="auto"/>
                      <w:kern w:val="0"/>
                      <w:szCs w:val="21"/>
                    </w:rPr>
                  </w:pPr>
                  <w:r>
                    <w:rPr>
                      <w:rFonts w:ascii="Times New Roman" w:cs="Times New Roman"/>
                      <w:color w:val="auto"/>
                      <w:kern w:val="0"/>
                      <w:szCs w:val="21"/>
                    </w:rPr>
                    <w:t>《江苏涟水经济开发区循环经济产业园产业发展规划环境影响报告书》</w:t>
                  </w:r>
                </w:p>
              </w:tc>
              <w:tc>
                <w:tcPr>
                  <w:tcW w:w="1276" w:type="dxa"/>
                  <w:vAlign w:val="center"/>
                </w:tcPr>
                <w:p w14:paraId="487DA3D1">
                  <w:pPr>
                    <w:autoSpaceDE w:val="0"/>
                    <w:autoSpaceDN w:val="0"/>
                    <w:adjustRightInd w:val="0"/>
                    <w:jc w:val="center"/>
                    <w:rPr>
                      <w:rFonts w:ascii="Times New Roman" w:cs="Times New Roman"/>
                      <w:color w:val="auto"/>
                      <w:kern w:val="0"/>
                      <w:szCs w:val="21"/>
                    </w:rPr>
                  </w:pPr>
                  <w:r>
                    <w:rPr>
                      <w:rFonts w:ascii="Times New Roman" w:cs="Times New Roman"/>
                      <w:color w:val="auto"/>
                      <w:kern w:val="0"/>
                      <w:szCs w:val="21"/>
                    </w:rPr>
                    <w:t>淮安市生态环境局</w:t>
                  </w:r>
                </w:p>
              </w:tc>
              <w:tc>
                <w:tcPr>
                  <w:tcW w:w="2370" w:type="dxa"/>
                  <w:vAlign w:val="center"/>
                </w:tcPr>
                <w:p w14:paraId="7640B384">
                  <w:pPr>
                    <w:autoSpaceDE w:val="0"/>
                    <w:autoSpaceDN w:val="0"/>
                    <w:adjustRightInd w:val="0"/>
                    <w:jc w:val="center"/>
                    <w:rPr>
                      <w:rFonts w:ascii="Times New Roman" w:cs="Times New Roman"/>
                      <w:color w:val="auto"/>
                      <w:kern w:val="0"/>
                      <w:szCs w:val="21"/>
                    </w:rPr>
                  </w:pPr>
                  <w:r>
                    <w:rPr>
                      <w:rFonts w:ascii="Times New Roman" w:cs="Times New Roman"/>
                      <w:color w:val="auto"/>
                      <w:kern w:val="0"/>
                      <w:szCs w:val="21"/>
                    </w:rPr>
                    <w:t>江苏涟水经济开发区循环经济产业园产业发展规划环境影响报告书审查意见，淮环函〔2022〕17 号</w:t>
                  </w:r>
                </w:p>
              </w:tc>
            </w:tr>
          </w:tbl>
          <w:p w14:paraId="177213CE">
            <w:pPr>
              <w:rPr>
                <w:color w:val="auto"/>
              </w:rPr>
            </w:pPr>
          </w:p>
          <w:p w14:paraId="1F06BCE7">
            <w:pPr>
              <w:pStyle w:val="100"/>
              <w:rPr>
                <w:color w:val="auto"/>
              </w:rPr>
            </w:pPr>
          </w:p>
        </w:tc>
      </w:tr>
      <w:tr w14:paraId="68A08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56" w:type="dxa"/>
            <w:tcBorders>
              <w:top w:val="single" w:color="auto" w:sz="4" w:space="0"/>
              <w:left w:val="single" w:color="auto" w:sz="4" w:space="0"/>
              <w:bottom w:val="single" w:color="auto" w:sz="4" w:space="0"/>
              <w:right w:val="single" w:color="auto" w:sz="6" w:space="0"/>
            </w:tcBorders>
            <w:vAlign w:val="center"/>
          </w:tcPr>
          <w:p w14:paraId="6915B0C6">
            <w:pPr>
              <w:adjustRightInd w:val="0"/>
              <w:snapToGrid w:val="0"/>
              <w:jc w:val="center"/>
              <w:rPr>
                <w:color w:val="auto"/>
                <w:kern w:val="0"/>
                <w:sz w:val="24"/>
              </w:rPr>
            </w:pPr>
            <w:r>
              <w:rPr>
                <w:color w:val="auto"/>
                <w:kern w:val="0"/>
                <w:sz w:val="24"/>
              </w:rPr>
              <w:t>规划及规划环境影响评价符合性分析</w:t>
            </w:r>
          </w:p>
        </w:tc>
        <w:tc>
          <w:tcPr>
            <w:tcW w:w="8413" w:type="dxa"/>
            <w:gridSpan w:val="4"/>
            <w:tcBorders>
              <w:top w:val="single" w:color="auto" w:sz="4" w:space="0"/>
              <w:left w:val="single" w:color="auto" w:sz="6" w:space="0"/>
              <w:bottom w:val="single" w:color="auto" w:sz="4" w:space="0"/>
              <w:right w:val="single" w:color="auto" w:sz="4" w:space="0"/>
            </w:tcBorders>
            <w:vAlign w:val="center"/>
          </w:tcPr>
          <w:p w14:paraId="199E41E1">
            <w:pPr>
              <w:autoSpaceDE w:val="0"/>
              <w:autoSpaceDN w:val="0"/>
              <w:adjustRightInd w:val="0"/>
              <w:snapToGrid w:val="0"/>
              <w:spacing w:line="360" w:lineRule="auto"/>
              <w:rPr>
                <w:b/>
                <w:color w:val="auto"/>
                <w:kern w:val="0"/>
                <w:sz w:val="24"/>
              </w:rPr>
            </w:pPr>
            <w:r>
              <w:rPr>
                <w:rFonts w:hint="eastAsia"/>
                <w:b/>
                <w:color w:val="auto"/>
                <w:kern w:val="0"/>
                <w:sz w:val="24"/>
              </w:rPr>
              <w:t xml:space="preserve">1.1 </w:t>
            </w:r>
            <w:r>
              <w:rPr>
                <w:b/>
                <w:color w:val="auto"/>
                <w:kern w:val="0"/>
                <w:sz w:val="24"/>
              </w:rPr>
              <w:t>规划及规划环境影响评价符合性分析</w:t>
            </w:r>
          </w:p>
          <w:p w14:paraId="1372B7AA">
            <w:pPr>
              <w:adjustRightInd w:val="0"/>
              <w:snapToGrid w:val="0"/>
              <w:spacing w:line="360" w:lineRule="auto"/>
              <w:ind w:firstLine="480" w:firstLineChars="200"/>
              <w:rPr>
                <w:rFonts w:ascii="Times New Roman" w:cs="Times New Roman"/>
                <w:color w:val="auto"/>
                <w:kern w:val="0"/>
                <w:sz w:val="24"/>
              </w:rPr>
            </w:pPr>
            <w:r>
              <w:rPr>
                <w:rFonts w:hint="eastAsia" w:ascii="Times New Roman" w:cs="Times New Roman"/>
                <w:color w:val="auto"/>
                <w:kern w:val="0"/>
                <w:sz w:val="24"/>
              </w:rPr>
              <w:t>一、与园区规划相符性分析</w:t>
            </w:r>
          </w:p>
          <w:p w14:paraId="00EACBA6">
            <w:pPr>
              <w:adjustRightInd w:val="0"/>
              <w:snapToGrid w:val="0"/>
              <w:spacing w:line="360" w:lineRule="auto"/>
              <w:ind w:firstLine="480" w:firstLineChars="200"/>
              <w:rPr>
                <w:rFonts w:ascii="Times New Roman" w:hAnsi="Times New Roman" w:cs="Times New Roman"/>
                <w:color w:val="auto"/>
                <w:kern w:val="0"/>
                <w:sz w:val="24"/>
              </w:rPr>
            </w:pPr>
            <w:r>
              <w:rPr>
                <w:rFonts w:hint="eastAsia" w:cs="Times New Roman"/>
                <w:color w:val="auto"/>
                <w:kern w:val="0"/>
                <w:sz w:val="24"/>
                <w:lang w:eastAsia="zh-CN"/>
              </w:rPr>
              <w:t>1.</w:t>
            </w:r>
            <w:r>
              <w:rPr>
                <w:rFonts w:ascii="Times New Roman" w:cs="Times New Roman"/>
                <w:color w:val="auto"/>
                <w:kern w:val="0"/>
                <w:sz w:val="24"/>
              </w:rPr>
              <w:t>规划面积及规划范围</w:t>
            </w:r>
          </w:p>
          <w:p w14:paraId="1D32EBA3">
            <w:pPr>
              <w:adjustRightInd w:val="0"/>
              <w:snapToGrid w:val="0"/>
              <w:spacing w:line="360" w:lineRule="auto"/>
              <w:ind w:firstLine="480" w:firstLineChars="200"/>
              <w:rPr>
                <w:rFonts w:ascii="Times New Roman" w:hAnsi="Times New Roman" w:cs="Times New Roman"/>
                <w:color w:val="auto"/>
                <w:kern w:val="0"/>
                <w:sz w:val="24"/>
              </w:rPr>
            </w:pPr>
            <w:r>
              <w:rPr>
                <w:rFonts w:ascii="Times New Roman" w:cs="Times New Roman"/>
                <w:color w:val="auto"/>
                <w:kern w:val="0"/>
                <w:sz w:val="24"/>
              </w:rPr>
              <w:t>江苏涟水经济开发区循环经济产业园规划范围为：以盐河为界，规划区分为东、西两部分，其中东片区面积</w:t>
            </w:r>
            <w:r>
              <w:rPr>
                <w:rFonts w:ascii="Times New Roman" w:hAnsi="Times New Roman" w:cs="Times New Roman"/>
                <w:color w:val="auto"/>
                <w:kern w:val="0"/>
                <w:sz w:val="24"/>
              </w:rPr>
              <w:t>229.8</w:t>
            </w:r>
            <w:r>
              <w:rPr>
                <w:rFonts w:ascii="Times New Roman" w:cs="Times New Roman"/>
                <w:color w:val="auto"/>
                <w:kern w:val="0"/>
                <w:sz w:val="24"/>
              </w:rPr>
              <w:t>公顷，四至范围为东至涟新路，西至经一路，南至纬十五路，北至附调河；西片区面积</w:t>
            </w:r>
            <w:r>
              <w:rPr>
                <w:rFonts w:ascii="Times New Roman" w:hAnsi="Times New Roman" w:cs="Times New Roman"/>
                <w:color w:val="auto"/>
                <w:kern w:val="0"/>
                <w:sz w:val="24"/>
              </w:rPr>
              <w:t>181.2</w:t>
            </w:r>
            <w:r>
              <w:rPr>
                <w:rFonts w:ascii="Times New Roman" w:cs="Times New Roman"/>
                <w:color w:val="auto"/>
                <w:kern w:val="0"/>
                <w:sz w:val="24"/>
              </w:rPr>
              <w:t>公顷，四至范围为东至循环一路，西至循环大道，南至环园南路，北至产业四路。</w:t>
            </w:r>
          </w:p>
          <w:p w14:paraId="095B04C5">
            <w:pPr>
              <w:adjustRightInd w:val="0"/>
              <w:snapToGrid w:val="0"/>
              <w:spacing w:line="360" w:lineRule="auto"/>
              <w:ind w:firstLine="480" w:firstLineChars="200"/>
              <w:rPr>
                <w:rFonts w:ascii="Times New Roman" w:hAnsi="Times New Roman" w:cs="Times New Roman"/>
                <w:color w:val="auto"/>
                <w:kern w:val="0"/>
                <w:sz w:val="24"/>
              </w:rPr>
            </w:pPr>
            <w:r>
              <w:rPr>
                <w:rFonts w:hint="eastAsia" w:cs="Times New Roman"/>
                <w:color w:val="auto"/>
                <w:kern w:val="0"/>
                <w:sz w:val="24"/>
                <w:lang w:eastAsia="zh-CN"/>
              </w:rPr>
              <w:t>2.</w:t>
            </w:r>
            <w:r>
              <w:rPr>
                <w:rFonts w:ascii="Times New Roman" w:cs="Times New Roman"/>
                <w:color w:val="auto"/>
                <w:kern w:val="0"/>
                <w:sz w:val="24"/>
              </w:rPr>
              <w:t>产业定位及布局</w:t>
            </w:r>
          </w:p>
          <w:p w14:paraId="38EB1627">
            <w:pPr>
              <w:adjustRightInd w:val="0"/>
              <w:snapToGrid w:val="0"/>
              <w:spacing w:line="360" w:lineRule="auto"/>
              <w:ind w:firstLine="480" w:firstLineChars="200"/>
              <w:rPr>
                <w:rFonts w:ascii="Times New Roman" w:hAnsi="Times New Roman" w:cs="Times New Roman"/>
                <w:color w:val="auto"/>
                <w:kern w:val="0"/>
                <w:sz w:val="24"/>
              </w:rPr>
            </w:pPr>
            <w:r>
              <w:rPr>
                <w:rFonts w:ascii="Times New Roman" w:cs="Times New Roman"/>
                <w:color w:val="auto"/>
                <w:kern w:val="0"/>
                <w:sz w:val="24"/>
              </w:rPr>
              <w:t>园区重点发展新材料、日化轻工两大主导产业和高端装备及精密机械支撑产业，建设以生态优先、绿色发展为引领的高新技术产业集聚特色循环经济产业园。</w:t>
            </w:r>
          </w:p>
          <w:p w14:paraId="0AEBBD5E">
            <w:pPr>
              <w:adjustRightInd w:val="0"/>
              <w:snapToGrid w:val="0"/>
              <w:spacing w:line="360" w:lineRule="auto"/>
              <w:ind w:firstLine="480" w:firstLineChars="200"/>
              <w:rPr>
                <w:rFonts w:ascii="Times New Roman" w:hAnsi="Times New Roman" w:cs="Times New Roman"/>
                <w:color w:val="auto"/>
                <w:kern w:val="0"/>
                <w:sz w:val="24"/>
              </w:rPr>
            </w:pPr>
            <w:r>
              <w:rPr>
                <w:rFonts w:ascii="Times New Roman" w:cs="Times New Roman"/>
                <w:color w:val="auto"/>
                <w:kern w:val="0"/>
                <w:sz w:val="24"/>
              </w:rPr>
              <w:t>东片区（转型升级组团）：以现有日化轻工产业基础为主体，对工业用地存量提质增效，引导现有化工企业转型升级，加快产业向绿色化、高端化、集群化发展，将其打造成为日化轻工产业集聚区，相关产业应符合省市化工等行业政策要求，重点发展领域包括：日用化学产品制造行业中品牌家化项目，食品及饲料添加剂制造项目，不涉及化工工艺的涂料制造（水性涂料项目）及物理改性塑料项目。</w:t>
            </w:r>
          </w:p>
          <w:p w14:paraId="3F5A8A3F">
            <w:pPr>
              <w:adjustRightInd w:val="0"/>
              <w:snapToGrid w:val="0"/>
              <w:spacing w:line="360" w:lineRule="auto"/>
              <w:ind w:firstLine="480" w:firstLineChars="200"/>
              <w:rPr>
                <w:rFonts w:ascii="Times New Roman" w:cs="Times New Roman"/>
                <w:color w:val="auto"/>
                <w:kern w:val="0"/>
                <w:sz w:val="24"/>
              </w:rPr>
            </w:pPr>
            <w:r>
              <w:rPr>
                <w:rFonts w:ascii="Times New Roman" w:hAnsi="Times New Roman" w:cs="Times New Roman"/>
                <w:color w:val="auto"/>
                <w:kern w:val="0"/>
                <w:sz w:val="24"/>
              </w:rPr>
              <w:t>2020</w:t>
            </w:r>
            <w:r>
              <w:rPr>
                <w:rFonts w:ascii="Times New Roman" w:cs="Times New Roman"/>
                <w:color w:val="auto"/>
                <w:kern w:val="0"/>
                <w:sz w:val="24"/>
              </w:rPr>
              <w:t>年产业园取消化工定位，不得新增化工生产企业，现有化工生产企业不得新建扩建化工生产项目（符合条件的复配类、</w:t>
            </w:r>
            <w:r>
              <w:rPr>
                <w:rFonts w:hint="eastAsia" w:cs="Times New Roman"/>
                <w:color w:val="auto"/>
                <w:kern w:val="0"/>
                <w:sz w:val="24"/>
                <w:lang w:eastAsia="zh-CN"/>
              </w:rPr>
              <w:t>涉</w:t>
            </w:r>
            <w:r>
              <w:rPr>
                <w:rFonts w:ascii="Times New Roman" w:cs="Times New Roman"/>
                <w:color w:val="auto"/>
                <w:kern w:val="0"/>
                <w:sz w:val="24"/>
              </w:rPr>
              <w:t>化工工艺类和化工重点监测点企业按相关规定执行）。根据江苏省化工产业安全环保整治提升领导小组《关于加强全省化工园区化工集中区外化工生产企业规范化管理的通知》（苏化治〔</w:t>
            </w:r>
            <w:r>
              <w:rPr>
                <w:rFonts w:ascii="Times New Roman" w:hAnsi="Times New Roman" w:cs="Times New Roman"/>
                <w:color w:val="auto"/>
                <w:kern w:val="0"/>
                <w:sz w:val="24"/>
              </w:rPr>
              <w:t>2021</w:t>
            </w:r>
            <w:r>
              <w:rPr>
                <w:rFonts w:ascii="Times New Roman" w:cs="Times New Roman"/>
                <w:color w:val="auto"/>
                <w:kern w:val="0"/>
                <w:sz w:val="24"/>
              </w:rPr>
              <w:t>〕</w:t>
            </w:r>
            <w:r>
              <w:rPr>
                <w:rFonts w:ascii="Times New Roman" w:hAnsi="Times New Roman" w:cs="Times New Roman"/>
                <w:color w:val="auto"/>
                <w:kern w:val="0"/>
                <w:sz w:val="24"/>
              </w:rPr>
              <w:t>4</w:t>
            </w:r>
            <w:r>
              <w:rPr>
                <w:rFonts w:ascii="Times New Roman" w:cs="Times New Roman"/>
                <w:color w:val="auto"/>
                <w:kern w:val="0"/>
                <w:sz w:val="24"/>
              </w:rPr>
              <w:t>号）：（八）不使用有毒有害危险化学品、环评类别依据《建设项目环境影响评价分类管理名录》为报告表以及不需要编制环评文件的农药制剂、涂料、润滑油、油墨、橡塑助剂、环保助剂等复配类企业（项目），可在依法批准设立并经设区市人民政府组织完成安全环保评估论证的县级及以上工业园区、工业集中区实施产业集聚建设发展。</w:t>
            </w:r>
          </w:p>
          <w:p w14:paraId="4C20C7BE">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产业园现有入区企业21家</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不含污水处理厂</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，其中</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江苏永创医药科技股份有限公司、江苏华源生态农业有限公司、江苏永安化工有限公司和</w:t>
            </w:r>
            <w:r>
              <w:rPr>
                <w:rFonts w:hint="default" w:ascii="Times New Roman" w:hAnsi="Times New Roman" w:eastAsia="宋体" w:cs="Times New Roman"/>
                <w:b/>
                <w:bCs/>
                <w:color w:val="auto"/>
                <w:kern w:val="0"/>
                <w:sz w:val="24"/>
              </w:rPr>
              <w:t>淮安华源化工有限公司</w:t>
            </w:r>
            <w:r>
              <w:rPr>
                <w:rFonts w:hint="default" w:ascii="Times New Roman" w:hAnsi="Times New Roman" w:eastAsia="宋体" w:cs="Times New Roman"/>
                <w:color w:val="auto"/>
                <w:kern w:val="0"/>
                <w:sz w:val="24"/>
              </w:rPr>
              <w:t>4家企业已取得化工重点监测点认定</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华昌智典新材料</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江苏</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有限公司计划申请化工监测点</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2023 年底前完成</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淮安源通电子材料有限公司已完成转型，转型为危险化学品经营企业</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淮安欣乐康日化有限公司、淮安华昌固废处理有限公司为非化工生产企业。</w:t>
            </w:r>
          </w:p>
          <w:p w14:paraId="7E2346EC">
            <w:pPr>
              <w:adjustRightInd w:val="0"/>
              <w:snapToGrid w:val="0"/>
              <w:spacing w:line="360" w:lineRule="auto"/>
              <w:ind w:firstLine="482"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b/>
                <w:bCs/>
                <w:color w:val="auto"/>
                <w:kern w:val="0"/>
                <w:sz w:val="24"/>
              </w:rPr>
              <w:t>根据《关于加强全省化工园区化工集中区外化工生产企业规范化管理的通知》</w:t>
            </w:r>
            <w:r>
              <w:rPr>
                <w:rFonts w:hint="eastAsia" w:ascii="Times New Roman" w:hAnsi="Times New Roman" w:eastAsia="宋体" w:cs="Times New Roman"/>
                <w:b/>
                <w:bCs/>
                <w:color w:val="auto"/>
                <w:kern w:val="0"/>
                <w:sz w:val="24"/>
                <w:lang w:eastAsia="zh-CN"/>
              </w:rPr>
              <w:t>（</w:t>
            </w:r>
            <w:r>
              <w:rPr>
                <w:rFonts w:hint="default" w:ascii="Times New Roman" w:hAnsi="Times New Roman" w:eastAsia="宋体" w:cs="Times New Roman"/>
                <w:b/>
                <w:bCs/>
                <w:color w:val="auto"/>
                <w:kern w:val="0"/>
                <w:sz w:val="24"/>
              </w:rPr>
              <w:t>苏化治</w:t>
            </w:r>
            <w:r>
              <w:rPr>
                <w:rFonts w:hint="eastAsia" w:cs="Times New Roman"/>
                <w:b/>
                <w:bCs/>
                <w:color w:val="auto"/>
                <w:kern w:val="0"/>
                <w:sz w:val="24"/>
                <w:lang w:eastAsia="zh-CN"/>
              </w:rPr>
              <w:t>〔2021〕4号</w:t>
            </w:r>
            <w:r>
              <w:rPr>
                <w:rFonts w:hint="eastAsia" w:ascii="Times New Roman" w:hAnsi="Times New Roman" w:eastAsia="宋体" w:cs="Times New Roman"/>
                <w:b/>
                <w:bCs/>
                <w:color w:val="auto"/>
                <w:kern w:val="0"/>
                <w:sz w:val="24"/>
                <w:lang w:eastAsia="zh-CN"/>
              </w:rPr>
              <w:t>）</w:t>
            </w:r>
            <w:r>
              <w:rPr>
                <w:rFonts w:hint="default" w:ascii="Times New Roman" w:hAnsi="Times New Roman" w:eastAsia="宋体" w:cs="Times New Roman"/>
                <w:b/>
                <w:bCs/>
                <w:color w:val="auto"/>
                <w:kern w:val="0"/>
                <w:sz w:val="24"/>
              </w:rPr>
              <w:t>要求</w:t>
            </w:r>
            <w:r>
              <w:rPr>
                <w:rFonts w:hint="eastAsia" w:ascii="Times New Roman" w:hAnsi="Times New Roman" w:eastAsia="宋体" w:cs="Times New Roman"/>
                <w:b/>
                <w:bCs/>
                <w:color w:val="auto"/>
                <w:kern w:val="0"/>
                <w:sz w:val="24"/>
                <w:lang w:eastAsia="zh-CN"/>
              </w:rPr>
              <w:t>：</w:t>
            </w:r>
            <w:r>
              <w:rPr>
                <w:rFonts w:hint="default" w:ascii="Times New Roman" w:hAnsi="Times New Roman" w:eastAsia="宋体" w:cs="Times New Roman"/>
                <w:b/>
                <w:bCs/>
                <w:color w:val="auto"/>
                <w:kern w:val="0"/>
                <w:sz w:val="24"/>
              </w:rPr>
              <w:t>“鼓励化工重点监测点企业通过信息化改造，依靠技术支撑实现安全风险的常态化、智慧化管控。鼓励企业在不新增供地和主要污染物排放总量的情况下，实施产业政策鼓励类、允许类的技术改造项目，但不得新建、扩建《环境保护综合名录</w:t>
            </w:r>
            <w:r>
              <w:rPr>
                <w:rFonts w:hint="eastAsia" w:ascii="Times New Roman" w:hAnsi="Times New Roman" w:eastAsia="宋体" w:cs="Times New Roman"/>
                <w:b/>
                <w:bCs/>
                <w:color w:val="auto"/>
                <w:kern w:val="0"/>
                <w:sz w:val="24"/>
                <w:lang w:eastAsia="zh-CN"/>
              </w:rPr>
              <w:t>（</w:t>
            </w:r>
            <w:r>
              <w:rPr>
                <w:rFonts w:hint="default" w:ascii="Times New Roman" w:hAnsi="Times New Roman" w:eastAsia="宋体" w:cs="Times New Roman"/>
                <w:b/>
                <w:bCs/>
                <w:color w:val="auto"/>
                <w:kern w:val="0"/>
                <w:sz w:val="24"/>
              </w:rPr>
              <w:t>2021年版</w:t>
            </w:r>
            <w:r>
              <w:rPr>
                <w:rFonts w:hint="eastAsia" w:ascii="Times New Roman" w:hAnsi="Times New Roman" w:eastAsia="宋体" w:cs="Times New Roman"/>
                <w:b/>
                <w:bCs/>
                <w:color w:val="auto"/>
                <w:kern w:val="0"/>
                <w:sz w:val="24"/>
                <w:lang w:eastAsia="zh-CN"/>
              </w:rPr>
              <w:t>）</w:t>
            </w:r>
            <w:r>
              <w:rPr>
                <w:rFonts w:hint="default" w:ascii="Times New Roman" w:hAnsi="Times New Roman" w:eastAsia="宋体" w:cs="Times New Roman"/>
                <w:b/>
                <w:bCs/>
                <w:color w:val="auto"/>
                <w:kern w:val="0"/>
                <w:sz w:val="24"/>
              </w:rPr>
              <w:t>》等文件明确的高污染项目。鼓励企业加快</w:t>
            </w:r>
            <w:r>
              <w:rPr>
                <w:rFonts w:hint="eastAsia" w:cs="Times New Roman"/>
                <w:b/>
                <w:bCs/>
                <w:color w:val="auto"/>
                <w:kern w:val="0"/>
                <w:sz w:val="24"/>
                <w:lang w:eastAsia="zh-CN"/>
              </w:rPr>
              <w:t>‘</w:t>
            </w:r>
            <w:r>
              <w:rPr>
                <w:rFonts w:hint="default" w:ascii="Times New Roman" w:hAnsi="Times New Roman" w:eastAsia="宋体" w:cs="Times New Roman"/>
                <w:b/>
                <w:bCs/>
                <w:color w:val="auto"/>
                <w:kern w:val="0"/>
                <w:sz w:val="24"/>
              </w:rPr>
              <w:t>机械化换人、自动化减人</w:t>
            </w:r>
            <w:r>
              <w:rPr>
                <w:rFonts w:hint="eastAsia" w:cs="Times New Roman"/>
                <w:b/>
                <w:bCs/>
                <w:color w:val="auto"/>
                <w:kern w:val="0"/>
                <w:sz w:val="24"/>
                <w:lang w:eastAsia="zh-CN"/>
              </w:rPr>
              <w:t>’</w:t>
            </w:r>
            <w:r>
              <w:rPr>
                <w:rFonts w:hint="default" w:ascii="Times New Roman" w:hAnsi="Times New Roman" w:eastAsia="宋体" w:cs="Times New Roman"/>
                <w:b/>
                <w:bCs/>
                <w:color w:val="auto"/>
                <w:kern w:val="0"/>
                <w:sz w:val="24"/>
              </w:rPr>
              <w:t>，积极创建智能车间、智能工厂和绿色工厂</w:t>
            </w:r>
            <w:r>
              <w:rPr>
                <w:rFonts w:hint="eastAsia" w:cs="Times New Roman"/>
                <w:b/>
                <w:bCs/>
                <w:color w:val="auto"/>
                <w:kern w:val="0"/>
                <w:sz w:val="24"/>
                <w:lang w:eastAsia="zh-CN"/>
              </w:rPr>
              <w:t>”“</w:t>
            </w:r>
            <w:r>
              <w:rPr>
                <w:rFonts w:hint="default" w:ascii="Times New Roman" w:hAnsi="Times New Roman" w:eastAsia="宋体" w:cs="Times New Roman"/>
                <w:color w:val="auto"/>
                <w:kern w:val="0"/>
                <w:sz w:val="24"/>
              </w:rPr>
              <w:t>非化工重点监测点企业仅能实施安全、环保、节能、信息化智能化、产品品质提升技术改造项目，不得新增和改变产品种类、扩大产品产能，并由市政府制定方案，统筹考虑逐步实现腾退，搬迁入园或关闭退出”。因此，现有入区企业与本轮产业园“重点发展新材料、日化轻工两大主导产业和高端装备及精密机械支撑产业，建设以生态优先、绿色发展为引领的高新技术产业集聚特色循环经济产业园”的发展方向及产业定位相符。</w:t>
            </w:r>
          </w:p>
          <w:p w14:paraId="0C6FBA13">
            <w:pPr>
              <w:adjustRightInd w:val="0"/>
              <w:snapToGrid w:val="0"/>
              <w:spacing w:line="360" w:lineRule="auto"/>
              <w:ind w:firstLine="480" w:firstLineChars="200"/>
              <w:rPr>
                <w:rFonts w:hint="eastAsia" w:cs="Times New Roman"/>
                <w:color w:val="auto"/>
                <w:kern w:val="0"/>
                <w:sz w:val="24"/>
                <w:lang w:eastAsia="zh-CN"/>
              </w:rPr>
            </w:pPr>
            <w:r>
              <w:rPr>
                <w:rFonts w:ascii="Times New Roman" w:cs="Times New Roman"/>
                <w:color w:val="auto"/>
                <w:kern w:val="0"/>
                <w:sz w:val="24"/>
              </w:rPr>
              <w:t>本项目</w:t>
            </w:r>
            <w:r>
              <w:rPr>
                <w:rFonts w:hint="eastAsia" w:cs="Times New Roman"/>
                <w:color w:val="auto"/>
                <w:kern w:val="0"/>
                <w:sz w:val="24"/>
                <w:lang w:eastAsia="zh-CN"/>
              </w:rPr>
              <w:t>建设单位为淮安华源化工有限公司，</w:t>
            </w:r>
            <w:r>
              <w:rPr>
                <w:rFonts w:hint="default" w:ascii="Times New Roman" w:hAnsi="Times New Roman" w:eastAsia="宋体" w:cs="Times New Roman"/>
                <w:color w:val="auto"/>
                <w:kern w:val="0"/>
                <w:sz w:val="24"/>
              </w:rPr>
              <w:t>已</w:t>
            </w:r>
            <w:r>
              <w:rPr>
                <w:rFonts w:hint="eastAsia" w:cs="Times New Roman"/>
                <w:color w:val="auto"/>
                <w:kern w:val="0"/>
                <w:sz w:val="24"/>
                <w:lang w:eastAsia="zh-CN"/>
              </w:rPr>
              <w:t>于</w:t>
            </w:r>
            <w:r>
              <w:rPr>
                <w:rFonts w:hint="eastAsia" w:cs="Times New Roman"/>
                <w:color w:val="auto"/>
                <w:kern w:val="0"/>
                <w:sz w:val="24"/>
                <w:lang w:val="en-US" w:eastAsia="zh-CN"/>
              </w:rPr>
              <w:t>2021年12月</w:t>
            </w:r>
            <w:r>
              <w:rPr>
                <w:rFonts w:hint="default" w:ascii="Times New Roman" w:hAnsi="Times New Roman" w:eastAsia="宋体" w:cs="Times New Roman"/>
                <w:color w:val="auto"/>
                <w:kern w:val="0"/>
                <w:sz w:val="24"/>
              </w:rPr>
              <w:t>取得化工重点监测点认</w:t>
            </w:r>
            <w:r>
              <w:rPr>
                <w:rFonts w:hint="eastAsia" w:cs="Times New Roman"/>
                <w:color w:val="auto"/>
                <w:kern w:val="0"/>
                <w:sz w:val="24"/>
                <w:lang w:eastAsia="zh-CN"/>
              </w:rPr>
              <w:t>定</w:t>
            </w:r>
            <w:r>
              <w:rPr>
                <w:rFonts w:hint="eastAsia"/>
                <w:color w:val="auto"/>
                <w:sz w:val="24"/>
                <w:lang w:eastAsia="zh-CN"/>
              </w:rPr>
              <w:t>，认定文件号：淮政办函〔2021〕22号</w:t>
            </w:r>
            <w:r>
              <w:rPr>
                <w:rFonts w:hint="eastAsia" w:cs="Times New Roman"/>
                <w:color w:val="auto"/>
                <w:kern w:val="0"/>
                <w:sz w:val="24"/>
                <w:lang w:eastAsia="zh-CN"/>
              </w:rPr>
              <w:t>。</w:t>
            </w:r>
          </w:p>
          <w:p w14:paraId="42F26739">
            <w:pPr>
              <w:adjustRightInd w:val="0"/>
              <w:snapToGrid w:val="0"/>
              <w:spacing w:line="360" w:lineRule="auto"/>
              <w:ind w:firstLine="480" w:firstLineChars="200"/>
              <w:rPr>
                <w:rFonts w:hint="eastAsia" w:cs="Times New Roman"/>
                <w:color w:val="auto"/>
                <w:kern w:val="0"/>
                <w:sz w:val="24"/>
                <w:lang w:eastAsia="zh-CN"/>
              </w:rPr>
            </w:pPr>
            <w:r>
              <w:rPr>
                <w:rFonts w:hint="eastAsia" w:cs="Times New Roman"/>
                <w:color w:val="auto"/>
                <w:kern w:val="0"/>
                <w:sz w:val="24"/>
                <w:lang w:eastAsia="zh-CN"/>
              </w:rPr>
              <w:t>根据江苏省工业和信息化厅等四部门出台《江苏省化工重点监测点认定管理办法》（自2026年1月1日起施行，有效期至2030年12月31日）“第十一条  化工重点监测点认定有效期内，出现下列情形之一的，不再作为化工重点监测点管理，三年内不予重新认定；符合停产停业或者关闭退出情形的，依法处理。</w:t>
            </w:r>
          </w:p>
          <w:p w14:paraId="6065D891">
            <w:pPr>
              <w:adjustRightInd w:val="0"/>
              <w:snapToGrid w:val="0"/>
              <w:spacing w:line="360" w:lineRule="auto"/>
              <w:ind w:firstLine="480" w:firstLineChars="200"/>
              <w:rPr>
                <w:rFonts w:hint="eastAsia" w:cs="Times New Roman"/>
                <w:color w:val="auto"/>
                <w:kern w:val="0"/>
                <w:sz w:val="24"/>
                <w:lang w:eastAsia="zh-CN"/>
              </w:rPr>
            </w:pPr>
            <w:r>
              <w:rPr>
                <w:rFonts w:hint="eastAsia" w:cs="Times New Roman"/>
                <w:color w:val="auto"/>
                <w:kern w:val="0"/>
                <w:sz w:val="24"/>
                <w:lang w:eastAsia="zh-CN"/>
              </w:rPr>
              <w:t>1.发生较大及以上生产安全事故，或者一般生产安全事故累计三次以上的；</w:t>
            </w:r>
          </w:p>
          <w:p w14:paraId="2161DF48">
            <w:pPr>
              <w:adjustRightInd w:val="0"/>
              <w:snapToGrid w:val="0"/>
              <w:spacing w:line="360" w:lineRule="auto"/>
              <w:ind w:firstLine="480" w:firstLineChars="200"/>
              <w:rPr>
                <w:rFonts w:hint="eastAsia" w:cs="Times New Roman"/>
                <w:color w:val="auto"/>
                <w:kern w:val="0"/>
                <w:sz w:val="24"/>
                <w:lang w:eastAsia="zh-CN"/>
              </w:rPr>
            </w:pPr>
            <w:r>
              <w:rPr>
                <w:rFonts w:hint="eastAsia" w:cs="Times New Roman"/>
                <w:color w:val="auto"/>
                <w:kern w:val="0"/>
                <w:sz w:val="24"/>
                <w:lang w:eastAsia="zh-CN"/>
              </w:rPr>
              <w:t>2.发生较大及以上突发生态环境事件，或者一般突发生态环境事件累计三次以上的；</w:t>
            </w:r>
          </w:p>
          <w:p w14:paraId="17B62E48">
            <w:pPr>
              <w:adjustRightInd w:val="0"/>
              <w:snapToGrid w:val="0"/>
              <w:spacing w:line="360" w:lineRule="auto"/>
              <w:ind w:firstLine="480" w:firstLineChars="200"/>
              <w:rPr>
                <w:rFonts w:hint="eastAsia" w:cs="Times New Roman"/>
                <w:color w:val="auto"/>
                <w:kern w:val="0"/>
                <w:sz w:val="24"/>
                <w:lang w:eastAsia="zh-CN"/>
              </w:rPr>
            </w:pPr>
            <w:r>
              <w:rPr>
                <w:rFonts w:hint="eastAsia" w:cs="Times New Roman"/>
                <w:color w:val="auto"/>
                <w:kern w:val="0"/>
                <w:sz w:val="24"/>
                <w:lang w:eastAsia="zh-CN"/>
              </w:rPr>
              <w:t>3.存在安全生产、环境污染等重大事故隐患且无法整改到位的；</w:t>
            </w:r>
          </w:p>
          <w:p w14:paraId="58FC4E37">
            <w:pPr>
              <w:adjustRightInd w:val="0"/>
              <w:snapToGrid w:val="0"/>
              <w:spacing w:line="360" w:lineRule="auto"/>
              <w:ind w:firstLine="480" w:firstLineChars="200"/>
              <w:rPr>
                <w:rFonts w:hint="eastAsia" w:cs="Times New Roman"/>
                <w:color w:val="auto"/>
                <w:kern w:val="0"/>
                <w:sz w:val="24"/>
                <w:lang w:eastAsia="zh-CN"/>
              </w:rPr>
            </w:pPr>
            <w:r>
              <w:rPr>
                <w:rFonts w:hint="eastAsia" w:cs="Times New Roman"/>
                <w:color w:val="auto"/>
                <w:kern w:val="0"/>
                <w:sz w:val="24"/>
                <w:lang w:eastAsia="zh-CN"/>
              </w:rPr>
              <w:t>4.企业或其相关人员因篡改、伪造监测数据，非法倾倒、处置危险废物等逃避监管行为或者其他涉及安全环保违法犯罪行为被追究刑事责任的；</w:t>
            </w:r>
          </w:p>
          <w:p w14:paraId="62C389A3">
            <w:pPr>
              <w:adjustRightInd w:val="0"/>
              <w:snapToGrid w:val="0"/>
              <w:spacing w:line="360" w:lineRule="auto"/>
              <w:ind w:firstLine="480" w:firstLineChars="200"/>
              <w:rPr>
                <w:rFonts w:hint="eastAsia" w:cs="Times New Roman"/>
                <w:color w:val="auto"/>
                <w:kern w:val="0"/>
                <w:sz w:val="24"/>
                <w:lang w:eastAsia="zh-CN"/>
              </w:rPr>
            </w:pPr>
            <w:r>
              <w:rPr>
                <w:rFonts w:hint="eastAsia" w:cs="Times New Roman"/>
                <w:color w:val="auto"/>
                <w:kern w:val="0"/>
                <w:sz w:val="24"/>
                <w:lang w:eastAsia="zh-CN"/>
              </w:rPr>
              <w:t>5.其他严重违反安全环保法律法规造成不良影响，不宜作为化工重点监测点管理的情形。</w:t>
            </w:r>
          </w:p>
          <w:p w14:paraId="2FE483DA">
            <w:pPr>
              <w:adjustRightInd w:val="0"/>
              <w:snapToGrid w:val="0"/>
              <w:spacing w:line="360" w:lineRule="auto"/>
              <w:ind w:firstLine="480" w:firstLineChars="200"/>
              <w:rPr>
                <w:rFonts w:hint="eastAsia" w:cs="Times New Roman"/>
                <w:color w:val="auto"/>
                <w:kern w:val="0"/>
                <w:sz w:val="24"/>
                <w:lang w:eastAsia="zh-CN"/>
              </w:rPr>
            </w:pPr>
            <w:r>
              <w:rPr>
                <w:rFonts w:hint="eastAsia" w:cs="Times New Roman"/>
                <w:color w:val="auto"/>
                <w:kern w:val="0"/>
                <w:sz w:val="24"/>
                <w:lang w:eastAsia="zh-CN"/>
              </w:rPr>
              <w:t>第十二条  本办法自2026年1月1日起施行，有效期至2030年12月31日。此前发布的有关规定与本办法不一致的，按本办法执行。”</w:t>
            </w:r>
          </w:p>
          <w:p w14:paraId="4E0519E0">
            <w:pPr>
              <w:adjustRightInd w:val="0"/>
              <w:snapToGrid w:val="0"/>
              <w:spacing w:line="360" w:lineRule="auto"/>
              <w:ind w:firstLine="480" w:firstLineChars="200"/>
              <w:rPr>
                <w:rFonts w:hint="default" w:cs="Times New Roman"/>
                <w:color w:val="auto"/>
                <w:kern w:val="0"/>
                <w:sz w:val="24"/>
                <w:lang w:val="en-US" w:eastAsia="zh-CN"/>
              </w:rPr>
            </w:pPr>
            <w:r>
              <w:rPr>
                <w:rFonts w:hint="eastAsia" w:cs="Times New Roman"/>
                <w:color w:val="auto"/>
                <w:kern w:val="0"/>
                <w:sz w:val="24"/>
                <w:lang w:eastAsia="zh-CN"/>
              </w:rPr>
              <w:t>华源化工已于</w:t>
            </w:r>
            <w:r>
              <w:rPr>
                <w:rFonts w:hint="eastAsia" w:cs="Times New Roman"/>
                <w:color w:val="auto"/>
                <w:kern w:val="0"/>
                <w:sz w:val="24"/>
                <w:lang w:val="en-US" w:eastAsia="zh-CN"/>
              </w:rPr>
              <w:t>2021年取得化工重点监测点认定，企业不存在办法第十一条规定的情形，满足重新认定的情形，目前企业正在办理重新认定。</w:t>
            </w:r>
          </w:p>
          <w:p w14:paraId="5ED02237">
            <w:pPr>
              <w:adjustRightInd w:val="0"/>
              <w:snapToGrid w:val="0"/>
              <w:spacing w:line="360" w:lineRule="auto"/>
              <w:ind w:firstLine="480" w:firstLineChars="200"/>
              <w:rPr>
                <w:rFonts w:ascii="Times New Roman" w:hAnsi="Times New Roman" w:cs="Times New Roman"/>
                <w:color w:val="auto"/>
                <w:kern w:val="0"/>
                <w:sz w:val="24"/>
              </w:rPr>
            </w:pPr>
            <w:r>
              <w:rPr>
                <w:rFonts w:hint="eastAsia" w:cs="Times New Roman"/>
                <w:color w:val="auto"/>
                <w:kern w:val="0"/>
                <w:sz w:val="24"/>
                <w:lang w:eastAsia="zh-CN"/>
              </w:rPr>
              <w:t>本次项目为现有项目原料</w:t>
            </w:r>
            <w:r>
              <w:rPr>
                <w:rFonts w:hint="eastAsia"/>
                <w:color w:val="auto"/>
                <w:sz w:val="24"/>
                <w:lang w:eastAsia="zh-CN"/>
              </w:rPr>
              <w:t>储存安全提升技改项目，不涉及主体工程的变更，不属于《环境保护综合名录（2021年版）》等文件明确的高污染项目</w:t>
            </w:r>
            <w:r>
              <w:rPr>
                <w:rFonts w:ascii="Times New Roman" w:cs="Times New Roman"/>
                <w:color w:val="auto"/>
                <w:kern w:val="0"/>
                <w:sz w:val="24"/>
              </w:rPr>
              <w:t>，与规划产业定位不相违背，符合规划要求。</w:t>
            </w:r>
          </w:p>
          <w:p w14:paraId="03F041CE">
            <w:pPr>
              <w:adjustRightInd w:val="0"/>
              <w:snapToGrid w:val="0"/>
              <w:spacing w:line="360" w:lineRule="auto"/>
              <w:ind w:firstLine="480" w:firstLineChars="200"/>
              <w:rPr>
                <w:rFonts w:ascii="Times New Roman" w:hAnsi="Times New Roman" w:cs="Times New Roman"/>
                <w:color w:val="auto"/>
                <w:kern w:val="0"/>
                <w:sz w:val="24"/>
              </w:rPr>
            </w:pPr>
            <w:r>
              <w:rPr>
                <w:rFonts w:hint="eastAsia" w:cs="Times New Roman"/>
                <w:color w:val="auto"/>
                <w:kern w:val="0"/>
                <w:sz w:val="24"/>
                <w:lang w:eastAsia="zh-CN"/>
              </w:rPr>
              <w:t>3.</w:t>
            </w:r>
            <w:r>
              <w:rPr>
                <w:rFonts w:ascii="Times New Roman" w:cs="Times New Roman"/>
                <w:color w:val="auto"/>
                <w:kern w:val="0"/>
                <w:sz w:val="24"/>
              </w:rPr>
              <w:t>集中供热设施</w:t>
            </w:r>
          </w:p>
          <w:p w14:paraId="5D3C194A">
            <w:pPr>
              <w:adjustRightInd w:val="0"/>
              <w:snapToGrid w:val="0"/>
              <w:spacing w:line="360" w:lineRule="auto"/>
              <w:ind w:firstLine="480" w:firstLineChars="200"/>
              <w:rPr>
                <w:rFonts w:ascii="Times New Roman" w:hAnsi="Times New Roman" w:cs="Times New Roman"/>
                <w:color w:val="auto"/>
                <w:kern w:val="0"/>
                <w:sz w:val="24"/>
              </w:rPr>
            </w:pPr>
            <w:r>
              <w:rPr>
                <w:rFonts w:ascii="Times New Roman" w:cs="Times New Roman"/>
                <w:color w:val="auto"/>
                <w:kern w:val="0"/>
                <w:sz w:val="24"/>
              </w:rPr>
              <w:t>由于产业园入驻企业较少，</w:t>
            </w:r>
            <w:r>
              <w:rPr>
                <w:rFonts w:hint="eastAsia" w:cs="Times New Roman"/>
                <w:color w:val="auto"/>
                <w:kern w:val="0"/>
                <w:sz w:val="24"/>
                <w:lang w:eastAsia="zh-CN"/>
              </w:rPr>
              <w:t>江苏涟水经济开发区循环经济产业园</w:t>
            </w:r>
            <w:r>
              <w:rPr>
                <w:rFonts w:ascii="Times New Roman" w:cs="Times New Roman"/>
                <w:color w:val="auto"/>
                <w:kern w:val="0"/>
                <w:sz w:val="24"/>
              </w:rPr>
              <w:t>规划的热电厂尚未建设。产业园原由淮安嘉诚高新化工股份有限公司供热工程提供热源（</w:t>
            </w:r>
            <w:r>
              <w:rPr>
                <w:rFonts w:ascii="Times New Roman" w:hAnsi="Times New Roman" w:cs="Times New Roman"/>
                <w:color w:val="auto"/>
                <w:kern w:val="0"/>
                <w:sz w:val="24"/>
              </w:rPr>
              <w:t>2</w:t>
            </w:r>
            <w:r>
              <w:rPr>
                <w:rFonts w:ascii="Times New Roman" w:cs="Times New Roman"/>
                <w:color w:val="auto"/>
                <w:kern w:val="0"/>
                <w:sz w:val="24"/>
              </w:rPr>
              <w:t>台燃煤锅炉，</w:t>
            </w:r>
            <w:r>
              <w:rPr>
                <w:rFonts w:ascii="Times New Roman" w:hAnsi="Times New Roman" w:cs="Times New Roman"/>
                <w:color w:val="auto"/>
                <w:kern w:val="0"/>
                <w:sz w:val="24"/>
              </w:rPr>
              <w:t>1×35t/h+1×20t/h</w:t>
            </w:r>
            <w:r>
              <w:rPr>
                <w:rFonts w:ascii="Times New Roman" w:cs="Times New Roman"/>
                <w:color w:val="auto"/>
                <w:kern w:val="0"/>
                <w:sz w:val="24"/>
              </w:rPr>
              <w:t>；该项目于</w:t>
            </w:r>
            <w:r>
              <w:rPr>
                <w:rFonts w:ascii="Times New Roman" w:hAnsi="Times New Roman" w:cs="Times New Roman"/>
                <w:color w:val="auto"/>
                <w:kern w:val="0"/>
                <w:sz w:val="24"/>
              </w:rPr>
              <w:t>2009</w:t>
            </w:r>
            <w:r>
              <w:rPr>
                <w:rFonts w:ascii="Times New Roman" w:cs="Times New Roman"/>
                <w:color w:val="auto"/>
                <w:kern w:val="0"/>
                <w:sz w:val="24"/>
              </w:rPr>
              <w:t>年取得环评批复（涟环表复〔</w:t>
            </w:r>
            <w:r>
              <w:rPr>
                <w:rFonts w:ascii="Times New Roman" w:hAnsi="Times New Roman" w:cs="Times New Roman"/>
                <w:color w:val="auto"/>
                <w:kern w:val="0"/>
                <w:sz w:val="24"/>
              </w:rPr>
              <w:t>2009</w:t>
            </w:r>
            <w:r>
              <w:rPr>
                <w:rFonts w:ascii="Times New Roman" w:cs="Times New Roman"/>
                <w:color w:val="auto"/>
                <w:kern w:val="0"/>
                <w:sz w:val="24"/>
              </w:rPr>
              <w:t>〕</w:t>
            </w:r>
            <w:r>
              <w:rPr>
                <w:rFonts w:ascii="Times New Roman" w:hAnsi="Times New Roman" w:cs="Times New Roman"/>
                <w:color w:val="auto"/>
                <w:kern w:val="0"/>
                <w:sz w:val="24"/>
              </w:rPr>
              <w:t>49</w:t>
            </w:r>
            <w:r>
              <w:rPr>
                <w:rFonts w:ascii="Times New Roman" w:cs="Times New Roman"/>
                <w:color w:val="auto"/>
                <w:kern w:val="0"/>
                <w:sz w:val="24"/>
              </w:rPr>
              <w:t>号）、</w:t>
            </w:r>
            <w:r>
              <w:rPr>
                <w:rFonts w:ascii="Times New Roman" w:hAnsi="Times New Roman" w:cs="Times New Roman"/>
                <w:color w:val="auto"/>
                <w:kern w:val="0"/>
                <w:sz w:val="24"/>
              </w:rPr>
              <w:t>2015</w:t>
            </w:r>
            <w:r>
              <w:rPr>
                <w:rFonts w:ascii="Times New Roman" w:cs="Times New Roman"/>
                <w:color w:val="auto"/>
                <w:kern w:val="0"/>
                <w:sz w:val="24"/>
              </w:rPr>
              <w:t>年</w:t>
            </w:r>
            <w:r>
              <w:rPr>
                <w:rFonts w:ascii="Times New Roman" w:hAnsi="Times New Roman" w:cs="Times New Roman"/>
                <w:color w:val="auto"/>
                <w:kern w:val="0"/>
                <w:sz w:val="24"/>
              </w:rPr>
              <w:t>3</w:t>
            </w:r>
            <w:r>
              <w:rPr>
                <w:rFonts w:ascii="Times New Roman" w:cs="Times New Roman"/>
                <w:color w:val="auto"/>
                <w:kern w:val="0"/>
                <w:sz w:val="24"/>
              </w:rPr>
              <w:t>月通过环保</w:t>
            </w:r>
            <w:r>
              <w:rPr>
                <w:rFonts w:ascii="Times New Roman" w:hAnsi="Times New Roman" w:cs="Times New Roman"/>
                <w:color w:val="auto"/>
                <w:kern w:val="0"/>
                <w:sz w:val="24"/>
              </w:rPr>
              <w:t>“</w:t>
            </w:r>
            <w:r>
              <w:rPr>
                <w:rFonts w:ascii="Times New Roman" w:cs="Times New Roman"/>
                <w:color w:val="auto"/>
                <w:kern w:val="0"/>
                <w:sz w:val="24"/>
              </w:rPr>
              <w:t>三同时</w:t>
            </w:r>
            <w:r>
              <w:rPr>
                <w:rFonts w:ascii="Times New Roman" w:hAnsi="Times New Roman" w:cs="Times New Roman"/>
                <w:color w:val="auto"/>
                <w:kern w:val="0"/>
                <w:sz w:val="24"/>
              </w:rPr>
              <w:t>”</w:t>
            </w:r>
            <w:r>
              <w:rPr>
                <w:rFonts w:ascii="Times New Roman" w:cs="Times New Roman"/>
                <w:color w:val="auto"/>
                <w:kern w:val="0"/>
                <w:sz w:val="24"/>
              </w:rPr>
              <w:t>竣工验收），设计热负荷为</w:t>
            </w:r>
            <w:r>
              <w:rPr>
                <w:rFonts w:ascii="Times New Roman" w:hAnsi="Times New Roman" w:cs="Times New Roman"/>
                <w:color w:val="auto"/>
                <w:kern w:val="0"/>
                <w:sz w:val="24"/>
              </w:rPr>
              <w:t>55t/h</w:t>
            </w:r>
            <w:r>
              <w:rPr>
                <w:rFonts w:ascii="Times New Roman" w:cs="Times New Roman"/>
                <w:color w:val="auto"/>
                <w:kern w:val="0"/>
                <w:sz w:val="24"/>
              </w:rPr>
              <w:t>。</w:t>
            </w:r>
          </w:p>
          <w:p w14:paraId="2E73B4FE">
            <w:pPr>
              <w:adjustRightInd w:val="0"/>
              <w:snapToGrid w:val="0"/>
              <w:spacing w:line="360" w:lineRule="auto"/>
              <w:ind w:firstLine="480" w:firstLineChars="200"/>
              <w:rPr>
                <w:rFonts w:ascii="Times New Roman" w:cs="Times New Roman"/>
                <w:color w:val="auto"/>
                <w:kern w:val="0"/>
                <w:sz w:val="24"/>
              </w:rPr>
            </w:pPr>
            <w:r>
              <w:rPr>
                <w:rFonts w:ascii="Times New Roman" w:cs="Times New Roman"/>
                <w:color w:val="auto"/>
                <w:kern w:val="0"/>
                <w:sz w:val="24"/>
              </w:rPr>
              <w:t>根据《</w:t>
            </w:r>
            <w:r>
              <w:rPr>
                <w:rFonts w:ascii="Times New Roman" w:hAnsi="Times New Roman" w:cs="Times New Roman"/>
                <w:color w:val="auto"/>
                <w:kern w:val="0"/>
                <w:sz w:val="24"/>
              </w:rPr>
              <w:t>“</w:t>
            </w:r>
            <w:r>
              <w:rPr>
                <w:rFonts w:ascii="Times New Roman" w:cs="Times New Roman"/>
                <w:color w:val="auto"/>
                <w:kern w:val="0"/>
                <w:sz w:val="24"/>
              </w:rPr>
              <w:t>两减六治三提升</w:t>
            </w:r>
            <w:r>
              <w:rPr>
                <w:rFonts w:ascii="Times New Roman" w:hAnsi="Times New Roman" w:cs="Times New Roman"/>
                <w:color w:val="auto"/>
                <w:kern w:val="0"/>
                <w:sz w:val="24"/>
              </w:rPr>
              <w:t>”</w:t>
            </w:r>
            <w:r>
              <w:rPr>
                <w:rFonts w:ascii="Times New Roman" w:cs="Times New Roman"/>
                <w:color w:val="auto"/>
                <w:kern w:val="0"/>
                <w:sz w:val="24"/>
              </w:rPr>
              <w:t>专项行动方案》（苏政办发〔</w:t>
            </w:r>
            <w:r>
              <w:rPr>
                <w:rFonts w:ascii="Times New Roman" w:hAnsi="Times New Roman" w:cs="Times New Roman"/>
                <w:color w:val="auto"/>
                <w:kern w:val="0"/>
                <w:sz w:val="24"/>
              </w:rPr>
              <w:t>2017</w:t>
            </w:r>
            <w:r>
              <w:rPr>
                <w:rFonts w:ascii="Times New Roman" w:cs="Times New Roman"/>
                <w:color w:val="auto"/>
                <w:kern w:val="0"/>
                <w:sz w:val="24"/>
              </w:rPr>
              <w:t>〕</w:t>
            </w:r>
            <w:r>
              <w:rPr>
                <w:rFonts w:ascii="Times New Roman" w:hAnsi="Times New Roman" w:cs="Times New Roman"/>
                <w:color w:val="auto"/>
                <w:kern w:val="0"/>
                <w:sz w:val="24"/>
              </w:rPr>
              <w:t xml:space="preserve">30 </w:t>
            </w:r>
            <w:r>
              <w:rPr>
                <w:rFonts w:ascii="Times New Roman" w:cs="Times New Roman"/>
                <w:color w:val="auto"/>
                <w:kern w:val="0"/>
                <w:sz w:val="24"/>
              </w:rPr>
              <w:t>号）</w:t>
            </w:r>
            <w:r>
              <w:rPr>
                <w:rFonts w:ascii="Times New Roman" w:hAnsi="Times New Roman" w:cs="Times New Roman"/>
                <w:color w:val="auto"/>
                <w:kern w:val="0"/>
                <w:sz w:val="24"/>
              </w:rPr>
              <w:t>“</w:t>
            </w:r>
            <w:r>
              <w:rPr>
                <w:rFonts w:ascii="Times New Roman" w:cs="Times New Roman"/>
                <w:color w:val="auto"/>
                <w:kern w:val="0"/>
                <w:sz w:val="24"/>
              </w:rPr>
              <w:t>分类整治燃煤锅炉，禁止新建燃煤供热锅炉，</w:t>
            </w:r>
            <w:r>
              <w:rPr>
                <w:rFonts w:ascii="Times New Roman" w:hAnsi="Times New Roman" w:cs="Times New Roman"/>
                <w:color w:val="auto"/>
                <w:kern w:val="0"/>
                <w:sz w:val="24"/>
              </w:rPr>
              <w:t>2019</w:t>
            </w:r>
            <w:r>
              <w:rPr>
                <w:rFonts w:ascii="Times New Roman" w:cs="Times New Roman"/>
                <w:color w:val="auto"/>
                <w:kern w:val="0"/>
                <w:sz w:val="24"/>
              </w:rPr>
              <w:t>年底前，</w:t>
            </w:r>
            <w:r>
              <w:rPr>
                <w:rFonts w:ascii="Times New Roman" w:hAnsi="Times New Roman" w:cs="Times New Roman"/>
                <w:color w:val="auto"/>
                <w:kern w:val="0"/>
                <w:sz w:val="24"/>
              </w:rPr>
              <w:t xml:space="preserve">35 </w:t>
            </w:r>
            <w:r>
              <w:rPr>
                <w:rFonts w:ascii="Times New Roman" w:cs="Times New Roman"/>
                <w:color w:val="auto"/>
                <w:kern w:val="0"/>
                <w:sz w:val="24"/>
              </w:rPr>
              <w:t>蒸吨</w:t>
            </w:r>
            <w:r>
              <w:rPr>
                <w:rFonts w:ascii="Times New Roman" w:hAnsi="Times New Roman" w:cs="Times New Roman"/>
                <w:color w:val="auto"/>
                <w:kern w:val="0"/>
                <w:sz w:val="24"/>
              </w:rPr>
              <w:t>/</w:t>
            </w:r>
            <w:r>
              <w:rPr>
                <w:rFonts w:ascii="Times New Roman" w:cs="Times New Roman"/>
                <w:color w:val="auto"/>
                <w:kern w:val="0"/>
                <w:sz w:val="24"/>
              </w:rPr>
              <w:t>小时及以下的燃煤锅炉全部淘汰或实施清洁能源替代</w:t>
            </w:r>
            <w:r>
              <w:rPr>
                <w:rFonts w:ascii="Times New Roman" w:hAnsi="Times New Roman" w:cs="Times New Roman"/>
                <w:color w:val="auto"/>
                <w:kern w:val="0"/>
                <w:sz w:val="24"/>
              </w:rPr>
              <w:t>”</w:t>
            </w:r>
            <w:r>
              <w:rPr>
                <w:rFonts w:ascii="Times New Roman" w:cs="Times New Roman"/>
                <w:color w:val="auto"/>
                <w:kern w:val="0"/>
                <w:sz w:val="24"/>
              </w:rPr>
              <w:t>。因此，由淮安华昌固废处置有限公司建设</w:t>
            </w:r>
            <w:r>
              <w:rPr>
                <w:rFonts w:ascii="Times New Roman" w:hAnsi="Times New Roman" w:cs="Times New Roman"/>
                <w:color w:val="auto"/>
                <w:kern w:val="0"/>
                <w:sz w:val="24"/>
              </w:rPr>
              <w:t>4×20t/h</w:t>
            </w:r>
            <w:r>
              <w:rPr>
                <w:rFonts w:ascii="Times New Roman" w:cs="Times New Roman"/>
                <w:color w:val="auto"/>
                <w:kern w:val="0"/>
                <w:sz w:val="24"/>
              </w:rPr>
              <w:t>天然气蒸汽锅炉（</w:t>
            </w:r>
            <w:r>
              <w:rPr>
                <w:rFonts w:ascii="Times New Roman" w:hAnsi="Times New Roman" w:cs="Times New Roman"/>
                <w:color w:val="auto"/>
                <w:kern w:val="0"/>
                <w:sz w:val="24"/>
              </w:rPr>
              <w:t>3</w:t>
            </w:r>
            <w:r>
              <w:rPr>
                <w:rFonts w:ascii="Times New Roman" w:cs="Times New Roman"/>
                <w:color w:val="auto"/>
                <w:kern w:val="0"/>
                <w:sz w:val="24"/>
              </w:rPr>
              <w:t>用</w:t>
            </w:r>
            <w:r>
              <w:rPr>
                <w:rFonts w:ascii="Times New Roman" w:hAnsi="Times New Roman" w:cs="Times New Roman"/>
                <w:color w:val="auto"/>
                <w:kern w:val="0"/>
                <w:sz w:val="24"/>
              </w:rPr>
              <w:t>1</w:t>
            </w:r>
            <w:r>
              <w:rPr>
                <w:rFonts w:ascii="Times New Roman" w:cs="Times New Roman"/>
                <w:color w:val="auto"/>
                <w:kern w:val="0"/>
                <w:sz w:val="24"/>
              </w:rPr>
              <w:t>备）、设计供蒸汽</w:t>
            </w:r>
            <w:r>
              <w:rPr>
                <w:rFonts w:ascii="Times New Roman" w:hAnsi="Times New Roman" w:cs="Times New Roman"/>
                <w:color w:val="auto"/>
                <w:kern w:val="0"/>
                <w:sz w:val="24"/>
              </w:rPr>
              <w:t>45</w:t>
            </w:r>
            <w:r>
              <w:rPr>
                <w:rFonts w:ascii="Times New Roman" w:cs="Times New Roman"/>
                <w:color w:val="auto"/>
                <w:kern w:val="0"/>
                <w:sz w:val="24"/>
              </w:rPr>
              <w:t>万</w:t>
            </w:r>
            <w:r>
              <w:rPr>
                <w:rFonts w:ascii="Times New Roman" w:hAnsi="Times New Roman" w:cs="Times New Roman"/>
                <w:color w:val="auto"/>
                <w:kern w:val="0"/>
                <w:sz w:val="24"/>
              </w:rPr>
              <w:t>t/a</w:t>
            </w:r>
            <w:r>
              <w:rPr>
                <w:rFonts w:ascii="Times New Roman" w:cs="Times New Roman"/>
                <w:color w:val="auto"/>
                <w:kern w:val="0"/>
                <w:sz w:val="24"/>
              </w:rPr>
              <w:t>（该项目于</w:t>
            </w:r>
            <w:r>
              <w:rPr>
                <w:rFonts w:ascii="Times New Roman" w:hAnsi="Times New Roman" w:cs="Times New Roman"/>
                <w:color w:val="auto"/>
                <w:kern w:val="0"/>
                <w:sz w:val="24"/>
              </w:rPr>
              <w:t>2019</w:t>
            </w:r>
            <w:r>
              <w:rPr>
                <w:rFonts w:ascii="Times New Roman" w:cs="Times New Roman"/>
                <w:color w:val="auto"/>
                <w:kern w:val="0"/>
                <w:sz w:val="24"/>
              </w:rPr>
              <w:t>年</w:t>
            </w:r>
            <w:r>
              <w:rPr>
                <w:rFonts w:ascii="Times New Roman" w:hAnsi="Times New Roman" w:cs="Times New Roman"/>
                <w:color w:val="auto"/>
                <w:kern w:val="0"/>
                <w:sz w:val="24"/>
              </w:rPr>
              <w:t>10</w:t>
            </w:r>
            <w:r>
              <w:rPr>
                <w:rFonts w:ascii="Times New Roman" w:cs="Times New Roman"/>
                <w:color w:val="auto"/>
                <w:kern w:val="0"/>
                <w:sz w:val="24"/>
              </w:rPr>
              <w:t>月</w:t>
            </w:r>
            <w:r>
              <w:rPr>
                <w:rFonts w:ascii="Times New Roman" w:hAnsi="Times New Roman" w:cs="Times New Roman"/>
                <w:color w:val="auto"/>
                <w:kern w:val="0"/>
                <w:sz w:val="24"/>
              </w:rPr>
              <w:t>10</w:t>
            </w:r>
            <w:r>
              <w:rPr>
                <w:rFonts w:ascii="Times New Roman" w:cs="Times New Roman"/>
                <w:color w:val="auto"/>
                <w:kern w:val="0"/>
                <w:sz w:val="24"/>
              </w:rPr>
              <w:t>日取得环评批复（涟环表复〔</w:t>
            </w:r>
            <w:r>
              <w:rPr>
                <w:rFonts w:ascii="Times New Roman" w:hAnsi="Times New Roman" w:cs="Times New Roman"/>
                <w:color w:val="auto"/>
                <w:kern w:val="0"/>
                <w:sz w:val="24"/>
              </w:rPr>
              <w:t>2019</w:t>
            </w:r>
            <w:r>
              <w:rPr>
                <w:rFonts w:ascii="Times New Roman" w:cs="Times New Roman"/>
                <w:color w:val="auto"/>
                <w:kern w:val="0"/>
                <w:sz w:val="24"/>
              </w:rPr>
              <w:t>〕</w:t>
            </w:r>
            <w:r>
              <w:rPr>
                <w:rFonts w:ascii="Times New Roman" w:hAnsi="Times New Roman" w:cs="Times New Roman"/>
                <w:color w:val="auto"/>
                <w:kern w:val="0"/>
                <w:sz w:val="24"/>
              </w:rPr>
              <w:t>65</w:t>
            </w:r>
            <w:r>
              <w:rPr>
                <w:rFonts w:ascii="Times New Roman" w:cs="Times New Roman"/>
                <w:color w:val="auto"/>
                <w:kern w:val="0"/>
                <w:sz w:val="24"/>
              </w:rPr>
              <w:t>号），</w:t>
            </w:r>
            <w:r>
              <w:rPr>
                <w:rFonts w:ascii="Times New Roman" w:hAnsi="Times New Roman" w:cs="Times New Roman"/>
                <w:color w:val="auto"/>
                <w:kern w:val="0"/>
                <w:sz w:val="24"/>
              </w:rPr>
              <w:t>2020</w:t>
            </w:r>
            <w:r>
              <w:rPr>
                <w:rFonts w:ascii="Times New Roman" w:cs="Times New Roman"/>
                <w:color w:val="auto"/>
                <w:kern w:val="0"/>
                <w:sz w:val="24"/>
              </w:rPr>
              <w:t>年</w:t>
            </w:r>
            <w:r>
              <w:rPr>
                <w:rFonts w:ascii="Times New Roman" w:hAnsi="Times New Roman" w:cs="Times New Roman"/>
                <w:color w:val="auto"/>
                <w:kern w:val="0"/>
                <w:sz w:val="24"/>
              </w:rPr>
              <w:t>7</w:t>
            </w:r>
            <w:r>
              <w:rPr>
                <w:rFonts w:ascii="Times New Roman" w:cs="Times New Roman"/>
                <w:color w:val="auto"/>
                <w:kern w:val="0"/>
                <w:sz w:val="24"/>
              </w:rPr>
              <w:t>月</w:t>
            </w:r>
            <w:r>
              <w:rPr>
                <w:rFonts w:ascii="Times New Roman" w:hAnsi="Times New Roman" w:cs="Times New Roman"/>
                <w:color w:val="auto"/>
                <w:kern w:val="0"/>
                <w:sz w:val="24"/>
              </w:rPr>
              <w:t>10</w:t>
            </w:r>
            <w:r>
              <w:rPr>
                <w:rFonts w:ascii="Times New Roman" w:cs="Times New Roman"/>
                <w:color w:val="auto"/>
                <w:kern w:val="0"/>
                <w:sz w:val="24"/>
              </w:rPr>
              <w:t>日通过环保</w:t>
            </w:r>
            <w:r>
              <w:rPr>
                <w:rFonts w:ascii="Times New Roman" w:hAnsi="Times New Roman" w:cs="Times New Roman"/>
                <w:color w:val="auto"/>
                <w:kern w:val="0"/>
                <w:sz w:val="24"/>
              </w:rPr>
              <w:t>“</w:t>
            </w:r>
            <w:r>
              <w:rPr>
                <w:rFonts w:ascii="Times New Roman" w:cs="Times New Roman"/>
                <w:color w:val="auto"/>
                <w:kern w:val="0"/>
                <w:sz w:val="24"/>
              </w:rPr>
              <w:t>三同时</w:t>
            </w:r>
            <w:r>
              <w:rPr>
                <w:rFonts w:ascii="Times New Roman" w:hAnsi="Times New Roman" w:cs="Times New Roman"/>
                <w:color w:val="auto"/>
                <w:kern w:val="0"/>
                <w:sz w:val="24"/>
              </w:rPr>
              <w:t>”</w:t>
            </w:r>
            <w:r>
              <w:rPr>
                <w:rFonts w:ascii="Times New Roman" w:cs="Times New Roman"/>
                <w:color w:val="auto"/>
                <w:kern w:val="0"/>
                <w:sz w:val="24"/>
              </w:rPr>
              <w:t>竣工验收），取代淮安嘉诚高新化工股份有限公司</w:t>
            </w:r>
            <w:r>
              <w:rPr>
                <w:rFonts w:ascii="Times New Roman" w:hAnsi="Times New Roman" w:cs="Times New Roman"/>
                <w:color w:val="auto"/>
                <w:kern w:val="0"/>
                <w:sz w:val="24"/>
              </w:rPr>
              <w:t>2</w:t>
            </w:r>
            <w:r>
              <w:rPr>
                <w:rFonts w:ascii="Times New Roman" w:cs="Times New Roman"/>
                <w:color w:val="auto"/>
                <w:kern w:val="0"/>
                <w:sz w:val="24"/>
              </w:rPr>
              <w:t>台燃煤锅炉。根据《循环经济产业园建设指挥部专题会议纪要》（第</w:t>
            </w:r>
            <w:r>
              <w:rPr>
                <w:rFonts w:ascii="Times New Roman" w:hAnsi="Times New Roman" w:cs="Times New Roman"/>
                <w:color w:val="auto"/>
                <w:kern w:val="0"/>
                <w:sz w:val="24"/>
              </w:rPr>
              <w:t>1</w:t>
            </w:r>
            <w:r>
              <w:rPr>
                <w:rFonts w:ascii="Times New Roman" w:cs="Times New Roman"/>
                <w:color w:val="auto"/>
                <w:kern w:val="0"/>
                <w:sz w:val="24"/>
              </w:rPr>
              <w:t>号，</w:t>
            </w:r>
            <w:r>
              <w:rPr>
                <w:rFonts w:ascii="Times New Roman" w:hAnsi="Times New Roman" w:cs="Times New Roman"/>
                <w:color w:val="auto"/>
                <w:kern w:val="0"/>
                <w:sz w:val="24"/>
              </w:rPr>
              <w:t>2019</w:t>
            </w:r>
            <w:r>
              <w:rPr>
                <w:rFonts w:ascii="Times New Roman" w:cs="Times New Roman"/>
                <w:color w:val="auto"/>
                <w:kern w:val="0"/>
                <w:sz w:val="24"/>
              </w:rPr>
              <w:t>年</w:t>
            </w:r>
            <w:r>
              <w:rPr>
                <w:rFonts w:ascii="Times New Roman" w:hAnsi="Times New Roman" w:cs="Times New Roman"/>
                <w:color w:val="auto"/>
                <w:kern w:val="0"/>
                <w:sz w:val="24"/>
              </w:rPr>
              <w:t>6</w:t>
            </w:r>
            <w:r>
              <w:rPr>
                <w:rFonts w:ascii="Times New Roman" w:cs="Times New Roman"/>
                <w:color w:val="auto"/>
                <w:kern w:val="0"/>
                <w:sz w:val="24"/>
              </w:rPr>
              <w:t>月</w:t>
            </w:r>
            <w:r>
              <w:rPr>
                <w:rFonts w:ascii="Times New Roman" w:hAnsi="Times New Roman" w:cs="Times New Roman"/>
                <w:color w:val="auto"/>
                <w:kern w:val="0"/>
                <w:sz w:val="24"/>
              </w:rPr>
              <w:t>26</w:t>
            </w:r>
            <w:r>
              <w:rPr>
                <w:rFonts w:ascii="Times New Roman" w:cs="Times New Roman"/>
                <w:color w:val="auto"/>
                <w:kern w:val="0"/>
                <w:sz w:val="24"/>
              </w:rPr>
              <w:t>日），明确由淮安华昌固废处置有限公司建设天然气蒸汽锅炉为</w:t>
            </w:r>
            <w:r>
              <w:rPr>
                <w:rFonts w:hint="eastAsia" w:cs="Times New Roman"/>
                <w:color w:val="auto"/>
                <w:kern w:val="0"/>
                <w:sz w:val="24"/>
                <w:lang w:eastAsia="zh-CN"/>
              </w:rPr>
              <w:t>江苏涟水经济开发区循环经济产业园</w:t>
            </w:r>
            <w:r>
              <w:rPr>
                <w:rFonts w:ascii="Times New Roman" w:cs="Times New Roman"/>
                <w:color w:val="auto"/>
                <w:kern w:val="0"/>
                <w:sz w:val="24"/>
              </w:rPr>
              <w:t>企业提供蒸汽，园区内企业未经</w:t>
            </w:r>
            <w:r>
              <w:rPr>
                <w:rFonts w:hint="eastAsia" w:cs="Times New Roman"/>
                <w:color w:val="auto"/>
                <w:kern w:val="0"/>
                <w:sz w:val="24"/>
                <w:lang w:eastAsia="zh-CN"/>
              </w:rPr>
              <w:t>江苏涟水经济开发区循环经济产业园</w:t>
            </w:r>
            <w:r>
              <w:rPr>
                <w:rFonts w:ascii="Times New Roman" w:cs="Times New Roman"/>
                <w:color w:val="auto"/>
                <w:kern w:val="0"/>
                <w:sz w:val="24"/>
              </w:rPr>
              <w:t>发展服务中心和华昌固废达成一致意见不得新上蒸汽锅炉，且华昌固废承诺在园区热电联产项目全覆盖后，由华昌固废建设的集中供热站必须无条件退出运营</w:t>
            </w:r>
            <w:r>
              <w:rPr>
                <w:rFonts w:hint="eastAsia" w:ascii="Times New Roman" w:cs="Times New Roman"/>
                <w:color w:val="auto"/>
                <w:kern w:val="0"/>
                <w:sz w:val="24"/>
              </w:rPr>
              <w:t>。</w:t>
            </w:r>
          </w:p>
          <w:p w14:paraId="5A655BF9">
            <w:pPr>
              <w:adjustRightInd w:val="0"/>
              <w:snapToGrid w:val="0"/>
              <w:spacing w:line="360" w:lineRule="auto"/>
              <w:ind w:firstLine="480" w:firstLineChars="200"/>
              <w:rPr>
                <w:rFonts w:ascii="Times New Roman" w:hAnsi="Times New Roman" w:cs="Times New Roman"/>
                <w:color w:val="auto"/>
                <w:kern w:val="0"/>
                <w:sz w:val="24"/>
              </w:rPr>
            </w:pPr>
            <w:r>
              <w:rPr>
                <w:rFonts w:hint="eastAsia" w:ascii="Times New Roman" w:cs="Times New Roman"/>
                <w:color w:val="auto"/>
                <w:kern w:val="0"/>
                <w:sz w:val="24"/>
              </w:rPr>
              <w:t>二</w:t>
            </w:r>
            <w:r>
              <w:rPr>
                <w:rFonts w:ascii="Times New Roman" w:cs="Times New Roman"/>
                <w:color w:val="auto"/>
                <w:kern w:val="0"/>
                <w:sz w:val="24"/>
              </w:rPr>
              <w:t>、区域于</w:t>
            </w:r>
            <w:r>
              <w:rPr>
                <w:rFonts w:ascii="Times New Roman" w:hAnsi="Times New Roman" w:cs="Times New Roman"/>
                <w:color w:val="auto"/>
                <w:kern w:val="0"/>
                <w:sz w:val="24"/>
              </w:rPr>
              <w:t>2022</w:t>
            </w:r>
            <w:r>
              <w:rPr>
                <w:rFonts w:ascii="Times New Roman" w:cs="Times New Roman"/>
                <w:color w:val="auto"/>
                <w:kern w:val="0"/>
                <w:sz w:val="24"/>
              </w:rPr>
              <w:t>年</w:t>
            </w:r>
            <w:r>
              <w:rPr>
                <w:rFonts w:ascii="Times New Roman" w:hAnsi="Times New Roman" w:cs="Times New Roman"/>
                <w:color w:val="auto"/>
                <w:kern w:val="0"/>
                <w:sz w:val="24"/>
              </w:rPr>
              <w:t>7</w:t>
            </w:r>
            <w:r>
              <w:rPr>
                <w:rFonts w:ascii="Times New Roman" w:cs="Times New Roman"/>
                <w:color w:val="auto"/>
                <w:kern w:val="0"/>
                <w:sz w:val="24"/>
              </w:rPr>
              <w:t>月获得淮安市生态环境局对《江苏涟水经济开发区循环经济产业园产业发展规划环境影响报告书》的审核意见（淮环函〔</w:t>
            </w:r>
            <w:r>
              <w:rPr>
                <w:rFonts w:ascii="Times New Roman" w:hAnsi="Times New Roman" w:cs="Times New Roman"/>
                <w:color w:val="auto"/>
                <w:kern w:val="0"/>
                <w:sz w:val="24"/>
              </w:rPr>
              <w:t>2022</w:t>
            </w:r>
            <w:r>
              <w:rPr>
                <w:rFonts w:ascii="Times New Roman" w:cs="Times New Roman"/>
                <w:color w:val="auto"/>
                <w:kern w:val="0"/>
                <w:sz w:val="24"/>
              </w:rPr>
              <w:t>〕</w:t>
            </w:r>
            <w:r>
              <w:rPr>
                <w:rFonts w:ascii="Times New Roman" w:hAnsi="Times New Roman" w:cs="Times New Roman"/>
                <w:color w:val="auto"/>
                <w:kern w:val="0"/>
                <w:sz w:val="24"/>
              </w:rPr>
              <w:t>17</w:t>
            </w:r>
            <w:r>
              <w:rPr>
                <w:rFonts w:ascii="Times New Roman" w:cs="Times New Roman"/>
                <w:color w:val="auto"/>
                <w:kern w:val="0"/>
                <w:sz w:val="24"/>
              </w:rPr>
              <w:t>号），</w:t>
            </w:r>
            <w:r>
              <w:rPr>
                <w:rFonts w:hint="eastAsia" w:ascii="Times New Roman" w:cs="Times New Roman"/>
                <w:color w:val="auto"/>
                <w:kern w:val="0"/>
                <w:sz w:val="24"/>
              </w:rPr>
              <w:t>建设项目</w:t>
            </w:r>
            <w:r>
              <w:rPr>
                <w:rFonts w:ascii="Times New Roman" w:cs="Times New Roman"/>
                <w:color w:val="auto"/>
                <w:kern w:val="0"/>
                <w:sz w:val="24"/>
              </w:rPr>
              <w:t>与规划环评审查意见相符性分析</w:t>
            </w:r>
          </w:p>
          <w:p w14:paraId="0A761F22">
            <w:pPr>
              <w:adjustRightInd w:val="0"/>
              <w:snapToGrid w:val="0"/>
              <w:ind w:firstLine="482" w:firstLineChars="200"/>
              <w:jc w:val="center"/>
              <w:rPr>
                <w:rFonts w:ascii="Times New Roman" w:hAnsi="Times New Roman" w:cs="Times New Roman"/>
                <w:color w:val="auto"/>
                <w:kern w:val="0"/>
                <w:sz w:val="24"/>
              </w:rPr>
            </w:pPr>
            <w:r>
              <w:rPr>
                <w:rFonts w:ascii="Times New Roman" w:cs="Times New Roman"/>
                <w:b/>
                <w:color w:val="auto"/>
                <w:sz w:val="24"/>
              </w:rPr>
              <w:t>表</w:t>
            </w:r>
            <w:r>
              <w:rPr>
                <w:rFonts w:ascii="Times New Roman" w:hAnsi="Times New Roman" w:cs="Times New Roman"/>
                <w:b/>
                <w:color w:val="auto"/>
                <w:sz w:val="24"/>
              </w:rPr>
              <w:t xml:space="preserve"> </w:t>
            </w:r>
            <w:r>
              <w:rPr>
                <w:rFonts w:ascii="Times New Roman" w:hAnsi="Times New Roman" w:eastAsia="Times New Roman" w:cs="Times New Roman"/>
                <w:b/>
                <w:color w:val="auto"/>
                <w:sz w:val="24"/>
              </w:rPr>
              <w:t>1-</w:t>
            </w:r>
            <w:r>
              <w:rPr>
                <w:rFonts w:hint="eastAsia" w:eastAsia="宋体" w:cs="Times New Roman"/>
                <w:b/>
                <w:color w:val="auto"/>
                <w:sz w:val="24"/>
                <w:lang w:val="en-US" w:eastAsia="zh-CN"/>
              </w:rPr>
              <w:t>1</w:t>
            </w:r>
            <w:r>
              <w:rPr>
                <w:rFonts w:ascii="Times New Roman" w:hAnsi="Times New Roman" w:eastAsia="Times New Roman" w:cs="Times New Roman"/>
                <w:b/>
                <w:color w:val="auto"/>
                <w:sz w:val="24"/>
              </w:rPr>
              <w:t xml:space="preserve">  </w:t>
            </w:r>
            <w:r>
              <w:rPr>
                <w:rFonts w:hint="eastAsia" w:cs="Times New Roman"/>
                <w:b/>
                <w:color w:val="auto"/>
                <w:sz w:val="24"/>
                <w:lang w:eastAsia="zh-CN"/>
              </w:rPr>
              <w:t>建设项目</w:t>
            </w:r>
            <w:r>
              <w:rPr>
                <w:rFonts w:ascii="Times New Roman" w:cs="Times New Roman"/>
                <w:b/>
                <w:color w:val="auto"/>
                <w:sz w:val="24"/>
              </w:rPr>
              <w:t>与规划环评审查意见的相符性</w:t>
            </w:r>
          </w:p>
          <w:tbl>
            <w:tblPr>
              <w:tblStyle w:val="89"/>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08"/>
              <w:gridCol w:w="4437"/>
              <w:gridCol w:w="3049"/>
            </w:tblGrid>
            <w:tr w14:paraId="4B5155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32" w:type="pct"/>
                  <w:vAlign w:val="center"/>
                </w:tcPr>
                <w:p w14:paraId="050093A8">
                  <w:pPr>
                    <w:jc w:val="center"/>
                    <w:rPr>
                      <w:rFonts w:ascii="Times New Roman" w:hAnsi="Times New Roman" w:cs="Times New Roman"/>
                      <w:b/>
                      <w:color w:val="auto"/>
                      <w:kern w:val="0"/>
                      <w:szCs w:val="21"/>
                    </w:rPr>
                  </w:pPr>
                  <w:r>
                    <w:rPr>
                      <w:rFonts w:ascii="Times New Roman" w:cs="Times New Roman"/>
                      <w:b/>
                      <w:color w:val="auto"/>
                      <w:kern w:val="0"/>
                      <w:szCs w:val="21"/>
                    </w:rPr>
                    <w:t>序号</w:t>
                  </w:r>
                </w:p>
              </w:tc>
              <w:tc>
                <w:tcPr>
                  <w:tcW w:w="2707" w:type="pct"/>
                  <w:vAlign w:val="center"/>
                </w:tcPr>
                <w:p w14:paraId="7AA90063">
                  <w:pPr>
                    <w:jc w:val="center"/>
                    <w:rPr>
                      <w:rFonts w:ascii="Times New Roman" w:hAnsi="Times New Roman" w:cs="Times New Roman"/>
                      <w:b/>
                      <w:color w:val="auto"/>
                      <w:kern w:val="0"/>
                      <w:szCs w:val="21"/>
                    </w:rPr>
                  </w:pPr>
                  <w:r>
                    <w:rPr>
                      <w:rFonts w:ascii="Times New Roman" w:cs="Times New Roman"/>
                      <w:b/>
                      <w:color w:val="auto"/>
                      <w:kern w:val="0"/>
                      <w:szCs w:val="21"/>
                    </w:rPr>
                    <w:t>审查意见</w:t>
                  </w:r>
                </w:p>
              </w:tc>
              <w:tc>
                <w:tcPr>
                  <w:tcW w:w="1860" w:type="pct"/>
                  <w:vAlign w:val="center"/>
                </w:tcPr>
                <w:p w14:paraId="3389B78B">
                  <w:pPr>
                    <w:jc w:val="center"/>
                    <w:rPr>
                      <w:rFonts w:ascii="Times New Roman" w:hAnsi="Times New Roman" w:cs="Times New Roman"/>
                      <w:b/>
                      <w:color w:val="auto"/>
                      <w:kern w:val="0"/>
                      <w:szCs w:val="21"/>
                    </w:rPr>
                  </w:pPr>
                  <w:r>
                    <w:rPr>
                      <w:rFonts w:ascii="Times New Roman" w:cs="Times New Roman"/>
                      <w:b/>
                      <w:color w:val="auto"/>
                      <w:kern w:val="0"/>
                      <w:szCs w:val="21"/>
                    </w:rPr>
                    <w:t>相符性分析</w:t>
                  </w:r>
                </w:p>
              </w:tc>
            </w:tr>
            <w:tr w14:paraId="48A7C9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32" w:type="pct"/>
                  <w:vAlign w:val="center"/>
                </w:tcPr>
                <w:p w14:paraId="2D9A1E8E">
                  <w:pPr>
                    <w:jc w:val="center"/>
                    <w:rPr>
                      <w:rFonts w:ascii="Times New Roman" w:hAnsi="Times New Roman" w:cs="Times New Roman"/>
                      <w:color w:val="auto"/>
                      <w:kern w:val="0"/>
                      <w:szCs w:val="21"/>
                    </w:rPr>
                  </w:pPr>
                  <w:r>
                    <w:rPr>
                      <w:rFonts w:ascii="Times New Roman" w:hAnsi="Times New Roman" w:cs="Times New Roman"/>
                      <w:color w:val="auto"/>
                      <w:kern w:val="0"/>
                      <w:szCs w:val="21"/>
                    </w:rPr>
                    <w:t>1</w:t>
                  </w:r>
                </w:p>
              </w:tc>
              <w:tc>
                <w:tcPr>
                  <w:tcW w:w="2707" w:type="pct"/>
                  <w:vAlign w:val="center"/>
                </w:tcPr>
                <w:p w14:paraId="39540041">
                  <w:pPr>
                    <w:pStyle w:val="153"/>
                    <w:spacing w:before="1"/>
                    <w:ind w:left="114"/>
                    <w:jc w:val="center"/>
                    <w:rPr>
                      <w:rFonts w:ascii="Times New Roman" w:hAnsi="Times New Roman"/>
                      <w:color w:val="auto"/>
                      <w:sz w:val="21"/>
                      <w:szCs w:val="21"/>
                      <w:lang w:eastAsia="zh-CN"/>
                    </w:rPr>
                  </w:pPr>
                  <w:r>
                    <w:rPr>
                      <w:rFonts w:ascii="Times New Roman"/>
                      <w:color w:val="auto"/>
                      <w:sz w:val="21"/>
                      <w:szCs w:val="21"/>
                      <w:lang w:eastAsia="zh-CN"/>
                    </w:rPr>
                    <w:t>坚持绿色发展、协调发展，加强规划引导。落实国家、区域发展战略及省市对工业园区规范化管理、加强取消化工定位园区管理等要求，坚持生态优先、绿色转型、高效集约，以生态环境质量改善为核心，进一步优化《规划》用地布局、发展规模、产业结构等，做好与各级国土空间总体规划和</w:t>
                  </w:r>
                  <w:r>
                    <w:rPr>
                      <w:rFonts w:ascii="Times New Roman" w:hAnsi="Times New Roman"/>
                      <w:color w:val="auto"/>
                      <w:sz w:val="21"/>
                      <w:szCs w:val="21"/>
                      <w:lang w:eastAsia="zh-CN"/>
                    </w:rPr>
                    <w:t>“</w:t>
                  </w:r>
                  <w:r>
                    <w:rPr>
                      <w:rFonts w:ascii="Times New Roman"/>
                      <w:color w:val="auto"/>
                      <w:sz w:val="21"/>
                      <w:szCs w:val="21"/>
                      <w:lang w:eastAsia="zh-CN"/>
                    </w:rPr>
                    <w:t>三线一单</w:t>
                  </w:r>
                  <w:r>
                    <w:rPr>
                      <w:rFonts w:ascii="Times New Roman" w:hAnsi="Times New Roman"/>
                      <w:color w:val="auto"/>
                      <w:sz w:val="21"/>
                      <w:szCs w:val="21"/>
                      <w:lang w:eastAsia="zh-CN"/>
                    </w:rPr>
                    <w:t>”</w:t>
                  </w:r>
                  <w:r>
                    <w:rPr>
                      <w:rFonts w:ascii="Times New Roman"/>
                      <w:color w:val="auto"/>
                      <w:sz w:val="21"/>
                      <w:szCs w:val="21"/>
                      <w:lang w:eastAsia="zh-CN"/>
                    </w:rPr>
                    <w:t>生态环境分区管控方案的协调衔接</w:t>
                  </w:r>
                  <w:r>
                    <w:rPr>
                      <w:rFonts w:ascii="Times New Roman"/>
                      <w:color w:val="auto"/>
                      <w:szCs w:val="21"/>
                      <w:lang w:eastAsia="zh-CN"/>
                    </w:rPr>
                    <w:t>。</w:t>
                  </w:r>
                </w:p>
              </w:tc>
              <w:tc>
                <w:tcPr>
                  <w:tcW w:w="1860" w:type="pct"/>
                  <w:vAlign w:val="center"/>
                </w:tcPr>
                <w:p w14:paraId="44F5ED37">
                  <w:pPr>
                    <w:pStyle w:val="153"/>
                    <w:spacing w:before="1"/>
                    <w:ind w:left="114"/>
                    <w:jc w:val="center"/>
                    <w:rPr>
                      <w:rFonts w:ascii="Times New Roman" w:hAnsi="Times New Roman"/>
                      <w:color w:val="auto"/>
                      <w:sz w:val="21"/>
                      <w:lang w:eastAsia="zh-CN"/>
                    </w:rPr>
                  </w:pPr>
                  <w:r>
                    <w:rPr>
                      <w:rFonts w:ascii="Times New Roman"/>
                      <w:color w:val="auto"/>
                      <w:sz w:val="21"/>
                      <w:szCs w:val="21"/>
                      <w:lang w:eastAsia="zh-CN"/>
                    </w:rPr>
                    <w:t>本项目坚持绿色发展、协调发展，加强规划引导</w:t>
                  </w:r>
                  <w:r>
                    <w:rPr>
                      <w:rFonts w:hint="eastAsia" w:ascii="Times New Roman"/>
                      <w:color w:val="auto"/>
                      <w:sz w:val="21"/>
                      <w:szCs w:val="21"/>
                      <w:lang w:eastAsia="zh-CN"/>
                    </w:rPr>
                    <w:t>，</w:t>
                  </w:r>
                  <w:r>
                    <w:rPr>
                      <w:rFonts w:ascii="Times New Roman"/>
                      <w:color w:val="auto"/>
                      <w:sz w:val="21"/>
                      <w:szCs w:val="21"/>
                      <w:lang w:eastAsia="zh-CN"/>
                    </w:rPr>
                    <w:t>坚持生态优先、绿色转型、高效集约，本项目与《规划》的用地性质、产业结构相符，与各级国土空间总体规划和</w:t>
                  </w:r>
                  <w:r>
                    <w:rPr>
                      <w:rFonts w:ascii="Times New Roman" w:hAnsi="Times New Roman"/>
                      <w:color w:val="auto"/>
                      <w:sz w:val="21"/>
                      <w:szCs w:val="21"/>
                      <w:lang w:eastAsia="zh-CN"/>
                    </w:rPr>
                    <w:t>“</w:t>
                  </w:r>
                  <w:r>
                    <w:rPr>
                      <w:rFonts w:ascii="Times New Roman"/>
                      <w:color w:val="auto"/>
                      <w:sz w:val="21"/>
                      <w:szCs w:val="21"/>
                      <w:lang w:eastAsia="zh-CN"/>
                    </w:rPr>
                    <w:t>三线一单</w:t>
                  </w:r>
                  <w:r>
                    <w:rPr>
                      <w:rFonts w:ascii="Times New Roman" w:hAnsi="Times New Roman"/>
                      <w:color w:val="auto"/>
                      <w:sz w:val="21"/>
                      <w:szCs w:val="21"/>
                      <w:lang w:eastAsia="zh-CN"/>
                    </w:rPr>
                    <w:t>”</w:t>
                  </w:r>
                  <w:r>
                    <w:rPr>
                      <w:rFonts w:ascii="Times New Roman"/>
                      <w:color w:val="auto"/>
                      <w:sz w:val="21"/>
                      <w:szCs w:val="21"/>
                      <w:lang w:eastAsia="zh-CN"/>
                    </w:rPr>
                    <w:t>生态环境分区管控方案相符。</w:t>
                  </w:r>
                </w:p>
              </w:tc>
            </w:tr>
            <w:tr w14:paraId="4F0513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32" w:type="pct"/>
                  <w:vAlign w:val="center"/>
                </w:tcPr>
                <w:p w14:paraId="664D8F4B">
                  <w:pPr>
                    <w:jc w:val="center"/>
                    <w:rPr>
                      <w:rFonts w:ascii="Times New Roman" w:hAnsi="Times New Roman" w:cs="Times New Roman"/>
                      <w:color w:val="auto"/>
                      <w:kern w:val="0"/>
                      <w:szCs w:val="21"/>
                    </w:rPr>
                  </w:pPr>
                  <w:r>
                    <w:rPr>
                      <w:rFonts w:ascii="Times New Roman" w:hAnsi="Times New Roman" w:cs="Times New Roman"/>
                      <w:color w:val="auto"/>
                      <w:kern w:val="0"/>
                      <w:szCs w:val="21"/>
                    </w:rPr>
                    <w:t>2</w:t>
                  </w:r>
                </w:p>
              </w:tc>
              <w:tc>
                <w:tcPr>
                  <w:tcW w:w="2707" w:type="pct"/>
                  <w:vAlign w:val="center"/>
                </w:tcPr>
                <w:p w14:paraId="4DFEE68F">
                  <w:pPr>
                    <w:pStyle w:val="153"/>
                    <w:spacing w:before="1"/>
                    <w:ind w:left="114"/>
                    <w:jc w:val="center"/>
                    <w:rPr>
                      <w:rFonts w:ascii="Times New Roman" w:hAnsi="Times New Roman"/>
                      <w:color w:val="auto"/>
                      <w:sz w:val="21"/>
                      <w:szCs w:val="21"/>
                      <w:lang w:eastAsia="zh-CN"/>
                    </w:rPr>
                  </w:pPr>
                  <w:r>
                    <w:rPr>
                      <w:rFonts w:ascii="Times New Roman"/>
                      <w:color w:val="auto"/>
                      <w:sz w:val="21"/>
                      <w:szCs w:val="21"/>
                      <w:lang w:eastAsia="zh-CN"/>
                    </w:rPr>
                    <w:t>严格空间管控，优化空间布局。强化工业企业退出和产业升级过程中的污染防治。园区内防护绿地及水域规划为生态空间，禁止开发利用，落实《报告书》提出的临近敏感目标的工业用地引进项目及设置环境防护距离、加强防护绿地建设等控制要求，加强对工业区与居住区生活空间的防护，避免对环境敏感目标产生不良环境影响，确保园区产业布局与生态环境保护、人居环境安全相协调。</w:t>
                  </w:r>
                </w:p>
              </w:tc>
              <w:tc>
                <w:tcPr>
                  <w:tcW w:w="1860" w:type="pct"/>
                  <w:vAlign w:val="center"/>
                </w:tcPr>
                <w:p w14:paraId="56A40F50">
                  <w:pPr>
                    <w:pStyle w:val="153"/>
                    <w:spacing w:before="1"/>
                    <w:ind w:left="114"/>
                    <w:jc w:val="center"/>
                    <w:rPr>
                      <w:rFonts w:ascii="Times New Roman" w:hAnsi="Times New Roman"/>
                      <w:color w:val="auto"/>
                      <w:sz w:val="21"/>
                      <w:szCs w:val="21"/>
                      <w:lang w:eastAsia="zh-CN"/>
                    </w:rPr>
                  </w:pPr>
                  <w:r>
                    <w:rPr>
                      <w:rFonts w:ascii="Times New Roman"/>
                      <w:color w:val="auto"/>
                      <w:sz w:val="21"/>
                      <w:szCs w:val="21"/>
                      <w:lang w:eastAsia="zh-CN"/>
                    </w:rPr>
                    <w:t>本项目</w:t>
                  </w:r>
                  <w:r>
                    <w:rPr>
                      <w:rFonts w:hint="eastAsia" w:ascii="Times New Roman"/>
                      <w:color w:val="auto"/>
                      <w:sz w:val="21"/>
                      <w:szCs w:val="21"/>
                      <w:lang w:eastAsia="zh-CN"/>
                    </w:rPr>
                    <w:t>位于涟水县循环经济产业园，</w:t>
                  </w:r>
                  <w:r>
                    <w:rPr>
                      <w:rFonts w:ascii="Times New Roman"/>
                      <w:color w:val="auto"/>
                      <w:sz w:val="21"/>
                      <w:szCs w:val="21"/>
                      <w:lang w:eastAsia="zh-CN"/>
                    </w:rPr>
                    <w:t>不属于临近敏感目标的工业用地，本项目</w:t>
                  </w:r>
                  <w:r>
                    <w:rPr>
                      <w:rFonts w:hint="eastAsia" w:ascii="Times New Roman"/>
                      <w:color w:val="auto"/>
                      <w:sz w:val="21"/>
                      <w:szCs w:val="21"/>
                      <w:lang w:eastAsia="zh-CN"/>
                    </w:rPr>
                    <w:t>距离最近的敏感保护目标为</w:t>
                  </w:r>
                  <w:r>
                    <w:rPr>
                      <w:rFonts w:hint="eastAsia" w:ascii="Times New Roman"/>
                      <w:color w:val="auto"/>
                      <w:sz w:val="21"/>
                      <w:szCs w:val="21"/>
                      <w:lang w:val="en-US" w:eastAsia="zh-CN"/>
                    </w:rPr>
                    <w:t>240m的李集村委会</w:t>
                  </w:r>
                  <w:r>
                    <w:rPr>
                      <w:rFonts w:ascii="Times New Roman"/>
                      <w:color w:val="auto"/>
                      <w:sz w:val="21"/>
                      <w:szCs w:val="21"/>
                      <w:lang w:eastAsia="zh-CN"/>
                    </w:rPr>
                    <w:t>。</w:t>
                  </w:r>
                </w:p>
              </w:tc>
            </w:tr>
            <w:tr w14:paraId="219732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32" w:type="pct"/>
                  <w:vAlign w:val="center"/>
                </w:tcPr>
                <w:p w14:paraId="1512491A">
                  <w:pPr>
                    <w:jc w:val="center"/>
                    <w:rPr>
                      <w:rFonts w:ascii="Times New Roman" w:hAnsi="Times New Roman" w:cs="Times New Roman"/>
                      <w:color w:val="auto"/>
                      <w:kern w:val="0"/>
                      <w:szCs w:val="21"/>
                    </w:rPr>
                  </w:pPr>
                  <w:r>
                    <w:rPr>
                      <w:rFonts w:ascii="Times New Roman" w:hAnsi="Times New Roman" w:cs="Times New Roman"/>
                      <w:color w:val="auto"/>
                      <w:kern w:val="0"/>
                      <w:szCs w:val="21"/>
                    </w:rPr>
                    <w:t>3</w:t>
                  </w:r>
                </w:p>
              </w:tc>
              <w:tc>
                <w:tcPr>
                  <w:tcW w:w="2707" w:type="pct"/>
                  <w:vAlign w:val="center"/>
                </w:tcPr>
                <w:p w14:paraId="735BDC65">
                  <w:pPr>
                    <w:pStyle w:val="153"/>
                    <w:spacing w:before="1"/>
                    <w:ind w:left="114"/>
                    <w:jc w:val="center"/>
                    <w:rPr>
                      <w:rFonts w:ascii="Times New Roman" w:hAnsi="Times New Roman"/>
                      <w:color w:val="auto"/>
                      <w:sz w:val="21"/>
                      <w:szCs w:val="21"/>
                      <w:lang w:eastAsia="zh-CN"/>
                    </w:rPr>
                  </w:pPr>
                  <w:r>
                    <w:rPr>
                      <w:rFonts w:ascii="Times New Roman"/>
                      <w:color w:val="auto"/>
                      <w:sz w:val="21"/>
                      <w:szCs w:val="21"/>
                      <w:lang w:eastAsia="zh-CN"/>
                    </w:rPr>
                    <w:t>着力推动园区产业结构调整和转型升级。从改善区域环境质量、提升环境风险防控的角度，统筹优化产业布局、结构和发展规模，被列为重点化工监测点的企业严格执行《关于加强全省化工园区化工集中区外化工生产企业规范化管理的通知》（苏化治〔</w:t>
                  </w:r>
                  <w:r>
                    <w:rPr>
                      <w:rFonts w:ascii="Times New Roman" w:hAnsi="Times New Roman"/>
                      <w:color w:val="auto"/>
                      <w:sz w:val="21"/>
                      <w:szCs w:val="21"/>
                      <w:lang w:eastAsia="zh-CN"/>
                    </w:rPr>
                    <w:t>2021</w:t>
                  </w:r>
                  <w:r>
                    <w:rPr>
                      <w:rFonts w:ascii="Times New Roman"/>
                      <w:color w:val="auto"/>
                      <w:sz w:val="21"/>
                      <w:szCs w:val="21"/>
                      <w:lang w:eastAsia="zh-CN"/>
                    </w:rPr>
                    <w:t>〕</w:t>
                  </w:r>
                  <w:r>
                    <w:rPr>
                      <w:rFonts w:ascii="Times New Roman" w:hAnsi="Times New Roman"/>
                      <w:color w:val="auto"/>
                      <w:sz w:val="21"/>
                      <w:szCs w:val="21"/>
                      <w:lang w:eastAsia="zh-CN"/>
                    </w:rPr>
                    <w:t xml:space="preserve">4 </w:t>
                  </w:r>
                  <w:r>
                    <w:rPr>
                      <w:rFonts w:ascii="Times New Roman"/>
                      <w:color w:val="auto"/>
                      <w:sz w:val="21"/>
                      <w:szCs w:val="21"/>
                      <w:lang w:eastAsia="zh-CN"/>
                    </w:rPr>
                    <w:t>号）要求，其他化工企业尽快落实搬迁、淘汰或升级改造等工作，强化化工企业存续期间管理要求，进一步优化规划布局，建成以生态优先、绿色发展为引领的高新技术产业集聚特色循环经济产业园。</w:t>
                  </w:r>
                </w:p>
              </w:tc>
              <w:tc>
                <w:tcPr>
                  <w:tcW w:w="1860" w:type="pct"/>
                  <w:vAlign w:val="center"/>
                </w:tcPr>
                <w:p w14:paraId="10225441">
                  <w:pPr>
                    <w:jc w:val="center"/>
                    <w:rPr>
                      <w:rFonts w:ascii="Times New Roman" w:hAnsi="Times New Roman" w:cs="Times New Roman"/>
                      <w:color w:val="auto"/>
                      <w:kern w:val="0"/>
                      <w:szCs w:val="21"/>
                    </w:rPr>
                  </w:pPr>
                  <w:r>
                    <w:rPr>
                      <w:rFonts w:ascii="Times New Roman" w:cs="Times New Roman"/>
                      <w:color w:val="auto"/>
                      <w:kern w:val="0"/>
                      <w:szCs w:val="21"/>
                    </w:rPr>
                    <w:t>本项目为</w:t>
                  </w:r>
                  <w:r>
                    <w:rPr>
                      <w:rFonts w:hint="eastAsia" w:ascii="Times New Roman" w:cs="Times New Roman"/>
                      <w:color w:val="auto"/>
                      <w:kern w:val="0"/>
                      <w:szCs w:val="21"/>
                    </w:rPr>
                    <w:t>现有项目配套</w:t>
                  </w:r>
                  <w:r>
                    <w:rPr>
                      <w:rFonts w:hint="eastAsia" w:cs="Times New Roman"/>
                      <w:color w:val="auto"/>
                      <w:kern w:val="0"/>
                      <w:szCs w:val="21"/>
                      <w:lang w:eastAsia="zh-CN"/>
                    </w:rPr>
                    <w:t>仓储设施升级改造</w:t>
                  </w:r>
                  <w:r>
                    <w:rPr>
                      <w:rFonts w:hint="eastAsia" w:ascii="Times New Roman" w:cs="Times New Roman"/>
                      <w:color w:val="auto"/>
                      <w:kern w:val="0"/>
                      <w:szCs w:val="21"/>
                    </w:rPr>
                    <w:t>项目</w:t>
                  </w:r>
                  <w:r>
                    <w:rPr>
                      <w:rFonts w:ascii="Times New Roman" w:cs="Times New Roman"/>
                      <w:color w:val="auto"/>
                      <w:kern w:val="0"/>
                      <w:szCs w:val="21"/>
                    </w:rPr>
                    <w:t>，</w:t>
                  </w:r>
                  <w:r>
                    <w:rPr>
                      <w:rFonts w:hint="eastAsia" w:cs="Times New Roman"/>
                      <w:color w:val="auto"/>
                      <w:szCs w:val="21"/>
                      <w:lang w:eastAsia="zh-CN"/>
                    </w:rPr>
                    <w:t>运行期不新增污染物的产生及排放</w:t>
                  </w:r>
                  <w:r>
                    <w:rPr>
                      <w:rFonts w:ascii="Times New Roman" w:cs="Times New Roman"/>
                      <w:color w:val="auto"/>
                      <w:kern w:val="0"/>
                      <w:szCs w:val="21"/>
                    </w:rPr>
                    <w:t>。</w:t>
                  </w:r>
                </w:p>
              </w:tc>
            </w:tr>
            <w:tr w14:paraId="710DF2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32" w:type="pct"/>
                  <w:vAlign w:val="center"/>
                </w:tcPr>
                <w:p w14:paraId="272F5E16">
                  <w:pPr>
                    <w:jc w:val="center"/>
                    <w:rPr>
                      <w:rFonts w:ascii="Times New Roman" w:hAnsi="Times New Roman" w:cs="Times New Roman"/>
                      <w:color w:val="auto"/>
                      <w:kern w:val="0"/>
                      <w:szCs w:val="21"/>
                    </w:rPr>
                  </w:pPr>
                  <w:r>
                    <w:rPr>
                      <w:rFonts w:ascii="Times New Roman" w:hAnsi="Times New Roman" w:cs="Times New Roman"/>
                      <w:color w:val="auto"/>
                      <w:kern w:val="0"/>
                      <w:szCs w:val="21"/>
                    </w:rPr>
                    <w:t>4</w:t>
                  </w:r>
                </w:p>
              </w:tc>
              <w:tc>
                <w:tcPr>
                  <w:tcW w:w="2707" w:type="pct"/>
                  <w:vAlign w:val="center"/>
                </w:tcPr>
                <w:p w14:paraId="2858CE13">
                  <w:pPr>
                    <w:pStyle w:val="153"/>
                    <w:spacing w:before="1"/>
                    <w:ind w:left="114"/>
                    <w:jc w:val="center"/>
                    <w:rPr>
                      <w:rFonts w:ascii="Times New Roman" w:hAnsi="Times New Roman"/>
                      <w:color w:val="auto"/>
                      <w:sz w:val="21"/>
                      <w:lang w:eastAsia="zh-CN"/>
                    </w:rPr>
                  </w:pPr>
                  <w:r>
                    <w:rPr>
                      <w:rFonts w:ascii="Times New Roman"/>
                      <w:color w:val="auto"/>
                      <w:sz w:val="21"/>
                      <w:szCs w:val="21"/>
                      <w:lang w:eastAsia="zh-CN"/>
                    </w:rPr>
                    <w:t>严守环境质量底线，实施污染物排放限值限量管理。根据国家和江苏省关于大气、水、土壤污染防治，省市相关化工企业管理文件和区域</w:t>
                  </w:r>
                  <w:r>
                    <w:rPr>
                      <w:rFonts w:ascii="Times New Roman" w:hAnsi="Times New Roman"/>
                      <w:color w:val="auto"/>
                      <w:sz w:val="21"/>
                      <w:szCs w:val="21"/>
                      <w:lang w:eastAsia="zh-CN"/>
                    </w:rPr>
                    <w:t>“</w:t>
                  </w:r>
                  <w:r>
                    <w:rPr>
                      <w:rFonts w:ascii="Times New Roman"/>
                      <w:color w:val="auto"/>
                      <w:sz w:val="21"/>
                      <w:szCs w:val="21"/>
                      <w:lang w:eastAsia="zh-CN"/>
                    </w:rPr>
                    <w:t>三线一单</w:t>
                  </w:r>
                  <w:r>
                    <w:rPr>
                      <w:rFonts w:ascii="Times New Roman" w:hAnsi="Times New Roman"/>
                      <w:color w:val="auto"/>
                      <w:sz w:val="21"/>
                      <w:szCs w:val="21"/>
                      <w:lang w:eastAsia="zh-CN"/>
                    </w:rPr>
                    <w:t>”</w:t>
                  </w:r>
                  <w:r>
                    <w:rPr>
                      <w:rFonts w:ascii="Times New Roman"/>
                      <w:color w:val="auto"/>
                      <w:sz w:val="21"/>
                      <w:szCs w:val="21"/>
                      <w:lang w:eastAsia="zh-CN"/>
                    </w:rPr>
                    <w:t>生态环境分区管控相关要求，制定园区转型升级及污染物减排方案，采取有效措施减少主要污染物和特征污染物的排放量，实现污染物排放浓度和总量</w:t>
                  </w:r>
                  <w:r>
                    <w:rPr>
                      <w:rFonts w:ascii="Times New Roman" w:hAnsi="Times New Roman"/>
                      <w:color w:val="auto"/>
                      <w:sz w:val="21"/>
                      <w:szCs w:val="21"/>
                      <w:lang w:eastAsia="zh-CN"/>
                    </w:rPr>
                    <w:t>“</w:t>
                  </w:r>
                  <w:r>
                    <w:rPr>
                      <w:rFonts w:ascii="Times New Roman"/>
                      <w:color w:val="auto"/>
                      <w:sz w:val="21"/>
                      <w:szCs w:val="21"/>
                      <w:lang w:eastAsia="zh-CN"/>
                    </w:rPr>
                    <w:t>双管控</w:t>
                  </w:r>
                  <w:r>
                    <w:rPr>
                      <w:rFonts w:ascii="Times New Roman" w:hAnsi="Times New Roman"/>
                      <w:color w:val="auto"/>
                      <w:sz w:val="21"/>
                      <w:szCs w:val="21"/>
                      <w:lang w:eastAsia="zh-CN"/>
                    </w:rPr>
                    <w:t>”</w:t>
                  </w:r>
                  <w:r>
                    <w:rPr>
                      <w:rFonts w:ascii="Times New Roman"/>
                      <w:color w:val="auto"/>
                      <w:sz w:val="21"/>
                      <w:szCs w:val="21"/>
                      <w:lang w:eastAsia="zh-CN"/>
                    </w:rPr>
                    <w:t>，确保区域生态环境质量持续改善，促进产业发展与生态环境保护相协调。</w:t>
                  </w:r>
                </w:p>
              </w:tc>
              <w:tc>
                <w:tcPr>
                  <w:tcW w:w="1860" w:type="pct"/>
                  <w:vAlign w:val="center"/>
                </w:tcPr>
                <w:p w14:paraId="4E036812">
                  <w:pPr>
                    <w:pStyle w:val="153"/>
                    <w:spacing w:before="1"/>
                    <w:ind w:left="114"/>
                    <w:jc w:val="center"/>
                    <w:rPr>
                      <w:rFonts w:ascii="Times New Roman" w:hAnsi="Times New Roman"/>
                      <w:color w:val="auto"/>
                      <w:sz w:val="21"/>
                      <w:szCs w:val="21"/>
                      <w:lang w:eastAsia="zh-CN"/>
                    </w:rPr>
                  </w:pPr>
                  <w:r>
                    <w:rPr>
                      <w:rFonts w:ascii="Times New Roman" w:cs="Times New Roman"/>
                      <w:color w:val="auto"/>
                      <w:kern w:val="0"/>
                      <w:szCs w:val="21"/>
                    </w:rPr>
                    <w:t>本项目为</w:t>
                  </w:r>
                  <w:r>
                    <w:rPr>
                      <w:rFonts w:hint="eastAsia" w:ascii="Times New Roman" w:cs="Times New Roman"/>
                      <w:color w:val="auto"/>
                      <w:kern w:val="0"/>
                      <w:szCs w:val="21"/>
                    </w:rPr>
                    <w:t>现有项目配套</w:t>
                  </w:r>
                  <w:r>
                    <w:rPr>
                      <w:rFonts w:hint="eastAsia" w:cs="Times New Roman"/>
                      <w:color w:val="auto"/>
                      <w:kern w:val="0"/>
                      <w:szCs w:val="21"/>
                      <w:lang w:eastAsia="zh-CN"/>
                    </w:rPr>
                    <w:t>仓储设施升级改造</w:t>
                  </w:r>
                  <w:r>
                    <w:rPr>
                      <w:rFonts w:hint="eastAsia" w:ascii="Times New Roman" w:cs="Times New Roman"/>
                      <w:color w:val="auto"/>
                      <w:kern w:val="0"/>
                      <w:szCs w:val="21"/>
                    </w:rPr>
                    <w:t>项目</w:t>
                  </w:r>
                  <w:r>
                    <w:rPr>
                      <w:rFonts w:ascii="Times New Roman" w:cs="Times New Roman"/>
                      <w:color w:val="auto"/>
                      <w:kern w:val="0"/>
                      <w:szCs w:val="21"/>
                    </w:rPr>
                    <w:t>，</w:t>
                  </w:r>
                  <w:r>
                    <w:rPr>
                      <w:rFonts w:hint="eastAsia" w:ascii="Times New Roman"/>
                      <w:color w:val="auto"/>
                      <w:sz w:val="21"/>
                      <w:szCs w:val="21"/>
                      <w:lang w:eastAsia="zh-CN"/>
                    </w:rPr>
                    <w:t>不新增废气、废水、固废产生及排放</w:t>
                  </w:r>
                  <w:r>
                    <w:rPr>
                      <w:rFonts w:ascii="Times New Roman"/>
                      <w:color w:val="auto"/>
                      <w:sz w:val="21"/>
                      <w:szCs w:val="21"/>
                      <w:lang w:eastAsia="zh-CN"/>
                    </w:rPr>
                    <w:t>。</w:t>
                  </w:r>
                </w:p>
              </w:tc>
            </w:tr>
            <w:tr w14:paraId="73B166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32" w:type="pct"/>
                  <w:vAlign w:val="center"/>
                </w:tcPr>
                <w:p w14:paraId="1A99E727">
                  <w:pPr>
                    <w:jc w:val="center"/>
                    <w:rPr>
                      <w:rFonts w:ascii="Times New Roman" w:hAnsi="Times New Roman" w:cs="Times New Roman"/>
                      <w:color w:val="auto"/>
                      <w:kern w:val="0"/>
                      <w:szCs w:val="21"/>
                    </w:rPr>
                  </w:pPr>
                  <w:r>
                    <w:rPr>
                      <w:rFonts w:ascii="Times New Roman" w:hAnsi="Times New Roman" w:cs="Times New Roman"/>
                      <w:color w:val="auto"/>
                      <w:kern w:val="0"/>
                      <w:szCs w:val="21"/>
                    </w:rPr>
                    <w:t>5</w:t>
                  </w:r>
                </w:p>
              </w:tc>
              <w:tc>
                <w:tcPr>
                  <w:tcW w:w="2707" w:type="pct"/>
                  <w:vAlign w:val="center"/>
                </w:tcPr>
                <w:p w14:paraId="68ED251C">
                  <w:pPr>
                    <w:pStyle w:val="153"/>
                    <w:spacing w:before="1"/>
                    <w:ind w:left="114"/>
                    <w:jc w:val="center"/>
                    <w:rPr>
                      <w:rFonts w:ascii="Times New Roman" w:hAnsi="Times New Roman"/>
                      <w:color w:val="auto"/>
                      <w:sz w:val="21"/>
                      <w:lang w:eastAsia="zh-CN"/>
                    </w:rPr>
                  </w:pPr>
                  <w:r>
                    <w:rPr>
                      <w:rFonts w:ascii="Times New Roman"/>
                      <w:color w:val="auto"/>
                      <w:sz w:val="21"/>
                      <w:szCs w:val="21"/>
                      <w:lang w:eastAsia="zh-CN"/>
                    </w:rPr>
                    <w:t>加强源头治理，协同推进减污降碳。强化企业高效治理设施建设及精细化管控要求。引进项目的生产工艺、设备、污染治理技术、清洁生产水平等须达到国内先进水平。全面开展清洁生产审核，落实强制性清洁生产审核，引导非强制企业自觉开展审核。根据国家和地方碳减排和碳达峰行动方案和路径要求，推进园区绿色低碳转型发展，实现减污降碳协同增效目标，园区碳排放达峰时间按国家及江苏省规定时间内完成。</w:t>
                  </w:r>
                </w:p>
              </w:tc>
              <w:tc>
                <w:tcPr>
                  <w:tcW w:w="1860" w:type="pct"/>
                  <w:vAlign w:val="center"/>
                </w:tcPr>
                <w:p w14:paraId="54F67FF1">
                  <w:pPr>
                    <w:pStyle w:val="153"/>
                    <w:spacing w:before="1"/>
                    <w:ind w:left="114"/>
                    <w:jc w:val="center"/>
                    <w:rPr>
                      <w:rFonts w:ascii="Times New Roman" w:hAnsi="Times New Roman"/>
                      <w:color w:val="auto"/>
                      <w:sz w:val="21"/>
                      <w:szCs w:val="21"/>
                      <w:lang w:eastAsia="zh-CN"/>
                    </w:rPr>
                  </w:pPr>
                  <w:r>
                    <w:rPr>
                      <w:rFonts w:ascii="Times New Roman" w:cs="Times New Roman"/>
                      <w:color w:val="auto"/>
                      <w:kern w:val="0"/>
                      <w:szCs w:val="21"/>
                    </w:rPr>
                    <w:t>本项目为</w:t>
                  </w:r>
                  <w:r>
                    <w:rPr>
                      <w:rFonts w:hint="eastAsia" w:ascii="Times New Roman" w:cs="Times New Roman"/>
                      <w:color w:val="auto"/>
                      <w:kern w:val="0"/>
                      <w:szCs w:val="21"/>
                    </w:rPr>
                    <w:t>现有项目配套</w:t>
                  </w:r>
                  <w:r>
                    <w:rPr>
                      <w:rFonts w:hint="eastAsia" w:cs="Times New Roman"/>
                      <w:color w:val="auto"/>
                      <w:kern w:val="0"/>
                      <w:szCs w:val="21"/>
                      <w:lang w:eastAsia="zh-CN"/>
                    </w:rPr>
                    <w:t>仓储设施升级改造</w:t>
                  </w:r>
                  <w:r>
                    <w:rPr>
                      <w:rFonts w:hint="eastAsia" w:ascii="Times New Roman" w:cs="Times New Roman"/>
                      <w:color w:val="auto"/>
                      <w:kern w:val="0"/>
                      <w:szCs w:val="21"/>
                    </w:rPr>
                    <w:t>项目</w:t>
                  </w:r>
                  <w:r>
                    <w:rPr>
                      <w:rFonts w:ascii="Times New Roman" w:cs="Times New Roman"/>
                      <w:color w:val="auto"/>
                      <w:kern w:val="0"/>
                      <w:szCs w:val="21"/>
                    </w:rPr>
                    <w:t>，</w:t>
                  </w:r>
                  <w:r>
                    <w:rPr>
                      <w:rFonts w:hint="eastAsia" w:ascii="Times New Roman" w:cs="Times New Roman"/>
                      <w:color w:val="auto"/>
                      <w:kern w:val="0"/>
                      <w:szCs w:val="21"/>
                      <w:lang w:eastAsia="zh-CN"/>
                    </w:rPr>
                    <w:t>不涉及主体工程</w:t>
                  </w:r>
                  <w:r>
                    <w:rPr>
                      <w:rFonts w:ascii="Times New Roman"/>
                      <w:color w:val="auto"/>
                      <w:sz w:val="21"/>
                      <w:szCs w:val="21"/>
                      <w:lang w:eastAsia="zh-CN"/>
                    </w:rPr>
                    <w:t>。</w:t>
                  </w:r>
                </w:p>
              </w:tc>
            </w:tr>
            <w:tr w14:paraId="2C2B7C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32" w:type="pct"/>
                  <w:vAlign w:val="center"/>
                </w:tcPr>
                <w:p w14:paraId="46731E2A">
                  <w:pPr>
                    <w:jc w:val="center"/>
                    <w:rPr>
                      <w:rFonts w:ascii="Times New Roman" w:hAnsi="Times New Roman" w:cs="Times New Roman"/>
                      <w:color w:val="auto"/>
                      <w:kern w:val="0"/>
                      <w:szCs w:val="21"/>
                    </w:rPr>
                  </w:pPr>
                  <w:r>
                    <w:rPr>
                      <w:rFonts w:ascii="Times New Roman" w:hAnsi="Times New Roman" w:cs="Times New Roman"/>
                      <w:color w:val="auto"/>
                      <w:kern w:val="0"/>
                      <w:szCs w:val="21"/>
                    </w:rPr>
                    <w:t>6</w:t>
                  </w:r>
                </w:p>
              </w:tc>
              <w:tc>
                <w:tcPr>
                  <w:tcW w:w="2707" w:type="pct"/>
                  <w:vAlign w:val="center"/>
                </w:tcPr>
                <w:p w14:paraId="5FA0DAC4">
                  <w:pPr>
                    <w:pStyle w:val="153"/>
                    <w:spacing w:before="1"/>
                    <w:ind w:left="114"/>
                    <w:jc w:val="center"/>
                    <w:rPr>
                      <w:rFonts w:ascii="Times New Roman" w:hAnsi="Times New Roman"/>
                      <w:color w:val="auto"/>
                      <w:sz w:val="21"/>
                      <w:szCs w:val="21"/>
                      <w:lang w:eastAsia="zh-CN"/>
                    </w:rPr>
                  </w:pPr>
                  <w:r>
                    <w:rPr>
                      <w:rFonts w:ascii="Times New Roman"/>
                      <w:color w:val="auto"/>
                      <w:sz w:val="21"/>
                      <w:szCs w:val="21"/>
                      <w:lang w:eastAsia="zh-CN"/>
                    </w:rPr>
                    <w:t>完善环境基础设施建设，提高基础设施运行效能。废水处理工程及污水资源化利用应满足苏政办发〔</w:t>
                  </w:r>
                  <w:r>
                    <w:rPr>
                      <w:rFonts w:ascii="Times New Roman" w:hAnsi="Times New Roman"/>
                      <w:color w:val="auto"/>
                      <w:sz w:val="21"/>
                      <w:szCs w:val="21"/>
                      <w:lang w:eastAsia="zh-CN"/>
                    </w:rPr>
                    <w:t>2022</w:t>
                  </w:r>
                  <w:r>
                    <w:rPr>
                      <w:rFonts w:ascii="Times New Roman"/>
                      <w:color w:val="auto"/>
                      <w:sz w:val="21"/>
                      <w:szCs w:val="21"/>
                      <w:lang w:eastAsia="zh-CN"/>
                    </w:rPr>
                    <w:t>〕</w:t>
                  </w:r>
                  <w:r>
                    <w:rPr>
                      <w:rFonts w:ascii="Times New Roman" w:hAnsi="Times New Roman"/>
                      <w:color w:val="auto"/>
                      <w:sz w:val="21"/>
                      <w:szCs w:val="21"/>
                      <w:lang w:eastAsia="zh-CN"/>
                    </w:rPr>
                    <w:t xml:space="preserve">42 </w:t>
                  </w:r>
                  <w:r>
                    <w:rPr>
                      <w:rFonts w:ascii="Times New Roman"/>
                      <w:color w:val="auto"/>
                      <w:sz w:val="21"/>
                      <w:szCs w:val="21"/>
                      <w:lang w:eastAsia="zh-CN"/>
                    </w:rPr>
                    <w:t>号、苏发改资环发〔</w:t>
                  </w:r>
                  <w:r>
                    <w:rPr>
                      <w:rFonts w:ascii="Times New Roman" w:hAnsi="Times New Roman"/>
                      <w:color w:val="auto"/>
                      <w:sz w:val="21"/>
                      <w:szCs w:val="21"/>
                      <w:lang w:eastAsia="zh-CN"/>
                    </w:rPr>
                    <w:t>2021</w:t>
                  </w:r>
                  <w:r>
                    <w:rPr>
                      <w:rFonts w:ascii="Times New Roman"/>
                      <w:color w:val="auto"/>
                      <w:sz w:val="21"/>
                      <w:szCs w:val="21"/>
                      <w:lang w:eastAsia="zh-CN"/>
                    </w:rPr>
                    <w:t>〕</w:t>
                  </w:r>
                  <w:r>
                    <w:rPr>
                      <w:rFonts w:ascii="Times New Roman" w:hAnsi="Times New Roman"/>
                      <w:color w:val="auto"/>
                      <w:sz w:val="21"/>
                      <w:szCs w:val="21"/>
                      <w:lang w:eastAsia="zh-CN"/>
                    </w:rPr>
                    <w:t xml:space="preserve">1047 </w:t>
                  </w:r>
                  <w:r>
                    <w:rPr>
                      <w:rFonts w:ascii="Times New Roman"/>
                      <w:color w:val="auto"/>
                      <w:sz w:val="21"/>
                      <w:szCs w:val="21"/>
                      <w:lang w:eastAsia="zh-CN"/>
                    </w:rPr>
                    <w:t>号等文件要求，加快推进西区污水处理厂建设、东区污水处理厂扩建及配套污水管网建设，确保区内所有工业废水、生活污水全部接管处理，落实再生水回用工程建设及再生水去向。加快推进国能热电厂、供热管网建设及自建供热设施的淘汰，园区依托区外国能热电厂实施集中供热。一般固体废物、危险废物应依法依规收集、暂存、处理处置，做到</w:t>
                  </w:r>
                  <w:r>
                    <w:rPr>
                      <w:rFonts w:ascii="Times New Roman" w:hAnsi="Times New Roman"/>
                      <w:color w:val="auto"/>
                      <w:sz w:val="21"/>
                      <w:szCs w:val="21"/>
                      <w:lang w:eastAsia="zh-CN"/>
                    </w:rPr>
                    <w:t>“</w:t>
                  </w:r>
                  <w:r>
                    <w:rPr>
                      <w:rFonts w:ascii="Times New Roman"/>
                      <w:color w:val="auto"/>
                      <w:sz w:val="21"/>
                      <w:szCs w:val="21"/>
                      <w:lang w:eastAsia="zh-CN"/>
                    </w:rPr>
                    <w:t>就地分类收集、及时转移处置</w:t>
                  </w:r>
                  <w:r>
                    <w:rPr>
                      <w:rFonts w:ascii="Times New Roman" w:hAnsi="Times New Roman"/>
                      <w:color w:val="auto"/>
                      <w:sz w:val="21"/>
                      <w:szCs w:val="21"/>
                      <w:lang w:eastAsia="zh-CN"/>
                    </w:rPr>
                    <w:t>”</w:t>
                  </w:r>
                  <w:r>
                    <w:rPr>
                      <w:rFonts w:ascii="Times New Roman"/>
                      <w:color w:val="auto"/>
                      <w:sz w:val="21"/>
                      <w:szCs w:val="21"/>
                      <w:lang w:eastAsia="zh-CN"/>
                    </w:rPr>
                    <w:t>。</w:t>
                  </w:r>
                </w:p>
              </w:tc>
              <w:tc>
                <w:tcPr>
                  <w:tcW w:w="1860" w:type="pct"/>
                  <w:vAlign w:val="center"/>
                </w:tcPr>
                <w:p w14:paraId="7205EC4B">
                  <w:pPr>
                    <w:pStyle w:val="153"/>
                    <w:spacing w:before="1"/>
                    <w:ind w:left="114"/>
                    <w:jc w:val="center"/>
                    <w:rPr>
                      <w:rFonts w:ascii="Times New Roman" w:hAnsi="Times New Roman"/>
                      <w:color w:val="auto"/>
                      <w:sz w:val="21"/>
                      <w:lang w:eastAsia="zh-CN"/>
                    </w:rPr>
                  </w:pPr>
                  <w:r>
                    <w:rPr>
                      <w:rFonts w:ascii="Times New Roman" w:cs="Times New Roman"/>
                      <w:color w:val="auto"/>
                      <w:kern w:val="0"/>
                      <w:szCs w:val="21"/>
                    </w:rPr>
                    <w:t>本项目为</w:t>
                  </w:r>
                  <w:r>
                    <w:rPr>
                      <w:rFonts w:hint="eastAsia" w:ascii="Times New Roman" w:cs="Times New Roman"/>
                      <w:color w:val="auto"/>
                      <w:kern w:val="0"/>
                      <w:szCs w:val="21"/>
                    </w:rPr>
                    <w:t>现有项目配套</w:t>
                  </w:r>
                  <w:r>
                    <w:rPr>
                      <w:rFonts w:hint="eastAsia" w:cs="Times New Roman"/>
                      <w:color w:val="auto"/>
                      <w:kern w:val="0"/>
                      <w:szCs w:val="21"/>
                      <w:lang w:eastAsia="zh-CN"/>
                    </w:rPr>
                    <w:t>仓储设施升级改造</w:t>
                  </w:r>
                  <w:r>
                    <w:rPr>
                      <w:rFonts w:hint="eastAsia" w:ascii="Times New Roman" w:cs="Times New Roman"/>
                      <w:color w:val="auto"/>
                      <w:kern w:val="0"/>
                      <w:szCs w:val="21"/>
                    </w:rPr>
                    <w:t>项目</w:t>
                  </w:r>
                  <w:r>
                    <w:rPr>
                      <w:rFonts w:ascii="Times New Roman" w:cs="Times New Roman"/>
                      <w:color w:val="auto"/>
                      <w:kern w:val="0"/>
                      <w:szCs w:val="21"/>
                    </w:rPr>
                    <w:t>，</w:t>
                  </w:r>
                  <w:r>
                    <w:rPr>
                      <w:rFonts w:hint="eastAsia" w:ascii="Times New Roman"/>
                      <w:color w:val="auto"/>
                      <w:sz w:val="21"/>
                      <w:szCs w:val="21"/>
                      <w:lang w:eastAsia="zh-CN"/>
                    </w:rPr>
                    <w:t>不新增废气、废水、固废产生及排放</w:t>
                  </w:r>
                  <w:r>
                    <w:rPr>
                      <w:rFonts w:ascii="Times New Roman"/>
                      <w:color w:val="auto"/>
                      <w:sz w:val="21"/>
                      <w:szCs w:val="21"/>
                      <w:lang w:eastAsia="zh-CN"/>
                    </w:rPr>
                    <w:t>。</w:t>
                  </w:r>
                </w:p>
              </w:tc>
            </w:tr>
            <w:tr w14:paraId="2AA05A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32" w:type="pct"/>
                  <w:vAlign w:val="center"/>
                </w:tcPr>
                <w:p w14:paraId="4AA72FBD">
                  <w:pPr>
                    <w:jc w:val="center"/>
                    <w:rPr>
                      <w:rFonts w:ascii="Times New Roman" w:hAnsi="Times New Roman" w:cs="Times New Roman"/>
                      <w:color w:val="auto"/>
                      <w:kern w:val="0"/>
                      <w:szCs w:val="21"/>
                    </w:rPr>
                  </w:pPr>
                  <w:r>
                    <w:rPr>
                      <w:rFonts w:ascii="Times New Roman" w:hAnsi="Times New Roman" w:cs="Times New Roman"/>
                      <w:color w:val="auto"/>
                      <w:kern w:val="0"/>
                      <w:szCs w:val="21"/>
                    </w:rPr>
                    <w:t>7</w:t>
                  </w:r>
                </w:p>
              </w:tc>
              <w:tc>
                <w:tcPr>
                  <w:tcW w:w="2707" w:type="pct"/>
                  <w:vAlign w:val="center"/>
                </w:tcPr>
                <w:p w14:paraId="725FA339">
                  <w:pPr>
                    <w:pStyle w:val="153"/>
                    <w:spacing w:before="1"/>
                    <w:ind w:left="114"/>
                    <w:jc w:val="center"/>
                    <w:rPr>
                      <w:rFonts w:ascii="Times New Roman" w:hAnsi="Times New Roman"/>
                      <w:color w:val="auto"/>
                      <w:sz w:val="21"/>
                      <w:lang w:eastAsia="zh-CN"/>
                    </w:rPr>
                  </w:pPr>
                  <w:r>
                    <w:rPr>
                      <w:rFonts w:ascii="Times New Roman"/>
                      <w:color w:val="auto"/>
                      <w:sz w:val="21"/>
                      <w:szCs w:val="21"/>
                      <w:lang w:eastAsia="zh-CN"/>
                    </w:rPr>
                    <w:t>健全园区环境风险防控体系，提升环境应急能力。健全环境风险评估和应急预案制度，按规定编制园区突发环境事件风险评估报告和突发环境事件应急预案，及时备案修编，定期开展演练。强化突发环境事件风险防控基础设施建设，完善园区三级环境防控体系建设，配备与园区风险等级相适应的环境应急救援队伍，完善应急物资装备储备及环境应急监控、应急响应系统建设，不断提升环境应急管理能力和水平。建立突发环境事件隐患排查长效机制，定期排查突发环境事件隐患，建立隐患清单并督促整改到位，保障区域环境安全。</w:t>
                  </w:r>
                </w:p>
              </w:tc>
              <w:tc>
                <w:tcPr>
                  <w:tcW w:w="1860" w:type="pct"/>
                  <w:vAlign w:val="center"/>
                </w:tcPr>
                <w:p w14:paraId="74223F86">
                  <w:pPr>
                    <w:pStyle w:val="153"/>
                    <w:spacing w:before="1"/>
                    <w:ind w:left="114"/>
                    <w:jc w:val="center"/>
                    <w:rPr>
                      <w:rFonts w:ascii="Times New Roman" w:hAnsi="Times New Roman"/>
                      <w:color w:val="auto"/>
                      <w:sz w:val="21"/>
                      <w:szCs w:val="21"/>
                      <w:lang w:eastAsia="zh-CN"/>
                    </w:rPr>
                  </w:pPr>
                  <w:r>
                    <w:rPr>
                      <w:rFonts w:ascii="Times New Roman"/>
                      <w:color w:val="auto"/>
                      <w:sz w:val="21"/>
                      <w:szCs w:val="21"/>
                      <w:lang w:eastAsia="zh-CN"/>
                    </w:rPr>
                    <w:t>公司已按规定编制应急预案并完成备案，且定期开展演练。</w:t>
                  </w:r>
                </w:p>
              </w:tc>
            </w:tr>
            <w:tr w14:paraId="422BB0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32" w:type="pct"/>
                  <w:vAlign w:val="center"/>
                </w:tcPr>
                <w:p w14:paraId="6990C894">
                  <w:pPr>
                    <w:jc w:val="center"/>
                    <w:rPr>
                      <w:rFonts w:ascii="Times New Roman" w:hAnsi="Times New Roman" w:cs="Times New Roman"/>
                      <w:color w:val="auto"/>
                      <w:kern w:val="0"/>
                      <w:szCs w:val="21"/>
                    </w:rPr>
                  </w:pPr>
                  <w:r>
                    <w:rPr>
                      <w:rFonts w:ascii="Times New Roman" w:hAnsi="Times New Roman" w:cs="Times New Roman"/>
                      <w:color w:val="auto"/>
                      <w:kern w:val="0"/>
                      <w:szCs w:val="21"/>
                    </w:rPr>
                    <w:t>8</w:t>
                  </w:r>
                </w:p>
              </w:tc>
              <w:tc>
                <w:tcPr>
                  <w:tcW w:w="2707" w:type="pct"/>
                  <w:vAlign w:val="center"/>
                </w:tcPr>
                <w:p w14:paraId="4268D4EF">
                  <w:pPr>
                    <w:pStyle w:val="153"/>
                    <w:spacing w:before="1"/>
                    <w:ind w:left="114"/>
                    <w:jc w:val="center"/>
                    <w:rPr>
                      <w:rFonts w:ascii="Times New Roman" w:hAnsi="Times New Roman"/>
                      <w:color w:val="auto"/>
                      <w:sz w:val="21"/>
                      <w:lang w:eastAsia="zh-CN"/>
                    </w:rPr>
                  </w:pPr>
                  <w:r>
                    <w:rPr>
                      <w:rFonts w:ascii="Times New Roman"/>
                      <w:color w:val="auto"/>
                      <w:sz w:val="21"/>
                      <w:szCs w:val="21"/>
                      <w:lang w:eastAsia="zh-CN"/>
                    </w:rPr>
                    <w:t>建立健全环境监测监控体系。严格落实《全省省级及以上工业区（集中区）监测监控能力建设方案》（苏环办〔</w:t>
                  </w:r>
                  <w:r>
                    <w:rPr>
                      <w:rFonts w:ascii="Times New Roman" w:hAnsi="Times New Roman"/>
                      <w:color w:val="auto"/>
                      <w:sz w:val="21"/>
                      <w:szCs w:val="21"/>
                      <w:lang w:eastAsia="zh-CN"/>
                    </w:rPr>
                    <w:t>2021</w:t>
                  </w:r>
                  <w:r>
                    <w:rPr>
                      <w:rFonts w:ascii="Times New Roman"/>
                      <w:color w:val="auto"/>
                      <w:sz w:val="21"/>
                      <w:szCs w:val="21"/>
                      <w:lang w:eastAsia="zh-CN"/>
                    </w:rPr>
                    <w:t>〕</w:t>
                  </w:r>
                  <w:r>
                    <w:rPr>
                      <w:rFonts w:ascii="Times New Roman" w:hAnsi="Times New Roman"/>
                      <w:color w:val="auto"/>
                      <w:sz w:val="21"/>
                      <w:szCs w:val="21"/>
                      <w:lang w:eastAsia="zh-CN"/>
                    </w:rPr>
                    <w:t>144</w:t>
                  </w:r>
                  <w:r>
                    <w:rPr>
                      <w:rFonts w:ascii="Times New Roman"/>
                      <w:color w:val="auto"/>
                      <w:sz w:val="21"/>
                      <w:szCs w:val="21"/>
                      <w:lang w:eastAsia="zh-CN"/>
                    </w:rPr>
                    <w:t>号）、《工业园区（集中区）污染物排放限值限量管理实施方案编制技术指南（试行）》（苏环办〔</w:t>
                  </w:r>
                  <w:r>
                    <w:rPr>
                      <w:rFonts w:ascii="Times New Roman" w:hAnsi="Times New Roman"/>
                      <w:color w:val="auto"/>
                      <w:sz w:val="21"/>
                      <w:szCs w:val="21"/>
                      <w:lang w:eastAsia="zh-CN"/>
                    </w:rPr>
                    <w:t>2022</w:t>
                  </w:r>
                  <w:r>
                    <w:rPr>
                      <w:rFonts w:ascii="Times New Roman"/>
                      <w:color w:val="auto"/>
                      <w:sz w:val="21"/>
                      <w:szCs w:val="21"/>
                      <w:lang w:eastAsia="zh-CN"/>
                    </w:rPr>
                    <w:t>〕</w:t>
                  </w:r>
                  <w:r>
                    <w:rPr>
                      <w:rFonts w:ascii="Times New Roman" w:hAnsi="Times New Roman"/>
                      <w:color w:val="auto"/>
                      <w:sz w:val="21"/>
                      <w:szCs w:val="21"/>
                      <w:lang w:eastAsia="zh-CN"/>
                    </w:rPr>
                    <w:t xml:space="preserve">6 </w:t>
                  </w:r>
                  <w:r>
                    <w:rPr>
                      <w:rFonts w:ascii="Times New Roman"/>
                      <w:color w:val="auto"/>
                      <w:sz w:val="21"/>
                      <w:szCs w:val="21"/>
                      <w:lang w:eastAsia="zh-CN"/>
                    </w:rPr>
                    <w:t>号）的要求，完善园区监测监控体系建设。指导区内企业按《全省排污单位自动监测监控全覆盖（全联全控）工作方案》（苏环办〔</w:t>
                  </w:r>
                  <w:r>
                    <w:rPr>
                      <w:rFonts w:ascii="Times New Roman" w:hAnsi="Times New Roman"/>
                      <w:color w:val="auto"/>
                      <w:sz w:val="21"/>
                      <w:szCs w:val="21"/>
                      <w:lang w:eastAsia="zh-CN"/>
                    </w:rPr>
                    <w:t>2021</w:t>
                  </w:r>
                  <w:r>
                    <w:rPr>
                      <w:rFonts w:ascii="Times New Roman"/>
                      <w:color w:val="auto"/>
                      <w:sz w:val="21"/>
                      <w:szCs w:val="21"/>
                      <w:lang w:eastAsia="zh-CN"/>
                    </w:rPr>
                    <w:t>〕</w:t>
                  </w:r>
                  <w:r>
                    <w:rPr>
                      <w:rFonts w:ascii="Times New Roman" w:hAnsi="Times New Roman"/>
                      <w:color w:val="auto"/>
                      <w:sz w:val="21"/>
                      <w:szCs w:val="21"/>
                      <w:lang w:eastAsia="zh-CN"/>
                    </w:rPr>
                    <w:t xml:space="preserve">146 </w:t>
                  </w:r>
                  <w:r>
                    <w:rPr>
                      <w:rFonts w:ascii="Times New Roman"/>
                      <w:color w:val="auto"/>
                      <w:sz w:val="21"/>
                      <w:szCs w:val="21"/>
                      <w:lang w:eastAsia="zh-CN"/>
                    </w:rPr>
                    <w:t>号）要求和监测规范，安装在线监测设备及自动留样、校准等辅助设备，实时监测获得主要污染物排放浓度、流量数据；暂不具备安装在线监测设备条件的企业，应指导企业做好委托监测，并告知企业及时上报监测数据。</w:t>
                  </w:r>
                </w:p>
              </w:tc>
              <w:tc>
                <w:tcPr>
                  <w:tcW w:w="1860" w:type="pct"/>
                  <w:vAlign w:val="center"/>
                </w:tcPr>
                <w:p w14:paraId="7238A739">
                  <w:pPr>
                    <w:pStyle w:val="153"/>
                    <w:spacing w:before="1"/>
                    <w:ind w:left="114"/>
                    <w:jc w:val="center"/>
                    <w:rPr>
                      <w:rFonts w:ascii="Times New Roman" w:hAnsi="Times New Roman"/>
                      <w:color w:val="auto"/>
                      <w:sz w:val="21"/>
                      <w:lang w:eastAsia="zh-CN"/>
                    </w:rPr>
                  </w:pPr>
                  <w:r>
                    <w:rPr>
                      <w:rFonts w:hint="eastAsia" w:ascii="Times New Roman"/>
                      <w:color w:val="auto"/>
                      <w:sz w:val="21"/>
                      <w:szCs w:val="21"/>
                      <w:lang w:eastAsia="zh-CN"/>
                    </w:rPr>
                    <w:t>企业拟按照规范</w:t>
                  </w:r>
                  <w:r>
                    <w:rPr>
                      <w:rFonts w:ascii="Times New Roman"/>
                      <w:color w:val="auto"/>
                      <w:sz w:val="21"/>
                      <w:szCs w:val="21"/>
                      <w:lang w:eastAsia="zh-CN"/>
                    </w:rPr>
                    <w:t>定期对污染物进行委托监测，</w:t>
                  </w:r>
                  <w:r>
                    <w:rPr>
                      <w:rFonts w:hint="eastAsia" w:ascii="Times New Roman"/>
                      <w:color w:val="auto"/>
                      <w:sz w:val="21"/>
                      <w:szCs w:val="21"/>
                      <w:lang w:eastAsia="zh-CN"/>
                    </w:rPr>
                    <w:t>并</w:t>
                  </w:r>
                  <w:r>
                    <w:rPr>
                      <w:rFonts w:ascii="Times New Roman"/>
                      <w:color w:val="auto"/>
                      <w:sz w:val="21"/>
                      <w:szCs w:val="21"/>
                      <w:lang w:eastAsia="zh-CN"/>
                    </w:rPr>
                    <w:t>及时上报监测数据。</w:t>
                  </w:r>
                </w:p>
              </w:tc>
            </w:tr>
          </w:tbl>
          <w:p w14:paraId="4D530160">
            <w:pPr>
              <w:pStyle w:val="153"/>
              <w:spacing w:before="2" w:line="294" w:lineRule="exact"/>
              <w:ind w:left="70"/>
              <w:jc w:val="center"/>
              <w:rPr>
                <w:rFonts w:ascii="Times New Roman" w:hAnsi="Times New Roman"/>
                <w:color w:val="auto"/>
                <w:sz w:val="24"/>
                <w:lang w:eastAsia="zh-CN"/>
              </w:rPr>
            </w:pPr>
            <w:r>
              <w:rPr>
                <w:rFonts w:ascii="Times New Roman"/>
                <w:b/>
                <w:color w:val="auto"/>
                <w:spacing w:val="-32"/>
                <w:sz w:val="24"/>
                <w:lang w:eastAsia="zh-CN"/>
              </w:rPr>
              <w:t>表</w:t>
            </w:r>
            <w:r>
              <w:rPr>
                <w:rFonts w:ascii="Times New Roman" w:hAnsi="Times New Roman"/>
                <w:b/>
                <w:color w:val="auto"/>
                <w:spacing w:val="-32"/>
                <w:sz w:val="24"/>
                <w:lang w:eastAsia="zh-CN"/>
              </w:rPr>
              <w:t xml:space="preserve"> </w:t>
            </w:r>
            <w:r>
              <w:rPr>
                <w:rFonts w:ascii="Times New Roman" w:hAnsi="Times New Roman" w:eastAsia="Times New Roman"/>
                <w:b/>
                <w:color w:val="auto"/>
                <w:sz w:val="24"/>
                <w:lang w:eastAsia="zh-CN"/>
              </w:rPr>
              <w:t>1-</w:t>
            </w:r>
            <w:r>
              <w:rPr>
                <w:rFonts w:hint="eastAsia" w:ascii="Times New Roman" w:hAnsi="Times New Roman" w:eastAsiaTheme="minorEastAsia"/>
                <w:b/>
                <w:color w:val="auto"/>
                <w:sz w:val="24"/>
                <w:lang w:val="en-US" w:eastAsia="zh-CN"/>
              </w:rPr>
              <w:t>2</w:t>
            </w:r>
            <w:r>
              <w:rPr>
                <w:rFonts w:ascii="Times New Roman" w:hAnsi="Times New Roman" w:eastAsia="Times New Roman"/>
                <w:b/>
                <w:color w:val="auto"/>
                <w:spacing w:val="58"/>
                <w:sz w:val="24"/>
                <w:lang w:eastAsia="zh-CN"/>
              </w:rPr>
              <w:t xml:space="preserve"> </w:t>
            </w:r>
            <w:r>
              <w:rPr>
                <w:rFonts w:hint="eastAsia" w:ascii="Times New Roman"/>
                <w:b/>
                <w:color w:val="auto"/>
                <w:sz w:val="24"/>
                <w:lang w:eastAsia="zh-CN"/>
              </w:rPr>
              <w:t>建设项目</w:t>
            </w:r>
            <w:r>
              <w:rPr>
                <w:rFonts w:ascii="Times New Roman"/>
                <w:b/>
                <w:color w:val="auto"/>
                <w:sz w:val="24"/>
                <w:lang w:eastAsia="zh-CN"/>
              </w:rPr>
              <w:t>与江苏涟水经济开发区循环经济产业园生态环境准入清单的相符性</w:t>
            </w:r>
          </w:p>
          <w:tbl>
            <w:tblPr>
              <w:tblStyle w:val="89"/>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52"/>
              <w:gridCol w:w="3844"/>
              <w:gridCol w:w="3198"/>
            </w:tblGrid>
            <w:tr w14:paraId="04EE27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3" w:type="pct"/>
                  <w:vAlign w:val="center"/>
                </w:tcPr>
                <w:p w14:paraId="41BE35A8">
                  <w:pPr>
                    <w:pStyle w:val="153"/>
                    <w:adjustRightInd w:val="0"/>
                    <w:snapToGrid w:val="0"/>
                    <w:spacing w:before="1"/>
                    <w:ind w:left="114"/>
                    <w:jc w:val="center"/>
                    <w:rPr>
                      <w:rFonts w:ascii="Times New Roman" w:hAnsi="Times New Roman"/>
                      <w:color w:val="auto"/>
                      <w:sz w:val="21"/>
                      <w:szCs w:val="21"/>
                      <w:lang w:eastAsia="zh-CN"/>
                    </w:rPr>
                  </w:pPr>
                  <w:r>
                    <w:rPr>
                      <w:rFonts w:ascii="Times New Roman"/>
                      <w:color w:val="auto"/>
                      <w:sz w:val="21"/>
                      <w:szCs w:val="21"/>
                      <w:lang w:eastAsia="zh-CN"/>
                    </w:rPr>
                    <w:t>类别</w:t>
                  </w:r>
                </w:p>
              </w:tc>
              <w:tc>
                <w:tcPr>
                  <w:tcW w:w="2345" w:type="pct"/>
                  <w:vAlign w:val="center"/>
                </w:tcPr>
                <w:p w14:paraId="0F68337B">
                  <w:pPr>
                    <w:adjustRightInd w:val="0"/>
                    <w:snapToGrid w:val="0"/>
                    <w:jc w:val="center"/>
                    <w:rPr>
                      <w:rFonts w:ascii="Times New Roman" w:hAnsi="Times New Roman" w:cs="Times New Roman"/>
                      <w:color w:val="auto"/>
                      <w:kern w:val="0"/>
                      <w:szCs w:val="21"/>
                    </w:rPr>
                  </w:pPr>
                  <w:r>
                    <w:rPr>
                      <w:rFonts w:ascii="Times New Roman" w:cs="Times New Roman"/>
                      <w:color w:val="auto"/>
                      <w:kern w:val="0"/>
                      <w:szCs w:val="21"/>
                    </w:rPr>
                    <w:t>审查意见</w:t>
                  </w:r>
                </w:p>
              </w:tc>
              <w:tc>
                <w:tcPr>
                  <w:tcW w:w="1950" w:type="pct"/>
                  <w:vAlign w:val="center"/>
                </w:tcPr>
                <w:p w14:paraId="6020080D">
                  <w:pPr>
                    <w:adjustRightInd w:val="0"/>
                    <w:snapToGrid w:val="0"/>
                    <w:jc w:val="center"/>
                    <w:rPr>
                      <w:rFonts w:ascii="Times New Roman" w:hAnsi="Times New Roman" w:cs="Times New Roman"/>
                      <w:color w:val="auto"/>
                      <w:kern w:val="0"/>
                      <w:szCs w:val="21"/>
                    </w:rPr>
                  </w:pPr>
                  <w:r>
                    <w:rPr>
                      <w:rFonts w:ascii="Times New Roman" w:cs="Times New Roman"/>
                      <w:color w:val="auto"/>
                      <w:kern w:val="0"/>
                      <w:szCs w:val="21"/>
                    </w:rPr>
                    <w:t>相符性分析</w:t>
                  </w:r>
                </w:p>
              </w:tc>
            </w:tr>
            <w:tr w14:paraId="713C86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3" w:type="pct"/>
                  <w:vMerge w:val="restart"/>
                  <w:vAlign w:val="center"/>
                </w:tcPr>
                <w:p w14:paraId="05AB6FA0">
                  <w:pPr>
                    <w:pStyle w:val="153"/>
                    <w:adjustRightInd w:val="0"/>
                    <w:snapToGrid w:val="0"/>
                    <w:spacing w:before="1"/>
                    <w:ind w:left="114"/>
                    <w:jc w:val="center"/>
                    <w:rPr>
                      <w:rFonts w:ascii="Times New Roman" w:hAnsi="Times New Roman"/>
                      <w:color w:val="auto"/>
                      <w:sz w:val="21"/>
                      <w:szCs w:val="21"/>
                      <w:lang w:eastAsia="zh-CN"/>
                    </w:rPr>
                  </w:pPr>
                  <w:r>
                    <w:rPr>
                      <w:rFonts w:ascii="Times New Roman"/>
                      <w:color w:val="auto"/>
                      <w:sz w:val="21"/>
                      <w:szCs w:val="21"/>
                      <w:lang w:eastAsia="zh-CN"/>
                    </w:rPr>
                    <w:t>产业准入</w:t>
                  </w:r>
                </w:p>
              </w:tc>
              <w:tc>
                <w:tcPr>
                  <w:tcW w:w="2345" w:type="pct"/>
                  <w:vAlign w:val="center"/>
                </w:tcPr>
                <w:p w14:paraId="6A2402A0">
                  <w:pPr>
                    <w:pStyle w:val="153"/>
                    <w:adjustRightInd w:val="0"/>
                    <w:snapToGrid w:val="0"/>
                    <w:spacing w:before="1"/>
                    <w:ind w:left="114"/>
                    <w:jc w:val="center"/>
                    <w:rPr>
                      <w:rFonts w:ascii="Times New Roman" w:hAnsi="Times New Roman"/>
                      <w:color w:val="auto"/>
                      <w:sz w:val="21"/>
                      <w:szCs w:val="21"/>
                      <w:lang w:eastAsia="zh-CN"/>
                    </w:rPr>
                  </w:pPr>
                  <w:r>
                    <w:rPr>
                      <w:rFonts w:ascii="Times New Roman"/>
                      <w:color w:val="auto"/>
                      <w:sz w:val="21"/>
                      <w:szCs w:val="21"/>
                      <w:lang w:eastAsia="zh-CN"/>
                    </w:rPr>
                    <w:t>禁止引进与国家、地方现行产业政策相冲突的项目；禁止引进生产工艺及设备落后、风险防范措施疏漏、抗风险能力差的项目；禁止引进高水耗、高物耗、高能耗、高排放，清洁生产达不到国内先进水平的项目；禁止引进与主导产业不相关且污染物排放量大的项目；禁止生产和使用高</w:t>
                  </w:r>
                  <w:r>
                    <w:rPr>
                      <w:rFonts w:ascii="Times New Roman" w:hAnsi="Times New Roman"/>
                      <w:color w:val="auto"/>
                      <w:sz w:val="21"/>
                      <w:szCs w:val="21"/>
                      <w:lang w:eastAsia="zh-CN"/>
                    </w:rPr>
                    <w:t xml:space="preserve"> VOCs </w:t>
                  </w:r>
                  <w:r>
                    <w:rPr>
                      <w:rFonts w:ascii="Times New Roman"/>
                      <w:color w:val="auto"/>
                      <w:sz w:val="21"/>
                      <w:szCs w:val="21"/>
                      <w:lang w:eastAsia="zh-CN"/>
                    </w:rPr>
                    <w:t>含量的溶剂型涂料、油墨、胶粘剂等项目；禁止新建农药、染料、医药原药及中间体项目；禁止引进存放易燃、易爆和剧毒等危险品的仓储项目。</w:t>
                  </w:r>
                </w:p>
              </w:tc>
              <w:tc>
                <w:tcPr>
                  <w:tcW w:w="1950" w:type="pct"/>
                  <w:vAlign w:val="center"/>
                </w:tcPr>
                <w:p w14:paraId="2B455BEE">
                  <w:pPr>
                    <w:pStyle w:val="153"/>
                    <w:adjustRightInd w:val="0"/>
                    <w:snapToGrid w:val="0"/>
                    <w:spacing w:before="1"/>
                    <w:ind w:left="114"/>
                    <w:jc w:val="center"/>
                    <w:rPr>
                      <w:rFonts w:ascii="Times New Roman" w:hAnsi="Times New Roman"/>
                      <w:color w:val="auto"/>
                      <w:sz w:val="21"/>
                      <w:szCs w:val="21"/>
                      <w:lang w:eastAsia="zh-CN"/>
                    </w:rPr>
                  </w:pPr>
                  <w:r>
                    <w:rPr>
                      <w:rFonts w:ascii="Times New Roman" w:cs="Times New Roman"/>
                      <w:color w:val="auto"/>
                      <w:kern w:val="0"/>
                      <w:szCs w:val="21"/>
                    </w:rPr>
                    <w:t>本项目为</w:t>
                  </w:r>
                  <w:r>
                    <w:rPr>
                      <w:rFonts w:hint="eastAsia" w:ascii="Times New Roman" w:cs="Times New Roman"/>
                      <w:color w:val="auto"/>
                      <w:kern w:val="0"/>
                      <w:szCs w:val="21"/>
                    </w:rPr>
                    <w:t>现有项目配套</w:t>
                  </w:r>
                  <w:r>
                    <w:rPr>
                      <w:rFonts w:hint="eastAsia" w:cs="Times New Roman"/>
                      <w:color w:val="auto"/>
                      <w:kern w:val="0"/>
                      <w:szCs w:val="21"/>
                      <w:lang w:eastAsia="zh-CN"/>
                    </w:rPr>
                    <w:t>仓储设施升级改造</w:t>
                  </w:r>
                  <w:r>
                    <w:rPr>
                      <w:rFonts w:hint="eastAsia" w:ascii="Times New Roman" w:cs="Times New Roman"/>
                      <w:color w:val="auto"/>
                      <w:kern w:val="0"/>
                      <w:szCs w:val="21"/>
                    </w:rPr>
                    <w:t>项目</w:t>
                  </w:r>
                  <w:r>
                    <w:rPr>
                      <w:rFonts w:ascii="Times New Roman" w:cs="Times New Roman"/>
                      <w:color w:val="auto"/>
                      <w:kern w:val="0"/>
                      <w:szCs w:val="21"/>
                    </w:rPr>
                    <w:t>，</w:t>
                  </w:r>
                  <w:r>
                    <w:rPr>
                      <w:rFonts w:hint="eastAsia" w:ascii="Times New Roman" w:cs="Times New Roman"/>
                      <w:color w:val="auto"/>
                      <w:kern w:val="0"/>
                      <w:szCs w:val="21"/>
                      <w:lang w:eastAsia="zh-CN"/>
                    </w:rPr>
                    <w:t>无废气、废水、固废产生及排放</w:t>
                  </w:r>
                  <w:r>
                    <w:rPr>
                      <w:rFonts w:hint="eastAsia" w:ascii="Times New Roman" w:hAnsi="Times New Roman"/>
                      <w:color w:val="auto"/>
                      <w:szCs w:val="21"/>
                      <w:lang w:eastAsia="zh-CN"/>
                    </w:rPr>
                    <w:t>，</w:t>
                  </w:r>
                  <w:r>
                    <w:rPr>
                      <w:rFonts w:ascii="Times New Roman"/>
                      <w:color w:val="auto"/>
                      <w:sz w:val="21"/>
                      <w:szCs w:val="21"/>
                      <w:lang w:eastAsia="zh-CN"/>
                    </w:rPr>
                    <w:t>与国家、地方现行产业政策相符</w:t>
                  </w:r>
                  <w:r>
                    <w:rPr>
                      <w:rFonts w:hint="eastAsia" w:ascii="Times New Roman"/>
                      <w:color w:val="auto"/>
                      <w:sz w:val="21"/>
                      <w:szCs w:val="21"/>
                      <w:lang w:eastAsia="zh-CN"/>
                    </w:rPr>
                    <w:t>，</w:t>
                  </w:r>
                  <w:r>
                    <w:rPr>
                      <w:rFonts w:ascii="Times New Roman"/>
                      <w:color w:val="auto"/>
                      <w:sz w:val="21"/>
                      <w:szCs w:val="21"/>
                      <w:lang w:eastAsia="zh-CN"/>
                    </w:rPr>
                    <w:t>不属于高水耗、高物耗、高能耗、高排放项目</w:t>
                  </w:r>
                </w:p>
              </w:tc>
            </w:tr>
            <w:tr w14:paraId="2B6EF4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3" w:type="pct"/>
                  <w:vMerge w:val="continue"/>
                  <w:vAlign w:val="center"/>
                </w:tcPr>
                <w:p w14:paraId="4FE2CF95">
                  <w:pPr>
                    <w:pStyle w:val="153"/>
                    <w:adjustRightInd w:val="0"/>
                    <w:snapToGrid w:val="0"/>
                    <w:spacing w:before="1"/>
                    <w:ind w:left="114"/>
                    <w:jc w:val="center"/>
                    <w:rPr>
                      <w:rFonts w:ascii="Times New Roman" w:hAnsi="Times New Roman"/>
                      <w:color w:val="auto"/>
                      <w:sz w:val="21"/>
                      <w:szCs w:val="21"/>
                      <w:lang w:eastAsia="zh-CN"/>
                    </w:rPr>
                  </w:pPr>
                </w:p>
              </w:tc>
              <w:tc>
                <w:tcPr>
                  <w:tcW w:w="2345" w:type="pct"/>
                  <w:vAlign w:val="center"/>
                </w:tcPr>
                <w:p w14:paraId="1F9063EF">
                  <w:pPr>
                    <w:pStyle w:val="153"/>
                    <w:adjustRightInd w:val="0"/>
                    <w:snapToGrid w:val="0"/>
                    <w:spacing w:before="1"/>
                    <w:ind w:left="114"/>
                    <w:jc w:val="center"/>
                    <w:rPr>
                      <w:rFonts w:ascii="Times New Roman" w:hAnsi="Times New Roman"/>
                      <w:color w:val="auto"/>
                      <w:sz w:val="21"/>
                      <w:szCs w:val="21"/>
                      <w:lang w:eastAsia="zh-CN"/>
                    </w:rPr>
                  </w:pPr>
                  <w:r>
                    <w:rPr>
                      <w:rFonts w:ascii="Times New Roman"/>
                      <w:color w:val="auto"/>
                      <w:sz w:val="21"/>
                      <w:szCs w:val="21"/>
                      <w:lang w:eastAsia="zh-CN"/>
                    </w:rPr>
                    <w:t>不得新增化工生产企业、新建扩建化工生产项目（符合园区产业规划且在苏化治〔</w:t>
                  </w:r>
                  <w:r>
                    <w:rPr>
                      <w:rFonts w:ascii="Times New Roman" w:hAnsi="Times New Roman"/>
                      <w:color w:val="auto"/>
                      <w:sz w:val="21"/>
                      <w:szCs w:val="21"/>
                      <w:lang w:eastAsia="zh-CN"/>
                    </w:rPr>
                    <w:t>2021</w:t>
                  </w:r>
                  <w:r>
                    <w:rPr>
                      <w:rFonts w:ascii="Times New Roman"/>
                      <w:color w:val="auto"/>
                      <w:sz w:val="21"/>
                      <w:szCs w:val="21"/>
                      <w:lang w:eastAsia="zh-CN"/>
                    </w:rPr>
                    <w:t>〕</w:t>
                  </w:r>
                  <w:r>
                    <w:rPr>
                      <w:rFonts w:ascii="Times New Roman" w:hAnsi="Times New Roman"/>
                      <w:color w:val="auto"/>
                      <w:sz w:val="21"/>
                      <w:szCs w:val="21"/>
                      <w:lang w:eastAsia="zh-CN"/>
                    </w:rPr>
                    <w:t xml:space="preserve">4 </w:t>
                  </w:r>
                  <w:r>
                    <w:rPr>
                      <w:rFonts w:ascii="Times New Roman"/>
                      <w:color w:val="auto"/>
                      <w:sz w:val="21"/>
                      <w:szCs w:val="21"/>
                      <w:lang w:eastAsia="zh-CN"/>
                    </w:rPr>
                    <w:t>号文中鼓励及许可的除外），现有化工生产企业符合条件的可以申报认定化工重点监测点，重点监测点在不新增供地和污染物排放总量的情况下可以实施产业政策鼓励类、允许类的技术改造项目。</w:t>
                  </w:r>
                </w:p>
              </w:tc>
              <w:tc>
                <w:tcPr>
                  <w:tcW w:w="1950" w:type="pct"/>
                  <w:vAlign w:val="center"/>
                </w:tcPr>
                <w:p w14:paraId="2571DE41">
                  <w:pPr>
                    <w:pStyle w:val="153"/>
                    <w:adjustRightInd w:val="0"/>
                    <w:snapToGrid w:val="0"/>
                    <w:spacing w:before="1"/>
                    <w:ind w:left="114"/>
                    <w:jc w:val="center"/>
                    <w:rPr>
                      <w:rFonts w:ascii="Times New Roman" w:hAnsi="Times New Roman" w:eastAsiaTheme="minorEastAsia"/>
                      <w:color w:val="auto"/>
                      <w:sz w:val="21"/>
                      <w:szCs w:val="21"/>
                      <w:lang w:eastAsia="zh-CN"/>
                    </w:rPr>
                  </w:pPr>
                  <w:r>
                    <w:rPr>
                      <w:rFonts w:ascii="Times New Roman" w:cs="Times New Roman"/>
                      <w:color w:val="auto"/>
                      <w:kern w:val="0"/>
                      <w:szCs w:val="21"/>
                    </w:rPr>
                    <w:t>本项目为</w:t>
                  </w:r>
                  <w:r>
                    <w:rPr>
                      <w:rFonts w:hint="eastAsia" w:ascii="Times New Roman" w:cs="Times New Roman"/>
                      <w:color w:val="auto"/>
                      <w:kern w:val="0"/>
                      <w:szCs w:val="21"/>
                    </w:rPr>
                    <w:t>现有项目配套</w:t>
                  </w:r>
                  <w:r>
                    <w:rPr>
                      <w:rFonts w:hint="eastAsia" w:cs="Times New Roman"/>
                      <w:color w:val="auto"/>
                      <w:kern w:val="0"/>
                      <w:szCs w:val="21"/>
                      <w:lang w:eastAsia="zh-CN"/>
                    </w:rPr>
                    <w:t>仓储设施升级改造</w:t>
                  </w:r>
                  <w:r>
                    <w:rPr>
                      <w:rFonts w:hint="eastAsia" w:ascii="Times New Roman" w:cs="Times New Roman"/>
                      <w:color w:val="auto"/>
                      <w:kern w:val="0"/>
                      <w:szCs w:val="21"/>
                    </w:rPr>
                    <w:t>项目</w:t>
                  </w:r>
                  <w:r>
                    <w:rPr>
                      <w:rFonts w:ascii="Times New Roman" w:cs="Times New Roman"/>
                      <w:color w:val="auto"/>
                      <w:kern w:val="0"/>
                      <w:szCs w:val="21"/>
                    </w:rPr>
                    <w:t>，</w:t>
                  </w:r>
                  <w:r>
                    <w:rPr>
                      <w:rFonts w:hint="eastAsia" w:ascii="Times New Roman" w:cs="Times New Roman"/>
                      <w:color w:val="auto"/>
                      <w:kern w:val="0"/>
                      <w:szCs w:val="21"/>
                      <w:lang w:eastAsia="zh-CN"/>
                    </w:rPr>
                    <w:t>不涉及主体工程，</w:t>
                  </w:r>
                  <w:r>
                    <w:rPr>
                      <w:rFonts w:ascii="Times New Roman" w:hAnsiTheme="minorEastAsia" w:eastAsiaTheme="minorEastAsia"/>
                      <w:color w:val="auto"/>
                      <w:sz w:val="21"/>
                      <w:szCs w:val="21"/>
                      <w:lang w:eastAsia="zh-CN"/>
                    </w:rPr>
                    <w:t>不违背园区产业定位</w:t>
                  </w:r>
                </w:p>
              </w:tc>
            </w:tr>
            <w:tr w14:paraId="7A9666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3" w:type="pct"/>
                  <w:vMerge w:val="restart"/>
                  <w:vAlign w:val="center"/>
                </w:tcPr>
                <w:p w14:paraId="7CB6CC1F">
                  <w:pPr>
                    <w:pStyle w:val="153"/>
                    <w:adjustRightInd w:val="0"/>
                    <w:snapToGrid w:val="0"/>
                    <w:spacing w:before="1"/>
                    <w:ind w:left="114"/>
                    <w:jc w:val="center"/>
                    <w:rPr>
                      <w:rFonts w:ascii="Times New Roman" w:hAnsi="Times New Roman"/>
                      <w:color w:val="auto"/>
                      <w:sz w:val="21"/>
                      <w:szCs w:val="21"/>
                      <w:lang w:eastAsia="zh-CN"/>
                    </w:rPr>
                  </w:pPr>
                  <w:r>
                    <w:rPr>
                      <w:rFonts w:ascii="Times New Roman"/>
                      <w:color w:val="auto"/>
                      <w:sz w:val="21"/>
                      <w:szCs w:val="21"/>
                      <w:lang w:eastAsia="zh-CN"/>
                    </w:rPr>
                    <w:t>空间布局约束</w:t>
                  </w:r>
                </w:p>
              </w:tc>
              <w:tc>
                <w:tcPr>
                  <w:tcW w:w="2345" w:type="pct"/>
                  <w:vAlign w:val="center"/>
                </w:tcPr>
                <w:p w14:paraId="03D99C4A">
                  <w:pPr>
                    <w:pStyle w:val="153"/>
                    <w:adjustRightInd w:val="0"/>
                    <w:snapToGrid w:val="0"/>
                    <w:spacing w:before="1"/>
                    <w:ind w:left="114"/>
                    <w:jc w:val="center"/>
                    <w:rPr>
                      <w:rFonts w:ascii="Times New Roman" w:hAnsi="Times New Roman"/>
                      <w:color w:val="auto"/>
                      <w:sz w:val="21"/>
                      <w:szCs w:val="21"/>
                      <w:lang w:eastAsia="zh-CN"/>
                    </w:rPr>
                  </w:pPr>
                  <w:r>
                    <w:rPr>
                      <w:rFonts w:ascii="Times New Roman"/>
                      <w:color w:val="auto"/>
                      <w:sz w:val="21"/>
                      <w:szCs w:val="21"/>
                      <w:lang w:eastAsia="zh-CN"/>
                    </w:rPr>
                    <w:t>严格执行《淮河流域水污染防治暂行条例》，禁止新建化学制浆造纸企业。禁止新建制革、化工、印染、电镀、酿造等污染严重的小型企业。</w:t>
                  </w:r>
                </w:p>
              </w:tc>
              <w:tc>
                <w:tcPr>
                  <w:tcW w:w="1950" w:type="pct"/>
                  <w:vAlign w:val="center"/>
                </w:tcPr>
                <w:p w14:paraId="7D6D0D60">
                  <w:pPr>
                    <w:pStyle w:val="153"/>
                    <w:adjustRightInd w:val="0"/>
                    <w:snapToGrid w:val="0"/>
                    <w:spacing w:before="1"/>
                    <w:ind w:left="114"/>
                    <w:jc w:val="center"/>
                    <w:rPr>
                      <w:rFonts w:ascii="Times New Roman" w:hAnsi="Times New Roman"/>
                      <w:color w:val="auto"/>
                      <w:sz w:val="21"/>
                      <w:szCs w:val="21"/>
                      <w:lang w:eastAsia="zh-CN"/>
                    </w:rPr>
                  </w:pPr>
                  <w:r>
                    <w:rPr>
                      <w:rFonts w:ascii="Times New Roman" w:cs="Times New Roman"/>
                      <w:color w:val="auto"/>
                      <w:kern w:val="0"/>
                      <w:szCs w:val="21"/>
                    </w:rPr>
                    <w:t>本项目为</w:t>
                  </w:r>
                  <w:r>
                    <w:rPr>
                      <w:rFonts w:hint="eastAsia" w:ascii="Times New Roman" w:cs="Times New Roman"/>
                      <w:color w:val="auto"/>
                      <w:kern w:val="0"/>
                      <w:szCs w:val="21"/>
                    </w:rPr>
                    <w:t>现有项目配套</w:t>
                  </w:r>
                  <w:r>
                    <w:rPr>
                      <w:rFonts w:hint="eastAsia" w:cs="Times New Roman"/>
                      <w:color w:val="auto"/>
                      <w:kern w:val="0"/>
                      <w:szCs w:val="21"/>
                      <w:lang w:eastAsia="zh-CN"/>
                    </w:rPr>
                    <w:t>仓储设施升级改造</w:t>
                  </w:r>
                  <w:r>
                    <w:rPr>
                      <w:rFonts w:hint="eastAsia" w:ascii="Times New Roman" w:cs="Times New Roman"/>
                      <w:color w:val="auto"/>
                      <w:kern w:val="0"/>
                      <w:szCs w:val="21"/>
                    </w:rPr>
                    <w:t>项目</w:t>
                  </w:r>
                  <w:r>
                    <w:rPr>
                      <w:rFonts w:ascii="Times New Roman" w:cs="Times New Roman"/>
                      <w:color w:val="auto"/>
                      <w:kern w:val="0"/>
                      <w:szCs w:val="21"/>
                    </w:rPr>
                    <w:t>，</w:t>
                  </w:r>
                  <w:r>
                    <w:rPr>
                      <w:rFonts w:hint="eastAsia" w:ascii="Times New Roman" w:cs="Times New Roman"/>
                      <w:color w:val="auto"/>
                      <w:kern w:val="0"/>
                      <w:szCs w:val="21"/>
                      <w:lang w:eastAsia="zh-CN"/>
                    </w:rPr>
                    <w:t>无废气、废水、固废产生及排放</w:t>
                  </w:r>
                  <w:r>
                    <w:rPr>
                      <w:rFonts w:hint="eastAsia" w:ascii="Times New Roman" w:hAnsi="Times New Roman"/>
                      <w:color w:val="auto"/>
                      <w:szCs w:val="21"/>
                      <w:lang w:eastAsia="zh-CN"/>
                    </w:rPr>
                    <w:t>，</w:t>
                  </w:r>
                  <w:r>
                    <w:rPr>
                      <w:rFonts w:ascii="Times New Roman"/>
                      <w:color w:val="auto"/>
                      <w:sz w:val="21"/>
                      <w:szCs w:val="21"/>
                      <w:lang w:eastAsia="zh-CN"/>
                    </w:rPr>
                    <w:t>不属于重污染企业，符合《淮河流域水污染防治暂行条例》要求</w:t>
                  </w:r>
                </w:p>
              </w:tc>
            </w:tr>
            <w:tr w14:paraId="04695E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3" w:type="pct"/>
                  <w:vMerge w:val="continue"/>
                  <w:vAlign w:val="center"/>
                </w:tcPr>
                <w:p w14:paraId="5A660189">
                  <w:pPr>
                    <w:pStyle w:val="153"/>
                    <w:adjustRightInd w:val="0"/>
                    <w:snapToGrid w:val="0"/>
                    <w:spacing w:before="1"/>
                    <w:ind w:left="114"/>
                    <w:jc w:val="center"/>
                    <w:rPr>
                      <w:rFonts w:ascii="Times New Roman" w:hAnsi="Times New Roman"/>
                      <w:color w:val="auto"/>
                      <w:sz w:val="21"/>
                      <w:szCs w:val="21"/>
                      <w:lang w:eastAsia="zh-CN"/>
                    </w:rPr>
                  </w:pPr>
                </w:p>
              </w:tc>
              <w:tc>
                <w:tcPr>
                  <w:tcW w:w="2345" w:type="pct"/>
                  <w:vAlign w:val="center"/>
                </w:tcPr>
                <w:p w14:paraId="4D61B6DC">
                  <w:pPr>
                    <w:pStyle w:val="153"/>
                    <w:adjustRightInd w:val="0"/>
                    <w:snapToGrid w:val="0"/>
                    <w:spacing w:before="1"/>
                    <w:ind w:left="114"/>
                    <w:jc w:val="center"/>
                    <w:rPr>
                      <w:rFonts w:ascii="Times New Roman" w:hAnsi="Times New Roman"/>
                      <w:color w:val="auto"/>
                      <w:sz w:val="21"/>
                      <w:szCs w:val="21"/>
                      <w:lang w:eastAsia="zh-CN"/>
                    </w:rPr>
                  </w:pPr>
                  <w:r>
                    <w:rPr>
                      <w:rFonts w:ascii="Times New Roman"/>
                      <w:color w:val="auto"/>
                      <w:sz w:val="21"/>
                      <w:szCs w:val="21"/>
                      <w:lang w:eastAsia="zh-CN"/>
                    </w:rPr>
                    <w:t>东片区（转型升级组团）：以现有日化轻工产业基础为主体，对工业用地存量提质增效，引导现有化工企业转型升级，加快产业向绿色化、高端化、集群化发展，将其打造成为日化轻工产业集聚区，相关产业应符合省市化工等行业政策要求，重点发展领域包括：日用化学产品制造行业中品牌家化项目，食品及饲料添加剂制造项目，不涉及化工工艺的涂料制造（水性涂料项目）及物理改性塑料项目。适度配套建设资源综合利用项目。</w:t>
                  </w:r>
                </w:p>
              </w:tc>
              <w:tc>
                <w:tcPr>
                  <w:tcW w:w="1950" w:type="pct"/>
                  <w:vMerge w:val="restart"/>
                  <w:vAlign w:val="center"/>
                </w:tcPr>
                <w:p w14:paraId="00D82243">
                  <w:pPr>
                    <w:pStyle w:val="153"/>
                    <w:adjustRightInd w:val="0"/>
                    <w:snapToGrid w:val="0"/>
                    <w:spacing w:before="1"/>
                    <w:ind w:left="114"/>
                    <w:jc w:val="center"/>
                    <w:rPr>
                      <w:rFonts w:ascii="Times New Roman" w:hAnsi="Times New Roman"/>
                      <w:color w:val="auto"/>
                      <w:szCs w:val="21"/>
                      <w:lang w:eastAsia="zh-CN"/>
                    </w:rPr>
                  </w:pPr>
                  <w:r>
                    <w:rPr>
                      <w:rFonts w:ascii="Times New Roman" w:cs="Times New Roman"/>
                      <w:color w:val="auto"/>
                      <w:kern w:val="0"/>
                      <w:szCs w:val="21"/>
                    </w:rPr>
                    <w:t>本项目为</w:t>
                  </w:r>
                  <w:r>
                    <w:rPr>
                      <w:rFonts w:hint="eastAsia" w:ascii="Times New Roman" w:cs="Times New Roman"/>
                      <w:color w:val="auto"/>
                      <w:kern w:val="0"/>
                      <w:szCs w:val="21"/>
                    </w:rPr>
                    <w:t>现有项目配套</w:t>
                  </w:r>
                  <w:r>
                    <w:rPr>
                      <w:rFonts w:hint="eastAsia" w:cs="Times New Roman"/>
                      <w:color w:val="auto"/>
                      <w:kern w:val="0"/>
                      <w:szCs w:val="21"/>
                      <w:lang w:eastAsia="zh-CN"/>
                    </w:rPr>
                    <w:t>仓储设施升级改造</w:t>
                  </w:r>
                  <w:r>
                    <w:rPr>
                      <w:rFonts w:hint="eastAsia" w:ascii="Times New Roman" w:cs="Times New Roman"/>
                      <w:color w:val="auto"/>
                      <w:kern w:val="0"/>
                      <w:szCs w:val="21"/>
                    </w:rPr>
                    <w:t>项目</w:t>
                  </w:r>
                  <w:r>
                    <w:rPr>
                      <w:rFonts w:ascii="Times New Roman" w:cs="Times New Roman"/>
                      <w:color w:val="auto"/>
                      <w:kern w:val="0"/>
                      <w:szCs w:val="21"/>
                    </w:rPr>
                    <w:t>，</w:t>
                  </w:r>
                  <w:r>
                    <w:rPr>
                      <w:rFonts w:hint="eastAsia" w:ascii="Times New Roman" w:cs="Times New Roman"/>
                      <w:color w:val="auto"/>
                      <w:kern w:val="0"/>
                      <w:szCs w:val="21"/>
                      <w:lang w:eastAsia="zh-CN"/>
                    </w:rPr>
                    <w:t>无废气、废水、固废产生及排放</w:t>
                  </w:r>
                  <w:r>
                    <w:rPr>
                      <w:rFonts w:hint="eastAsia" w:ascii="Times New Roman" w:hAnsi="Times New Roman"/>
                      <w:color w:val="auto"/>
                      <w:szCs w:val="21"/>
                      <w:lang w:eastAsia="zh-CN"/>
                    </w:rPr>
                    <w:t>，</w:t>
                  </w:r>
                  <w:r>
                    <w:rPr>
                      <w:rFonts w:ascii="Times New Roman" w:hAnsi="Times New Roman"/>
                      <w:color w:val="auto"/>
                      <w:sz w:val="21"/>
                      <w:szCs w:val="21"/>
                      <w:lang w:eastAsia="zh-CN"/>
                    </w:rPr>
                    <w:t>位于江苏涟水经济开发区循环经济产业园</w:t>
                  </w:r>
                  <w:r>
                    <w:rPr>
                      <w:rFonts w:hint="eastAsia" w:ascii="Times New Roman" w:hAnsi="Times New Roman"/>
                      <w:color w:val="auto"/>
                      <w:sz w:val="21"/>
                      <w:szCs w:val="21"/>
                      <w:lang w:eastAsia="zh-CN"/>
                    </w:rPr>
                    <w:t>东片区，不违背园区产业定位</w:t>
                  </w:r>
                </w:p>
              </w:tc>
            </w:tr>
            <w:tr w14:paraId="259E23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3" w:type="pct"/>
                  <w:vMerge w:val="continue"/>
                  <w:vAlign w:val="center"/>
                </w:tcPr>
                <w:p w14:paraId="7B360740">
                  <w:pPr>
                    <w:pStyle w:val="153"/>
                    <w:adjustRightInd w:val="0"/>
                    <w:snapToGrid w:val="0"/>
                    <w:spacing w:before="1"/>
                    <w:ind w:left="114"/>
                    <w:jc w:val="center"/>
                    <w:rPr>
                      <w:rFonts w:ascii="Times New Roman" w:hAnsi="Times New Roman"/>
                      <w:color w:val="auto"/>
                      <w:sz w:val="21"/>
                      <w:szCs w:val="21"/>
                      <w:lang w:eastAsia="zh-CN"/>
                    </w:rPr>
                  </w:pPr>
                </w:p>
              </w:tc>
              <w:tc>
                <w:tcPr>
                  <w:tcW w:w="2345" w:type="pct"/>
                  <w:vAlign w:val="center"/>
                </w:tcPr>
                <w:p w14:paraId="27658AFD">
                  <w:pPr>
                    <w:pStyle w:val="153"/>
                    <w:adjustRightInd w:val="0"/>
                    <w:snapToGrid w:val="0"/>
                    <w:spacing w:before="1"/>
                    <w:ind w:left="114"/>
                    <w:jc w:val="center"/>
                    <w:rPr>
                      <w:rFonts w:ascii="Times New Roman" w:hAnsi="Times New Roman"/>
                      <w:color w:val="auto"/>
                      <w:sz w:val="21"/>
                      <w:szCs w:val="21"/>
                      <w:lang w:eastAsia="zh-CN"/>
                    </w:rPr>
                  </w:pPr>
                  <w:r>
                    <w:rPr>
                      <w:rFonts w:ascii="Times New Roman" w:hAnsi="Times New Roman"/>
                      <w:color w:val="auto"/>
                      <w:sz w:val="21"/>
                      <w:szCs w:val="21"/>
                      <w:lang w:eastAsia="zh-CN"/>
                    </w:rPr>
                    <w:t>西片区（循环发展组团）：发展新材料和高端装备及精密机械等产业，打造循环产业集聚区，相关产业发展应强化高效、集约和生态友好型项目，重点发展领域包括：电子专用材料项目，塑料薄膜制造行业中高性能膜材料项目，玻璃纤维增强塑料制品制造及纤维增强复合材料项目；通用设备制造业及专用设备制造业行业中高端装备及精密机械项目。</w:t>
                  </w:r>
                </w:p>
              </w:tc>
              <w:tc>
                <w:tcPr>
                  <w:tcW w:w="1950" w:type="pct"/>
                  <w:vMerge w:val="continue"/>
                  <w:vAlign w:val="center"/>
                </w:tcPr>
                <w:p w14:paraId="1AA89B9D">
                  <w:pPr>
                    <w:adjustRightInd w:val="0"/>
                    <w:snapToGrid w:val="0"/>
                    <w:jc w:val="center"/>
                    <w:rPr>
                      <w:rFonts w:ascii="Times New Roman" w:hAnsi="Times New Roman" w:cs="Times New Roman"/>
                      <w:color w:val="auto"/>
                      <w:kern w:val="0"/>
                      <w:szCs w:val="21"/>
                    </w:rPr>
                  </w:pPr>
                </w:p>
              </w:tc>
            </w:tr>
            <w:tr w14:paraId="72C88D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3" w:type="pct"/>
                  <w:vMerge w:val="continue"/>
                  <w:vAlign w:val="center"/>
                </w:tcPr>
                <w:p w14:paraId="34F3E381">
                  <w:pPr>
                    <w:pStyle w:val="153"/>
                    <w:adjustRightInd w:val="0"/>
                    <w:snapToGrid w:val="0"/>
                    <w:spacing w:before="1"/>
                    <w:ind w:left="114"/>
                    <w:jc w:val="center"/>
                    <w:rPr>
                      <w:rFonts w:ascii="Times New Roman" w:hAnsi="Times New Roman"/>
                      <w:color w:val="auto"/>
                      <w:sz w:val="21"/>
                      <w:szCs w:val="21"/>
                      <w:lang w:eastAsia="zh-CN"/>
                    </w:rPr>
                  </w:pPr>
                </w:p>
              </w:tc>
              <w:tc>
                <w:tcPr>
                  <w:tcW w:w="2345" w:type="pct"/>
                  <w:vAlign w:val="center"/>
                </w:tcPr>
                <w:p w14:paraId="17687C4C">
                  <w:pPr>
                    <w:pStyle w:val="153"/>
                    <w:adjustRightInd w:val="0"/>
                    <w:snapToGrid w:val="0"/>
                    <w:spacing w:before="1"/>
                    <w:ind w:left="114"/>
                    <w:jc w:val="center"/>
                    <w:rPr>
                      <w:rFonts w:ascii="Times New Roman" w:hAnsi="Times New Roman"/>
                      <w:color w:val="auto"/>
                      <w:sz w:val="21"/>
                      <w:szCs w:val="21"/>
                      <w:lang w:eastAsia="zh-CN"/>
                    </w:rPr>
                  </w:pPr>
                  <w:r>
                    <w:rPr>
                      <w:rFonts w:ascii="Times New Roman" w:hAnsi="Times New Roman"/>
                      <w:color w:val="auto"/>
                      <w:sz w:val="21"/>
                      <w:szCs w:val="21"/>
                      <w:lang w:eastAsia="zh-CN"/>
                    </w:rPr>
                    <w:t>禁止在化工企业周边建设不符合安全距离规定的劳动密集型的非化工项目和其他人员密集的公共设施项目。</w:t>
                  </w:r>
                </w:p>
              </w:tc>
              <w:tc>
                <w:tcPr>
                  <w:tcW w:w="1950" w:type="pct"/>
                  <w:vAlign w:val="center"/>
                </w:tcPr>
                <w:p w14:paraId="274D3409">
                  <w:pPr>
                    <w:pStyle w:val="153"/>
                    <w:adjustRightInd w:val="0"/>
                    <w:snapToGrid w:val="0"/>
                    <w:spacing w:before="1"/>
                    <w:ind w:left="114"/>
                    <w:jc w:val="center"/>
                    <w:rPr>
                      <w:rFonts w:ascii="Times New Roman" w:hAnsi="Times New Roman"/>
                      <w:color w:val="auto"/>
                      <w:sz w:val="21"/>
                      <w:lang w:eastAsia="zh-CN"/>
                    </w:rPr>
                  </w:pPr>
                  <w:r>
                    <w:rPr>
                      <w:rFonts w:ascii="Times New Roman" w:hAnsi="Times New Roman"/>
                      <w:color w:val="auto"/>
                      <w:sz w:val="21"/>
                      <w:szCs w:val="21"/>
                      <w:lang w:eastAsia="zh-CN"/>
                    </w:rPr>
                    <w:t>本项目不属于劳动密集型的非化工项目和其他人员密集的公共设施项目</w:t>
                  </w:r>
                </w:p>
              </w:tc>
            </w:tr>
            <w:tr w14:paraId="5FBE21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3" w:type="pct"/>
                  <w:vMerge w:val="continue"/>
                  <w:vAlign w:val="center"/>
                </w:tcPr>
                <w:p w14:paraId="5CF2B394">
                  <w:pPr>
                    <w:pStyle w:val="153"/>
                    <w:adjustRightInd w:val="0"/>
                    <w:snapToGrid w:val="0"/>
                    <w:spacing w:before="1"/>
                    <w:ind w:left="114"/>
                    <w:jc w:val="center"/>
                    <w:rPr>
                      <w:rFonts w:ascii="Times New Roman" w:hAnsi="Times New Roman"/>
                      <w:color w:val="auto"/>
                      <w:sz w:val="21"/>
                      <w:szCs w:val="21"/>
                      <w:lang w:eastAsia="zh-CN"/>
                    </w:rPr>
                  </w:pPr>
                </w:p>
              </w:tc>
              <w:tc>
                <w:tcPr>
                  <w:tcW w:w="2345" w:type="pct"/>
                  <w:vAlign w:val="center"/>
                </w:tcPr>
                <w:p w14:paraId="4589F487">
                  <w:pPr>
                    <w:pStyle w:val="153"/>
                    <w:adjustRightInd w:val="0"/>
                    <w:snapToGrid w:val="0"/>
                    <w:spacing w:before="1"/>
                    <w:ind w:left="114"/>
                    <w:jc w:val="center"/>
                    <w:rPr>
                      <w:rFonts w:ascii="Times New Roman" w:hAnsi="Times New Roman"/>
                      <w:color w:val="auto"/>
                      <w:sz w:val="21"/>
                      <w:szCs w:val="21"/>
                      <w:lang w:eastAsia="zh-CN"/>
                    </w:rPr>
                  </w:pPr>
                  <w:r>
                    <w:rPr>
                      <w:rFonts w:ascii="Times New Roman" w:hAnsi="Times New Roman"/>
                      <w:color w:val="auto"/>
                      <w:sz w:val="21"/>
                      <w:szCs w:val="21"/>
                      <w:lang w:eastAsia="zh-CN"/>
                    </w:rPr>
                    <w:t>产业园道路及河流两侧应设置足够宽度的绿化带。规划绿地限制占用。规划工业用地内后续建设项目入区时，合理设置防护距离，确保防护距离内不涉及居民等敏感目标。</w:t>
                  </w:r>
                </w:p>
              </w:tc>
              <w:tc>
                <w:tcPr>
                  <w:tcW w:w="1950" w:type="pct"/>
                  <w:vAlign w:val="center"/>
                </w:tcPr>
                <w:p w14:paraId="35AE64DC">
                  <w:pPr>
                    <w:pStyle w:val="153"/>
                    <w:adjustRightInd w:val="0"/>
                    <w:snapToGrid w:val="0"/>
                    <w:spacing w:before="1"/>
                    <w:ind w:left="114"/>
                    <w:jc w:val="center"/>
                    <w:rPr>
                      <w:rFonts w:ascii="Times New Roman" w:hAnsi="Times New Roman"/>
                      <w:color w:val="auto"/>
                      <w:sz w:val="21"/>
                      <w:szCs w:val="21"/>
                      <w:lang w:eastAsia="zh-CN"/>
                    </w:rPr>
                  </w:pPr>
                  <w:r>
                    <w:rPr>
                      <w:rFonts w:ascii="Times New Roman" w:hAnsi="Times New Roman"/>
                      <w:color w:val="auto"/>
                      <w:sz w:val="21"/>
                      <w:szCs w:val="21"/>
                      <w:lang w:eastAsia="zh-CN"/>
                    </w:rPr>
                    <w:t>产业园道路及河流两侧设置足够宽度的绿化带</w:t>
                  </w:r>
                  <w:r>
                    <w:rPr>
                      <w:rFonts w:hint="eastAsia" w:ascii="Times New Roman" w:hAnsi="Times New Roman"/>
                      <w:color w:val="auto"/>
                      <w:sz w:val="21"/>
                      <w:szCs w:val="21"/>
                      <w:lang w:eastAsia="zh-CN"/>
                    </w:rPr>
                    <w:t>，</w:t>
                  </w:r>
                  <w:r>
                    <w:rPr>
                      <w:rFonts w:ascii="Times New Roman" w:hAnsi="Times New Roman"/>
                      <w:color w:val="auto"/>
                      <w:sz w:val="21"/>
                      <w:szCs w:val="21"/>
                      <w:lang w:eastAsia="zh-CN"/>
                    </w:rPr>
                    <w:t>防护距离内不涉及居民等敏感目标</w:t>
                  </w:r>
                </w:p>
              </w:tc>
            </w:tr>
            <w:tr w14:paraId="71AFB8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3" w:type="pct"/>
                  <w:vAlign w:val="center"/>
                </w:tcPr>
                <w:p w14:paraId="35EE42BB">
                  <w:pPr>
                    <w:pStyle w:val="153"/>
                    <w:adjustRightInd w:val="0"/>
                    <w:snapToGrid w:val="0"/>
                    <w:spacing w:before="1"/>
                    <w:ind w:left="114"/>
                    <w:jc w:val="center"/>
                    <w:rPr>
                      <w:rFonts w:ascii="Times New Roman" w:hAnsi="Times New Roman"/>
                      <w:color w:val="auto"/>
                      <w:sz w:val="21"/>
                      <w:szCs w:val="21"/>
                      <w:lang w:eastAsia="zh-CN"/>
                    </w:rPr>
                  </w:pPr>
                  <w:r>
                    <w:rPr>
                      <w:rFonts w:ascii="Times New Roman" w:hAnsi="Times New Roman"/>
                      <w:color w:val="auto"/>
                      <w:sz w:val="21"/>
                      <w:szCs w:val="21"/>
                      <w:lang w:eastAsia="zh-CN"/>
                    </w:rPr>
                    <w:t>污染物排放总量控制</w:t>
                  </w:r>
                </w:p>
              </w:tc>
              <w:tc>
                <w:tcPr>
                  <w:tcW w:w="2345" w:type="pct"/>
                  <w:vAlign w:val="center"/>
                </w:tcPr>
                <w:p w14:paraId="147EA289">
                  <w:pPr>
                    <w:pStyle w:val="153"/>
                    <w:adjustRightInd w:val="0"/>
                    <w:snapToGrid w:val="0"/>
                    <w:spacing w:before="1"/>
                    <w:ind w:left="114"/>
                    <w:jc w:val="center"/>
                    <w:rPr>
                      <w:rFonts w:ascii="Times New Roman" w:hAnsi="Times New Roman"/>
                      <w:color w:val="auto"/>
                      <w:sz w:val="21"/>
                      <w:szCs w:val="21"/>
                      <w:lang w:eastAsia="zh-CN"/>
                    </w:rPr>
                  </w:pPr>
                  <w:r>
                    <w:rPr>
                      <w:rFonts w:ascii="Times New Roman" w:hAnsi="Times New Roman"/>
                      <w:color w:val="auto"/>
                      <w:sz w:val="21"/>
                      <w:szCs w:val="21"/>
                      <w:lang w:eastAsia="zh-CN"/>
                    </w:rPr>
                    <w:t>二氧化硫、氮氧化物、颗粒物、VOCs 全面执行大气污染物特别排放限值。严格落实污染物排放总量控制制度，把污染物排放总量指标作为入区项目环境影响评价审批的前置条件。若涉及排放重金属污染物的项目，在环境影响评价文件审批前，须取得排放总量指标。大气污染物排放总量管控限值分别为：SO</w:t>
                  </w:r>
                  <w:r>
                    <w:rPr>
                      <w:rFonts w:ascii="Times New Roman" w:hAnsi="Times New Roman"/>
                      <w:color w:val="auto"/>
                      <w:sz w:val="21"/>
                      <w:szCs w:val="21"/>
                      <w:vertAlign w:val="subscript"/>
                      <w:lang w:eastAsia="zh-CN"/>
                    </w:rPr>
                    <w:t>2</w:t>
                  </w:r>
                  <w:r>
                    <w:rPr>
                      <w:rFonts w:ascii="Times New Roman" w:hAnsi="Times New Roman"/>
                      <w:color w:val="auto"/>
                      <w:sz w:val="21"/>
                      <w:szCs w:val="21"/>
                      <w:lang w:eastAsia="zh-CN"/>
                    </w:rPr>
                    <w:t>111.31t/a、NO</w:t>
                  </w:r>
                  <w:r>
                    <w:rPr>
                      <w:rFonts w:ascii="Times New Roman" w:hAnsi="Times New Roman"/>
                      <w:color w:val="auto"/>
                      <w:sz w:val="21"/>
                      <w:szCs w:val="21"/>
                      <w:vertAlign w:val="subscript"/>
                      <w:lang w:eastAsia="zh-CN"/>
                    </w:rPr>
                    <w:t>X</w:t>
                  </w:r>
                  <w:r>
                    <w:rPr>
                      <w:rFonts w:ascii="Times New Roman" w:hAnsi="Times New Roman"/>
                      <w:color w:val="auto"/>
                      <w:sz w:val="21"/>
                      <w:szCs w:val="21"/>
                      <w:lang w:eastAsia="zh-CN"/>
                    </w:rPr>
                    <w:t>181.29t/a、颗粒物328.31t/a、VOCs 122.15t/a。水污染物排放总量管控限值分别为：废水量487.60万 t/a ， COD243.80t/a、氨氮24.38t/a、总氮73.14t/a、总磷2.44t/a。</w:t>
                  </w:r>
                </w:p>
              </w:tc>
              <w:tc>
                <w:tcPr>
                  <w:tcW w:w="1950" w:type="pct"/>
                  <w:vAlign w:val="center"/>
                </w:tcPr>
                <w:p w14:paraId="28B8F3A8">
                  <w:pPr>
                    <w:pStyle w:val="153"/>
                    <w:adjustRightInd w:val="0"/>
                    <w:snapToGrid w:val="0"/>
                    <w:spacing w:before="1"/>
                    <w:ind w:left="114"/>
                    <w:jc w:val="center"/>
                    <w:rPr>
                      <w:rFonts w:ascii="Times New Roman" w:hAnsi="Times New Roman"/>
                      <w:color w:val="auto"/>
                      <w:sz w:val="21"/>
                      <w:szCs w:val="21"/>
                      <w:lang w:eastAsia="zh-CN"/>
                    </w:rPr>
                  </w:pPr>
                  <w:r>
                    <w:rPr>
                      <w:rFonts w:ascii="Times New Roman" w:cs="Times New Roman"/>
                      <w:color w:val="auto"/>
                      <w:kern w:val="0"/>
                      <w:szCs w:val="21"/>
                    </w:rPr>
                    <w:t>本项目为</w:t>
                  </w:r>
                  <w:r>
                    <w:rPr>
                      <w:rFonts w:hint="eastAsia" w:ascii="Times New Roman" w:cs="Times New Roman"/>
                      <w:color w:val="auto"/>
                      <w:kern w:val="0"/>
                      <w:szCs w:val="21"/>
                    </w:rPr>
                    <w:t>现有项目配套</w:t>
                  </w:r>
                  <w:r>
                    <w:rPr>
                      <w:rFonts w:hint="eastAsia" w:cs="Times New Roman"/>
                      <w:color w:val="auto"/>
                      <w:kern w:val="0"/>
                      <w:szCs w:val="21"/>
                      <w:lang w:eastAsia="zh-CN"/>
                    </w:rPr>
                    <w:t>仓储设施升级改造</w:t>
                  </w:r>
                  <w:r>
                    <w:rPr>
                      <w:rFonts w:hint="eastAsia" w:ascii="Times New Roman" w:cs="Times New Roman"/>
                      <w:color w:val="auto"/>
                      <w:kern w:val="0"/>
                      <w:szCs w:val="21"/>
                    </w:rPr>
                    <w:t>项目</w:t>
                  </w:r>
                  <w:r>
                    <w:rPr>
                      <w:rFonts w:ascii="Times New Roman" w:cs="Times New Roman"/>
                      <w:color w:val="auto"/>
                      <w:kern w:val="0"/>
                      <w:szCs w:val="21"/>
                    </w:rPr>
                    <w:t>，</w:t>
                  </w:r>
                  <w:r>
                    <w:rPr>
                      <w:rFonts w:hint="eastAsia" w:ascii="Times New Roman" w:cs="Times New Roman"/>
                      <w:color w:val="auto"/>
                      <w:kern w:val="0"/>
                      <w:szCs w:val="21"/>
                      <w:lang w:eastAsia="zh-CN"/>
                    </w:rPr>
                    <w:t>无废气、废水、固废产生及排放</w:t>
                  </w:r>
                </w:p>
              </w:tc>
            </w:tr>
            <w:tr w14:paraId="6282F9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3" w:type="pct"/>
                  <w:vAlign w:val="center"/>
                </w:tcPr>
                <w:p w14:paraId="3803831A">
                  <w:pPr>
                    <w:pStyle w:val="153"/>
                    <w:adjustRightInd w:val="0"/>
                    <w:snapToGrid w:val="0"/>
                    <w:spacing w:before="1"/>
                    <w:ind w:left="114"/>
                    <w:jc w:val="center"/>
                    <w:rPr>
                      <w:rFonts w:ascii="Times New Roman" w:hAnsi="Times New Roman"/>
                      <w:color w:val="auto"/>
                      <w:sz w:val="21"/>
                      <w:szCs w:val="21"/>
                      <w:lang w:eastAsia="zh-CN"/>
                    </w:rPr>
                  </w:pPr>
                  <w:r>
                    <w:rPr>
                      <w:rFonts w:ascii="Times New Roman" w:hAnsi="Times New Roman"/>
                      <w:color w:val="auto"/>
                      <w:sz w:val="21"/>
                      <w:szCs w:val="21"/>
                      <w:lang w:eastAsia="zh-CN"/>
                    </w:rPr>
                    <w:t>环境风险防控</w:t>
                  </w:r>
                </w:p>
              </w:tc>
              <w:tc>
                <w:tcPr>
                  <w:tcW w:w="2345" w:type="pct"/>
                  <w:vAlign w:val="center"/>
                </w:tcPr>
                <w:p w14:paraId="110F2571">
                  <w:pPr>
                    <w:pStyle w:val="153"/>
                    <w:adjustRightInd w:val="0"/>
                    <w:snapToGrid w:val="0"/>
                    <w:spacing w:before="1"/>
                    <w:ind w:left="114"/>
                    <w:jc w:val="center"/>
                    <w:rPr>
                      <w:rFonts w:ascii="Times New Roman" w:hAnsi="Times New Roman"/>
                      <w:color w:val="auto"/>
                      <w:sz w:val="21"/>
                      <w:szCs w:val="21"/>
                      <w:lang w:eastAsia="zh-CN"/>
                    </w:rPr>
                  </w:pPr>
                  <w:r>
                    <w:rPr>
                      <w:rFonts w:ascii="Times New Roman" w:hAnsi="Times New Roman"/>
                      <w:color w:val="auto"/>
                      <w:sz w:val="21"/>
                      <w:szCs w:val="21"/>
                      <w:lang w:eastAsia="zh-CN"/>
                    </w:rPr>
                    <w:t>严格控制环境风险项目，建立健全产业园环境风险管控体系，加强环境风险防范；建立环境应急物资储备库，园区和企业环境应急装备和储备物资应纳入储备体系；定期组织突发环境事件应急演练，提高应急处置能力。</w:t>
                  </w:r>
                </w:p>
              </w:tc>
              <w:tc>
                <w:tcPr>
                  <w:tcW w:w="1950" w:type="pct"/>
                  <w:vAlign w:val="center"/>
                </w:tcPr>
                <w:p w14:paraId="7C7383AE">
                  <w:pPr>
                    <w:pStyle w:val="153"/>
                    <w:adjustRightInd w:val="0"/>
                    <w:snapToGrid w:val="0"/>
                    <w:spacing w:before="1"/>
                    <w:ind w:left="114"/>
                    <w:jc w:val="center"/>
                    <w:rPr>
                      <w:rFonts w:ascii="Times New Roman" w:hAnsi="Times New Roman"/>
                      <w:color w:val="auto"/>
                      <w:sz w:val="21"/>
                      <w:szCs w:val="21"/>
                      <w:lang w:eastAsia="zh-CN"/>
                    </w:rPr>
                  </w:pPr>
                  <w:r>
                    <w:rPr>
                      <w:rFonts w:ascii="Times New Roman" w:hAnsi="Times New Roman"/>
                      <w:color w:val="auto"/>
                      <w:sz w:val="21"/>
                      <w:szCs w:val="21"/>
                      <w:lang w:eastAsia="zh-CN"/>
                    </w:rPr>
                    <w:t>企业</w:t>
                  </w:r>
                  <w:r>
                    <w:rPr>
                      <w:rFonts w:hint="eastAsia" w:ascii="Times New Roman" w:hAnsi="Times New Roman"/>
                      <w:color w:val="auto"/>
                      <w:sz w:val="21"/>
                      <w:szCs w:val="21"/>
                      <w:lang w:eastAsia="zh-CN"/>
                    </w:rPr>
                    <w:t>已</w:t>
                  </w:r>
                  <w:r>
                    <w:rPr>
                      <w:rFonts w:ascii="Times New Roman" w:hAnsi="Times New Roman"/>
                      <w:color w:val="auto"/>
                      <w:sz w:val="21"/>
                      <w:szCs w:val="21"/>
                      <w:lang w:eastAsia="zh-CN"/>
                    </w:rPr>
                    <w:t>将环境应急装备和储备物资纳入储备体系，定期组织突发环境事件应急演练</w:t>
                  </w:r>
                </w:p>
              </w:tc>
            </w:tr>
          </w:tbl>
          <w:p w14:paraId="5E63C13C">
            <w:pPr>
              <w:pStyle w:val="100"/>
              <w:rPr>
                <w:color w:val="auto"/>
              </w:rPr>
            </w:pPr>
          </w:p>
          <w:p w14:paraId="134D19CD">
            <w:pPr>
              <w:pStyle w:val="100"/>
              <w:rPr>
                <w:color w:val="auto"/>
              </w:rPr>
            </w:pPr>
          </w:p>
          <w:p w14:paraId="4F3A999F">
            <w:pPr>
              <w:pStyle w:val="100"/>
              <w:rPr>
                <w:color w:val="auto"/>
              </w:rPr>
            </w:pPr>
          </w:p>
        </w:tc>
      </w:tr>
      <w:tr w14:paraId="7EDE0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56" w:type="dxa"/>
            <w:tcBorders>
              <w:top w:val="single" w:color="auto" w:sz="4" w:space="0"/>
              <w:left w:val="single" w:color="auto" w:sz="4" w:space="0"/>
              <w:bottom w:val="single" w:color="auto" w:sz="4" w:space="0"/>
              <w:right w:val="single" w:color="auto" w:sz="6" w:space="0"/>
            </w:tcBorders>
          </w:tcPr>
          <w:p w14:paraId="68E5C65D">
            <w:pPr>
              <w:spacing w:line="360" w:lineRule="auto"/>
              <w:outlineLvl w:val="0"/>
              <w:rPr>
                <w:rFonts w:eastAsia="黑体"/>
                <w:color w:val="auto"/>
                <w:sz w:val="30"/>
              </w:rPr>
            </w:pPr>
            <w:bookmarkStart w:id="4" w:name="_Toc145335064"/>
            <w:bookmarkStart w:id="5" w:name="_Toc30375"/>
            <w:bookmarkStart w:id="6" w:name="_Toc146627984"/>
            <w:bookmarkStart w:id="7" w:name="_Toc10594"/>
            <w:bookmarkStart w:id="8" w:name="_Toc145334999"/>
            <w:bookmarkStart w:id="9" w:name="_Toc143770010"/>
            <w:r>
              <w:rPr>
                <w:color w:val="auto"/>
                <w:kern w:val="0"/>
                <w:sz w:val="24"/>
              </w:rPr>
              <w:t>其他符合性分析</w:t>
            </w:r>
            <w:bookmarkEnd w:id="4"/>
            <w:bookmarkEnd w:id="5"/>
            <w:bookmarkEnd w:id="6"/>
            <w:bookmarkEnd w:id="7"/>
            <w:bookmarkEnd w:id="8"/>
            <w:bookmarkEnd w:id="9"/>
          </w:p>
        </w:tc>
        <w:tc>
          <w:tcPr>
            <w:tcW w:w="8413" w:type="dxa"/>
            <w:gridSpan w:val="4"/>
            <w:tcBorders>
              <w:top w:val="single" w:color="auto" w:sz="4" w:space="0"/>
              <w:left w:val="single" w:color="auto" w:sz="6" w:space="0"/>
              <w:bottom w:val="single" w:color="auto" w:sz="4" w:space="0"/>
              <w:right w:val="single" w:color="auto" w:sz="4" w:space="0"/>
            </w:tcBorders>
            <w:vAlign w:val="center"/>
          </w:tcPr>
          <w:p w14:paraId="01FBE814">
            <w:pPr>
              <w:keepNext w:val="0"/>
              <w:keepLines w:val="0"/>
              <w:pageBreakBefore w:val="0"/>
              <w:widowControl w:val="0"/>
              <w:kinsoku/>
              <w:wordWrap/>
              <w:overflowPunct/>
              <w:topLinePunct w:val="0"/>
              <w:autoSpaceDE/>
              <w:autoSpaceDN/>
              <w:bidi w:val="0"/>
              <w:adjustRightInd w:val="0"/>
              <w:snapToGrid w:val="0"/>
              <w:spacing w:before="157" w:beforeLines="50" w:line="360" w:lineRule="auto"/>
              <w:contextualSpacing/>
              <w:textAlignment w:val="auto"/>
              <w:rPr>
                <w:rFonts w:eastAsiaTheme="minorEastAsia"/>
                <w:b/>
                <w:color w:val="auto"/>
                <w:kern w:val="0"/>
                <w:sz w:val="24"/>
                <w:lang w:val="zh-CN"/>
              </w:rPr>
            </w:pPr>
            <w:r>
              <w:rPr>
                <w:rFonts w:eastAsiaTheme="minorEastAsia"/>
                <w:b/>
                <w:color w:val="auto"/>
                <w:kern w:val="0"/>
                <w:sz w:val="24"/>
                <w:lang w:val="zh-CN"/>
              </w:rPr>
              <w:t>1.2</w:t>
            </w:r>
            <w:r>
              <w:rPr>
                <w:rFonts w:hint="eastAsia" w:eastAsiaTheme="minorEastAsia"/>
                <w:b/>
                <w:color w:val="auto"/>
                <w:kern w:val="0"/>
                <w:sz w:val="24"/>
                <w:lang w:val="zh-CN"/>
              </w:rPr>
              <w:t>与</w:t>
            </w:r>
            <w:r>
              <w:rPr>
                <w:rFonts w:eastAsiaTheme="minorEastAsia"/>
                <w:b/>
                <w:color w:val="auto"/>
                <w:kern w:val="0"/>
                <w:sz w:val="24"/>
                <w:lang w:val="zh-CN"/>
              </w:rPr>
              <w:t>“</w:t>
            </w:r>
            <w:r>
              <w:rPr>
                <w:rFonts w:hint="eastAsia" w:ascii="新宋体" w:hAnsi="新宋体" w:eastAsia="新宋体"/>
                <w:b/>
                <w:bCs/>
                <w:color w:val="auto"/>
                <w:sz w:val="24"/>
              </w:rPr>
              <w:t>生态环境分区管控动态更新成果</w:t>
            </w:r>
            <w:r>
              <w:rPr>
                <w:rFonts w:eastAsiaTheme="minorEastAsia"/>
                <w:b/>
                <w:color w:val="auto"/>
                <w:kern w:val="0"/>
                <w:sz w:val="24"/>
                <w:lang w:val="zh-CN"/>
              </w:rPr>
              <w:t>”相符性分析</w:t>
            </w:r>
          </w:p>
          <w:p w14:paraId="68A7BCD3">
            <w:pPr>
              <w:keepNext w:val="0"/>
              <w:keepLines w:val="0"/>
              <w:pageBreakBefore w:val="0"/>
              <w:widowControl w:val="0"/>
              <w:kinsoku/>
              <w:wordWrap/>
              <w:overflowPunct/>
              <w:topLinePunct w:val="0"/>
              <w:autoSpaceDE/>
              <w:autoSpaceDN/>
              <w:bidi w:val="0"/>
              <w:adjustRightInd w:val="0"/>
              <w:snapToGrid w:val="0"/>
              <w:spacing w:line="360" w:lineRule="auto"/>
              <w:ind w:firstLine="434" w:firstLineChars="180"/>
              <w:textAlignment w:val="auto"/>
              <w:rPr>
                <w:color w:val="auto"/>
                <w:sz w:val="24"/>
              </w:rPr>
            </w:pPr>
            <w:bookmarkStart w:id="10" w:name="_Toc146627985"/>
            <w:bookmarkStart w:id="11" w:name="_Toc145335065"/>
            <w:bookmarkStart w:id="12" w:name="_Toc145335000"/>
            <w:bookmarkStart w:id="13" w:name="_Toc143770011"/>
            <w:bookmarkStart w:id="14" w:name="_Toc20322"/>
            <w:bookmarkStart w:id="15" w:name="_Toc13888"/>
            <w:r>
              <w:rPr>
                <w:rFonts w:hint="eastAsia"/>
                <w:b/>
                <w:color w:val="auto"/>
                <w:sz w:val="24"/>
                <w:lang w:val="en-US" w:eastAsia="zh-CN"/>
              </w:rPr>
              <w:t>1.</w:t>
            </w:r>
            <w:r>
              <w:rPr>
                <w:color w:val="auto"/>
                <w:sz w:val="24"/>
              </w:rPr>
              <w:t>项目与《江苏省2023年度生态环境分区管控动态更新成果公告》相符性分析</w:t>
            </w:r>
          </w:p>
          <w:p w14:paraId="1A3D6080">
            <w:pPr>
              <w:adjustRightInd w:val="0"/>
              <w:snapToGrid w:val="0"/>
              <w:spacing w:line="360" w:lineRule="auto"/>
              <w:ind w:firstLine="432" w:firstLineChars="180"/>
              <w:rPr>
                <w:color w:val="auto"/>
                <w:sz w:val="24"/>
              </w:rPr>
            </w:pPr>
            <w:r>
              <w:rPr>
                <w:bCs/>
                <w:color w:val="auto"/>
                <w:sz w:val="24"/>
              </w:rPr>
              <w:t>本项目位于</w:t>
            </w:r>
            <w:r>
              <w:rPr>
                <w:color w:val="auto"/>
                <w:sz w:val="24"/>
              </w:rPr>
              <w:t>淮安市</w:t>
            </w:r>
            <w:r>
              <w:rPr>
                <w:rFonts w:hint="eastAsia"/>
                <w:color w:val="auto"/>
                <w:sz w:val="24"/>
                <w:lang w:eastAsia="zh-CN"/>
              </w:rPr>
              <w:t>涟水经济开发区循环经济产业园</w:t>
            </w:r>
            <w:r>
              <w:rPr>
                <w:bCs/>
                <w:color w:val="auto"/>
                <w:sz w:val="24"/>
              </w:rPr>
              <w:t>，</w:t>
            </w:r>
            <w:r>
              <w:rPr>
                <w:rFonts w:hint="eastAsia"/>
                <w:bCs/>
                <w:color w:val="auto"/>
                <w:sz w:val="24"/>
                <w:lang w:eastAsia="zh-CN"/>
              </w:rPr>
              <w:t>属于重点管理单元：江苏涟水经济开发区循环经济产业园，项目</w:t>
            </w:r>
            <w:r>
              <w:rPr>
                <w:color w:val="auto"/>
                <w:sz w:val="24"/>
              </w:rPr>
              <w:t>与《江苏省2023年度生态环境分区管控动态更新成果公告》相符性分析见表1-5。</w:t>
            </w:r>
          </w:p>
          <w:p w14:paraId="1529F813">
            <w:pPr>
              <w:widowControl/>
              <w:adjustRightInd w:val="0"/>
              <w:snapToGrid w:val="0"/>
              <w:jc w:val="center"/>
              <w:rPr>
                <w:b/>
                <w:color w:val="auto"/>
                <w:kern w:val="0"/>
                <w:sz w:val="24"/>
              </w:rPr>
            </w:pPr>
            <w:r>
              <w:rPr>
                <w:b/>
                <w:color w:val="auto"/>
                <w:kern w:val="0"/>
                <w:sz w:val="24"/>
              </w:rPr>
              <w:t>表1-5 项目与江苏省2023年度生态环境分区管控动态更新成果公告相符性分析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893"/>
              <w:gridCol w:w="4269"/>
              <w:gridCol w:w="2435"/>
              <w:gridCol w:w="600"/>
            </w:tblGrid>
            <w:tr w14:paraId="264F3AF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545" w:type="pct"/>
                  <w:vAlign w:val="center"/>
                </w:tcPr>
                <w:p w14:paraId="361A8BB2">
                  <w:pPr>
                    <w:pStyle w:val="242"/>
                    <w:rPr>
                      <w:b/>
                      <w:bCs/>
                      <w:color w:val="auto"/>
                      <w:sz w:val="21"/>
                      <w:szCs w:val="21"/>
                    </w:rPr>
                  </w:pPr>
                  <w:r>
                    <w:rPr>
                      <w:b/>
                      <w:bCs/>
                      <w:color w:val="auto"/>
                      <w:sz w:val="21"/>
                      <w:szCs w:val="21"/>
                    </w:rPr>
                    <w:t>管控类别</w:t>
                  </w:r>
                </w:p>
              </w:tc>
              <w:tc>
                <w:tcPr>
                  <w:tcW w:w="2604" w:type="pct"/>
                  <w:vAlign w:val="center"/>
                </w:tcPr>
                <w:p w14:paraId="248B7F3A">
                  <w:pPr>
                    <w:pStyle w:val="242"/>
                    <w:rPr>
                      <w:b/>
                      <w:bCs/>
                      <w:color w:val="auto"/>
                      <w:sz w:val="21"/>
                      <w:szCs w:val="21"/>
                    </w:rPr>
                  </w:pPr>
                  <w:r>
                    <w:rPr>
                      <w:b/>
                      <w:bCs/>
                      <w:color w:val="auto"/>
                      <w:sz w:val="21"/>
                      <w:szCs w:val="21"/>
                    </w:rPr>
                    <w:t>重点管控要求</w:t>
                  </w:r>
                </w:p>
              </w:tc>
              <w:tc>
                <w:tcPr>
                  <w:tcW w:w="1485" w:type="pct"/>
                  <w:vAlign w:val="center"/>
                </w:tcPr>
                <w:p w14:paraId="04A0A4F8">
                  <w:pPr>
                    <w:pStyle w:val="242"/>
                    <w:rPr>
                      <w:b/>
                      <w:bCs/>
                      <w:color w:val="auto"/>
                      <w:sz w:val="21"/>
                      <w:szCs w:val="21"/>
                    </w:rPr>
                  </w:pPr>
                  <w:r>
                    <w:rPr>
                      <w:b/>
                      <w:bCs/>
                      <w:color w:val="auto"/>
                      <w:sz w:val="21"/>
                      <w:szCs w:val="21"/>
                    </w:rPr>
                    <w:t>相符性分析</w:t>
                  </w:r>
                </w:p>
              </w:tc>
              <w:tc>
                <w:tcPr>
                  <w:tcW w:w="365" w:type="pct"/>
                  <w:vAlign w:val="center"/>
                </w:tcPr>
                <w:p w14:paraId="795E3C66">
                  <w:pPr>
                    <w:pStyle w:val="242"/>
                    <w:rPr>
                      <w:b/>
                      <w:bCs/>
                      <w:color w:val="auto"/>
                      <w:sz w:val="21"/>
                      <w:szCs w:val="21"/>
                    </w:rPr>
                  </w:pPr>
                  <w:r>
                    <w:rPr>
                      <w:b/>
                      <w:bCs/>
                      <w:color w:val="auto"/>
                      <w:sz w:val="21"/>
                      <w:szCs w:val="21"/>
                    </w:rPr>
                    <w:t>判定结果</w:t>
                  </w:r>
                </w:p>
              </w:tc>
            </w:tr>
            <w:tr w14:paraId="38F5423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5000" w:type="pct"/>
                  <w:gridSpan w:val="4"/>
                  <w:vAlign w:val="center"/>
                </w:tcPr>
                <w:p w14:paraId="0DFFF289">
                  <w:pPr>
                    <w:pStyle w:val="242"/>
                    <w:rPr>
                      <w:color w:val="auto"/>
                      <w:sz w:val="21"/>
                      <w:szCs w:val="21"/>
                      <w:lang w:eastAsia="zh-CN"/>
                    </w:rPr>
                  </w:pPr>
                  <w:r>
                    <w:rPr>
                      <w:rFonts w:hint="eastAsia"/>
                      <w:color w:val="auto"/>
                      <w:sz w:val="21"/>
                      <w:szCs w:val="21"/>
                      <w:lang w:eastAsia="zh-CN"/>
                    </w:rPr>
                    <w:t>江苏涟水经济开发区循环经济产业园</w:t>
                  </w:r>
                </w:p>
              </w:tc>
            </w:tr>
            <w:tr w14:paraId="7A6DC73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545" w:type="pct"/>
                  <w:vAlign w:val="center"/>
                </w:tcPr>
                <w:p w14:paraId="0FF2ECA6">
                  <w:pPr>
                    <w:pStyle w:val="242"/>
                    <w:rPr>
                      <w:color w:val="auto"/>
                      <w:sz w:val="21"/>
                      <w:szCs w:val="21"/>
                    </w:rPr>
                  </w:pPr>
                  <w:r>
                    <w:rPr>
                      <w:color w:val="auto"/>
                      <w:sz w:val="21"/>
                      <w:szCs w:val="21"/>
                    </w:rPr>
                    <w:t>空间布局约束</w:t>
                  </w:r>
                </w:p>
              </w:tc>
              <w:tc>
                <w:tcPr>
                  <w:tcW w:w="2604" w:type="pct"/>
                  <w:vAlign w:val="center"/>
                </w:tcPr>
                <w:p w14:paraId="730D47A8">
                  <w:pPr>
                    <w:pStyle w:val="242"/>
                    <w:jc w:val="both"/>
                    <w:rPr>
                      <w:rFonts w:hint="eastAsia"/>
                      <w:color w:val="auto"/>
                      <w:sz w:val="21"/>
                      <w:szCs w:val="21"/>
                      <w:lang w:eastAsia="zh-CN"/>
                    </w:rPr>
                  </w:pPr>
                  <w:r>
                    <w:rPr>
                      <w:color w:val="auto"/>
                      <w:sz w:val="21"/>
                      <w:szCs w:val="21"/>
                      <w:lang w:eastAsia="zh-CN"/>
                    </w:rPr>
                    <w:t>（1）</w:t>
                  </w:r>
                  <w:r>
                    <w:rPr>
                      <w:rFonts w:hint="eastAsia"/>
                      <w:color w:val="auto"/>
                      <w:sz w:val="21"/>
                      <w:szCs w:val="21"/>
                      <w:lang w:eastAsia="zh-CN"/>
                    </w:rPr>
                    <w:t>优先发展：东片区（转型升级组团）以现有日化轻工产业基础为主体，对工业用地存量提质增效，引导现有化工企业转型升级加快产业向绿色化、高端化、集群化发展将其打造成为日化轻工产业集聚区，相关产业应符合省市化工等行业政策要求，重点发展领域包括日用化学产品制造行业中品牌家化项目，食品及饲料添加剂制造项目，不涉及化工工艺的涂料制造（水性涂料项目）及物理改性塑料项目。适度配套建设资源综合利用项目。西片区（循环发展组团）发展新材料和高端装备及精密机械等产业，打造循环产业集聚区，相关产业发展应强化高效、集约和生态友好型项目，重点发展领域包括电子专用材料项目塑料薄膜制造行业中高性能膜材料项目，玻璃纤维增强塑料制品制造及纤维增强复合材料项目；通用设备制造业及专用设备制造业行业中高端装备及精密机械项目。</w:t>
                  </w:r>
                </w:p>
                <w:p w14:paraId="6A159F0D">
                  <w:pPr>
                    <w:pStyle w:val="242"/>
                    <w:jc w:val="both"/>
                    <w:rPr>
                      <w:color w:val="auto"/>
                      <w:sz w:val="21"/>
                      <w:szCs w:val="21"/>
                      <w:lang w:eastAsia="zh-CN"/>
                    </w:rPr>
                  </w:pPr>
                  <w:r>
                    <w:rPr>
                      <w:rFonts w:hint="eastAsia"/>
                      <w:color w:val="auto"/>
                      <w:sz w:val="21"/>
                      <w:szCs w:val="21"/>
                      <w:lang w:eastAsia="zh-CN"/>
                    </w:rPr>
                    <w:t>（2）禁止发展：禁止生产和使用高VOCs含量的溶剂型涂料、油墨、胶粘剂等项目；禁止新建农药、染料、医药原药及中间体项目；禁止引进存放易燃、易爆和剧毒等危险品的仓储项目。不得新增化工生产企业、新建扩建化工生产项目（符合园区产业规划且在苏化治〔2021〕4号文中鼓励及许可的除外）。</w:t>
                  </w:r>
                </w:p>
              </w:tc>
              <w:tc>
                <w:tcPr>
                  <w:tcW w:w="1485" w:type="pct"/>
                  <w:vAlign w:val="center"/>
                </w:tcPr>
                <w:p w14:paraId="59181B9A">
                  <w:pPr>
                    <w:pStyle w:val="242"/>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auto"/>
                      <w:sz w:val="21"/>
                      <w:szCs w:val="21"/>
                      <w:lang w:eastAsia="zh-CN"/>
                    </w:rPr>
                  </w:pPr>
                  <w:r>
                    <w:rPr>
                      <w:rFonts w:hint="eastAsia" w:ascii="宋体" w:hAnsi="宋体" w:eastAsia="宋体" w:cs="宋体"/>
                      <w:color w:val="auto"/>
                      <w:kern w:val="0"/>
                      <w:sz w:val="21"/>
                      <w:szCs w:val="21"/>
                      <w:lang w:val="en-US" w:eastAsia="zh-CN" w:bidi="ar-SA"/>
                    </w:rPr>
                    <w:t>本项目建设单位为淮安华源化工有限公司，</w:t>
                  </w:r>
                  <w:r>
                    <w:rPr>
                      <w:rFonts w:hint="default" w:ascii="宋体" w:hAnsi="宋体" w:eastAsia="宋体" w:cs="宋体"/>
                      <w:color w:val="auto"/>
                      <w:kern w:val="0"/>
                      <w:sz w:val="21"/>
                      <w:szCs w:val="21"/>
                      <w:lang w:val="en-US" w:eastAsia="zh-CN" w:bidi="ar-SA"/>
                    </w:rPr>
                    <w:t>已取得化工重点监测点认</w:t>
                  </w:r>
                  <w:r>
                    <w:rPr>
                      <w:rFonts w:hint="eastAsia" w:ascii="宋体" w:hAnsi="宋体" w:eastAsia="宋体" w:cs="宋体"/>
                      <w:color w:val="auto"/>
                      <w:kern w:val="0"/>
                      <w:sz w:val="21"/>
                      <w:szCs w:val="21"/>
                      <w:lang w:val="en-US" w:eastAsia="zh-CN" w:bidi="ar-SA"/>
                    </w:rPr>
                    <w:t>定，本次项目为现有项目原料储存安全提升技改项目，不涉及主体工程的变更，不新增产品、不新增产品品质，不属于《环境保护综合名录（2021年版）》等文件明确的高污染项目，与规划产业定位不相违背，符合园区规划要求，不属于禁止发展项目。</w:t>
                  </w:r>
                </w:p>
              </w:tc>
              <w:tc>
                <w:tcPr>
                  <w:tcW w:w="365" w:type="pct"/>
                  <w:vAlign w:val="center"/>
                </w:tcPr>
                <w:p w14:paraId="3CD58652">
                  <w:pPr>
                    <w:pStyle w:val="242"/>
                    <w:rPr>
                      <w:color w:val="auto"/>
                      <w:sz w:val="21"/>
                      <w:szCs w:val="21"/>
                    </w:rPr>
                  </w:pPr>
                  <w:r>
                    <w:rPr>
                      <w:color w:val="auto"/>
                      <w:sz w:val="21"/>
                      <w:szCs w:val="21"/>
                    </w:rPr>
                    <w:t>符合</w:t>
                  </w:r>
                </w:p>
              </w:tc>
            </w:tr>
            <w:tr w14:paraId="6E5F9D5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545" w:type="pct"/>
                  <w:vAlign w:val="center"/>
                </w:tcPr>
                <w:p w14:paraId="21DA831A">
                  <w:pPr>
                    <w:pStyle w:val="242"/>
                    <w:rPr>
                      <w:color w:val="auto"/>
                      <w:sz w:val="21"/>
                      <w:szCs w:val="21"/>
                    </w:rPr>
                  </w:pPr>
                  <w:r>
                    <w:rPr>
                      <w:color w:val="auto"/>
                      <w:sz w:val="21"/>
                      <w:szCs w:val="21"/>
                    </w:rPr>
                    <w:t>污染物排放管控</w:t>
                  </w:r>
                </w:p>
              </w:tc>
              <w:tc>
                <w:tcPr>
                  <w:tcW w:w="2604" w:type="pct"/>
                  <w:vAlign w:val="center"/>
                </w:tcPr>
                <w:p w14:paraId="2AC3F6BD">
                  <w:pPr>
                    <w:pStyle w:val="242"/>
                    <w:jc w:val="left"/>
                    <w:rPr>
                      <w:rFonts w:hint="eastAsia"/>
                      <w:color w:val="auto"/>
                      <w:sz w:val="21"/>
                      <w:szCs w:val="21"/>
                      <w:lang w:eastAsia="zh-CN"/>
                    </w:rPr>
                  </w:pPr>
                  <w:r>
                    <w:rPr>
                      <w:rFonts w:hint="eastAsia"/>
                      <w:color w:val="auto"/>
                      <w:sz w:val="21"/>
                      <w:szCs w:val="21"/>
                      <w:lang w:eastAsia="zh-CN"/>
                    </w:rPr>
                    <w:t>（1）大气污染物排放总量：二氧化硫111.31吨/年，氮氧化物181.29吨/年，颗粒物328.31吨/年，挥发性有机物122.15吨/年。</w:t>
                  </w:r>
                </w:p>
                <w:p w14:paraId="60C78FF2">
                  <w:pPr>
                    <w:pStyle w:val="242"/>
                    <w:jc w:val="left"/>
                    <w:rPr>
                      <w:color w:val="auto"/>
                      <w:sz w:val="21"/>
                      <w:szCs w:val="21"/>
                      <w:lang w:eastAsia="zh-CN"/>
                    </w:rPr>
                  </w:pPr>
                  <w:r>
                    <w:rPr>
                      <w:rFonts w:hint="eastAsia"/>
                      <w:color w:val="auto"/>
                      <w:sz w:val="21"/>
                      <w:szCs w:val="21"/>
                      <w:lang w:eastAsia="zh-CN"/>
                    </w:rPr>
                    <w:t>（2）水污染物排放总量：废水量487.60万吨/年，化学需氧量243.80吨/年，氨氮24.38吨/年，总氮73.14吨/年，总磷2.44吨/年。</w:t>
                  </w:r>
                </w:p>
              </w:tc>
              <w:tc>
                <w:tcPr>
                  <w:tcW w:w="1485" w:type="pct"/>
                  <w:vAlign w:val="center"/>
                </w:tcPr>
                <w:p w14:paraId="6147AFD9">
                  <w:pPr>
                    <w:pStyle w:val="242"/>
                    <w:rPr>
                      <w:color w:val="auto"/>
                      <w:sz w:val="21"/>
                      <w:szCs w:val="21"/>
                      <w:lang w:eastAsia="zh-CN"/>
                    </w:rPr>
                  </w:pPr>
                  <w:r>
                    <w:rPr>
                      <w:rFonts w:hint="eastAsia"/>
                      <w:color w:val="auto"/>
                      <w:sz w:val="21"/>
                      <w:szCs w:val="21"/>
                      <w:lang w:eastAsia="zh-CN"/>
                    </w:rPr>
                    <w:t>建设</w:t>
                  </w:r>
                  <w:r>
                    <w:rPr>
                      <w:color w:val="auto"/>
                      <w:sz w:val="21"/>
                      <w:szCs w:val="21"/>
                      <w:lang w:eastAsia="zh-CN"/>
                    </w:rPr>
                    <w:t>项目</w:t>
                  </w:r>
                  <w:r>
                    <w:rPr>
                      <w:rFonts w:hint="eastAsia"/>
                      <w:color w:val="auto"/>
                      <w:sz w:val="21"/>
                      <w:szCs w:val="21"/>
                      <w:lang w:eastAsia="zh-CN"/>
                    </w:rPr>
                    <w:t>为现有项目原料储存安全提升改造项目，不涉及废气、废水、固废污染物的排放</w:t>
                  </w:r>
                </w:p>
              </w:tc>
              <w:tc>
                <w:tcPr>
                  <w:tcW w:w="365" w:type="pct"/>
                  <w:vAlign w:val="center"/>
                </w:tcPr>
                <w:p w14:paraId="43EFBC74">
                  <w:pPr>
                    <w:pStyle w:val="242"/>
                    <w:rPr>
                      <w:color w:val="auto"/>
                      <w:sz w:val="21"/>
                      <w:szCs w:val="21"/>
                    </w:rPr>
                  </w:pPr>
                  <w:r>
                    <w:rPr>
                      <w:color w:val="auto"/>
                      <w:sz w:val="21"/>
                      <w:szCs w:val="21"/>
                    </w:rPr>
                    <w:t>符合</w:t>
                  </w:r>
                </w:p>
              </w:tc>
            </w:tr>
            <w:tr w14:paraId="4C5F8EC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545" w:type="pct"/>
                  <w:vAlign w:val="center"/>
                </w:tcPr>
                <w:p w14:paraId="647320FD">
                  <w:pPr>
                    <w:pStyle w:val="242"/>
                    <w:rPr>
                      <w:color w:val="auto"/>
                      <w:sz w:val="21"/>
                      <w:szCs w:val="21"/>
                      <w:lang w:eastAsia="zh-CN"/>
                    </w:rPr>
                  </w:pPr>
                  <w:r>
                    <w:rPr>
                      <w:color w:val="auto"/>
                      <w:sz w:val="21"/>
                      <w:szCs w:val="21"/>
                      <w:lang w:eastAsia="zh-CN"/>
                    </w:rPr>
                    <w:t>环境风险防控</w:t>
                  </w:r>
                </w:p>
              </w:tc>
              <w:tc>
                <w:tcPr>
                  <w:tcW w:w="2604" w:type="pct"/>
                  <w:vAlign w:val="center"/>
                </w:tcPr>
                <w:p w14:paraId="144A9898">
                  <w:pPr>
                    <w:pStyle w:val="242"/>
                    <w:jc w:val="both"/>
                    <w:rPr>
                      <w:rFonts w:hint="eastAsia"/>
                      <w:color w:val="auto"/>
                      <w:sz w:val="21"/>
                      <w:szCs w:val="21"/>
                      <w:lang w:eastAsia="zh-CN"/>
                    </w:rPr>
                  </w:pPr>
                  <w:r>
                    <w:rPr>
                      <w:rFonts w:hint="eastAsia"/>
                      <w:color w:val="auto"/>
                      <w:sz w:val="21"/>
                      <w:szCs w:val="21"/>
                      <w:lang w:eastAsia="zh-CN"/>
                    </w:rPr>
                    <w:t>（1）严格控制环境风险项目，建立健全产业园环境风险管控体系，加强环境风险防范；建立环境应急物资储备库，园区和企业环境应急装备和储备物资应纳入储备体系；定期组织突发环境事件应急演练，提高应急处置能力。</w:t>
                  </w:r>
                </w:p>
                <w:p w14:paraId="6EF331F3">
                  <w:pPr>
                    <w:pStyle w:val="242"/>
                    <w:jc w:val="both"/>
                    <w:rPr>
                      <w:color w:val="auto"/>
                      <w:sz w:val="21"/>
                      <w:szCs w:val="21"/>
                      <w:lang w:eastAsia="zh-CN"/>
                    </w:rPr>
                  </w:pPr>
                  <w:r>
                    <w:rPr>
                      <w:rFonts w:hint="eastAsia"/>
                      <w:color w:val="auto"/>
                      <w:sz w:val="21"/>
                      <w:szCs w:val="21"/>
                      <w:lang w:eastAsia="zh-CN"/>
                    </w:rPr>
                    <w:t>（2）在规划实施过程中，对建设用地污染风险重点管控区内关闭搬迁、拟变更土地利用，方式和土地使用权人的重点行业企业用地，由土地使用权人负责开展土壤环境状况调查评估。暂不开发利用或现阶段不具备治理与修复条件的污染地块，实施以防止污染扩散为目的的风险管控。</w:t>
                  </w:r>
                </w:p>
              </w:tc>
              <w:tc>
                <w:tcPr>
                  <w:tcW w:w="1485" w:type="pct"/>
                  <w:vAlign w:val="center"/>
                </w:tcPr>
                <w:p w14:paraId="2BF9D635">
                  <w:pPr>
                    <w:pStyle w:val="242"/>
                    <w:rPr>
                      <w:color w:val="auto"/>
                      <w:sz w:val="21"/>
                      <w:szCs w:val="21"/>
                      <w:lang w:eastAsia="zh-CN"/>
                    </w:rPr>
                  </w:pPr>
                  <w:r>
                    <w:rPr>
                      <w:rFonts w:hint="eastAsia"/>
                      <w:color w:val="auto"/>
                      <w:sz w:val="21"/>
                      <w:szCs w:val="21"/>
                      <w:lang w:eastAsia="zh-CN"/>
                    </w:rPr>
                    <w:t>公司现有液氯储存装置为液氯罐式集装箱，根据最新的国家标准《化工企业氯气安全技术规范》（GB11984-2024），从2025年8月1日起不再允许将液氯罐式集装箱作为液氯储存设施使用。为了适应新规范，确保生产的可持续性，华源化工拟按照新规范对液氯罐式集装箱装卸场地内的液氯储存设施进行安全提升改造，本项目为现有项目原料储存安全提升改造项目，本项目已编制风险专项，针对项目的环境风险进行了分析，并提出了相应的防范措施，在采取风险专项提出的各项风险防范措施后，项目的环境风险是可以防控的</w:t>
                  </w:r>
                </w:p>
              </w:tc>
              <w:tc>
                <w:tcPr>
                  <w:tcW w:w="365" w:type="pct"/>
                  <w:vAlign w:val="center"/>
                </w:tcPr>
                <w:p w14:paraId="342E0A22">
                  <w:pPr>
                    <w:pStyle w:val="242"/>
                    <w:rPr>
                      <w:color w:val="auto"/>
                      <w:sz w:val="21"/>
                      <w:szCs w:val="21"/>
                    </w:rPr>
                  </w:pPr>
                  <w:r>
                    <w:rPr>
                      <w:color w:val="auto"/>
                      <w:sz w:val="21"/>
                      <w:szCs w:val="21"/>
                    </w:rPr>
                    <w:t>符合</w:t>
                  </w:r>
                </w:p>
              </w:tc>
            </w:tr>
            <w:tr w14:paraId="6FF7211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545" w:type="pct"/>
                  <w:vAlign w:val="center"/>
                </w:tcPr>
                <w:p w14:paraId="422B0D4C">
                  <w:pPr>
                    <w:pStyle w:val="242"/>
                    <w:rPr>
                      <w:color w:val="auto"/>
                      <w:sz w:val="21"/>
                      <w:szCs w:val="21"/>
                    </w:rPr>
                  </w:pPr>
                  <w:r>
                    <w:rPr>
                      <w:color w:val="auto"/>
                      <w:sz w:val="21"/>
                      <w:szCs w:val="21"/>
                    </w:rPr>
                    <w:t>资源</w:t>
                  </w:r>
                  <w:r>
                    <w:rPr>
                      <w:color w:val="auto"/>
                      <w:sz w:val="21"/>
                      <w:szCs w:val="21"/>
                      <w:lang w:eastAsia="zh-CN"/>
                    </w:rPr>
                    <w:t>开发</w:t>
                  </w:r>
                  <w:r>
                    <w:rPr>
                      <w:color w:val="auto"/>
                      <w:sz w:val="21"/>
                      <w:szCs w:val="21"/>
                    </w:rPr>
                    <w:t>效率要求</w:t>
                  </w:r>
                </w:p>
              </w:tc>
              <w:tc>
                <w:tcPr>
                  <w:tcW w:w="2604" w:type="pct"/>
                  <w:vAlign w:val="center"/>
                </w:tcPr>
                <w:p w14:paraId="29F1E2E9">
                  <w:pPr>
                    <w:pStyle w:val="242"/>
                    <w:jc w:val="both"/>
                    <w:rPr>
                      <w:rFonts w:hint="eastAsia"/>
                      <w:color w:val="auto"/>
                      <w:sz w:val="21"/>
                      <w:szCs w:val="21"/>
                      <w:lang w:eastAsia="zh-CN"/>
                    </w:rPr>
                  </w:pPr>
                  <w:r>
                    <w:rPr>
                      <w:rFonts w:hint="eastAsia"/>
                      <w:color w:val="auto"/>
                      <w:sz w:val="21"/>
                      <w:szCs w:val="21"/>
                      <w:lang w:eastAsia="zh-CN"/>
                    </w:rPr>
                    <w:t>（1）除集中供热外禁止新建燃用高污染燃料的项目和设施，区内各企业因工艺需要使用工业炉窑应使用天然气、电等清洁能源。</w:t>
                  </w:r>
                </w:p>
                <w:p w14:paraId="02BCEE20">
                  <w:pPr>
                    <w:pStyle w:val="242"/>
                    <w:jc w:val="both"/>
                    <w:rPr>
                      <w:color w:val="auto"/>
                      <w:sz w:val="21"/>
                      <w:szCs w:val="21"/>
                      <w:lang w:eastAsia="zh-CN"/>
                    </w:rPr>
                  </w:pPr>
                  <w:r>
                    <w:rPr>
                      <w:rFonts w:hint="eastAsia"/>
                      <w:color w:val="auto"/>
                      <w:sz w:val="21"/>
                      <w:szCs w:val="21"/>
                      <w:lang w:eastAsia="zh-CN"/>
                    </w:rPr>
                    <w:t>（2）禁采地下水。</w:t>
                  </w:r>
                </w:p>
              </w:tc>
              <w:tc>
                <w:tcPr>
                  <w:tcW w:w="1485" w:type="pct"/>
                  <w:vAlign w:val="center"/>
                </w:tcPr>
                <w:p w14:paraId="6B88D41A">
                  <w:pPr>
                    <w:pStyle w:val="242"/>
                    <w:rPr>
                      <w:color w:val="auto"/>
                      <w:sz w:val="21"/>
                      <w:szCs w:val="21"/>
                      <w:lang w:eastAsia="zh-CN"/>
                    </w:rPr>
                  </w:pPr>
                  <w:r>
                    <w:rPr>
                      <w:rFonts w:hint="eastAsia"/>
                      <w:color w:val="auto"/>
                      <w:sz w:val="21"/>
                      <w:szCs w:val="21"/>
                      <w:lang w:eastAsia="zh-CN"/>
                    </w:rPr>
                    <w:t>建设</w:t>
                  </w:r>
                  <w:r>
                    <w:rPr>
                      <w:color w:val="auto"/>
                      <w:sz w:val="21"/>
                      <w:szCs w:val="21"/>
                      <w:lang w:eastAsia="zh-CN"/>
                    </w:rPr>
                    <w:t>项目</w:t>
                  </w:r>
                  <w:r>
                    <w:rPr>
                      <w:rFonts w:hint="eastAsia"/>
                      <w:color w:val="auto"/>
                      <w:sz w:val="21"/>
                      <w:szCs w:val="21"/>
                      <w:lang w:eastAsia="zh-CN"/>
                    </w:rPr>
                    <w:t>为现有项目原料储存安全提升改造项目，</w:t>
                  </w:r>
                  <w:r>
                    <w:rPr>
                      <w:color w:val="auto"/>
                      <w:sz w:val="21"/>
                      <w:szCs w:val="21"/>
                      <w:lang w:eastAsia="zh-CN"/>
                    </w:rPr>
                    <w:t>不属于高耗水、高耗能和重污染的建设项目。</w:t>
                  </w:r>
                </w:p>
              </w:tc>
              <w:tc>
                <w:tcPr>
                  <w:tcW w:w="365" w:type="pct"/>
                  <w:vAlign w:val="center"/>
                </w:tcPr>
                <w:p w14:paraId="57BF2B1A">
                  <w:pPr>
                    <w:pStyle w:val="242"/>
                    <w:rPr>
                      <w:color w:val="auto"/>
                      <w:sz w:val="21"/>
                      <w:szCs w:val="21"/>
                      <w:lang w:eastAsia="zh-CN"/>
                    </w:rPr>
                  </w:pPr>
                  <w:r>
                    <w:rPr>
                      <w:color w:val="auto"/>
                      <w:sz w:val="21"/>
                      <w:szCs w:val="21"/>
                      <w:lang w:eastAsia="zh-CN"/>
                    </w:rPr>
                    <w:t>符合</w:t>
                  </w:r>
                </w:p>
              </w:tc>
            </w:tr>
          </w:tbl>
          <w:p w14:paraId="13AE4349">
            <w:pPr>
              <w:adjustRightInd w:val="0"/>
              <w:snapToGrid w:val="0"/>
              <w:spacing w:before="120" w:beforeLines="50"/>
              <w:outlineLvl w:val="2"/>
              <w:rPr>
                <w:b/>
                <w:bCs/>
                <w:color w:val="auto"/>
                <w:sz w:val="24"/>
              </w:rPr>
            </w:pPr>
            <w:r>
              <w:rPr>
                <w:color w:val="auto"/>
              </w:rPr>
              <w:drawing>
                <wp:inline distT="0" distB="0" distL="114300" distR="114300">
                  <wp:extent cx="5195570" cy="2513965"/>
                  <wp:effectExtent l="0" t="0" r="5080" b="63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1"/>
                          <a:stretch>
                            <a:fillRect/>
                          </a:stretch>
                        </pic:blipFill>
                        <pic:spPr>
                          <a:xfrm>
                            <a:off x="0" y="0"/>
                            <a:ext cx="5195570" cy="2513965"/>
                          </a:xfrm>
                          <a:prstGeom prst="rect">
                            <a:avLst/>
                          </a:prstGeom>
                          <a:noFill/>
                          <a:ln>
                            <a:noFill/>
                          </a:ln>
                        </pic:spPr>
                      </pic:pic>
                    </a:graphicData>
                  </a:graphic>
                </wp:inline>
              </w:drawing>
            </w:r>
          </w:p>
          <w:p w14:paraId="5687F0F5">
            <w:pPr>
              <w:adjustRightInd w:val="0"/>
              <w:snapToGrid w:val="0"/>
              <w:spacing w:line="360" w:lineRule="auto"/>
              <w:ind w:firstLine="200"/>
              <w:jc w:val="center"/>
              <w:rPr>
                <w:b/>
                <w:bCs/>
                <w:color w:val="auto"/>
                <w:sz w:val="24"/>
              </w:rPr>
            </w:pPr>
            <w:r>
              <w:rPr>
                <w:b/>
                <w:bCs/>
                <w:color w:val="auto"/>
                <w:sz w:val="24"/>
              </w:rPr>
              <w:t>图1-1 江苏省生态环境分区管控综合服务系统查询结果图</w:t>
            </w:r>
          </w:p>
          <w:p w14:paraId="4F2348D9">
            <w:pPr>
              <w:adjustRightInd w:val="0"/>
              <w:snapToGrid w:val="0"/>
              <w:spacing w:line="360" w:lineRule="auto"/>
              <w:ind w:firstLine="482" w:firstLineChars="200"/>
              <w:rPr>
                <w:rFonts w:ascii="新宋体" w:hAnsi="新宋体" w:eastAsia="新宋体"/>
                <w:b/>
                <w:bCs/>
                <w:color w:val="auto"/>
                <w:sz w:val="24"/>
              </w:rPr>
            </w:pPr>
            <w:r>
              <w:rPr>
                <w:rFonts w:hint="eastAsia" w:ascii="新宋体" w:hAnsi="新宋体" w:eastAsia="新宋体"/>
                <w:b/>
                <w:bCs/>
                <w:color w:val="auto"/>
                <w:sz w:val="24"/>
                <w:lang w:val="en-US" w:eastAsia="zh-CN"/>
              </w:rPr>
              <w:t>2.</w:t>
            </w:r>
            <w:r>
              <w:rPr>
                <w:rFonts w:ascii="新宋体" w:hAnsi="新宋体" w:eastAsia="新宋体"/>
                <w:b/>
                <w:bCs/>
                <w:color w:val="auto"/>
                <w:sz w:val="24"/>
              </w:rPr>
              <w:t>与</w:t>
            </w:r>
            <w:bookmarkStart w:id="16" w:name="_Hlk171952481"/>
            <w:r>
              <w:rPr>
                <w:rFonts w:hint="eastAsia" w:ascii="新宋体" w:hAnsi="新宋体" w:eastAsia="新宋体"/>
                <w:b/>
                <w:bCs/>
                <w:color w:val="auto"/>
                <w:sz w:val="24"/>
              </w:rPr>
              <w:t>《淮安市生态环境分区管控动态更新成果》（2023版）</w:t>
            </w:r>
            <w:bookmarkEnd w:id="16"/>
            <w:r>
              <w:rPr>
                <w:rFonts w:ascii="新宋体" w:hAnsi="新宋体" w:eastAsia="新宋体"/>
                <w:b/>
                <w:bCs/>
                <w:color w:val="auto"/>
                <w:sz w:val="24"/>
              </w:rPr>
              <w:t>相符性分析</w:t>
            </w:r>
          </w:p>
          <w:p w14:paraId="6AABEF5E">
            <w:pPr>
              <w:pStyle w:val="4"/>
              <w:keepNext w:val="0"/>
              <w:numPr>
                <w:ilvl w:val="0"/>
                <w:numId w:val="0"/>
              </w:numPr>
              <w:spacing w:line="240" w:lineRule="auto"/>
              <w:ind w:leftChars="0"/>
              <w:jc w:val="center"/>
              <w:rPr>
                <w:rFonts w:ascii="新宋体" w:hAnsi="新宋体" w:eastAsia="新宋体"/>
                <w:color w:val="auto"/>
                <w:sz w:val="24"/>
                <w:szCs w:val="24"/>
              </w:rPr>
            </w:pPr>
            <w:r>
              <w:rPr>
                <w:rFonts w:hint="eastAsia" w:ascii="新宋体" w:hAnsi="新宋体" w:eastAsia="新宋体"/>
                <w:color w:val="auto"/>
                <w:sz w:val="24"/>
                <w:szCs w:val="24"/>
              </w:rPr>
              <w:t>表1</w:t>
            </w:r>
            <w:r>
              <w:rPr>
                <w:rFonts w:ascii="新宋体" w:hAnsi="新宋体" w:eastAsia="新宋体"/>
                <w:color w:val="auto"/>
                <w:sz w:val="24"/>
                <w:szCs w:val="24"/>
              </w:rPr>
              <w:t>-</w:t>
            </w:r>
            <w:r>
              <w:rPr>
                <w:rFonts w:hint="eastAsia" w:ascii="新宋体" w:hAnsi="新宋体" w:eastAsia="新宋体"/>
                <w:color w:val="auto"/>
                <w:sz w:val="24"/>
                <w:szCs w:val="24"/>
              </w:rPr>
              <w:t>4</w:t>
            </w:r>
            <w:r>
              <w:rPr>
                <w:rFonts w:ascii="新宋体" w:hAnsi="新宋体" w:eastAsia="新宋体"/>
                <w:color w:val="auto"/>
                <w:sz w:val="24"/>
                <w:szCs w:val="24"/>
              </w:rPr>
              <w:t>与</w:t>
            </w:r>
            <w:r>
              <w:rPr>
                <w:rFonts w:hint="eastAsia" w:ascii="新宋体" w:hAnsi="新宋体" w:eastAsia="新宋体"/>
                <w:color w:val="auto"/>
                <w:sz w:val="24"/>
                <w:szCs w:val="24"/>
              </w:rPr>
              <w:t>《淮安市生态环境分区管控动态更新成果》（2023版）</w:t>
            </w:r>
            <w:r>
              <w:rPr>
                <w:rFonts w:ascii="新宋体" w:hAnsi="新宋体" w:eastAsia="新宋体"/>
                <w:color w:val="auto"/>
                <w:sz w:val="24"/>
                <w:szCs w:val="24"/>
              </w:rPr>
              <w:t>相符性分析</w:t>
            </w:r>
          </w:p>
          <w:tbl>
            <w:tblPr>
              <w:tblStyle w:val="88"/>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5246"/>
              <w:gridCol w:w="1625"/>
              <w:gridCol w:w="675"/>
            </w:tblGrid>
            <w:tr w14:paraId="03CF4F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tcBorders>
                    <w:tl2br w:val="nil"/>
                    <w:tr2bl w:val="nil"/>
                  </w:tcBorders>
                  <w:noWrap w:val="0"/>
                  <w:vAlign w:val="center"/>
                </w:tcPr>
                <w:p w14:paraId="785C34BE">
                  <w:pPr>
                    <w:widowControl/>
                    <w:jc w:val="center"/>
                    <w:rPr>
                      <w:rFonts w:ascii="新宋体" w:hAnsi="新宋体" w:eastAsia="新宋体" w:cs="宋体"/>
                      <w:b/>
                      <w:bCs/>
                      <w:color w:val="auto"/>
                      <w:kern w:val="0"/>
                      <w:szCs w:val="21"/>
                    </w:rPr>
                  </w:pPr>
                  <w:r>
                    <w:rPr>
                      <w:rFonts w:hint="eastAsia" w:ascii="新宋体" w:hAnsi="新宋体" w:eastAsia="新宋体" w:cs="宋体"/>
                      <w:b/>
                      <w:bCs/>
                      <w:color w:val="auto"/>
                      <w:kern w:val="0"/>
                      <w:szCs w:val="21"/>
                    </w:rPr>
                    <w:t>管控类别</w:t>
                  </w:r>
                </w:p>
              </w:tc>
              <w:tc>
                <w:tcPr>
                  <w:tcW w:w="3199" w:type="pct"/>
                  <w:tcBorders>
                    <w:tl2br w:val="nil"/>
                    <w:tr2bl w:val="nil"/>
                  </w:tcBorders>
                  <w:noWrap w:val="0"/>
                  <w:vAlign w:val="center"/>
                </w:tcPr>
                <w:p w14:paraId="50699420">
                  <w:pPr>
                    <w:widowControl/>
                    <w:jc w:val="center"/>
                    <w:rPr>
                      <w:rFonts w:hint="eastAsia" w:ascii="新宋体" w:hAnsi="新宋体" w:eastAsia="新宋体" w:cs="宋体"/>
                      <w:b/>
                      <w:bCs/>
                      <w:color w:val="auto"/>
                      <w:kern w:val="0"/>
                      <w:szCs w:val="21"/>
                    </w:rPr>
                  </w:pPr>
                  <w:r>
                    <w:rPr>
                      <w:rFonts w:hint="eastAsia" w:ascii="新宋体" w:hAnsi="新宋体" w:eastAsia="新宋体" w:cs="宋体"/>
                      <w:b/>
                      <w:bCs/>
                      <w:color w:val="auto"/>
                      <w:kern w:val="0"/>
                      <w:szCs w:val="21"/>
                    </w:rPr>
                    <w:t>管控要求（</w:t>
                  </w:r>
                  <w:r>
                    <w:rPr>
                      <w:rFonts w:ascii="新宋体" w:hAnsi="新宋体" w:eastAsia="新宋体"/>
                      <w:b/>
                      <w:bCs/>
                      <w:color w:val="auto"/>
                      <w:kern w:val="0"/>
                      <w:szCs w:val="21"/>
                    </w:rPr>
                    <w:t>2023</w:t>
                  </w:r>
                  <w:r>
                    <w:rPr>
                      <w:rFonts w:hint="eastAsia" w:ascii="新宋体" w:hAnsi="新宋体" w:eastAsia="新宋体" w:cs="宋体"/>
                      <w:b/>
                      <w:bCs/>
                      <w:color w:val="auto"/>
                      <w:kern w:val="0"/>
                      <w:szCs w:val="21"/>
                    </w:rPr>
                    <w:t>年版）</w:t>
                  </w:r>
                </w:p>
              </w:tc>
              <w:tc>
                <w:tcPr>
                  <w:tcW w:w="991" w:type="pct"/>
                  <w:tcBorders>
                    <w:tl2br w:val="nil"/>
                    <w:tr2bl w:val="nil"/>
                  </w:tcBorders>
                  <w:noWrap w:val="0"/>
                  <w:vAlign w:val="center"/>
                </w:tcPr>
                <w:p w14:paraId="2949A8EF">
                  <w:pPr>
                    <w:widowControl/>
                    <w:jc w:val="center"/>
                    <w:rPr>
                      <w:rFonts w:hint="eastAsia" w:ascii="新宋体" w:hAnsi="新宋体" w:eastAsia="新宋体" w:cs="宋体"/>
                      <w:b/>
                      <w:bCs/>
                      <w:color w:val="auto"/>
                      <w:kern w:val="0"/>
                      <w:szCs w:val="21"/>
                    </w:rPr>
                  </w:pPr>
                  <w:r>
                    <w:rPr>
                      <w:rFonts w:hint="eastAsia" w:ascii="新宋体" w:hAnsi="新宋体" w:eastAsia="新宋体" w:cs="宋体"/>
                      <w:b/>
                      <w:bCs/>
                      <w:color w:val="auto"/>
                      <w:kern w:val="0"/>
                      <w:szCs w:val="21"/>
                    </w:rPr>
                    <w:t>项目情况</w:t>
                  </w:r>
                </w:p>
              </w:tc>
              <w:tc>
                <w:tcPr>
                  <w:tcW w:w="411" w:type="pct"/>
                  <w:tcBorders>
                    <w:tl2br w:val="nil"/>
                    <w:tr2bl w:val="nil"/>
                  </w:tcBorders>
                  <w:noWrap w:val="0"/>
                  <w:vAlign w:val="center"/>
                </w:tcPr>
                <w:p w14:paraId="30699B4C">
                  <w:pPr>
                    <w:widowControl/>
                    <w:jc w:val="center"/>
                    <w:rPr>
                      <w:rFonts w:hint="eastAsia" w:ascii="新宋体" w:hAnsi="新宋体" w:eastAsia="新宋体" w:cs="宋体"/>
                      <w:b/>
                      <w:bCs/>
                      <w:color w:val="auto"/>
                      <w:kern w:val="0"/>
                      <w:szCs w:val="21"/>
                    </w:rPr>
                  </w:pPr>
                  <w:r>
                    <w:rPr>
                      <w:rFonts w:hint="eastAsia" w:ascii="新宋体" w:hAnsi="新宋体" w:eastAsia="新宋体" w:cs="宋体"/>
                      <w:b/>
                      <w:bCs/>
                      <w:color w:val="auto"/>
                      <w:kern w:val="0"/>
                      <w:szCs w:val="21"/>
                    </w:rPr>
                    <w:t>符合性</w:t>
                  </w:r>
                </w:p>
              </w:tc>
            </w:tr>
            <w:tr w14:paraId="7C7842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restart"/>
                  <w:tcBorders>
                    <w:tl2br w:val="nil"/>
                    <w:tr2bl w:val="nil"/>
                  </w:tcBorders>
                  <w:noWrap w:val="0"/>
                  <w:vAlign w:val="center"/>
                </w:tcPr>
                <w:p w14:paraId="37A22819">
                  <w:pPr>
                    <w:widowControl/>
                    <w:jc w:val="center"/>
                    <w:rPr>
                      <w:rFonts w:hint="eastAsia" w:ascii="新宋体" w:hAnsi="新宋体" w:eastAsia="新宋体" w:cs="宋体"/>
                      <w:color w:val="auto"/>
                      <w:kern w:val="0"/>
                      <w:szCs w:val="21"/>
                    </w:rPr>
                  </w:pPr>
                  <w:r>
                    <w:rPr>
                      <w:rFonts w:hint="eastAsia" w:ascii="新宋体" w:hAnsi="新宋体" w:eastAsia="新宋体" w:cs="宋体"/>
                      <w:color w:val="auto"/>
                      <w:kern w:val="0"/>
                      <w:szCs w:val="21"/>
                    </w:rPr>
                    <w:t>空间布局约束</w:t>
                  </w:r>
                </w:p>
              </w:tc>
              <w:tc>
                <w:tcPr>
                  <w:tcW w:w="3199" w:type="pct"/>
                  <w:tcBorders>
                    <w:tl2br w:val="nil"/>
                    <w:tr2bl w:val="nil"/>
                  </w:tcBorders>
                  <w:noWrap w:val="0"/>
                  <w:vAlign w:val="center"/>
                </w:tcPr>
                <w:p w14:paraId="47F137B3">
                  <w:pPr>
                    <w:widowControl/>
                    <w:jc w:val="center"/>
                    <w:rPr>
                      <w:rFonts w:hint="eastAsia" w:ascii="新宋体" w:hAnsi="新宋体" w:eastAsia="新宋体"/>
                      <w:color w:val="auto"/>
                      <w:kern w:val="0"/>
                      <w:szCs w:val="21"/>
                    </w:rPr>
                  </w:pPr>
                  <w:r>
                    <w:rPr>
                      <w:rFonts w:ascii="新宋体" w:hAnsi="新宋体" w:eastAsia="新宋体"/>
                      <w:color w:val="auto"/>
                      <w:kern w:val="0"/>
                      <w:szCs w:val="21"/>
                    </w:rPr>
                    <w:t>1.</w:t>
                  </w:r>
                  <w:r>
                    <w:rPr>
                      <w:rFonts w:hint="eastAsia" w:ascii="新宋体" w:hAnsi="新宋体" w:eastAsia="新宋体"/>
                      <w:color w:val="auto"/>
                      <w:kern w:val="0"/>
                      <w:szCs w:val="21"/>
                    </w:rPr>
                    <w:t>严格执行《中共江苏省委江苏省人民政府关于深入打好污染防治攻坚战的实施意见》（</w:t>
                  </w:r>
                  <w:r>
                    <w:rPr>
                      <w:rFonts w:ascii="新宋体" w:hAnsi="新宋体" w:eastAsia="新宋体"/>
                      <w:color w:val="auto"/>
                      <w:kern w:val="0"/>
                      <w:szCs w:val="21"/>
                    </w:rPr>
                    <w:t>2022</w:t>
                  </w:r>
                  <w:r>
                    <w:rPr>
                      <w:rFonts w:hint="eastAsia" w:ascii="新宋体" w:hAnsi="新宋体" w:eastAsia="新宋体"/>
                      <w:color w:val="auto"/>
                      <w:kern w:val="0"/>
                      <w:szCs w:val="21"/>
                    </w:rPr>
                    <w:t>年</w:t>
                  </w:r>
                  <w:r>
                    <w:rPr>
                      <w:rFonts w:ascii="新宋体" w:hAnsi="新宋体" w:eastAsia="新宋体"/>
                      <w:color w:val="auto"/>
                      <w:kern w:val="0"/>
                      <w:szCs w:val="21"/>
                    </w:rPr>
                    <w:t>1</w:t>
                  </w:r>
                  <w:r>
                    <w:rPr>
                      <w:rFonts w:hint="eastAsia" w:ascii="新宋体" w:hAnsi="新宋体" w:eastAsia="新宋体"/>
                      <w:color w:val="auto"/>
                      <w:kern w:val="0"/>
                      <w:szCs w:val="21"/>
                    </w:rPr>
                    <w:t>月</w:t>
                  </w:r>
                  <w:r>
                    <w:rPr>
                      <w:rFonts w:ascii="新宋体" w:hAnsi="新宋体" w:eastAsia="新宋体"/>
                      <w:color w:val="auto"/>
                      <w:kern w:val="0"/>
                      <w:szCs w:val="21"/>
                    </w:rPr>
                    <w:t>24</w:t>
                  </w:r>
                  <w:r>
                    <w:rPr>
                      <w:rFonts w:hint="eastAsia" w:ascii="新宋体" w:hAnsi="新宋体" w:eastAsia="新宋体"/>
                      <w:color w:val="auto"/>
                      <w:kern w:val="0"/>
                      <w:szCs w:val="21"/>
                    </w:rPr>
                    <w:t>日）、《淮安市深入打好净土保卫战实施方案》（淮污防攻坚指办〔</w:t>
                  </w:r>
                  <w:r>
                    <w:rPr>
                      <w:rFonts w:ascii="新宋体" w:hAnsi="新宋体" w:eastAsia="新宋体"/>
                      <w:color w:val="auto"/>
                      <w:kern w:val="0"/>
                      <w:szCs w:val="21"/>
                    </w:rPr>
                    <w:t>2023</w:t>
                  </w:r>
                  <w:r>
                    <w:rPr>
                      <w:rFonts w:hint="eastAsia" w:ascii="新宋体" w:hAnsi="新宋体" w:eastAsia="新宋体"/>
                      <w:color w:val="auto"/>
                      <w:kern w:val="0"/>
                      <w:szCs w:val="21"/>
                    </w:rPr>
                    <w:t>〕</w:t>
                  </w:r>
                  <w:r>
                    <w:rPr>
                      <w:rFonts w:ascii="新宋体" w:hAnsi="新宋体" w:eastAsia="新宋体"/>
                      <w:color w:val="auto"/>
                      <w:kern w:val="0"/>
                      <w:szCs w:val="21"/>
                    </w:rPr>
                    <w:t>17</w:t>
                  </w:r>
                  <w:r>
                    <w:rPr>
                      <w:rFonts w:hint="eastAsia" w:ascii="新宋体" w:hAnsi="新宋体" w:eastAsia="新宋体"/>
                      <w:color w:val="auto"/>
                      <w:kern w:val="0"/>
                      <w:szCs w:val="21"/>
                    </w:rPr>
                    <w:t>号）、《淮安市生态碧水三年行动方案》（淮政发〔</w:t>
                  </w:r>
                  <w:r>
                    <w:rPr>
                      <w:rFonts w:ascii="新宋体" w:hAnsi="新宋体" w:eastAsia="新宋体"/>
                      <w:color w:val="auto"/>
                      <w:kern w:val="0"/>
                      <w:szCs w:val="21"/>
                    </w:rPr>
                    <w:t>2022</w:t>
                  </w:r>
                  <w:r>
                    <w:rPr>
                      <w:rFonts w:hint="eastAsia" w:ascii="新宋体" w:hAnsi="新宋体" w:eastAsia="新宋体"/>
                      <w:color w:val="auto"/>
                      <w:kern w:val="0"/>
                      <w:szCs w:val="21"/>
                    </w:rPr>
                    <w:t>〕</w:t>
                  </w:r>
                  <w:r>
                    <w:rPr>
                      <w:rFonts w:ascii="新宋体" w:hAnsi="新宋体" w:eastAsia="新宋体"/>
                      <w:color w:val="auto"/>
                      <w:kern w:val="0"/>
                      <w:szCs w:val="21"/>
                    </w:rPr>
                    <w:t>12</w:t>
                  </w:r>
                  <w:r>
                    <w:rPr>
                      <w:rFonts w:hint="eastAsia" w:ascii="新宋体" w:hAnsi="新宋体" w:eastAsia="新宋体"/>
                      <w:color w:val="auto"/>
                      <w:kern w:val="0"/>
                      <w:szCs w:val="21"/>
                    </w:rPr>
                    <w:t>号）等文件要求。</w:t>
                  </w:r>
                </w:p>
              </w:tc>
              <w:tc>
                <w:tcPr>
                  <w:tcW w:w="991" w:type="pct"/>
                  <w:vMerge w:val="restart"/>
                  <w:tcBorders>
                    <w:tl2br w:val="nil"/>
                    <w:tr2bl w:val="nil"/>
                  </w:tcBorders>
                  <w:noWrap w:val="0"/>
                  <w:vAlign w:val="center"/>
                </w:tcPr>
                <w:p w14:paraId="14D77D91">
                  <w:pPr>
                    <w:widowControl/>
                    <w:jc w:val="center"/>
                    <w:rPr>
                      <w:rFonts w:ascii="新宋体" w:hAnsi="新宋体" w:eastAsia="新宋体"/>
                      <w:color w:val="auto"/>
                      <w:kern w:val="0"/>
                      <w:szCs w:val="21"/>
                    </w:rPr>
                  </w:pPr>
                  <w:r>
                    <w:rPr>
                      <w:rFonts w:hint="eastAsia" w:ascii="新宋体" w:hAnsi="新宋体" w:eastAsia="新宋体"/>
                      <w:color w:val="auto"/>
                      <w:kern w:val="0"/>
                      <w:szCs w:val="21"/>
                    </w:rPr>
                    <w:t>本次项目</w:t>
                  </w:r>
                  <w:r>
                    <w:rPr>
                      <w:rFonts w:hint="eastAsia" w:ascii="新宋体" w:hAnsi="新宋体" w:eastAsia="新宋体"/>
                      <w:color w:val="auto"/>
                      <w:kern w:val="0"/>
                      <w:szCs w:val="21"/>
                      <w:lang w:eastAsia="zh-CN"/>
                    </w:rPr>
                    <w:t>不</w:t>
                  </w:r>
                  <w:r>
                    <w:rPr>
                      <w:rFonts w:hint="eastAsia" w:ascii="新宋体" w:hAnsi="新宋体" w:eastAsia="新宋体"/>
                      <w:color w:val="auto"/>
                      <w:kern w:val="0"/>
                      <w:szCs w:val="21"/>
                    </w:rPr>
                    <w:t>新征用地，不占用耕地及永久农田、不属于大运河淮安段核心监控区，符合淮污防攻坚指办〔</w:t>
                  </w:r>
                  <w:r>
                    <w:rPr>
                      <w:rFonts w:ascii="新宋体" w:hAnsi="新宋体" w:eastAsia="新宋体"/>
                      <w:color w:val="auto"/>
                      <w:kern w:val="0"/>
                      <w:szCs w:val="21"/>
                    </w:rPr>
                    <w:t>2023</w:t>
                  </w:r>
                  <w:r>
                    <w:rPr>
                      <w:rFonts w:hint="eastAsia" w:ascii="新宋体" w:hAnsi="新宋体" w:eastAsia="新宋体"/>
                      <w:color w:val="auto"/>
                      <w:kern w:val="0"/>
                      <w:szCs w:val="21"/>
                    </w:rPr>
                    <w:t>〕</w:t>
                  </w:r>
                  <w:r>
                    <w:rPr>
                      <w:rFonts w:ascii="新宋体" w:hAnsi="新宋体" w:eastAsia="新宋体"/>
                      <w:color w:val="auto"/>
                      <w:kern w:val="0"/>
                      <w:szCs w:val="21"/>
                    </w:rPr>
                    <w:t>17</w:t>
                  </w:r>
                  <w:r>
                    <w:rPr>
                      <w:rFonts w:hint="eastAsia" w:ascii="新宋体" w:hAnsi="新宋体" w:eastAsia="新宋体"/>
                      <w:color w:val="auto"/>
                      <w:kern w:val="0"/>
                      <w:szCs w:val="21"/>
                    </w:rPr>
                    <w:t>号、淮政发〔</w:t>
                  </w:r>
                  <w:r>
                    <w:rPr>
                      <w:rFonts w:ascii="新宋体" w:hAnsi="新宋体" w:eastAsia="新宋体"/>
                      <w:color w:val="auto"/>
                      <w:kern w:val="0"/>
                      <w:szCs w:val="21"/>
                    </w:rPr>
                    <w:t>2022</w:t>
                  </w:r>
                  <w:r>
                    <w:rPr>
                      <w:rFonts w:hint="eastAsia" w:ascii="新宋体" w:hAnsi="新宋体" w:eastAsia="新宋体"/>
                      <w:color w:val="auto"/>
                      <w:kern w:val="0"/>
                      <w:szCs w:val="21"/>
                    </w:rPr>
                    <w:t>〕</w:t>
                  </w:r>
                  <w:r>
                    <w:rPr>
                      <w:rFonts w:ascii="新宋体" w:hAnsi="新宋体" w:eastAsia="新宋体"/>
                      <w:color w:val="auto"/>
                      <w:kern w:val="0"/>
                      <w:szCs w:val="21"/>
                    </w:rPr>
                    <w:t>12</w:t>
                  </w:r>
                  <w:r>
                    <w:rPr>
                      <w:rFonts w:hint="eastAsia" w:ascii="新宋体" w:hAnsi="新宋体" w:eastAsia="新宋体"/>
                      <w:color w:val="auto"/>
                      <w:kern w:val="0"/>
                      <w:szCs w:val="21"/>
                    </w:rPr>
                    <w:t>号、苏长江办发〔</w:t>
                  </w:r>
                  <w:r>
                    <w:rPr>
                      <w:rFonts w:ascii="新宋体" w:hAnsi="新宋体" w:eastAsia="新宋体"/>
                      <w:color w:val="auto"/>
                      <w:kern w:val="0"/>
                      <w:szCs w:val="21"/>
                    </w:rPr>
                    <w:t>2022</w:t>
                  </w:r>
                  <w:r>
                    <w:rPr>
                      <w:rFonts w:hint="eastAsia" w:ascii="新宋体" w:hAnsi="新宋体" w:eastAsia="新宋体"/>
                      <w:color w:val="auto"/>
                      <w:kern w:val="0"/>
                      <w:szCs w:val="21"/>
                    </w:rPr>
                    <w:t>〕</w:t>
                  </w:r>
                  <w:r>
                    <w:rPr>
                      <w:rFonts w:ascii="新宋体" w:hAnsi="新宋体" w:eastAsia="新宋体"/>
                      <w:color w:val="auto"/>
                      <w:kern w:val="0"/>
                      <w:szCs w:val="21"/>
                    </w:rPr>
                    <w:t>55</w:t>
                  </w:r>
                  <w:r>
                    <w:rPr>
                      <w:rFonts w:hint="eastAsia" w:ascii="新宋体" w:hAnsi="新宋体" w:eastAsia="新宋体"/>
                      <w:color w:val="auto"/>
                      <w:kern w:val="0"/>
                      <w:szCs w:val="21"/>
                    </w:rPr>
                    <w:t>号文件要求</w:t>
                  </w:r>
                </w:p>
              </w:tc>
              <w:tc>
                <w:tcPr>
                  <w:tcW w:w="411" w:type="pct"/>
                  <w:vMerge w:val="restart"/>
                  <w:tcBorders>
                    <w:tl2br w:val="nil"/>
                    <w:tr2bl w:val="nil"/>
                  </w:tcBorders>
                  <w:noWrap w:val="0"/>
                  <w:vAlign w:val="center"/>
                </w:tcPr>
                <w:p w14:paraId="09C5009B">
                  <w:pPr>
                    <w:widowControl/>
                    <w:jc w:val="center"/>
                    <w:rPr>
                      <w:rFonts w:ascii="新宋体" w:hAnsi="新宋体" w:eastAsia="新宋体"/>
                      <w:color w:val="auto"/>
                      <w:kern w:val="0"/>
                      <w:szCs w:val="21"/>
                    </w:rPr>
                  </w:pPr>
                  <w:r>
                    <w:rPr>
                      <w:rFonts w:hint="eastAsia" w:ascii="新宋体" w:hAnsi="新宋体" w:eastAsia="新宋体"/>
                      <w:color w:val="auto"/>
                      <w:kern w:val="0"/>
                      <w:szCs w:val="21"/>
                    </w:rPr>
                    <w:t>相符</w:t>
                  </w:r>
                </w:p>
              </w:tc>
            </w:tr>
            <w:tr w14:paraId="397D7A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noWrap w:val="0"/>
                  <w:vAlign w:val="center"/>
                </w:tcPr>
                <w:p w14:paraId="114801A8">
                  <w:pPr>
                    <w:widowControl/>
                    <w:jc w:val="left"/>
                    <w:rPr>
                      <w:rFonts w:ascii="新宋体" w:hAnsi="新宋体" w:eastAsia="新宋体" w:cs="宋体"/>
                      <w:color w:val="auto"/>
                      <w:kern w:val="0"/>
                      <w:szCs w:val="21"/>
                    </w:rPr>
                  </w:pPr>
                </w:p>
              </w:tc>
              <w:tc>
                <w:tcPr>
                  <w:tcW w:w="3199" w:type="pct"/>
                  <w:tcBorders>
                    <w:tl2br w:val="nil"/>
                    <w:tr2bl w:val="nil"/>
                  </w:tcBorders>
                  <w:noWrap w:val="0"/>
                  <w:vAlign w:val="center"/>
                </w:tcPr>
                <w:p w14:paraId="3B881D78">
                  <w:pPr>
                    <w:widowControl/>
                    <w:jc w:val="center"/>
                    <w:rPr>
                      <w:rFonts w:ascii="新宋体" w:hAnsi="新宋体" w:eastAsia="新宋体"/>
                      <w:color w:val="auto"/>
                      <w:kern w:val="0"/>
                      <w:szCs w:val="21"/>
                    </w:rPr>
                  </w:pPr>
                  <w:r>
                    <w:rPr>
                      <w:rFonts w:ascii="新宋体" w:hAnsi="新宋体" w:eastAsia="新宋体"/>
                      <w:color w:val="auto"/>
                      <w:kern w:val="0"/>
                      <w:szCs w:val="21"/>
                    </w:rPr>
                    <w:t>2.</w:t>
                  </w:r>
                  <w:r>
                    <w:rPr>
                      <w:rFonts w:hint="eastAsia" w:ascii="新宋体" w:hAnsi="新宋体" w:eastAsia="新宋体"/>
                      <w:color w:val="auto"/>
                      <w:kern w:val="0"/>
                      <w:szCs w:val="21"/>
                    </w:rPr>
                    <w:t>严格执行《</w:t>
                  </w:r>
                  <w:r>
                    <w:rPr>
                      <w:rFonts w:hint="eastAsia" w:ascii="新宋体" w:hAnsi="新宋体" w:eastAsia="新宋体"/>
                      <w:color w:val="auto"/>
                      <w:kern w:val="0"/>
                      <w:szCs w:val="21"/>
                      <w:lang w:eastAsia="zh-CN"/>
                    </w:rPr>
                    <w:t>〈</w:t>
                  </w:r>
                  <w:r>
                    <w:rPr>
                      <w:rFonts w:hint="eastAsia" w:ascii="新宋体" w:hAnsi="新宋体" w:eastAsia="新宋体"/>
                      <w:color w:val="auto"/>
                      <w:kern w:val="0"/>
                      <w:szCs w:val="21"/>
                    </w:rPr>
                    <w:t>长江经济带发展负面清单指南（试行，</w:t>
                  </w:r>
                  <w:r>
                    <w:rPr>
                      <w:rFonts w:ascii="新宋体" w:hAnsi="新宋体" w:eastAsia="新宋体"/>
                      <w:color w:val="auto"/>
                      <w:kern w:val="0"/>
                      <w:szCs w:val="21"/>
                    </w:rPr>
                    <w:t>2022</w:t>
                  </w:r>
                  <w:r>
                    <w:rPr>
                      <w:rFonts w:hint="eastAsia" w:ascii="新宋体" w:hAnsi="新宋体" w:eastAsia="新宋体"/>
                      <w:color w:val="auto"/>
                      <w:kern w:val="0"/>
                      <w:szCs w:val="21"/>
                    </w:rPr>
                    <w:t>年版）</w:t>
                  </w:r>
                  <w:r>
                    <w:rPr>
                      <w:rFonts w:hint="eastAsia" w:ascii="新宋体" w:hAnsi="新宋体" w:eastAsia="新宋体"/>
                      <w:color w:val="auto"/>
                      <w:kern w:val="0"/>
                      <w:szCs w:val="21"/>
                      <w:lang w:eastAsia="zh-CN"/>
                    </w:rPr>
                    <w:t>〉</w:t>
                  </w:r>
                  <w:r>
                    <w:rPr>
                      <w:rFonts w:hint="eastAsia" w:ascii="新宋体" w:hAnsi="新宋体" w:eastAsia="新宋体"/>
                      <w:color w:val="auto"/>
                      <w:kern w:val="0"/>
                      <w:szCs w:val="21"/>
                    </w:rPr>
                    <w:t>江苏省实施细则》（苏长江办发〔</w:t>
                  </w:r>
                  <w:r>
                    <w:rPr>
                      <w:rFonts w:ascii="新宋体" w:hAnsi="新宋体" w:eastAsia="新宋体"/>
                      <w:color w:val="auto"/>
                      <w:kern w:val="0"/>
                      <w:szCs w:val="21"/>
                    </w:rPr>
                    <w:t>2022</w:t>
                  </w:r>
                  <w:r>
                    <w:rPr>
                      <w:rFonts w:hint="eastAsia" w:ascii="新宋体" w:hAnsi="新宋体" w:eastAsia="新宋体"/>
                      <w:color w:val="auto"/>
                      <w:kern w:val="0"/>
                      <w:szCs w:val="21"/>
                    </w:rPr>
                    <w:t>〕</w:t>
                  </w:r>
                  <w:r>
                    <w:rPr>
                      <w:rFonts w:ascii="新宋体" w:hAnsi="新宋体" w:eastAsia="新宋体"/>
                      <w:color w:val="auto"/>
                      <w:kern w:val="0"/>
                      <w:szCs w:val="21"/>
                    </w:rPr>
                    <w:t>55</w:t>
                  </w:r>
                  <w:r>
                    <w:rPr>
                      <w:rFonts w:hint="eastAsia" w:ascii="新宋体" w:hAnsi="新宋体" w:eastAsia="新宋体"/>
                      <w:color w:val="auto"/>
                      <w:kern w:val="0"/>
                      <w:szCs w:val="21"/>
                    </w:rPr>
                    <w:t>号）中相关要求。</w:t>
                  </w:r>
                </w:p>
              </w:tc>
              <w:tc>
                <w:tcPr>
                  <w:tcW w:w="991" w:type="pct"/>
                  <w:vMerge w:val="continue"/>
                  <w:tcBorders>
                    <w:tl2br w:val="nil"/>
                    <w:tr2bl w:val="nil"/>
                  </w:tcBorders>
                  <w:noWrap w:val="0"/>
                  <w:vAlign w:val="center"/>
                </w:tcPr>
                <w:p w14:paraId="65A7BF97">
                  <w:pPr>
                    <w:widowControl/>
                    <w:jc w:val="center"/>
                    <w:rPr>
                      <w:rFonts w:ascii="新宋体" w:hAnsi="新宋体" w:eastAsia="新宋体"/>
                      <w:color w:val="auto"/>
                      <w:kern w:val="0"/>
                      <w:szCs w:val="21"/>
                    </w:rPr>
                  </w:pPr>
                </w:p>
              </w:tc>
              <w:tc>
                <w:tcPr>
                  <w:tcW w:w="411" w:type="pct"/>
                  <w:vMerge w:val="continue"/>
                  <w:tcBorders>
                    <w:tl2br w:val="nil"/>
                    <w:tr2bl w:val="nil"/>
                  </w:tcBorders>
                  <w:noWrap w:val="0"/>
                  <w:vAlign w:val="center"/>
                </w:tcPr>
                <w:p w14:paraId="13C6D73A">
                  <w:pPr>
                    <w:widowControl/>
                    <w:jc w:val="center"/>
                    <w:rPr>
                      <w:rFonts w:ascii="新宋体" w:hAnsi="新宋体" w:eastAsia="新宋体"/>
                      <w:color w:val="auto"/>
                      <w:kern w:val="0"/>
                      <w:szCs w:val="21"/>
                    </w:rPr>
                  </w:pPr>
                </w:p>
              </w:tc>
            </w:tr>
            <w:tr w14:paraId="4B636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noWrap w:val="0"/>
                  <w:vAlign w:val="center"/>
                </w:tcPr>
                <w:p w14:paraId="78BB75C8">
                  <w:pPr>
                    <w:widowControl/>
                    <w:jc w:val="left"/>
                    <w:rPr>
                      <w:rFonts w:ascii="新宋体" w:hAnsi="新宋体" w:eastAsia="新宋体" w:cs="宋体"/>
                      <w:color w:val="auto"/>
                      <w:kern w:val="0"/>
                      <w:szCs w:val="21"/>
                    </w:rPr>
                  </w:pPr>
                </w:p>
              </w:tc>
              <w:tc>
                <w:tcPr>
                  <w:tcW w:w="3199" w:type="pct"/>
                  <w:tcBorders>
                    <w:tl2br w:val="nil"/>
                    <w:tr2bl w:val="nil"/>
                  </w:tcBorders>
                  <w:noWrap w:val="0"/>
                  <w:vAlign w:val="center"/>
                </w:tcPr>
                <w:p w14:paraId="34EACF60">
                  <w:pPr>
                    <w:widowControl/>
                    <w:jc w:val="center"/>
                    <w:rPr>
                      <w:rFonts w:ascii="新宋体" w:hAnsi="新宋体" w:eastAsia="新宋体"/>
                      <w:color w:val="auto"/>
                      <w:kern w:val="0"/>
                      <w:szCs w:val="21"/>
                    </w:rPr>
                  </w:pPr>
                  <w:r>
                    <w:rPr>
                      <w:rFonts w:hint="eastAsia" w:ascii="新宋体" w:hAnsi="新宋体" w:eastAsia="新宋体"/>
                      <w:color w:val="auto"/>
                      <w:kern w:val="0"/>
                      <w:szCs w:val="21"/>
                    </w:rPr>
                    <w:t>3.严格执行《淮安市国土空间总体规划（2021</w:t>
                  </w:r>
                  <w:r>
                    <w:rPr>
                      <w:rFonts w:hint="eastAsia" w:ascii="新宋体" w:hAnsi="新宋体" w:eastAsia="新宋体"/>
                      <w:color w:val="auto"/>
                      <w:kern w:val="0"/>
                      <w:szCs w:val="21"/>
                      <w:lang w:eastAsia="zh-CN"/>
                    </w:rPr>
                    <w:t>—</w:t>
                  </w:r>
                  <w:r>
                    <w:rPr>
                      <w:rFonts w:hint="eastAsia" w:ascii="新宋体" w:hAnsi="新宋体" w:eastAsia="新宋体"/>
                      <w:color w:val="auto"/>
                      <w:kern w:val="0"/>
                      <w:szCs w:val="21"/>
                    </w:rPr>
                    <w:t>2035年）》中相关要求，坚持最严格的耕地保护制度、生态保护制度和节约用地制度，严格保护耕地资源，落实耕地和永久基本农田保护红线。严格保护湿地资源，强化湿地建设与管理，加快保护区建设与管理；加强其他土地开发的生态影响评价，严禁在生态脆弱和环境敏感地区进行土地开发。</w:t>
                  </w:r>
                </w:p>
              </w:tc>
              <w:tc>
                <w:tcPr>
                  <w:tcW w:w="991" w:type="pct"/>
                  <w:vMerge w:val="continue"/>
                  <w:tcBorders>
                    <w:tl2br w:val="nil"/>
                    <w:tr2bl w:val="nil"/>
                  </w:tcBorders>
                  <w:noWrap w:val="0"/>
                  <w:vAlign w:val="center"/>
                </w:tcPr>
                <w:p w14:paraId="600CEAA7">
                  <w:pPr>
                    <w:widowControl/>
                    <w:jc w:val="center"/>
                    <w:rPr>
                      <w:rFonts w:ascii="新宋体" w:hAnsi="新宋体" w:eastAsia="新宋体"/>
                      <w:color w:val="auto"/>
                      <w:kern w:val="0"/>
                      <w:szCs w:val="21"/>
                    </w:rPr>
                  </w:pPr>
                </w:p>
              </w:tc>
              <w:tc>
                <w:tcPr>
                  <w:tcW w:w="411" w:type="pct"/>
                  <w:vMerge w:val="continue"/>
                  <w:tcBorders>
                    <w:tl2br w:val="nil"/>
                    <w:tr2bl w:val="nil"/>
                  </w:tcBorders>
                  <w:noWrap w:val="0"/>
                  <w:vAlign w:val="center"/>
                </w:tcPr>
                <w:p w14:paraId="5D310B38">
                  <w:pPr>
                    <w:widowControl/>
                    <w:jc w:val="center"/>
                    <w:rPr>
                      <w:rFonts w:ascii="新宋体" w:hAnsi="新宋体" w:eastAsia="新宋体"/>
                      <w:color w:val="auto"/>
                      <w:kern w:val="0"/>
                      <w:szCs w:val="21"/>
                    </w:rPr>
                  </w:pPr>
                </w:p>
              </w:tc>
            </w:tr>
            <w:tr w14:paraId="73A04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noWrap w:val="0"/>
                  <w:vAlign w:val="center"/>
                </w:tcPr>
                <w:p w14:paraId="25AD8595">
                  <w:pPr>
                    <w:widowControl/>
                    <w:jc w:val="left"/>
                    <w:rPr>
                      <w:rFonts w:ascii="新宋体" w:hAnsi="新宋体" w:eastAsia="新宋体" w:cs="宋体"/>
                      <w:color w:val="auto"/>
                      <w:kern w:val="0"/>
                      <w:szCs w:val="21"/>
                    </w:rPr>
                  </w:pPr>
                </w:p>
              </w:tc>
              <w:tc>
                <w:tcPr>
                  <w:tcW w:w="3199" w:type="pct"/>
                  <w:tcBorders>
                    <w:tl2br w:val="nil"/>
                    <w:tr2bl w:val="nil"/>
                  </w:tcBorders>
                  <w:noWrap w:val="0"/>
                  <w:vAlign w:val="center"/>
                </w:tcPr>
                <w:p w14:paraId="02441D34">
                  <w:pPr>
                    <w:widowControl/>
                    <w:jc w:val="center"/>
                    <w:rPr>
                      <w:rFonts w:ascii="新宋体" w:hAnsi="新宋体" w:eastAsia="新宋体"/>
                      <w:color w:val="auto"/>
                      <w:kern w:val="0"/>
                      <w:szCs w:val="21"/>
                    </w:rPr>
                  </w:pPr>
                  <w:r>
                    <w:rPr>
                      <w:rFonts w:hint="eastAsia" w:ascii="新宋体" w:hAnsi="新宋体" w:eastAsia="新宋体"/>
                      <w:color w:val="auto"/>
                      <w:kern w:val="0"/>
                      <w:szCs w:val="21"/>
                    </w:rPr>
                    <w:t>4.根据《大运河淮安段核心监控区国土空间管控细则》（淮政规〔2022〕8号），核心监控区内，实行国土空间准入正负面清单管理制度，控制开发规模和强度，禁止不符合主体功能定位的各类开发活动。</w:t>
                  </w:r>
                </w:p>
              </w:tc>
              <w:tc>
                <w:tcPr>
                  <w:tcW w:w="991" w:type="pct"/>
                  <w:vMerge w:val="continue"/>
                  <w:tcBorders>
                    <w:tl2br w:val="nil"/>
                    <w:tr2bl w:val="nil"/>
                  </w:tcBorders>
                  <w:noWrap w:val="0"/>
                  <w:vAlign w:val="center"/>
                </w:tcPr>
                <w:p w14:paraId="1B77C41A">
                  <w:pPr>
                    <w:widowControl/>
                    <w:jc w:val="center"/>
                    <w:rPr>
                      <w:rFonts w:ascii="新宋体" w:hAnsi="新宋体" w:eastAsia="新宋体"/>
                      <w:color w:val="auto"/>
                      <w:kern w:val="0"/>
                      <w:szCs w:val="21"/>
                    </w:rPr>
                  </w:pPr>
                </w:p>
              </w:tc>
              <w:tc>
                <w:tcPr>
                  <w:tcW w:w="411" w:type="pct"/>
                  <w:vMerge w:val="continue"/>
                  <w:tcBorders>
                    <w:tl2br w:val="nil"/>
                    <w:tr2bl w:val="nil"/>
                  </w:tcBorders>
                  <w:noWrap w:val="0"/>
                  <w:vAlign w:val="center"/>
                </w:tcPr>
                <w:p w14:paraId="0FE440B7">
                  <w:pPr>
                    <w:widowControl/>
                    <w:jc w:val="center"/>
                    <w:rPr>
                      <w:rFonts w:ascii="新宋体" w:hAnsi="新宋体" w:eastAsia="新宋体"/>
                      <w:color w:val="auto"/>
                      <w:kern w:val="0"/>
                      <w:szCs w:val="21"/>
                    </w:rPr>
                  </w:pPr>
                </w:p>
              </w:tc>
            </w:tr>
            <w:tr w14:paraId="33287C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tcBorders>
                    <w:tl2br w:val="nil"/>
                    <w:tr2bl w:val="nil"/>
                  </w:tcBorders>
                  <w:noWrap w:val="0"/>
                  <w:vAlign w:val="center"/>
                </w:tcPr>
                <w:p w14:paraId="4CDD6295">
                  <w:pPr>
                    <w:widowControl/>
                    <w:jc w:val="center"/>
                    <w:rPr>
                      <w:rFonts w:ascii="新宋体" w:hAnsi="新宋体" w:eastAsia="新宋体" w:cs="宋体"/>
                      <w:color w:val="auto"/>
                      <w:kern w:val="0"/>
                      <w:szCs w:val="21"/>
                    </w:rPr>
                  </w:pPr>
                  <w:r>
                    <w:rPr>
                      <w:rFonts w:hint="eastAsia" w:ascii="新宋体" w:hAnsi="新宋体" w:eastAsia="新宋体" w:cs="宋体"/>
                      <w:color w:val="auto"/>
                      <w:kern w:val="0"/>
                      <w:szCs w:val="21"/>
                    </w:rPr>
                    <w:t>污染物排放管控</w:t>
                  </w:r>
                </w:p>
              </w:tc>
              <w:tc>
                <w:tcPr>
                  <w:tcW w:w="3199" w:type="pct"/>
                  <w:tcBorders>
                    <w:tl2br w:val="nil"/>
                    <w:tr2bl w:val="nil"/>
                  </w:tcBorders>
                  <w:noWrap w:val="0"/>
                  <w:vAlign w:val="center"/>
                </w:tcPr>
                <w:p w14:paraId="3FD4D0F1">
                  <w:pPr>
                    <w:widowControl/>
                    <w:jc w:val="center"/>
                    <w:rPr>
                      <w:rFonts w:hint="eastAsia" w:ascii="新宋体" w:hAnsi="新宋体" w:eastAsia="新宋体" w:cs="宋体"/>
                      <w:color w:val="auto"/>
                      <w:kern w:val="0"/>
                      <w:szCs w:val="21"/>
                    </w:rPr>
                  </w:pPr>
                  <w:r>
                    <w:rPr>
                      <w:rFonts w:hint="eastAsia" w:ascii="新宋体" w:hAnsi="新宋体" w:eastAsia="新宋体" w:cs="宋体"/>
                      <w:color w:val="auto"/>
                      <w:kern w:val="0"/>
                      <w:szCs w:val="21"/>
                    </w:rPr>
                    <w:t>根据《江苏省“十四五”节能减排综合实施方案》（苏政传发〔2022〕224号），到2025年，氮氧化物、挥发性有机物、化学需氧量、氨氮、总氮、总磷等主要污染物重点工程减排量分别达到5425吨、4333吨、10059吨、584吨、1225吨、134吨。</w:t>
                  </w:r>
                </w:p>
              </w:tc>
              <w:tc>
                <w:tcPr>
                  <w:tcW w:w="991" w:type="pct"/>
                  <w:tcBorders>
                    <w:tl2br w:val="nil"/>
                    <w:tr2bl w:val="nil"/>
                  </w:tcBorders>
                  <w:noWrap w:val="0"/>
                  <w:vAlign w:val="center"/>
                </w:tcPr>
                <w:p w14:paraId="32205A8C">
                  <w:pPr>
                    <w:widowControl/>
                    <w:jc w:val="center"/>
                    <w:rPr>
                      <w:rFonts w:hint="eastAsia" w:ascii="新宋体" w:hAnsi="新宋体" w:eastAsia="新宋体" w:cs="宋体"/>
                      <w:color w:val="auto"/>
                      <w:kern w:val="0"/>
                      <w:szCs w:val="21"/>
                      <w:lang w:eastAsia="zh-CN"/>
                    </w:rPr>
                  </w:pPr>
                  <w:r>
                    <w:rPr>
                      <w:rFonts w:hint="eastAsia" w:ascii="新宋体" w:hAnsi="新宋体" w:eastAsia="新宋体" w:cs="宋体"/>
                      <w:color w:val="auto"/>
                      <w:kern w:val="0"/>
                      <w:szCs w:val="21"/>
                    </w:rPr>
                    <w:t>项目</w:t>
                  </w:r>
                  <w:r>
                    <w:rPr>
                      <w:rFonts w:hint="eastAsia" w:ascii="新宋体" w:hAnsi="新宋体" w:eastAsia="新宋体" w:cs="宋体"/>
                      <w:color w:val="auto"/>
                      <w:kern w:val="0"/>
                      <w:szCs w:val="21"/>
                      <w:lang w:eastAsia="zh-CN"/>
                    </w:rPr>
                    <w:t>无废气、废水、固废污染物产生及排放</w:t>
                  </w:r>
                </w:p>
              </w:tc>
              <w:tc>
                <w:tcPr>
                  <w:tcW w:w="411" w:type="pct"/>
                  <w:tcBorders>
                    <w:tl2br w:val="nil"/>
                    <w:tr2bl w:val="nil"/>
                  </w:tcBorders>
                  <w:noWrap w:val="0"/>
                  <w:vAlign w:val="center"/>
                </w:tcPr>
                <w:p w14:paraId="00080B3D">
                  <w:pPr>
                    <w:widowControl/>
                    <w:jc w:val="center"/>
                    <w:rPr>
                      <w:rFonts w:hint="eastAsia" w:ascii="新宋体" w:hAnsi="新宋体" w:eastAsia="新宋体" w:cs="宋体"/>
                      <w:color w:val="auto"/>
                      <w:kern w:val="0"/>
                      <w:szCs w:val="21"/>
                    </w:rPr>
                  </w:pPr>
                  <w:r>
                    <w:rPr>
                      <w:rFonts w:hint="eastAsia" w:ascii="新宋体" w:hAnsi="新宋体" w:eastAsia="新宋体" w:cs="宋体"/>
                      <w:color w:val="auto"/>
                      <w:kern w:val="0"/>
                      <w:szCs w:val="21"/>
                    </w:rPr>
                    <w:t>相符</w:t>
                  </w:r>
                </w:p>
              </w:tc>
            </w:tr>
            <w:tr w14:paraId="61C136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restart"/>
                  <w:tcBorders>
                    <w:tl2br w:val="nil"/>
                    <w:tr2bl w:val="nil"/>
                  </w:tcBorders>
                  <w:noWrap w:val="0"/>
                  <w:vAlign w:val="center"/>
                </w:tcPr>
                <w:p w14:paraId="632DB582">
                  <w:pPr>
                    <w:widowControl/>
                    <w:jc w:val="center"/>
                    <w:rPr>
                      <w:rFonts w:hint="eastAsia" w:ascii="新宋体" w:hAnsi="新宋体" w:eastAsia="新宋体" w:cs="宋体"/>
                      <w:color w:val="auto"/>
                      <w:kern w:val="0"/>
                      <w:szCs w:val="21"/>
                    </w:rPr>
                  </w:pPr>
                  <w:r>
                    <w:rPr>
                      <w:rFonts w:hint="eastAsia" w:ascii="新宋体" w:hAnsi="新宋体" w:eastAsia="新宋体" w:cs="宋体"/>
                      <w:color w:val="auto"/>
                      <w:kern w:val="0"/>
                      <w:szCs w:val="21"/>
                    </w:rPr>
                    <w:t>环境风险防控</w:t>
                  </w:r>
                </w:p>
              </w:tc>
              <w:tc>
                <w:tcPr>
                  <w:tcW w:w="3199" w:type="pct"/>
                  <w:tcBorders>
                    <w:tl2br w:val="nil"/>
                    <w:tr2bl w:val="nil"/>
                  </w:tcBorders>
                  <w:noWrap w:val="0"/>
                  <w:vAlign w:val="center"/>
                </w:tcPr>
                <w:p w14:paraId="44D0A1FD">
                  <w:pPr>
                    <w:widowControl/>
                    <w:jc w:val="center"/>
                    <w:rPr>
                      <w:rFonts w:hint="eastAsia" w:ascii="新宋体" w:hAnsi="新宋体" w:eastAsia="新宋体"/>
                      <w:color w:val="auto"/>
                      <w:kern w:val="0"/>
                      <w:szCs w:val="21"/>
                    </w:rPr>
                  </w:pPr>
                  <w:r>
                    <w:rPr>
                      <w:rFonts w:hint="eastAsia" w:ascii="新宋体" w:hAnsi="新宋体" w:eastAsia="新宋体"/>
                      <w:color w:val="auto"/>
                      <w:kern w:val="0"/>
                      <w:szCs w:val="21"/>
                    </w:rPr>
                    <w:t>1.严格执行《淮安市突发环境事件应急预案》（淮政复〔2020〕67号）、《淮安市集中式饮用水源突发污染事件应急预案》（淮污防攻坚指办〔2020〕58号）、《淮安市辐射事故应急预案》《淮安市重污染天气应急预案》（淮政复〔2021〕24号）等文件要求，建立区域监测预警系统，建立省市县上下联动、区域之间左右联动等联动应急响应体系，实行联防联控。</w:t>
                  </w:r>
                </w:p>
              </w:tc>
              <w:tc>
                <w:tcPr>
                  <w:tcW w:w="991" w:type="pct"/>
                  <w:vMerge w:val="restart"/>
                  <w:tcBorders>
                    <w:tl2br w:val="nil"/>
                    <w:tr2bl w:val="nil"/>
                  </w:tcBorders>
                  <w:noWrap w:val="0"/>
                  <w:vAlign w:val="center"/>
                </w:tcPr>
                <w:p w14:paraId="2A871F68">
                  <w:pPr>
                    <w:widowControl/>
                    <w:jc w:val="center"/>
                    <w:rPr>
                      <w:rFonts w:hint="eastAsia" w:ascii="新宋体" w:hAnsi="新宋体" w:eastAsia="新宋体"/>
                      <w:color w:val="auto"/>
                      <w:kern w:val="0"/>
                      <w:szCs w:val="21"/>
                    </w:rPr>
                  </w:pPr>
                  <w:r>
                    <w:rPr>
                      <w:rFonts w:hint="eastAsia" w:ascii="新宋体" w:hAnsi="新宋体" w:eastAsia="新宋体"/>
                      <w:color w:val="auto"/>
                      <w:kern w:val="0"/>
                      <w:szCs w:val="21"/>
                      <w:lang w:eastAsia="zh-CN"/>
                    </w:rPr>
                    <w:t>目前厂区内已设置有毒气体氯气</w:t>
                  </w:r>
                  <w:r>
                    <w:rPr>
                      <w:rFonts w:hint="eastAsia" w:ascii="新宋体" w:hAnsi="新宋体" w:eastAsia="新宋体"/>
                      <w:color w:val="auto"/>
                      <w:kern w:val="0"/>
                      <w:szCs w:val="21"/>
                    </w:rPr>
                    <w:t>预警监测系统，与县区建立联动应急响应体系</w:t>
                  </w:r>
                </w:p>
              </w:tc>
              <w:tc>
                <w:tcPr>
                  <w:tcW w:w="411" w:type="pct"/>
                  <w:vMerge w:val="restart"/>
                  <w:tcBorders>
                    <w:tl2br w:val="nil"/>
                    <w:tr2bl w:val="nil"/>
                  </w:tcBorders>
                  <w:noWrap w:val="0"/>
                  <w:vAlign w:val="center"/>
                </w:tcPr>
                <w:p w14:paraId="6A0176E3">
                  <w:pPr>
                    <w:widowControl/>
                    <w:jc w:val="center"/>
                    <w:rPr>
                      <w:rFonts w:ascii="新宋体" w:hAnsi="新宋体" w:eastAsia="新宋体"/>
                      <w:color w:val="auto"/>
                      <w:kern w:val="0"/>
                      <w:szCs w:val="21"/>
                    </w:rPr>
                  </w:pPr>
                  <w:r>
                    <w:rPr>
                      <w:rFonts w:hint="eastAsia" w:ascii="新宋体" w:hAnsi="新宋体" w:eastAsia="新宋体"/>
                      <w:color w:val="auto"/>
                      <w:kern w:val="0"/>
                      <w:szCs w:val="21"/>
                    </w:rPr>
                    <w:t>相符</w:t>
                  </w:r>
                </w:p>
              </w:tc>
            </w:tr>
            <w:tr w14:paraId="4CFBFD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noWrap w:val="0"/>
                  <w:vAlign w:val="center"/>
                </w:tcPr>
                <w:p w14:paraId="79ECEAB3">
                  <w:pPr>
                    <w:widowControl/>
                    <w:jc w:val="left"/>
                    <w:rPr>
                      <w:rFonts w:ascii="新宋体" w:hAnsi="新宋体" w:eastAsia="新宋体" w:cs="宋体"/>
                      <w:color w:val="auto"/>
                      <w:kern w:val="0"/>
                      <w:szCs w:val="21"/>
                    </w:rPr>
                  </w:pPr>
                </w:p>
              </w:tc>
              <w:tc>
                <w:tcPr>
                  <w:tcW w:w="3199" w:type="pct"/>
                  <w:tcBorders>
                    <w:tl2br w:val="nil"/>
                    <w:tr2bl w:val="nil"/>
                  </w:tcBorders>
                  <w:noWrap w:val="0"/>
                  <w:vAlign w:val="center"/>
                </w:tcPr>
                <w:p w14:paraId="7EF670C0">
                  <w:pPr>
                    <w:widowControl/>
                    <w:jc w:val="center"/>
                    <w:rPr>
                      <w:rFonts w:ascii="新宋体" w:hAnsi="新宋体" w:eastAsia="新宋体"/>
                      <w:color w:val="auto"/>
                      <w:kern w:val="0"/>
                      <w:szCs w:val="21"/>
                    </w:rPr>
                  </w:pPr>
                  <w:r>
                    <w:rPr>
                      <w:rFonts w:hint="eastAsia" w:ascii="新宋体" w:hAnsi="新宋体" w:eastAsia="新宋体"/>
                      <w:color w:val="auto"/>
                      <w:kern w:val="0"/>
                      <w:szCs w:val="21"/>
                    </w:rPr>
                    <w:t>2.根据《中共江苏省委江苏省人民政府关于深入打好污染防治攻坚战的实施意见》（2022年1月24日），完善省、市、县三级环境应急管理体系，健全跨区域、跨部门突发生态环境事件联防联控机制，建成重点敏感保护目标突发水污染事件应急防范体系。开展涉危险废物涉重金属企业、园区等重点领域环境风险调查评估，完成重点河流突发水污染事件“一河一策一图”全覆盖，常态化推进环境风险企业隐患排查。完善环境应急指挥体系，建成区域环境应急基地和应急物资储备库。</w:t>
                  </w:r>
                </w:p>
              </w:tc>
              <w:tc>
                <w:tcPr>
                  <w:tcW w:w="991" w:type="pct"/>
                  <w:vMerge w:val="continue"/>
                  <w:tcBorders>
                    <w:tl2br w:val="nil"/>
                    <w:tr2bl w:val="nil"/>
                  </w:tcBorders>
                  <w:noWrap w:val="0"/>
                  <w:vAlign w:val="center"/>
                </w:tcPr>
                <w:p w14:paraId="1F9BE9F5">
                  <w:pPr>
                    <w:widowControl/>
                    <w:jc w:val="center"/>
                    <w:rPr>
                      <w:rFonts w:ascii="新宋体" w:hAnsi="新宋体" w:eastAsia="新宋体"/>
                      <w:color w:val="auto"/>
                      <w:kern w:val="0"/>
                      <w:szCs w:val="21"/>
                    </w:rPr>
                  </w:pPr>
                </w:p>
              </w:tc>
              <w:tc>
                <w:tcPr>
                  <w:tcW w:w="411" w:type="pct"/>
                  <w:vMerge w:val="continue"/>
                  <w:tcBorders>
                    <w:tl2br w:val="nil"/>
                    <w:tr2bl w:val="nil"/>
                  </w:tcBorders>
                  <w:noWrap w:val="0"/>
                  <w:vAlign w:val="center"/>
                </w:tcPr>
                <w:p w14:paraId="259F720D">
                  <w:pPr>
                    <w:widowControl/>
                    <w:jc w:val="center"/>
                    <w:rPr>
                      <w:rFonts w:ascii="新宋体" w:hAnsi="新宋体" w:eastAsia="新宋体"/>
                      <w:color w:val="auto"/>
                      <w:kern w:val="0"/>
                      <w:szCs w:val="21"/>
                    </w:rPr>
                  </w:pPr>
                </w:p>
              </w:tc>
            </w:tr>
            <w:tr w14:paraId="74AD9C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restart"/>
                  <w:tcBorders>
                    <w:tl2br w:val="nil"/>
                    <w:tr2bl w:val="nil"/>
                  </w:tcBorders>
                  <w:noWrap w:val="0"/>
                  <w:vAlign w:val="center"/>
                </w:tcPr>
                <w:p w14:paraId="3300AD1A">
                  <w:pPr>
                    <w:widowControl/>
                    <w:jc w:val="center"/>
                    <w:rPr>
                      <w:rFonts w:ascii="新宋体" w:hAnsi="新宋体" w:eastAsia="新宋体" w:cs="宋体"/>
                      <w:color w:val="auto"/>
                      <w:kern w:val="0"/>
                      <w:szCs w:val="21"/>
                    </w:rPr>
                  </w:pPr>
                  <w:r>
                    <w:rPr>
                      <w:rFonts w:hint="eastAsia" w:ascii="新宋体" w:hAnsi="新宋体" w:eastAsia="新宋体" w:cs="宋体"/>
                      <w:color w:val="auto"/>
                      <w:kern w:val="0"/>
                      <w:szCs w:val="21"/>
                    </w:rPr>
                    <w:t>资源利用效率要求</w:t>
                  </w:r>
                </w:p>
              </w:tc>
              <w:tc>
                <w:tcPr>
                  <w:tcW w:w="3199" w:type="pct"/>
                  <w:tcBorders>
                    <w:tl2br w:val="nil"/>
                    <w:tr2bl w:val="nil"/>
                  </w:tcBorders>
                  <w:noWrap w:val="0"/>
                  <w:vAlign w:val="center"/>
                </w:tcPr>
                <w:p w14:paraId="32F46E38">
                  <w:pPr>
                    <w:widowControl/>
                    <w:jc w:val="center"/>
                    <w:rPr>
                      <w:rFonts w:hint="eastAsia" w:ascii="新宋体" w:hAnsi="新宋体" w:eastAsia="新宋体"/>
                      <w:color w:val="auto"/>
                      <w:kern w:val="0"/>
                      <w:szCs w:val="21"/>
                    </w:rPr>
                  </w:pPr>
                  <w:r>
                    <w:rPr>
                      <w:rFonts w:hint="eastAsia" w:ascii="新宋体" w:hAnsi="新宋体" w:eastAsia="新宋体"/>
                      <w:color w:val="auto"/>
                      <w:kern w:val="0"/>
                      <w:szCs w:val="21"/>
                    </w:rPr>
                    <w:t>1.水资源利用总量及效率要求：根据《江苏省水利厅江苏省发改委关于印发</w:t>
                  </w:r>
                  <w:r>
                    <w:rPr>
                      <w:rFonts w:hint="eastAsia" w:ascii="新宋体" w:hAnsi="新宋体" w:eastAsia="新宋体"/>
                      <w:color w:val="auto"/>
                      <w:kern w:val="0"/>
                      <w:szCs w:val="21"/>
                      <w:lang w:val="en-US" w:eastAsia="zh-CN"/>
                    </w:rPr>
                    <w:t>“</w:t>
                  </w:r>
                  <w:r>
                    <w:rPr>
                      <w:rFonts w:hint="eastAsia" w:ascii="新宋体" w:hAnsi="新宋体" w:eastAsia="新宋体"/>
                      <w:color w:val="auto"/>
                      <w:kern w:val="0"/>
                      <w:szCs w:val="21"/>
                    </w:rPr>
                    <w:t>十四五”用水总量和强度控制目标的通知》（苏水节〔2022〕6号）、《市水利局市发展和改革委员会关于下达“十四五”用水总量和强度控制目标的通知》（淮水资〔2022〕4号），到2025年，淮安市用水总量不得超过33亿立方米，万元地区生产总值用水量比2020年下降20%，万元工业增加值用水量比2020年下降19%，灌溉水有效利用系数达到0.617以上。</w:t>
                  </w:r>
                </w:p>
              </w:tc>
              <w:tc>
                <w:tcPr>
                  <w:tcW w:w="991" w:type="pct"/>
                  <w:tcBorders>
                    <w:tl2br w:val="nil"/>
                    <w:tr2bl w:val="nil"/>
                  </w:tcBorders>
                  <w:noWrap w:val="0"/>
                  <w:vAlign w:val="center"/>
                </w:tcPr>
                <w:p w14:paraId="654E9C6B">
                  <w:pPr>
                    <w:widowControl/>
                    <w:jc w:val="center"/>
                    <w:rPr>
                      <w:rFonts w:hint="eastAsia" w:ascii="新宋体" w:hAnsi="新宋体" w:eastAsia="新宋体"/>
                      <w:color w:val="auto"/>
                      <w:kern w:val="0"/>
                      <w:szCs w:val="21"/>
                    </w:rPr>
                  </w:pPr>
                  <w:r>
                    <w:rPr>
                      <w:rFonts w:ascii="Times New Roman" w:cs="Times New Roman"/>
                      <w:color w:val="auto"/>
                      <w:kern w:val="0"/>
                      <w:szCs w:val="21"/>
                    </w:rPr>
                    <w:t>本项目为</w:t>
                  </w:r>
                  <w:r>
                    <w:rPr>
                      <w:rFonts w:hint="eastAsia" w:ascii="Times New Roman" w:cs="Times New Roman"/>
                      <w:color w:val="auto"/>
                      <w:kern w:val="0"/>
                      <w:szCs w:val="21"/>
                    </w:rPr>
                    <w:t>现有项目配套</w:t>
                  </w:r>
                  <w:r>
                    <w:rPr>
                      <w:rFonts w:hint="eastAsia" w:cs="Times New Roman"/>
                      <w:color w:val="auto"/>
                      <w:kern w:val="0"/>
                      <w:szCs w:val="21"/>
                      <w:lang w:eastAsia="zh-CN"/>
                    </w:rPr>
                    <w:t>仓储设施升级改造</w:t>
                  </w:r>
                  <w:r>
                    <w:rPr>
                      <w:rFonts w:hint="eastAsia" w:ascii="Times New Roman" w:cs="Times New Roman"/>
                      <w:color w:val="auto"/>
                      <w:kern w:val="0"/>
                      <w:szCs w:val="21"/>
                    </w:rPr>
                    <w:t>项目</w:t>
                  </w:r>
                  <w:r>
                    <w:rPr>
                      <w:rFonts w:hint="eastAsia" w:ascii="新宋体" w:hAnsi="新宋体" w:eastAsia="新宋体"/>
                      <w:color w:val="auto"/>
                      <w:kern w:val="0"/>
                      <w:szCs w:val="21"/>
                    </w:rPr>
                    <w:t>，</w:t>
                  </w:r>
                  <w:r>
                    <w:rPr>
                      <w:rFonts w:hint="eastAsia" w:ascii="新宋体" w:hAnsi="新宋体" w:eastAsia="新宋体"/>
                      <w:color w:val="auto"/>
                      <w:kern w:val="0"/>
                      <w:szCs w:val="21"/>
                      <w:lang w:eastAsia="zh-CN"/>
                    </w:rPr>
                    <w:t>不涉及主体工程改造，用水主要为黄磷水封用水，用水量较少，</w:t>
                  </w:r>
                  <w:r>
                    <w:rPr>
                      <w:rFonts w:hint="eastAsia" w:ascii="新宋体" w:hAnsi="新宋体" w:eastAsia="新宋体"/>
                      <w:color w:val="auto"/>
                      <w:kern w:val="0"/>
                      <w:szCs w:val="21"/>
                    </w:rPr>
                    <w:t>可满足水资源利用率要求</w:t>
                  </w:r>
                </w:p>
              </w:tc>
              <w:tc>
                <w:tcPr>
                  <w:tcW w:w="411" w:type="pct"/>
                  <w:tcBorders>
                    <w:tl2br w:val="nil"/>
                    <w:tr2bl w:val="nil"/>
                  </w:tcBorders>
                  <w:noWrap w:val="0"/>
                  <w:vAlign w:val="center"/>
                </w:tcPr>
                <w:p w14:paraId="6389914E">
                  <w:pPr>
                    <w:widowControl/>
                    <w:jc w:val="center"/>
                    <w:rPr>
                      <w:rFonts w:ascii="新宋体" w:hAnsi="新宋体" w:eastAsia="新宋体"/>
                      <w:color w:val="auto"/>
                      <w:kern w:val="0"/>
                      <w:szCs w:val="21"/>
                    </w:rPr>
                  </w:pPr>
                  <w:r>
                    <w:rPr>
                      <w:rFonts w:hint="eastAsia" w:ascii="新宋体" w:hAnsi="新宋体" w:eastAsia="新宋体"/>
                      <w:color w:val="auto"/>
                      <w:kern w:val="0"/>
                      <w:szCs w:val="21"/>
                    </w:rPr>
                    <w:t>相符</w:t>
                  </w:r>
                </w:p>
              </w:tc>
            </w:tr>
            <w:tr w14:paraId="0D1A40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noWrap w:val="0"/>
                  <w:vAlign w:val="center"/>
                </w:tcPr>
                <w:p w14:paraId="3EC866D3">
                  <w:pPr>
                    <w:widowControl/>
                    <w:jc w:val="left"/>
                    <w:rPr>
                      <w:rFonts w:ascii="新宋体" w:hAnsi="新宋体" w:eastAsia="新宋体" w:cs="宋体"/>
                      <w:color w:val="auto"/>
                      <w:kern w:val="0"/>
                      <w:szCs w:val="21"/>
                    </w:rPr>
                  </w:pPr>
                </w:p>
              </w:tc>
              <w:tc>
                <w:tcPr>
                  <w:tcW w:w="3199" w:type="pct"/>
                  <w:tcBorders>
                    <w:tl2br w:val="nil"/>
                    <w:tr2bl w:val="nil"/>
                  </w:tcBorders>
                  <w:noWrap w:val="0"/>
                  <w:vAlign w:val="center"/>
                </w:tcPr>
                <w:p w14:paraId="1CBF9262">
                  <w:pPr>
                    <w:widowControl/>
                    <w:jc w:val="center"/>
                    <w:rPr>
                      <w:rFonts w:ascii="新宋体" w:hAnsi="新宋体" w:eastAsia="新宋体"/>
                      <w:color w:val="auto"/>
                      <w:kern w:val="0"/>
                      <w:szCs w:val="21"/>
                    </w:rPr>
                  </w:pPr>
                  <w:r>
                    <w:rPr>
                      <w:rFonts w:hint="eastAsia" w:ascii="新宋体" w:hAnsi="新宋体" w:eastAsia="新宋体"/>
                      <w:color w:val="auto"/>
                      <w:kern w:val="0"/>
                      <w:szCs w:val="21"/>
                    </w:rPr>
                    <w:t>2.土地资源利用总量及效率要求：根据《淮安市国土空间总体规划（2021</w:t>
                  </w:r>
                  <w:r>
                    <w:rPr>
                      <w:rFonts w:hint="eastAsia" w:ascii="新宋体" w:hAnsi="新宋体" w:eastAsia="新宋体"/>
                      <w:color w:val="auto"/>
                      <w:kern w:val="0"/>
                      <w:szCs w:val="21"/>
                      <w:lang w:eastAsia="zh-CN"/>
                    </w:rPr>
                    <w:t>—</w:t>
                  </w:r>
                  <w:r>
                    <w:rPr>
                      <w:rFonts w:hint="eastAsia" w:ascii="新宋体" w:hAnsi="新宋体" w:eastAsia="新宋体"/>
                      <w:color w:val="auto"/>
                      <w:kern w:val="0"/>
                      <w:szCs w:val="21"/>
                    </w:rPr>
                    <w:t>2035年）》，淮安市耕地保有量不少于697.3500万亩，永久基本农田保护面积不低于596.0050万亩，控制全市城镇开发边界扩展倍数不高于1.3599。</w:t>
                  </w:r>
                </w:p>
              </w:tc>
              <w:tc>
                <w:tcPr>
                  <w:tcW w:w="991" w:type="pct"/>
                  <w:tcBorders>
                    <w:tl2br w:val="nil"/>
                    <w:tr2bl w:val="nil"/>
                  </w:tcBorders>
                  <w:noWrap w:val="0"/>
                  <w:vAlign w:val="center"/>
                </w:tcPr>
                <w:p w14:paraId="11E72D59">
                  <w:pPr>
                    <w:widowControl/>
                    <w:jc w:val="center"/>
                    <w:rPr>
                      <w:rFonts w:ascii="新宋体" w:hAnsi="新宋体" w:eastAsia="新宋体"/>
                      <w:color w:val="auto"/>
                      <w:kern w:val="0"/>
                      <w:szCs w:val="21"/>
                    </w:rPr>
                  </w:pPr>
                  <w:r>
                    <w:rPr>
                      <w:rFonts w:hint="eastAsia" w:ascii="新宋体" w:hAnsi="新宋体" w:eastAsia="新宋体"/>
                      <w:color w:val="auto"/>
                      <w:kern w:val="0"/>
                      <w:szCs w:val="21"/>
                    </w:rPr>
                    <w:t>本次项目</w:t>
                  </w:r>
                  <w:r>
                    <w:rPr>
                      <w:rFonts w:hint="eastAsia" w:ascii="新宋体" w:hAnsi="新宋体" w:eastAsia="新宋体"/>
                      <w:color w:val="auto"/>
                      <w:kern w:val="0"/>
                      <w:szCs w:val="21"/>
                      <w:lang w:eastAsia="zh-CN"/>
                    </w:rPr>
                    <w:t>不</w:t>
                  </w:r>
                  <w:r>
                    <w:rPr>
                      <w:rFonts w:hint="eastAsia" w:ascii="新宋体" w:hAnsi="新宋体" w:eastAsia="新宋体"/>
                      <w:color w:val="auto"/>
                      <w:kern w:val="0"/>
                      <w:szCs w:val="21"/>
                    </w:rPr>
                    <w:t>新征用地，不占用耕地及永久农田</w:t>
                  </w:r>
                </w:p>
              </w:tc>
              <w:tc>
                <w:tcPr>
                  <w:tcW w:w="411" w:type="pct"/>
                  <w:tcBorders>
                    <w:tl2br w:val="nil"/>
                    <w:tr2bl w:val="nil"/>
                  </w:tcBorders>
                  <w:noWrap w:val="0"/>
                  <w:vAlign w:val="center"/>
                </w:tcPr>
                <w:p w14:paraId="4DCB5889">
                  <w:pPr>
                    <w:widowControl/>
                    <w:jc w:val="center"/>
                    <w:rPr>
                      <w:rFonts w:ascii="新宋体" w:hAnsi="新宋体" w:eastAsia="新宋体"/>
                      <w:color w:val="auto"/>
                      <w:kern w:val="0"/>
                      <w:szCs w:val="21"/>
                    </w:rPr>
                  </w:pPr>
                  <w:r>
                    <w:rPr>
                      <w:rFonts w:hint="eastAsia" w:ascii="新宋体" w:hAnsi="新宋体" w:eastAsia="新宋体"/>
                      <w:color w:val="auto"/>
                      <w:kern w:val="0"/>
                      <w:szCs w:val="21"/>
                    </w:rPr>
                    <w:t>相符</w:t>
                  </w:r>
                </w:p>
              </w:tc>
            </w:tr>
            <w:tr w14:paraId="40D65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noWrap w:val="0"/>
                  <w:vAlign w:val="center"/>
                </w:tcPr>
                <w:p w14:paraId="463BE654">
                  <w:pPr>
                    <w:widowControl/>
                    <w:jc w:val="left"/>
                    <w:rPr>
                      <w:rFonts w:ascii="新宋体" w:hAnsi="新宋体" w:eastAsia="新宋体" w:cs="宋体"/>
                      <w:color w:val="auto"/>
                      <w:kern w:val="0"/>
                      <w:szCs w:val="21"/>
                    </w:rPr>
                  </w:pPr>
                </w:p>
              </w:tc>
              <w:tc>
                <w:tcPr>
                  <w:tcW w:w="3199" w:type="pct"/>
                  <w:tcBorders>
                    <w:tl2br w:val="nil"/>
                    <w:tr2bl w:val="nil"/>
                  </w:tcBorders>
                  <w:noWrap w:val="0"/>
                  <w:vAlign w:val="center"/>
                </w:tcPr>
                <w:p w14:paraId="16D13B9F">
                  <w:pPr>
                    <w:widowControl/>
                    <w:jc w:val="center"/>
                    <w:rPr>
                      <w:rFonts w:ascii="新宋体" w:hAnsi="新宋体" w:eastAsia="新宋体"/>
                      <w:color w:val="auto"/>
                      <w:kern w:val="0"/>
                      <w:szCs w:val="21"/>
                    </w:rPr>
                  </w:pPr>
                  <w:r>
                    <w:rPr>
                      <w:rFonts w:hint="eastAsia" w:ascii="新宋体" w:hAnsi="新宋体" w:eastAsia="新宋体"/>
                      <w:color w:val="auto"/>
                      <w:kern w:val="0"/>
                      <w:szCs w:val="21"/>
                    </w:rPr>
                    <w:t>3.能源利用总量及效率要求：根据《中共江苏省委江苏省人民政府关于深入打好污染防治攻坚战的实施意见》（2022年1月24日），到2025年，煤炭消费总量下降5%左右，煤炭占能源消费总量的比重下降至50%左右，非化石能源消费比重达到18%左右。</w:t>
                  </w:r>
                </w:p>
              </w:tc>
              <w:tc>
                <w:tcPr>
                  <w:tcW w:w="991" w:type="pct"/>
                  <w:tcBorders>
                    <w:tl2br w:val="nil"/>
                    <w:tr2bl w:val="nil"/>
                  </w:tcBorders>
                  <w:noWrap w:val="0"/>
                  <w:vAlign w:val="center"/>
                </w:tcPr>
                <w:p w14:paraId="2D823453">
                  <w:pPr>
                    <w:widowControl/>
                    <w:jc w:val="center"/>
                    <w:rPr>
                      <w:rFonts w:hint="eastAsia" w:ascii="新宋体" w:hAnsi="新宋体" w:eastAsia="新宋体"/>
                      <w:color w:val="auto"/>
                      <w:kern w:val="0"/>
                      <w:szCs w:val="21"/>
                    </w:rPr>
                  </w:pPr>
                  <w:r>
                    <w:rPr>
                      <w:rFonts w:hint="eastAsia" w:ascii="新宋体" w:hAnsi="新宋体" w:eastAsia="新宋体"/>
                      <w:color w:val="auto"/>
                      <w:kern w:val="0"/>
                      <w:szCs w:val="21"/>
                    </w:rPr>
                    <w:t>项目不涉及煤炭消费</w:t>
                  </w:r>
                </w:p>
              </w:tc>
              <w:tc>
                <w:tcPr>
                  <w:tcW w:w="411" w:type="pct"/>
                  <w:tcBorders>
                    <w:tl2br w:val="nil"/>
                    <w:tr2bl w:val="nil"/>
                  </w:tcBorders>
                  <w:noWrap w:val="0"/>
                  <w:vAlign w:val="center"/>
                </w:tcPr>
                <w:p w14:paraId="7609659E">
                  <w:pPr>
                    <w:widowControl/>
                    <w:jc w:val="center"/>
                    <w:rPr>
                      <w:rFonts w:ascii="新宋体" w:hAnsi="新宋体" w:eastAsia="新宋体"/>
                      <w:color w:val="auto"/>
                      <w:kern w:val="0"/>
                      <w:szCs w:val="21"/>
                    </w:rPr>
                  </w:pPr>
                  <w:r>
                    <w:rPr>
                      <w:rFonts w:hint="eastAsia" w:ascii="新宋体" w:hAnsi="新宋体" w:eastAsia="新宋体"/>
                      <w:color w:val="auto"/>
                      <w:kern w:val="0"/>
                      <w:szCs w:val="21"/>
                    </w:rPr>
                    <w:t>相符</w:t>
                  </w:r>
                </w:p>
              </w:tc>
            </w:tr>
            <w:tr w14:paraId="16C02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noWrap w:val="0"/>
                  <w:vAlign w:val="center"/>
                </w:tcPr>
                <w:p w14:paraId="6127BB47">
                  <w:pPr>
                    <w:widowControl/>
                    <w:jc w:val="left"/>
                    <w:rPr>
                      <w:rFonts w:ascii="新宋体" w:hAnsi="新宋体" w:eastAsia="新宋体" w:cs="宋体"/>
                      <w:color w:val="auto"/>
                      <w:kern w:val="0"/>
                      <w:szCs w:val="21"/>
                    </w:rPr>
                  </w:pPr>
                </w:p>
              </w:tc>
              <w:tc>
                <w:tcPr>
                  <w:tcW w:w="3199" w:type="pct"/>
                  <w:tcBorders>
                    <w:tl2br w:val="nil"/>
                    <w:tr2bl w:val="nil"/>
                  </w:tcBorders>
                  <w:noWrap w:val="0"/>
                  <w:vAlign w:val="center"/>
                </w:tcPr>
                <w:p w14:paraId="3CDF5C51">
                  <w:pPr>
                    <w:widowControl/>
                    <w:jc w:val="center"/>
                    <w:rPr>
                      <w:rFonts w:ascii="新宋体" w:hAnsi="新宋体" w:eastAsia="新宋体"/>
                      <w:color w:val="auto"/>
                      <w:kern w:val="0"/>
                      <w:szCs w:val="21"/>
                    </w:rPr>
                  </w:pPr>
                  <w:r>
                    <w:rPr>
                      <w:rFonts w:hint="eastAsia" w:ascii="新宋体" w:hAnsi="新宋体" w:eastAsia="新宋体"/>
                      <w:color w:val="auto"/>
                      <w:kern w:val="0"/>
                      <w:szCs w:val="21"/>
                    </w:rPr>
                    <w:t>4.禁燃区要求：根据《江苏省大气污染防治条例》，禁燃区禁止新建、扩建燃用高污染燃料的项目和设施，已建成的应逐步或依法限期改用天然气、电或者其他清洁能源。</w:t>
                  </w:r>
                </w:p>
              </w:tc>
              <w:tc>
                <w:tcPr>
                  <w:tcW w:w="991" w:type="pct"/>
                  <w:tcBorders>
                    <w:tl2br w:val="nil"/>
                    <w:tr2bl w:val="nil"/>
                  </w:tcBorders>
                  <w:noWrap w:val="0"/>
                  <w:vAlign w:val="center"/>
                </w:tcPr>
                <w:p w14:paraId="4DBA57E2">
                  <w:pPr>
                    <w:widowControl/>
                    <w:jc w:val="center"/>
                    <w:rPr>
                      <w:rFonts w:hint="eastAsia" w:ascii="新宋体" w:hAnsi="新宋体" w:eastAsia="宋体"/>
                      <w:color w:val="auto"/>
                      <w:kern w:val="0"/>
                      <w:szCs w:val="21"/>
                      <w:lang w:eastAsia="zh-CN"/>
                    </w:rPr>
                  </w:pPr>
                  <w:r>
                    <w:rPr>
                      <w:rFonts w:ascii="Times New Roman" w:cs="Times New Roman"/>
                      <w:color w:val="auto"/>
                      <w:kern w:val="0"/>
                      <w:szCs w:val="21"/>
                    </w:rPr>
                    <w:t>本项目为</w:t>
                  </w:r>
                  <w:r>
                    <w:rPr>
                      <w:rFonts w:hint="eastAsia" w:ascii="Times New Roman" w:cs="Times New Roman"/>
                      <w:color w:val="auto"/>
                      <w:kern w:val="0"/>
                      <w:szCs w:val="21"/>
                    </w:rPr>
                    <w:t>现有项目配套</w:t>
                  </w:r>
                  <w:r>
                    <w:rPr>
                      <w:rFonts w:hint="eastAsia" w:cs="Times New Roman"/>
                      <w:color w:val="auto"/>
                      <w:kern w:val="0"/>
                      <w:szCs w:val="21"/>
                      <w:lang w:eastAsia="zh-CN"/>
                    </w:rPr>
                    <w:t>仓储设施升级改造</w:t>
                  </w:r>
                  <w:r>
                    <w:rPr>
                      <w:rFonts w:hint="eastAsia" w:ascii="Times New Roman" w:cs="Times New Roman"/>
                      <w:color w:val="auto"/>
                      <w:kern w:val="0"/>
                      <w:szCs w:val="21"/>
                    </w:rPr>
                    <w:t>项目</w:t>
                  </w:r>
                  <w:r>
                    <w:rPr>
                      <w:rFonts w:ascii="Times New Roman" w:cs="Times New Roman"/>
                      <w:color w:val="auto"/>
                      <w:kern w:val="0"/>
                      <w:szCs w:val="21"/>
                    </w:rPr>
                    <w:t>，</w:t>
                  </w:r>
                  <w:r>
                    <w:rPr>
                      <w:rFonts w:hint="eastAsia" w:cs="Times New Roman"/>
                      <w:color w:val="auto"/>
                      <w:kern w:val="0"/>
                      <w:szCs w:val="21"/>
                      <w:lang w:eastAsia="zh-CN"/>
                    </w:rPr>
                    <w:t>不涉及高污染燃料的使用</w:t>
                  </w:r>
                </w:p>
              </w:tc>
              <w:tc>
                <w:tcPr>
                  <w:tcW w:w="411" w:type="pct"/>
                  <w:tcBorders>
                    <w:tl2br w:val="nil"/>
                    <w:tr2bl w:val="nil"/>
                  </w:tcBorders>
                  <w:noWrap w:val="0"/>
                  <w:vAlign w:val="center"/>
                </w:tcPr>
                <w:p w14:paraId="264FB182">
                  <w:pPr>
                    <w:widowControl/>
                    <w:jc w:val="center"/>
                    <w:rPr>
                      <w:rFonts w:ascii="新宋体" w:hAnsi="新宋体" w:eastAsia="新宋体"/>
                      <w:color w:val="auto"/>
                      <w:kern w:val="0"/>
                      <w:szCs w:val="21"/>
                    </w:rPr>
                  </w:pPr>
                  <w:r>
                    <w:rPr>
                      <w:rFonts w:hint="eastAsia" w:ascii="新宋体" w:hAnsi="新宋体" w:eastAsia="新宋体"/>
                      <w:color w:val="auto"/>
                      <w:kern w:val="0"/>
                      <w:szCs w:val="21"/>
                    </w:rPr>
                    <w:t>相符</w:t>
                  </w:r>
                </w:p>
              </w:tc>
            </w:tr>
            <w:bookmarkEnd w:id="10"/>
            <w:bookmarkEnd w:id="11"/>
            <w:bookmarkEnd w:id="12"/>
            <w:bookmarkEnd w:id="13"/>
            <w:bookmarkEnd w:id="14"/>
            <w:bookmarkEnd w:id="15"/>
          </w:tbl>
          <w:p w14:paraId="5C51E2F9">
            <w:pPr>
              <w:adjustRightInd w:val="0"/>
              <w:snapToGrid w:val="0"/>
              <w:spacing w:beforeLines="50" w:line="360" w:lineRule="auto"/>
              <w:ind w:firstLine="539"/>
              <w:rPr>
                <w:color w:val="auto"/>
                <w:sz w:val="24"/>
                <w:szCs w:val="28"/>
              </w:rPr>
            </w:pPr>
            <w:r>
              <w:rPr>
                <w:color w:val="auto"/>
                <w:sz w:val="24"/>
                <w:szCs w:val="28"/>
              </w:rPr>
              <w:t>综上所述，</w:t>
            </w:r>
            <w:r>
              <w:rPr>
                <w:bCs/>
                <w:color w:val="auto"/>
                <w:sz w:val="24"/>
                <w:szCs w:val="28"/>
              </w:rPr>
              <w:t>建设</w:t>
            </w:r>
            <w:r>
              <w:rPr>
                <w:color w:val="auto"/>
                <w:sz w:val="24"/>
                <w:szCs w:val="28"/>
              </w:rPr>
              <w:t>项目符合</w:t>
            </w:r>
            <w:r>
              <w:rPr>
                <w:color w:val="auto"/>
                <w:sz w:val="24"/>
              </w:rPr>
              <w:t>《江苏省2023年度生态环境分区管控动态更新成果公告</w:t>
            </w:r>
            <w:r>
              <w:rPr>
                <w:rFonts w:hint="eastAsia"/>
                <w:color w:val="auto"/>
                <w:sz w:val="24"/>
                <w:lang w:eastAsia="zh-CN"/>
              </w:rPr>
              <w:t>》《</w:t>
            </w:r>
            <w:r>
              <w:rPr>
                <w:rFonts w:hint="eastAsia"/>
                <w:color w:val="auto"/>
                <w:sz w:val="24"/>
                <w:szCs w:val="28"/>
              </w:rPr>
              <w:t>淮安市生态环境分区管控动态更新成果》（2023版）</w:t>
            </w:r>
            <w:r>
              <w:rPr>
                <w:color w:val="auto"/>
                <w:sz w:val="24"/>
                <w:szCs w:val="28"/>
              </w:rPr>
              <w:t>的要求。</w:t>
            </w:r>
          </w:p>
          <w:p w14:paraId="107C150E">
            <w:pPr>
              <w:adjustRightInd w:val="0"/>
              <w:snapToGrid w:val="0"/>
              <w:spacing w:line="360" w:lineRule="auto"/>
              <w:contextualSpacing/>
              <w:rPr>
                <w:rFonts w:eastAsiaTheme="minorEastAsia"/>
                <w:b/>
                <w:color w:val="auto"/>
                <w:kern w:val="0"/>
                <w:sz w:val="24"/>
                <w:lang w:val="zh-CN"/>
              </w:rPr>
            </w:pPr>
            <w:r>
              <w:rPr>
                <w:rFonts w:eastAsiaTheme="minorEastAsia"/>
                <w:b/>
                <w:color w:val="auto"/>
                <w:kern w:val="0"/>
                <w:sz w:val="24"/>
                <w:lang w:val="zh-CN"/>
              </w:rPr>
              <w:t>1.3其他相关法规政策相符性分析</w:t>
            </w:r>
          </w:p>
          <w:p w14:paraId="639E12AC">
            <w:pPr>
              <w:adjustRightInd w:val="0"/>
              <w:snapToGrid w:val="0"/>
              <w:spacing w:line="360" w:lineRule="auto"/>
              <w:ind w:firstLine="482" w:firstLineChars="200"/>
              <w:contextualSpacing/>
              <w:rPr>
                <w:b/>
                <w:color w:val="auto"/>
                <w:kern w:val="0"/>
                <w:sz w:val="24"/>
              </w:rPr>
            </w:pPr>
            <w:r>
              <w:rPr>
                <w:b/>
                <w:color w:val="auto"/>
                <w:kern w:val="0"/>
                <w:sz w:val="24"/>
              </w:rPr>
              <w:t>1.产业政策相符性分析</w:t>
            </w:r>
          </w:p>
          <w:p w14:paraId="5A9CDF3F">
            <w:pPr>
              <w:tabs>
                <w:tab w:val="left" w:pos="1800"/>
              </w:tabs>
              <w:adjustRightInd w:val="0"/>
              <w:snapToGrid w:val="0"/>
              <w:spacing w:line="360" w:lineRule="auto"/>
              <w:ind w:firstLine="480" w:firstLineChars="200"/>
              <w:jc w:val="left"/>
              <w:rPr>
                <w:color w:val="auto"/>
                <w:sz w:val="24"/>
              </w:rPr>
            </w:pPr>
            <w:r>
              <w:rPr>
                <w:color w:val="auto"/>
                <w:sz w:val="24"/>
              </w:rPr>
              <w:t>建设项目为</w:t>
            </w:r>
            <w:r>
              <w:rPr>
                <w:rFonts w:hint="eastAsia"/>
                <w:color w:val="auto"/>
                <w:sz w:val="24"/>
                <w:lang w:eastAsia="zh-CN"/>
              </w:rPr>
              <w:t>现有项目配套危险品仓储</w:t>
            </w:r>
            <w:r>
              <w:rPr>
                <w:color w:val="auto"/>
                <w:sz w:val="24"/>
              </w:rPr>
              <w:t>项目，</w:t>
            </w:r>
            <w:r>
              <w:rPr>
                <w:rFonts w:eastAsiaTheme="minorEastAsia"/>
                <w:color w:val="auto"/>
                <w:sz w:val="24"/>
              </w:rPr>
              <w:t>经查项目</w:t>
            </w:r>
            <w:r>
              <w:rPr>
                <w:color w:val="auto"/>
                <w:sz w:val="24"/>
              </w:rPr>
              <w:t>不属于</w:t>
            </w:r>
            <w:r>
              <w:rPr>
                <w:rFonts w:hint="eastAsia"/>
                <w:color w:val="auto"/>
                <w:sz w:val="24"/>
                <w:lang w:eastAsia="zh-CN"/>
              </w:rPr>
              <w:t>《产业结构调整指导目录（2024年本）》</w:t>
            </w:r>
            <w:r>
              <w:rPr>
                <w:color w:val="auto"/>
                <w:sz w:val="24"/>
              </w:rPr>
              <w:t>中的鼓励类、限制类、淘汰类</w:t>
            </w:r>
            <w:r>
              <w:rPr>
                <w:rFonts w:eastAsiaTheme="minorEastAsia"/>
                <w:color w:val="auto"/>
                <w:sz w:val="24"/>
              </w:rPr>
              <w:t>；</w:t>
            </w:r>
            <w:r>
              <w:rPr>
                <w:color w:val="auto"/>
                <w:sz w:val="24"/>
              </w:rPr>
              <w:t>且项目已通过</w:t>
            </w:r>
            <w:r>
              <w:rPr>
                <w:rFonts w:hint="eastAsia"/>
                <w:color w:val="auto"/>
                <w:sz w:val="24"/>
                <w:lang w:eastAsia="zh-CN"/>
              </w:rPr>
              <w:t>涟水县工业和信息化局</w:t>
            </w:r>
            <w:r>
              <w:rPr>
                <w:color w:val="auto"/>
                <w:sz w:val="24"/>
              </w:rPr>
              <w:t>备案，项目代码：</w:t>
            </w:r>
            <w:r>
              <w:rPr>
                <w:rFonts w:hint="eastAsia"/>
                <w:color w:val="auto"/>
                <w:sz w:val="24"/>
                <w:lang w:eastAsia="zh-CN"/>
              </w:rPr>
              <w:t>2506-320826-07-02-321019</w:t>
            </w:r>
            <w:r>
              <w:rPr>
                <w:color w:val="auto"/>
                <w:sz w:val="24"/>
              </w:rPr>
              <w:t>。因此建设项目符合国家和地方产业政策。</w:t>
            </w:r>
          </w:p>
          <w:p w14:paraId="26FE9881">
            <w:pPr>
              <w:adjustRightInd w:val="0"/>
              <w:snapToGrid w:val="0"/>
              <w:spacing w:line="360" w:lineRule="auto"/>
              <w:ind w:firstLine="482" w:firstLineChars="200"/>
              <w:contextualSpacing/>
              <w:rPr>
                <w:b/>
                <w:color w:val="auto"/>
                <w:sz w:val="24"/>
              </w:rPr>
            </w:pPr>
            <w:r>
              <w:rPr>
                <w:b/>
                <w:bCs/>
                <w:color w:val="auto"/>
                <w:sz w:val="24"/>
              </w:rPr>
              <w:t>2.</w:t>
            </w:r>
            <w:r>
              <w:rPr>
                <w:b/>
                <w:color w:val="auto"/>
                <w:sz w:val="24"/>
              </w:rPr>
              <w:t>与</w:t>
            </w:r>
            <w:r>
              <w:rPr>
                <w:rFonts w:eastAsiaTheme="minorEastAsia"/>
                <w:b/>
                <w:color w:val="auto"/>
                <w:kern w:val="0"/>
                <w:sz w:val="24"/>
              </w:rPr>
              <w:t>《江苏省长江经济带生态环境保护实施规划</w:t>
            </w:r>
            <w:r>
              <w:rPr>
                <w:rFonts w:hint="eastAsia" w:eastAsiaTheme="minorEastAsia"/>
                <w:b/>
                <w:color w:val="auto"/>
                <w:kern w:val="0"/>
                <w:sz w:val="24"/>
                <w:lang w:eastAsia="zh-CN"/>
              </w:rPr>
              <w:t>》《</w:t>
            </w:r>
            <w:r>
              <w:rPr>
                <w:rFonts w:hint="eastAsia"/>
                <w:b/>
                <w:color w:val="auto"/>
                <w:sz w:val="24"/>
              </w:rPr>
              <w:t>〈</w:t>
            </w:r>
            <w:r>
              <w:rPr>
                <w:b/>
                <w:color w:val="auto"/>
                <w:sz w:val="24"/>
              </w:rPr>
              <w:t>长江经济带发展负面清单指南</w:t>
            </w:r>
            <w:r>
              <w:rPr>
                <w:rFonts w:hint="eastAsia"/>
                <w:b/>
                <w:color w:val="auto"/>
                <w:sz w:val="24"/>
              </w:rPr>
              <w:t>〉江苏省实施细则</w:t>
            </w:r>
            <w:r>
              <w:rPr>
                <w:b/>
                <w:color w:val="auto"/>
                <w:sz w:val="24"/>
              </w:rPr>
              <w:t>（试行，2022年版）》</w:t>
            </w:r>
            <w:r>
              <w:rPr>
                <w:rFonts w:hint="eastAsia"/>
                <w:b/>
                <w:color w:val="auto"/>
                <w:sz w:val="24"/>
              </w:rPr>
              <w:t>（苏长江办发〔2022〕55号）</w:t>
            </w:r>
            <w:r>
              <w:rPr>
                <w:b/>
                <w:color w:val="auto"/>
                <w:sz w:val="24"/>
              </w:rPr>
              <w:t>的相符性分析</w:t>
            </w:r>
          </w:p>
          <w:p w14:paraId="30F4B34A">
            <w:pPr>
              <w:adjustRightInd w:val="0"/>
              <w:snapToGrid w:val="0"/>
              <w:jc w:val="center"/>
              <w:rPr>
                <w:b/>
                <w:color w:val="auto"/>
                <w:sz w:val="24"/>
              </w:rPr>
            </w:pPr>
            <w:r>
              <w:rPr>
                <w:b/>
                <w:bCs/>
                <w:color w:val="auto"/>
                <w:sz w:val="24"/>
              </w:rPr>
              <w:t>表1-</w:t>
            </w:r>
            <w:r>
              <w:rPr>
                <w:rFonts w:hint="eastAsia"/>
                <w:b/>
                <w:bCs/>
                <w:color w:val="auto"/>
                <w:sz w:val="24"/>
                <w:lang w:val="en-US" w:eastAsia="zh-CN"/>
              </w:rPr>
              <w:t>7</w:t>
            </w:r>
            <w:r>
              <w:rPr>
                <w:b/>
                <w:bCs/>
                <w:color w:val="auto"/>
                <w:sz w:val="24"/>
              </w:rPr>
              <w:t>与《江苏省长江经济带生态环境保护实施规划》相符性分析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30"/>
              <w:gridCol w:w="4905"/>
              <w:gridCol w:w="2562"/>
            </w:tblGrid>
            <w:tr w14:paraId="3468AF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45" w:type="pct"/>
                  <w:vAlign w:val="center"/>
                </w:tcPr>
                <w:p w14:paraId="7D4DD36A">
                  <w:pPr>
                    <w:jc w:val="center"/>
                    <w:rPr>
                      <w:color w:val="auto"/>
                      <w:szCs w:val="21"/>
                    </w:rPr>
                  </w:pPr>
                  <w:r>
                    <w:rPr>
                      <w:color w:val="auto"/>
                      <w:szCs w:val="21"/>
                    </w:rPr>
                    <w:t>序号</w:t>
                  </w:r>
                </w:p>
              </w:tc>
              <w:tc>
                <w:tcPr>
                  <w:tcW w:w="2992" w:type="pct"/>
                  <w:vAlign w:val="center"/>
                </w:tcPr>
                <w:p w14:paraId="03582076">
                  <w:pPr>
                    <w:jc w:val="center"/>
                    <w:rPr>
                      <w:color w:val="auto"/>
                      <w:szCs w:val="21"/>
                    </w:rPr>
                  </w:pPr>
                  <w:r>
                    <w:rPr>
                      <w:color w:val="auto"/>
                      <w:szCs w:val="21"/>
                    </w:rPr>
                    <w:t>相关要求</w:t>
                  </w:r>
                </w:p>
              </w:tc>
              <w:tc>
                <w:tcPr>
                  <w:tcW w:w="1563" w:type="pct"/>
                  <w:vAlign w:val="center"/>
                </w:tcPr>
                <w:p w14:paraId="718AB78F">
                  <w:pPr>
                    <w:jc w:val="center"/>
                    <w:rPr>
                      <w:color w:val="auto"/>
                      <w:szCs w:val="21"/>
                    </w:rPr>
                  </w:pPr>
                  <w:r>
                    <w:rPr>
                      <w:color w:val="auto"/>
                      <w:szCs w:val="21"/>
                    </w:rPr>
                    <w:t>相符性分析</w:t>
                  </w:r>
                </w:p>
              </w:tc>
            </w:tr>
            <w:tr w14:paraId="35FFE6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45" w:type="pct"/>
                  <w:vAlign w:val="center"/>
                </w:tcPr>
                <w:p w14:paraId="04FA663D">
                  <w:pPr>
                    <w:jc w:val="center"/>
                    <w:rPr>
                      <w:color w:val="auto"/>
                      <w:szCs w:val="21"/>
                    </w:rPr>
                  </w:pPr>
                  <w:r>
                    <w:rPr>
                      <w:color w:val="auto"/>
                      <w:szCs w:val="21"/>
                    </w:rPr>
                    <w:t>1</w:t>
                  </w:r>
                </w:p>
              </w:tc>
              <w:tc>
                <w:tcPr>
                  <w:tcW w:w="2992" w:type="pct"/>
                  <w:vAlign w:val="center"/>
                </w:tcPr>
                <w:p w14:paraId="4F41EE63">
                  <w:pPr>
                    <w:widowControl/>
                    <w:adjustRightInd w:val="0"/>
                    <w:snapToGrid w:val="0"/>
                    <w:jc w:val="center"/>
                    <w:rPr>
                      <w:color w:val="auto"/>
                      <w:szCs w:val="21"/>
                    </w:rPr>
                  </w:pPr>
                  <w:r>
                    <w:rPr>
                      <w:color w:val="auto"/>
                      <w:szCs w:val="21"/>
                    </w:rPr>
                    <w:t>严格控制高耗水行业发展。以供给侧结构性改革为契机，倒逼钢铁、造纸、纺织、火电等高耗水行业化解过剩产能，严禁新增产能。加强高耗水行业用水定额管理，严格控制高耗水项目建设。鼓励沿海地区电力、化工、石化等行业直接利用海水作为循环冷却水。</w:t>
                  </w:r>
                </w:p>
              </w:tc>
              <w:tc>
                <w:tcPr>
                  <w:tcW w:w="1563" w:type="pct"/>
                  <w:vAlign w:val="center"/>
                </w:tcPr>
                <w:p w14:paraId="331624D4">
                  <w:pPr>
                    <w:jc w:val="center"/>
                    <w:rPr>
                      <w:color w:val="auto"/>
                      <w:szCs w:val="21"/>
                    </w:rPr>
                  </w:pPr>
                  <w:r>
                    <w:rPr>
                      <w:color w:val="auto"/>
                      <w:szCs w:val="21"/>
                    </w:rPr>
                    <w:t>本项目为</w:t>
                  </w:r>
                  <w:r>
                    <w:rPr>
                      <w:rFonts w:hint="eastAsia"/>
                      <w:color w:val="auto"/>
                      <w:szCs w:val="21"/>
                      <w:lang w:eastAsia="zh-CN"/>
                    </w:rPr>
                    <w:t>三氯化磷及原料储存安全提升技改项目</w:t>
                  </w:r>
                  <w:r>
                    <w:rPr>
                      <w:color w:val="auto"/>
                      <w:szCs w:val="21"/>
                    </w:rPr>
                    <w:t>，不属于高耗水行业。</w:t>
                  </w:r>
                </w:p>
              </w:tc>
            </w:tr>
            <w:tr w14:paraId="66114F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45" w:type="pct"/>
                  <w:vAlign w:val="center"/>
                </w:tcPr>
                <w:p w14:paraId="33EF9E37">
                  <w:pPr>
                    <w:jc w:val="center"/>
                    <w:rPr>
                      <w:color w:val="auto"/>
                      <w:szCs w:val="21"/>
                    </w:rPr>
                  </w:pPr>
                  <w:r>
                    <w:rPr>
                      <w:color w:val="auto"/>
                      <w:szCs w:val="21"/>
                    </w:rPr>
                    <w:t>2</w:t>
                  </w:r>
                </w:p>
              </w:tc>
              <w:tc>
                <w:tcPr>
                  <w:tcW w:w="2992" w:type="pct"/>
                  <w:vAlign w:val="center"/>
                </w:tcPr>
                <w:p w14:paraId="3ADD6253">
                  <w:pPr>
                    <w:widowControl/>
                    <w:adjustRightInd w:val="0"/>
                    <w:snapToGrid w:val="0"/>
                    <w:jc w:val="center"/>
                    <w:rPr>
                      <w:color w:val="auto"/>
                      <w:szCs w:val="21"/>
                    </w:rPr>
                  </w:pPr>
                  <w:r>
                    <w:rPr>
                      <w:color w:val="auto"/>
                      <w:szCs w:val="21"/>
                    </w:rPr>
                    <w:t>贯彻“山水林田湖草是一个生命共同体”理念，坚持保护优先、自然恢复为主的原则，统筹水陆，实施生态空间用途管制，划定并严守生态保护红线，系统开展重点区域生态保护和修复，加强水生生物及特有鱼类的保护，防范外来有害生物入侵，增强水源涵养、水土保持等生态系统服务功能。</w:t>
                  </w:r>
                </w:p>
              </w:tc>
              <w:tc>
                <w:tcPr>
                  <w:tcW w:w="1563" w:type="pct"/>
                  <w:vAlign w:val="center"/>
                </w:tcPr>
                <w:p w14:paraId="4B5ED65D">
                  <w:pPr>
                    <w:widowControl/>
                    <w:adjustRightInd w:val="0"/>
                    <w:snapToGrid w:val="0"/>
                    <w:jc w:val="center"/>
                    <w:rPr>
                      <w:color w:val="auto"/>
                      <w:szCs w:val="21"/>
                    </w:rPr>
                  </w:pPr>
                  <w:r>
                    <w:rPr>
                      <w:rFonts w:hint="eastAsia"/>
                      <w:color w:val="auto"/>
                      <w:szCs w:val="21"/>
                    </w:rPr>
                    <w:t>本项目距离最近的生态红线为江苏涟水涟漪湖黄嘴白鹭省级自然保护区，距离为9.62km左右，距离最近的生态空间管控区为废黄河（涟水县）重要湿地，距离为7.49km左右，</w:t>
                  </w:r>
                  <w:r>
                    <w:rPr>
                      <w:color w:val="auto"/>
                      <w:szCs w:val="21"/>
                    </w:rPr>
                    <w:t>不在生态红线范围内。</w:t>
                  </w:r>
                </w:p>
              </w:tc>
            </w:tr>
            <w:tr w14:paraId="41FA26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45" w:type="pct"/>
                  <w:vAlign w:val="center"/>
                </w:tcPr>
                <w:p w14:paraId="0501EF03">
                  <w:pPr>
                    <w:jc w:val="center"/>
                    <w:rPr>
                      <w:color w:val="auto"/>
                      <w:szCs w:val="21"/>
                    </w:rPr>
                  </w:pPr>
                  <w:r>
                    <w:rPr>
                      <w:color w:val="auto"/>
                      <w:szCs w:val="21"/>
                    </w:rPr>
                    <w:t>3</w:t>
                  </w:r>
                </w:p>
              </w:tc>
              <w:tc>
                <w:tcPr>
                  <w:tcW w:w="2992" w:type="pct"/>
                  <w:vAlign w:val="center"/>
                </w:tcPr>
                <w:p w14:paraId="7B96F825">
                  <w:pPr>
                    <w:widowControl/>
                    <w:adjustRightInd w:val="0"/>
                    <w:snapToGrid w:val="0"/>
                    <w:jc w:val="center"/>
                    <w:rPr>
                      <w:color w:val="auto"/>
                      <w:szCs w:val="21"/>
                    </w:rPr>
                  </w:pPr>
                  <w:r>
                    <w:rPr>
                      <w:color w:val="auto"/>
                      <w:szCs w:val="21"/>
                    </w:rPr>
                    <w:t>实行负面清单管理。长江沿线一切经济活动都要以不破坏生态环境为前提，配合国家制定产业准入负面清单，明确空间准入和环境准入的清单式管理要求。提出长江沿线限制开发和禁止开发的岸线、河段、区域、产业以及相关管理措施。不符合要求占用岸线、河段、土地和布局的产业，必须无条件退出。严禁在干流及主要支流岸线1公里范围内布局新建重化工园区和危化品码头，严格限制在长江沿线新建石油化工、煤化工等中重度化工项目。</w:t>
                  </w:r>
                </w:p>
              </w:tc>
              <w:tc>
                <w:tcPr>
                  <w:tcW w:w="1563" w:type="pct"/>
                  <w:vAlign w:val="center"/>
                </w:tcPr>
                <w:p w14:paraId="6CAB8FF0">
                  <w:pPr>
                    <w:widowControl/>
                    <w:adjustRightInd w:val="0"/>
                    <w:snapToGrid w:val="0"/>
                    <w:jc w:val="center"/>
                    <w:rPr>
                      <w:color w:val="auto"/>
                      <w:szCs w:val="21"/>
                    </w:rPr>
                  </w:pPr>
                  <w:r>
                    <w:rPr>
                      <w:color w:val="auto"/>
                      <w:szCs w:val="21"/>
                    </w:rPr>
                    <w:t>本项目属于</w:t>
                  </w:r>
                  <w:r>
                    <w:rPr>
                      <w:rFonts w:hint="eastAsia"/>
                      <w:color w:val="auto"/>
                      <w:szCs w:val="21"/>
                      <w:lang w:eastAsia="zh-CN"/>
                    </w:rPr>
                    <w:t>三氯化磷及原料储存安全提升技改项目</w:t>
                  </w:r>
                  <w:r>
                    <w:rPr>
                      <w:color w:val="auto"/>
                      <w:szCs w:val="21"/>
                    </w:rPr>
                    <w:t>，符合“三线一单”的要求；不属于限制开发和禁止开发区域</w:t>
                  </w:r>
                </w:p>
              </w:tc>
            </w:tr>
          </w:tbl>
          <w:p w14:paraId="7210D931">
            <w:pPr>
              <w:pStyle w:val="100"/>
              <w:snapToGrid w:val="0"/>
              <w:spacing w:beforeLines="50"/>
              <w:jc w:val="center"/>
              <w:rPr>
                <w:rFonts w:ascii="Times New Roman" w:cs="Times New Roman"/>
                <w:b/>
                <w:bCs/>
                <w:color w:val="auto"/>
              </w:rPr>
            </w:pPr>
            <w:r>
              <w:rPr>
                <w:rFonts w:ascii="Times New Roman" w:cs="Times New Roman"/>
                <w:b/>
                <w:bCs/>
                <w:color w:val="auto"/>
              </w:rPr>
              <w:t>表1-</w:t>
            </w:r>
            <w:r>
              <w:rPr>
                <w:rFonts w:hint="eastAsia" w:ascii="Times New Roman" w:cs="Times New Roman"/>
                <w:b/>
                <w:bCs/>
                <w:color w:val="auto"/>
                <w:lang w:val="en-US" w:eastAsia="zh-CN"/>
              </w:rPr>
              <w:t>8</w:t>
            </w:r>
            <w:r>
              <w:rPr>
                <w:rFonts w:ascii="Times New Roman" w:cs="Times New Roman"/>
                <w:b/>
                <w:bCs/>
                <w:color w:val="auto"/>
              </w:rPr>
              <w:t>与</w:t>
            </w:r>
            <w:r>
              <w:rPr>
                <w:rFonts w:ascii="Times New Roman" w:cs="Times New Roman"/>
                <w:b/>
                <w:color w:val="auto"/>
              </w:rPr>
              <w:t>《</w:t>
            </w:r>
            <w:r>
              <w:rPr>
                <w:rFonts w:hint="eastAsia" w:ascii="Times New Roman" w:cs="Times New Roman"/>
                <w:b/>
                <w:color w:val="auto"/>
              </w:rPr>
              <w:t>〈</w:t>
            </w:r>
            <w:r>
              <w:rPr>
                <w:rFonts w:ascii="Times New Roman" w:cs="Times New Roman"/>
                <w:b/>
                <w:color w:val="auto"/>
              </w:rPr>
              <w:t>长江经济带发展负面清单指南</w:t>
            </w:r>
            <w:r>
              <w:rPr>
                <w:rFonts w:hint="eastAsia" w:ascii="Times New Roman" w:cs="Times New Roman"/>
                <w:b/>
                <w:color w:val="auto"/>
              </w:rPr>
              <w:t>〉江苏省实施细则</w:t>
            </w:r>
            <w:r>
              <w:rPr>
                <w:rFonts w:ascii="Times New Roman" w:cs="Times New Roman"/>
                <w:b/>
                <w:color w:val="auto"/>
              </w:rPr>
              <w:t>（试行，2022年版）》</w:t>
            </w:r>
            <w:r>
              <w:rPr>
                <w:rFonts w:hint="eastAsia" w:ascii="Times New Roman" w:cs="Times New Roman"/>
                <w:b/>
                <w:color w:val="auto"/>
              </w:rPr>
              <w:t>（苏长江办发〔2022〕55号）</w:t>
            </w:r>
            <w:r>
              <w:rPr>
                <w:rFonts w:ascii="Times New Roman" w:cs="Times New Roman"/>
                <w:b/>
                <w:bCs/>
                <w:color w:val="auto"/>
              </w:rPr>
              <w:t>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26"/>
              <w:gridCol w:w="5072"/>
              <w:gridCol w:w="2399"/>
            </w:tblGrid>
            <w:tr w14:paraId="3F7AD4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vAlign w:val="center"/>
                </w:tcPr>
                <w:p w14:paraId="1B997936">
                  <w:pPr>
                    <w:jc w:val="center"/>
                    <w:rPr>
                      <w:b/>
                      <w:color w:val="auto"/>
                      <w:szCs w:val="21"/>
                    </w:rPr>
                  </w:pPr>
                  <w:r>
                    <w:rPr>
                      <w:b/>
                      <w:color w:val="auto"/>
                      <w:szCs w:val="21"/>
                    </w:rPr>
                    <w:t>序号</w:t>
                  </w:r>
                </w:p>
              </w:tc>
              <w:tc>
                <w:tcPr>
                  <w:tcW w:w="3094" w:type="pct"/>
                  <w:vAlign w:val="center"/>
                </w:tcPr>
                <w:p w14:paraId="62EC7C91">
                  <w:pPr>
                    <w:ind w:firstLine="420"/>
                    <w:jc w:val="center"/>
                    <w:rPr>
                      <w:b/>
                      <w:color w:val="auto"/>
                      <w:szCs w:val="21"/>
                    </w:rPr>
                  </w:pPr>
                  <w:r>
                    <w:rPr>
                      <w:b/>
                      <w:color w:val="auto"/>
                      <w:szCs w:val="21"/>
                    </w:rPr>
                    <w:t>相关要求</w:t>
                  </w:r>
                </w:p>
              </w:tc>
              <w:tc>
                <w:tcPr>
                  <w:tcW w:w="1463" w:type="pct"/>
                  <w:vAlign w:val="center"/>
                </w:tcPr>
                <w:p w14:paraId="37EAC246">
                  <w:pPr>
                    <w:ind w:firstLine="420"/>
                    <w:jc w:val="center"/>
                    <w:rPr>
                      <w:b/>
                      <w:color w:val="auto"/>
                      <w:szCs w:val="21"/>
                    </w:rPr>
                  </w:pPr>
                  <w:r>
                    <w:rPr>
                      <w:b/>
                      <w:color w:val="auto"/>
                      <w:szCs w:val="21"/>
                    </w:rPr>
                    <w:t>相符性分析</w:t>
                  </w:r>
                </w:p>
              </w:tc>
            </w:tr>
            <w:tr w14:paraId="0EF0C7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vAlign w:val="center"/>
                </w:tcPr>
                <w:p w14:paraId="2666D548">
                  <w:pPr>
                    <w:widowControl/>
                    <w:adjustRightInd w:val="0"/>
                    <w:snapToGrid w:val="0"/>
                    <w:jc w:val="center"/>
                    <w:rPr>
                      <w:color w:val="auto"/>
                      <w:szCs w:val="21"/>
                    </w:rPr>
                  </w:pPr>
                  <w:r>
                    <w:rPr>
                      <w:color w:val="auto"/>
                      <w:szCs w:val="21"/>
                    </w:rPr>
                    <w:t>1</w:t>
                  </w:r>
                </w:p>
              </w:tc>
              <w:tc>
                <w:tcPr>
                  <w:tcW w:w="3094" w:type="pct"/>
                  <w:vAlign w:val="center"/>
                </w:tcPr>
                <w:p w14:paraId="69C46711">
                  <w:pPr>
                    <w:rPr>
                      <w:color w:val="auto"/>
                      <w:szCs w:val="21"/>
                    </w:rPr>
                  </w:pPr>
                  <w:r>
                    <w:rPr>
                      <w:rFonts w:hint="eastAsia"/>
                      <w:color w:val="auto"/>
                      <w:szCs w:val="21"/>
                    </w:rPr>
                    <w:t>禁止建设不符合国家港口布局规划和《江苏省沿江沿海港口布局规划</w:t>
                  </w:r>
                  <w:r>
                    <w:rPr>
                      <w:rFonts w:hint="eastAsia"/>
                      <w:color w:val="auto"/>
                      <w:szCs w:val="21"/>
                      <w:lang w:eastAsia="zh-CN"/>
                    </w:rPr>
                    <w:t>（</w:t>
                  </w:r>
                  <w:r>
                    <w:rPr>
                      <w:rFonts w:hint="eastAsia"/>
                      <w:color w:val="auto"/>
                      <w:szCs w:val="21"/>
                    </w:rPr>
                    <w:t xml:space="preserve"> 2015</w:t>
                  </w:r>
                  <w:r>
                    <w:rPr>
                      <w:rFonts w:hint="eastAsia"/>
                      <w:color w:val="auto"/>
                      <w:szCs w:val="21"/>
                      <w:lang w:eastAsia="zh-CN"/>
                    </w:rPr>
                    <w:t>—</w:t>
                  </w:r>
                  <w:r>
                    <w:rPr>
                      <w:rFonts w:hint="eastAsia"/>
                      <w:color w:val="auto"/>
                      <w:szCs w:val="21"/>
                    </w:rPr>
                    <w:t>2030年</w:t>
                  </w:r>
                  <w:r>
                    <w:rPr>
                      <w:rFonts w:hint="eastAsia"/>
                      <w:color w:val="auto"/>
                      <w:szCs w:val="21"/>
                      <w:lang w:eastAsia="zh-CN"/>
                    </w:rPr>
                    <w:t>）</w:t>
                  </w:r>
                  <w:r>
                    <w:rPr>
                      <w:rFonts w:hint="eastAsia"/>
                      <w:color w:val="auto"/>
                      <w:szCs w:val="21"/>
                    </w:rPr>
                    <w:t>》《江苏省内河港口布局规划</w:t>
                  </w:r>
                  <w:r>
                    <w:rPr>
                      <w:rFonts w:hint="eastAsia"/>
                      <w:color w:val="auto"/>
                      <w:szCs w:val="21"/>
                      <w:lang w:eastAsia="zh-CN"/>
                    </w:rPr>
                    <w:t>（</w:t>
                  </w:r>
                  <w:r>
                    <w:rPr>
                      <w:rFonts w:hint="eastAsia"/>
                      <w:color w:val="auto"/>
                      <w:szCs w:val="21"/>
                    </w:rPr>
                    <w:t>2017</w:t>
                  </w:r>
                  <w:r>
                    <w:rPr>
                      <w:rFonts w:hint="eastAsia"/>
                      <w:color w:val="auto"/>
                      <w:szCs w:val="21"/>
                      <w:lang w:eastAsia="zh-CN"/>
                    </w:rPr>
                    <w:t>—</w:t>
                  </w:r>
                  <w:r>
                    <w:rPr>
                      <w:rFonts w:hint="eastAsia"/>
                      <w:color w:val="auto"/>
                      <w:szCs w:val="21"/>
                    </w:rPr>
                    <w:t>2035年</w:t>
                  </w:r>
                  <w:r>
                    <w:rPr>
                      <w:rFonts w:hint="eastAsia"/>
                      <w:color w:val="auto"/>
                      <w:szCs w:val="21"/>
                      <w:lang w:eastAsia="zh-CN"/>
                    </w:rPr>
                    <w:t>）</w:t>
                  </w:r>
                  <w:r>
                    <w:rPr>
                      <w:rFonts w:hint="eastAsia"/>
                      <w:color w:val="auto"/>
                      <w:szCs w:val="21"/>
                    </w:rPr>
                    <w:t>》以及我省有关港口总体规划的码头项目，禁止建设未纳入《长江干线过江通道布局规划》的过长江通道项目</w:t>
                  </w:r>
                </w:p>
              </w:tc>
              <w:tc>
                <w:tcPr>
                  <w:tcW w:w="1463" w:type="pct"/>
                  <w:vAlign w:val="center"/>
                </w:tcPr>
                <w:p w14:paraId="1B6044A7">
                  <w:pPr>
                    <w:widowControl/>
                    <w:adjustRightInd w:val="0"/>
                    <w:snapToGrid w:val="0"/>
                    <w:jc w:val="left"/>
                    <w:rPr>
                      <w:color w:val="auto"/>
                      <w:szCs w:val="21"/>
                    </w:rPr>
                  </w:pPr>
                  <w:r>
                    <w:rPr>
                      <w:color w:val="auto"/>
                      <w:szCs w:val="21"/>
                    </w:rPr>
                    <w:t>建设项目不属于码头项目和过长江通道项目。</w:t>
                  </w:r>
                </w:p>
              </w:tc>
            </w:tr>
            <w:tr w14:paraId="74D8E1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vAlign w:val="center"/>
                </w:tcPr>
                <w:p w14:paraId="70FBC78A">
                  <w:pPr>
                    <w:widowControl/>
                    <w:adjustRightInd w:val="0"/>
                    <w:snapToGrid w:val="0"/>
                    <w:jc w:val="center"/>
                    <w:rPr>
                      <w:color w:val="auto"/>
                      <w:szCs w:val="21"/>
                    </w:rPr>
                  </w:pPr>
                  <w:r>
                    <w:rPr>
                      <w:color w:val="auto"/>
                      <w:szCs w:val="21"/>
                    </w:rPr>
                    <w:t>2</w:t>
                  </w:r>
                </w:p>
              </w:tc>
              <w:tc>
                <w:tcPr>
                  <w:tcW w:w="3094" w:type="pct"/>
                  <w:vAlign w:val="center"/>
                </w:tcPr>
                <w:p w14:paraId="76FAD72A">
                  <w:pPr>
                    <w:pStyle w:val="100"/>
                    <w:rPr>
                      <w:color w:val="auto"/>
                      <w:sz w:val="21"/>
                      <w:szCs w:val="21"/>
                    </w:rPr>
                  </w:pPr>
                  <w:r>
                    <w:rPr>
                      <w:rFonts w:hint="eastAsia"/>
                      <w:color w:val="auto"/>
                      <w:sz w:val="21"/>
                      <w:szCs w:val="21"/>
                    </w:rPr>
                    <w:t>严格执行《中华人民共和国自然保护区条例》，禁止在自然保护区核心区、缓冲区的岸线和河段范围内投资建设旅游和生产经营项目。严格执行《风景名胜区条例</w:t>
                  </w:r>
                  <w:r>
                    <w:rPr>
                      <w:rFonts w:hint="eastAsia"/>
                      <w:color w:val="auto"/>
                      <w:sz w:val="21"/>
                      <w:szCs w:val="21"/>
                      <w:lang w:eastAsia="zh-CN"/>
                    </w:rPr>
                    <w:t>》和</w:t>
                  </w:r>
                  <w:r>
                    <w:rPr>
                      <w:rFonts w:hint="eastAsia"/>
                      <w:color w:val="auto"/>
                      <w:sz w:val="21"/>
                      <w:szCs w:val="21"/>
                    </w:rPr>
                    <w:t>《江苏省风景名胜区管理条例》，禁止在国家级和省级风景名胜区核心景区的岸线和河段范围内投资建设与风景名</w:t>
                  </w:r>
                  <w:r>
                    <w:rPr>
                      <w:rFonts w:hint="eastAsia"/>
                      <w:color w:val="auto"/>
                      <w:sz w:val="21"/>
                      <w:szCs w:val="21"/>
                      <w:lang w:eastAsia="zh-CN"/>
                    </w:rPr>
                    <w:t>胜区</w:t>
                  </w:r>
                  <w:r>
                    <w:rPr>
                      <w:rFonts w:hint="eastAsia"/>
                      <w:color w:val="auto"/>
                      <w:sz w:val="21"/>
                      <w:szCs w:val="21"/>
                    </w:rPr>
                    <w:t>资源保护无关的项目。自然保护区、风景名胜区由省林业局会同有关方面界定并落实管控责任。</w:t>
                  </w:r>
                </w:p>
              </w:tc>
              <w:tc>
                <w:tcPr>
                  <w:tcW w:w="1463" w:type="pct"/>
                  <w:vAlign w:val="center"/>
                </w:tcPr>
                <w:p w14:paraId="101968FE">
                  <w:pPr>
                    <w:widowControl/>
                    <w:adjustRightInd w:val="0"/>
                    <w:snapToGrid w:val="0"/>
                    <w:jc w:val="left"/>
                    <w:rPr>
                      <w:color w:val="auto"/>
                      <w:szCs w:val="21"/>
                    </w:rPr>
                  </w:pPr>
                  <w:r>
                    <w:rPr>
                      <w:color w:val="auto"/>
                      <w:szCs w:val="21"/>
                    </w:rPr>
                    <w:t>建设项目不在自然保护区核心区、缓冲区的岸线和河段范围内，亦不在风景名胜区核心景区的岸线和河段范围内。</w:t>
                  </w:r>
                </w:p>
              </w:tc>
            </w:tr>
            <w:tr w14:paraId="34CF308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vAlign w:val="center"/>
                </w:tcPr>
                <w:p w14:paraId="33AC8D75">
                  <w:pPr>
                    <w:widowControl/>
                    <w:adjustRightInd w:val="0"/>
                    <w:snapToGrid w:val="0"/>
                    <w:jc w:val="center"/>
                    <w:rPr>
                      <w:color w:val="auto"/>
                      <w:szCs w:val="21"/>
                    </w:rPr>
                  </w:pPr>
                  <w:r>
                    <w:rPr>
                      <w:color w:val="auto"/>
                      <w:szCs w:val="21"/>
                    </w:rPr>
                    <w:t>3</w:t>
                  </w:r>
                </w:p>
              </w:tc>
              <w:tc>
                <w:tcPr>
                  <w:tcW w:w="3094" w:type="pct"/>
                  <w:vAlign w:val="center"/>
                </w:tcPr>
                <w:p w14:paraId="76B21E5D">
                  <w:pPr>
                    <w:rPr>
                      <w:color w:val="auto"/>
                      <w:szCs w:val="21"/>
                    </w:rPr>
                  </w:pPr>
                  <w:r>
                    <w:rPr>
                      <w:rFonts w:hint="eastAsia"/>
                      <w:color w:val="auto"/>
                      <w:szCs w:val="21"/>
                    </w:rPr>
                    <w:t>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1463" w:type="pct"/>
                  <w:vAlign w:val="center"/>
                </w:tcPr>
                <w:p w14:paraId="503FFB7E">
                  <w:pPr>
                    <w:widowControl/>
                    <w:adjustRightInd w:val="0"/>
                    <w:snapToGrid w:val="0"/>
                    <w:jc w:val="center"/>
                    <w:rPr>
                      <w:color w:val="auto"/>
                      <w:szCs w:val="21"/>
                    </w:rPr>
                  </w:pPr>
                  <w:r>
                    <w:rPr>
                      <w:color w:val="auto"/>
                      <w:szCs w:val="21"/>
                    </w:rPr>
                    <w:t>建设项目不在饮用水水源一级、二级保护区的岸线和河段范围内</w:t>
                  </w:r>
                </w:p>
              </w:tc>
            </w:tr>
            <w:tr w14:paraId="3346A7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vAlign w:val="center"/>
                </w:tcPr>
                <w:p w14:paraId="535EDD2A">
                  <w:pPr>
                    <w:widowControl/>
                    <w:adjustRightInd w:val="0"/>
                    <w:snapToGrid w:val="0"/>
                    <w:jc w:val="center"/>
                    <w:rPr>
                      <w:color w:val="auto"/>
                      <w:szCs w:val="21"/>
                    </w:rPr>
                  </w:pPr>
                  <w:r>
                    <w:rPr>
                      <w:color w:val="auto"/>
                      <w:szCs w:val="21"/>
                    </w:rPr>
                    <w:t>4</w:t>
                  </w:r>
                </w:p>
              </w:tc>
              <w:tc>
                <w:tcPr>
                  <w:tcW w:w="3094" w:type="pct"/>
                  <w:vAlign w:val="center"/>
                </w:tcPr>
                <w:p w14:paraId="52043E43">
                  <w:pPr>
                    <w:rPr>
                      <w:color w:val="auto"/>
                      <w:szCs w:val="21"/>
                    </w:rPr>
                  </w:pPr>
                  <w:r>
                    <w:rPr>
                      <w:rFonts w:hint="eastAsia"/>
                      <w:color w:val="auto"/>
                      <w:szCs w:val="21"/>
                    </w:rPr>
                    <w:t>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水产种质资源保护区、国家湿地公园分别由省农业农村厅、省林业局会同有关方面界定并落实管控责任。</w:t>
                  </w:r>
                </w:p>
              </w:tc>
              <w:tc>
                <w:tcPr>
                  <w:tcW w:w="1463" w:type="pct"/>
                  <w:vAlign w:val="center"/>
                </w:tcPr>
                <w:p w14:paraId="3E1992CD">
                  <w:pPr>
                    <w:widowControl/>
                    <w:adjustRightInd w:val="0"/>
                    <w:snapToGrid w:val="0"/>
                    <w:jc w:val="left"/>
                    <w:rPr>
                      <w:color w:val="auto"/>
                      <w:szCs w:val="21"/>
                    </w:rPr>
                  </w:pPr>
                  <w:r>
                    <w:rPr>
                      <w:color w:val="auto"/>
                      <w:szCs w:val="21"/>
                    </w:rPr>
                    <w:t>建设项目不在水产种质资源保护区、国家湿地公园的岸线和河段范围内</w:t>
                  </w:r>
                </w:p>
              </w:tc>
            </w:tr>
            <w:tr w14:paraId="7EFA17A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vAlign w:val="center"/>
                </w:tcPr>
                <w:p w14:paraId="776B1855">
                  <w:pPr>
                    <w:widowControl/>
                    <w:adjustRightInd w:val="0"/>
                    <w:snapToGrid w:val="0"/>
                    <w:jc w:val="center"/>
                    <w:rPr>
                      <w:color w:val="auto"/>
                      <w:szCs w:val="21"/>
                    </w:rPr>
                  </w:pPr>
                  <w:r>
                    <w:rPr>
                      <w:color w:val="auto"/>
                      <w:szCs w:val="21"/>
                    </w:rPr>
                    <w:t>5</w:t>
                  </w:r>
                </w:p>
              </w:tc>
              <w:tc>
                <w:tcPr>
                  <w:tcW w:w="3094" w:type="pct"/>
                  <w:vAlign w:val="center"/>
                </w:tcPr>
                <w:p w14:paraId="05E1BD62">
                  <w:pPr>
                    <w:rPr>
                      <w:color w:val="auto"/>
                      <w:szCs w:val="21"/>
                    </w:rPr>
                  </w:pPr>
                  <w:r>
                    <w:rPr>
                      <w:rFonts w:hint="eastAsia"/>
                      <w:color w:val="auto"/>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1463" w:type="pct"/>
                  <w:vAlign w:val="center"/>
                </w:tcPr>
                <w:p w14:paraId="34EF6600">
                  <w:pPr>
                    <w:widowControl/>
                    <w:adjustRightInd w:val="0"/>
                    <w:snapToGrid w:val="0"/>
                    <w:jc w:val="left"/>
                    <w:rPr>
                      <w:color w:val="auto"/>
                      <w:szCs w:val="21"/>
                    </w:rPr>
                  </w:pPr>
                  <w:r>
                    <w:rPr>
                      <w:color w:val="auto"/>
                      <w:szCs w:val="21"/>
                    </w:rPr>
                    <w:t>建设项目不在《长江岸线保护和开发利用总体规划</w:t>
                  </w:r>
                  <w:r>
                    <w:rPr>
                      <w:rFonts w:hint="eastAsia"/>
                      <w:color w:val="auto"/>
                      <w:szCs w:val="21"/>
                      <w:lang w:eastAsia="zh-CN"/>
                    </w:rPr>
                    <w:t>》《</w:t>
                  </w:r>
                  <w:r>
                    <w:rPr>
                      <w:color w:val="auto"/>
                      <w:szCs w:val="21"/>
                    </w:rPr>
                    <w:t>全国重要江河湖泊水功能区划》划定的岸线/河段保护区内。</w:t>
                  </w:r>
                </w:p>
              </w:tc>
            </w:tr>
            <w:tr w14:paraId="61E7E6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vAlign w:val="center"/>
                </w:tcPr>
                <w:p w14:paraId="759CA7AF">
                  <w:pPr>
                    <w:widowControl/>
                    <w:adjustRightInd w:val="0"/>
                    <w:snapToGrid w:val="0"/>
                    <w:jc w:val="center"/>
                    <w:rPr>
                      <w:color w:val="auto"/>
                      <w:szCs w:val="21"/>
                    </w:rPr>
                  </w:pPr>
                  <w:r>
                    <w:rPr>
                      <w:color w:val="auto"/>
                      <w:szCs w:val="21"/>
                    </w:rPr>
                    <w:t>6</w:t>
                  </w:r>
                </w:p>
              </w:tc>
              <w:tc>
                <w:tcPr>
                  <w:tcW w:w="3094" w:type="pct"/>
                  <w:vAlign w:val="center"/>
                </w:tcPr>
                <w:p w14:paraId="66DC9E2F">
                  <w:pPr>
                    <w:pStyle w:val="100"/>
                    <w:rPr>
                      <w:color w:val="auto"/>
                      <w:sz w:val="21"/>
                      <w:szCs w:val="21"/>
                    </w:rPr>
                  </w:pPr>
                  <w:r>
                    <w:rPr>
                      <w:rFonts w:hint="eastAsia"/>
                      <w:color w:val="auto"/>
                      <w:sz w:val="21"/>
                      <w:szCs w:val="21"/>
                    </w:rPr>
                    <w:t>禁止未经许可在长江</w:t>
                  </w:r>
                  <w:r>
                    <w:rPr>
                      <w:rFonts w:hint="eastAsia"/>
                      <w:color w:val="auto"/>
                      <w:sz w:val="21"/>
                      <w:szCs w:val="21"/>
                      <w:lang w:eastAsia="zh-CN"/>
                    </w:rPr>
                    <w:t>干支流</w:t>
                  </w:r>
                  <w:r>
                    <w:rPr>
                      <w:rFonts w:hint="eastAsia"/>
                      <w:color w:val="auto"/>
                      <w:sz w:val="21"/>
                      <w:szCs w:val="21"/>
                    </w:rPr>
                    <w:t>及湖泊新设、改设或扩大排污口</w:t>
                  </w:r>
                </w:p>
              </w:tc>
              <w:tc>
                <w:tcPr>
                  <w:tcW w:w="1463" w:type="pct"/>
                  <w:vAlign w:val="center"/>
                </w:tcPr>
                <w:p w14:paraId="49974488">
                  <w:pPr>
                    <w:widowControl/>
                    <w:adjustRightInd w:val="0"/>
                    <w:snapToGrid w:val="0"/>
                    <w:jc w:val="left"/>
                    <w:rPr>
                      <w:color w:val="auto"/>
                      <w:szCs w:val="21"/>
                    </w:rPr>
                  </w:pPr>
                  <w:r>
                    <w:rPr>
                      <w:color w:val="auto"/>
                      <w:szCs w:val="21"/>
                    </w:rPr>
                    <w:t>建设项目</w:t>
                  </w:r>
                  <w:r>
                    <w:rPr>
                      <w:rFonts w:hint="eastAsia"/>
                      <w:color w:val="auto"/>
                      <w:szCs w:val="21"/>
                      <w:lang w:eastAsia="zh-CN"/>
                    </w:rPr>
                    <w:t>无废水产生及排放</w:t>
                  </w:r>
                  <w:r>
                    <w:rPr>
                      <w:color w:val="auto"/>
                      <w:szCs w:val="21"/>
                    </w:rPr>
                    <w:t>，不新增废水直接排放口</w:t>
                  </w:r>
                </w:p>
              </w:tc>
            </w:tr>
            <w:tr w14:paraId="593CD0A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vAlign w:val="center"/>
                </w:tcPr>
                <w:p w14:paraId="7F144E77">
                  <w:pPr>
                    <w:widowControl/>
                    <w:adjustRightInd w:val="0"/>
                    <w:snapToGrid w:val="0"/>
                    <w:jc w:val="center"/>
                    <w:rPr>
                      <w:color w:val="auto"/>
                      <w:szCs w:val="21"/>
                    </w:rPr>
                  </w:pPr>
                  <w:r>
                    <w:rPr>
                      <w:color w:val="auto"/>
                      <w:szCs w:val="21"/>
                    </w:rPr>
                    <w:t>7</w:t>
                  </w:r>
                </w:p>
              </w:tc>
              <w:tc>
                <w:tcPr>
                  <w:tcW w:w="3094" w:type="pct"/>
                  <w:vAlign w:val="center"/>
                </w:tcPr>
                <w:p w14:paraId="44C68C1F">
                  <w:pPr>
                    <w:pStyle w:val="100"/>
                    <w:rPr>
                      <w:color w:val="auto"/>
                      <w:sz w:val="21"/>
                      <w:szCs w:val="21"/>
                    </w:rPr>
                  </w:pPr>
                  <w:r>
                    <w:rPr>
                      <w:rFonts w:hint="eastAsia"/>
                      <w:color w:val="auto"/>
                      <w:sz w:val="21"/>
                      <w:szCs w:val="21"/>
                    </w:rPr>
                    <w:t>禁止长江干流、长江口、34个列入《率先全面禁捕的长江流域水生生物保护区名录》的水生生物保护区以及省规定的其他禁渔水域开展生产性捕捞</w:t>
                  </w:r>
                </w:p>
              </w:tc>
              <w:tc>
                <w:tcPr>
                  <w:tcW w:w="1463" w:type="pct"/>
                  <w:vAlign w:val="center"/>
                </w:tcPr>
                <w:p w14:paraId="3A6C70E2">
                  <w:pPr>
                    <w:widowControl/>
                    <w:adjustRightInd w:val="0"/>
                    <w:snapToGrid w:val="0"/>
                    <w:jc w:val="left"/>
                    <w:rPr>
                      <w:color w:val="auto"/>
                      <w:szCs w:val="21"/>
                    </w:rPr>
                  </w:pPr>
                  <w:r>
                    <w:rPr>
                      <w:color w:val="auto"/>
                      <w:szCs w:val="21"/>
                    </w:rPr>
                    <w:t>建设项目位于涟水经济开发区，为</w:t>
                  </w:r>
                  <w:r>
                    <w:rPr>
                      <w:rFonts w:hint="eastAsia"/>
                      <w:color w:val="auto"/>
                      <w:szCs w:val="21"/>
                      <w:lang w:eastAsia="zh-CN"/>
                    </w:rPr>
                    <w:t>三氯化磷及原料储存安全提升技改项目</w:t>
                  </w:r>
                  <w:r>
                    <w:rPr>
                      <w:color w:val="auto"/>
                      <w:szCs w:val="21"/>
                    </w:rPr>
                    <w:t>，</w:t>
                  </w:r>
                  <w:r>
                    <w:rPr>
                      <w:rFonts w:hint="eastAsia"/>
                      <w:color w:val="auto"/>
                      <w:szCs w:val="21"/>
                    </w:rPr>
                    <w:t>属于</w:t>
                  </w:r>
                  <w:r>
                    <w:rPr>
                      <w:rFonts w:hint="eastAsia"/>
                      <w:color w:val="auto"/>
                      <w:szCs w:val="21"/>
                      <w:lang w:eastAsia="zh-CN"/>
                    </w:rPr>
                    <w:t>G5942 危险化学品仓储</w:t>
                  </w:r>
                  <w:r>
                    <w:rPr>
                      <w:color w:val="auto"/>
                      <w:szCs w:val="21"/>
                    </w:rPr>
                    <w:t>，不涉及捕捞活动</w:t>
                  </w:r>
                  <w:r>
                    <w:rPr>
                      <w:rFonts w:hint="eastAsia"/>
                      <w:color w:val="auto"/>
                      <w:szCs w:val="21"/>
                    </w:rPr>
                    <w:t>。</w:t>
                  </w:r>
                </w:p>
              </w:tc>
            </w:tr>
            <w:tr w14:paraId="5EA919B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vAlign w:val="center"/>
                </w:tcPr>
                <w:p w14:paraId="59F703DE">
                  <w:pPr>
                    <w:widowControl/>
                    <w:adjustRightInd w:val="0"/>
                    <w:snapToGrid w:val="0"/>
                    <w:jc w:val="center"/>
                    <w:rPr>
                      <w:color w:val="auto"/>
                      <w:szCs w:val="21"/>
                    </w:rPr>
                  </w:pPr>
                  <w:r>
                    <w:rPr>
                      <w:rFonts w:hint="eastAsia"/>
                      <w:color w:val="auto"/>
                      <w:szCs w:val="21"/>
                    </w:rPr>
                    <w:t>8</w:t>
                  </w:r>
                </w:p>
              </w:tc>
              <w:tc>
                <w:tcPr>
                  <w:tcW w:w="3094" w:type="pct"/>
                  <w:vAlign w:val="center"/>
                </w:tcPr>
                <w:p w14:paraId="24D40988">
                  <w:pPr>
                    <w:widowControl/>
                    <w:adjustRightInd w:val="0"/>
                    <w:snapToGrid w:val="0"/>
                    <w:jc w:val="left"/>
                    <w:rPr>
                      <w:color w:val="auto"/>
                      <w:szCs w:val="21"/>
                    </w:rPr>
                  </w:pPr>
                  <w:r>
                    <w:rPr>
                      <w:rFonts w:hint="eastAsia"/>
                      <w:color w:val="auto"/>
                      <w:szCs w:val="21"/>
                    </w:rPr>
                    <w:t>禁止在距离长江干支流岸线一公里范围内新建、扩建化工园区和化工项目。长江干支流一公里按照长江干支流岸线边界</w:t>
                  </w:r>
                  <w:r>
                    <w:rPr>
                      <w:rFonts w:hint="eastAsia"/>
                      <w:color w:val="auto"/>
                      <w:szCs w:val="21"/>
                      <w:lang w:eastAsia="zh-CN"/>
                    </w:rPr>
                    <w:t>（</w:t>
                  </w:r>
                  <w:r>
                    <w:rPr>
                      <w:rFonts w:hint="eastAsia"/>
                      <w:color w:val="auto"/>
                      <w:szCs w:val="21"/>
                    </w:rPr>
                    <w:t>即水利部门河道管理范围边界）向陆域纵深一公里执行</w:t>
                  </w:r>
                </w:p>
              </w:tc>
              <w:tc>
                <w:tcPr>
                  <w:tcW w:w="1463" w:type="pct"/>
                  <w:vAlign w:val="center"/>
                </w:tcPr>
                <w:p w14:paraId="77997B6E">
                  <w:pPr>
                    <w:widowControl/>
                    <w:adjustRightInd w:val="0"/>
                    <w:snapToGrid w:val="0"/>
                    <w:jc w:val="left"/>
                    <w:rPr>
                      <w:color w:val="auto"/>
                      <w:szCs w:val="21"/>
                    </w:rPr>
                  </w:pPr>
                  <w:r>
                    <w:rPr>
                      <w:color w:val="auto"/>
                      <w:szCs w:val="21"/>
                    </w:rPr>
                    <w:t>建设项目位于</w:t>
                  </w:r>
                  <w:r>
                    <w:rPr>
                      <w:rFonts w:hint="eastAsia"/>
                      <w:color w:val="auto"/>
                      <w:szCs w:val="21"/>
                    </w:rPr>
                    <w:t>涟水经济开发区循环经济产业园</w:t>
                  </w:r>
                  <w:r>
                    <w:rPr>
                      <w:rFonts w:hint="eastAsia"/>
                      <w:color w:val="auto"/>
                      <w:szCs w:val="21"/>
                      <w:lang w:eastAsia="zh-CN"/>
                    </w:rPr>
                    <w:t>内</w:t>
                  </w:r>
                  <w:r>
                    <w:rPr>
                      <w:color w:val="auto"/>
                      <w:szCs w:val="21"/>
                    </w:rPr>
                    <w:t>，不在长江干支流</w:t>
                  </w:r>
                  <w:r>
                    <w:rPr>
                      <w:rFonts w:hint="eastAsia"/>
                      <w:color w:val="auto"/>
                      <w:szCs w:val="21"/>
                    </w:rPr>
                    <w:t>一</w:t>
                  </w:r>
                  <w:r>
                    <w:rPr>
                      <w:color w:val="auto"/>
                      <w:szCs w:val="21"/>
                    </w:rPr>
                    <w:t>公里范围内</w:t>
                  </w:r>
                </w:p>
              </w:tc>
            </w:tr>
            <w:tr w14:paraId="5B25896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203" w:hRule="atLeast"/>
                <w:jc w:val="center"/>
              </w:trPr>
              <w:tc>
                <w:tcPr>
                  <w:tcW w:w="443" w:type="pct"/>
                  <w:vAlign w:val="center"/>
                </w:tcPr>
                <w:p w14:paraId="5FEB1B00">
                  <w:pPr>
                    <w:widowControl/>
                    <w:adjustRightInd w:val="0"/>
                    <w:snapToGrid w:val="0"/>
                    <w:jc w:val="center"/>
                    <w:rPr>
                      <w:color w:val="auto"/>
                      <w:szCs w:val="21"/>
                    </w:rPr>
                  </w:pPr>
                  <w:r>
                    <w:rPr>
                      <w:rFonts w:hint="eastAsia"/>
                      <w:color w:val="auto"/>
                      <w:szCs w:val="21"/>
                    </w:rPr>
                    <w:t>9</w:t>
                  </w:r>
                </w:p>
              </w:tc>
              <w:tc>
                <w:tcPr>
                  <w:tcW w:w="3094" w:type="pct"/>
                  <w:vAlign w:val="center"/>
                </w:tcPr>
                <w:p w14:paraId="697176F9">
                  <w:pPr>
                    <w:rPr>
                      <w:color w:val="auto"/>
                      <w:szCs w:val="21"/>
                    </w:rPr>
                  </w:pPr>
                  <w:r>
                    <w:rPr>
                      <w:rFonts w:hint="eastAsia"/>
                      <w:color w:val="auto"/>
                      <w:szCs w:val="21"/>
                    </w:rPr>
                    <w:t>禁止在长江干流岸线三公里范围内新建、改建、扩建尾矿库、冶炼渣库和磷石膏库，以提升安全、生态环境保护水平为目的的改建除外。</w:t>
                  </w:r>
                </w:p>
              </w:tc>
              <w:tc>
                <w:tcPr>
                  <w:tcW w:w="1463" w:type="pct"/>
                  <w:vAlign w:val="center"/>
                </w:tcPr>
                <w:p w14:paraId="5B492CF4">
                  <w:pPr>
                    <w:widowControl/>
                    <w:adjustRightInd w:val="0"/>
                    <w:snapToGrid w:val="0"/>
                    <w:jc w:val="left"/>
                    <w:rPr>
                      <w:color w:val="auto"/>
                      <w:szCs w:val="21"/>
                    </w:rPr>
                  </w:pPr>
                  <w:r>
                    <w:rPr>
                      <w:color w:val="auto"/>
                      <w:szCs w:val="21"/>
                    </w:rPr>
                    <w:t>建设项目位于</w:t>
                  </w:r>
                  <w:r>
                    <w:rPr>
                      <w:rFonts w:hint="eastAsia"/>
                      <w:color w:val="auto"/>
                      <w:szCs w:val="21"/>
                    </w:rPr>
                    <w:t>涟水经济开发区循环经济产业园</w:t>
                  </w:r>
                  <w:r>
                    <w:rPr>
                      <w:color w:val="auto"/>
                      <w:szCs w:val="21"/>
                    </w:rPr>
                    <w:t>内，不在长江干支流三公里范围内</w:t>
                  </w:r>
                </w:p>
              </w:tc>
            </w:tr>
            <w:tr w14:paraId="7C2622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vAlign w:val="center"/>
                </w:tcPr>
                <w:p w14:paraId="04D476C6">
                  <w:pPr>
                    <w:widowControl/>
                    <w:adjustRightInd w:val="0"/>
                    <w:snapToGrid w:val="0"/>
                    <w:jc w:val="center"/>
                    <w:rPr>
                      <w:color w:val="auto"/>
                      <w:szCs w:val="21"/>
                    </w:rPr>
                  </w:pPr>
                  <w:r>
                    <w:rPr>
                      <w:rFonts w:hint="eastAsia"/>
                      <w:color w:val="auto"/>
                      <w:szCs w:val="21"/>
                    </w:rPr>
                    <w:t>10</w:t>
                  </w:r>
                </w:p>
              </w:tc>
              <w:tc>
                <w:tcPr>
                  <w:tcW w:w="3094" w:type="pct"/>
                  <w:vAlign w:val="center"/>
                </w:tcPr>
                <w:p w14:paraId="3EFE3068">
                  <w:pPr>
                    <w:pStyle w:val="100"/>
                    <w:rPr>
                      <w:color w:val="auto"/>
                      <w:sz w:val="21"/>
                      <w:szCs w:val="21"/>
                    </w:rPr>
                  </w:pPr>
                  <w:r>
                    <w:rPr>
                      <w:rFonts w:hint="eastAsia"/>
                      <w:color w:val="auto"/>
                      <w:sz w:val="21"/>
                      <w:szCs w:val="21"/>
                    </w:rPr>
                    <w:t>禁止在太湖流域一、二、三级保护区内开展《江苏省太湖水污染防治条例》禁止的投资建设活动。</w:t>
                  </w:r>
                </w:p>
              </w:tc>
              <w:tc>
                <w:tcPr>
                  <w:tcW w:w="1463" w:type="pct"/>
                  <w:vAlign w:val="center"/>
                </w:tcPr>
                <w:p w14:paraId="0947AED4">
                  <w:pPr>
                    <w:widowControl/>
                    <w:adjustRightInd w:val="0"/>
                    <w:snapToGrid w:val="0"/>
                    <w:jc w:val="left"/>
                    <w:rPr>
                      <w:color w:val="auto"/>
                      <w:szCs w:val="21"/>
                    </w:rPr>
                  </w:pPr>
                  <w:r>
                    <w:rPr>
                      <w:color w:val="auto"/>
                      <w:szCs w:val="21"/>
                    </w:rPr>
                    <w:t>建设项目位于</w:t>
                  </w:r>
                  <w:r>
                    <w:rPr>
                      <w:rFonts w:hint="eastAsia"/>
                      <w:color w:val="auto"/>
                      <w:szCs w:val="21"/>
                    </w:rPr>
                    <w:t>涟水经济开发区循环经济产业园</w:t>
                  </w:r>
                  <w:r>
                    <w:rPr>
                      <w:color w:val="auto"/>
                      <w:szCs w:val="21"/>
                    </w:rPr>
                    <w:t>，</w:t>
                  </w:r>
                  <w:r>
                    <w:rPr>
                      <w:rFonts w:hint="eastAsia"/>
                      <w:color w:val="auto"/>
                      <w:szCs w:val="21"/>
                    </w:rPr>
                    <w:t>不在太湖流域</w:t>
                  </w:r>
                </w:p>
              </w:tc>
            </w:tr>
            <w:tr w14:paraId="76AB4C3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vAlign w:val="center"/>
                </w:tcPr>
                <w:p w14:paraId="6A8A5876">
                  <w:pPr>
                    <w:widowControl/>
                    <w:adjustRightInd w:val="0"/>
                    <w:snapToGrid w:val="0"/>
                    <w:jc w:val="center"/>
                    <w:rPr>
                      <w:color w:val="auto"/>
                      <w:szCs w:val="21"/>
                    </w:rPr>
                  </w:pPr>
                  <w:r>
                    <w:rPr>
                      <w:color w:val="auto"/>
                      <w:szCs w:val="21"/>
                    </w:rPr>
                    <w:t>11</w:t>
                  </w:r>
                </w:p>
              </w:tc>
              <w:tc>
                <w:tcPr>
                  <w:tcW w:w="3094" w:type="pct"/>
                  <w:vAlign w:val="center"/>
                </w:tcPr>
                <w:p w14:paraId="28B5DA10">
                  <w:pPr>
                    <w:rPr>
                      <w:color w:val="auto"/>
                      <w:szCs w:val="21"/>
                    </w:rPr>
                  </w:pPr>
                  <w:r>
                    <w:rPr>
                      <w:rFonts w:hint="eastAsia"/>
                      <w:color w:val="auto"/>
                      <w:szCs w:val="21"/>
                    </w:rPr>
                    <w:t>禁止在沿江地区新建、扩建未纳入国家和省布局规划的燃煤发电项目。</w:t>
                  </w:r>
                </w:p>
              </w:tc>
              <w:tc>
                <w:tcPr>
                  <w:tcW w:w="1463" w:type="pct"/>
                  <w:vMerge w:val="restart"/>
                  <w:vAlign w:val="center"/>
                </w:tcPr>
                <w:p w14:paraId="6D7694BF">
                  <w:pPr>
                    <w:adjustRightInd w:val="0"/>
                    <w:snapToGrid w:val="0"/>
                    <w:jc w:val="left"/>
                    <w:rPr>
                      <w:color w:val="auto"/>
                      <w:szCs w:val="21"/>
                    </w:rPr>
                  </w:pPr>
                  <w:r>
                    <w:rPr>
                      <w:color w:val="auto"/>
                      <w:szCs w:val="21"/>
                    </w:rPr>
                    <w:t>建设项目位于</w:t>
                  </w:r>
                  <w:r>
                    <w:rPr>
                      <w:rFonts w:hint="eastAsia"/>
                      <w:color w:val="auto"/>
                      <w:szCs w:val="21"/>
                    </w:rPr>
                    <w:t>涟水经济开发区循环经济产业园</w:t>
                  </w:r>
                  <w:r>
                    <w:rPr>
                      <w:color w:val="auto"/>
                      <w:szCs w:val="21"/>
                    </w:rPr>
                    <w:t>，</w:t>
                  </w:r>
                  <w:r>
                    <w:rPr>
                      <w:rFonts w:hint="eastAsia" w:ascii="Times New Roman" w:hAnsi="Times New Roman" w:eastAsia="宋体"/>
                      <w:color w:val="auto"/>
                      <w:sz w:val="21"/>
                      <w:szCs w:val="21"/>
                      <w:lang w:eastAsia="zh-CN"/>
                    </w:rPr>
                    <w:t>建设单位为淮安华源化工有限公司，已取得化工重点监测点认定</w:t>
                  </w:r>
                  <w:r>
                    <w:rPr>
                      <w:color w:val="auto"/>
                      <w:szCs w:val="21"/>
                    </w:rPr>
                    <w:t>，</w:t>
                  </w:r>
                  <w:r>
                    <w:rPr>
                      <w:rFonts w:hint="eastAsia"/>
                      <w:color w:val="auto"/>
                      <w:szCs w:val="21"/>
                      <w:lang w:eastAsia="zh-CN"/>
                    </w:rPr>
                    <w:t>本项目</w:t>
                  </w:r>
                  <w:r>
                    <w:rPr>
                      <w:rFonts w:ascii="Times New Roman" w:hAnsi="Times New Roman" w:eastAsiaTheme="minorEastAsia"/>
                      <w:color w:val="auto"/>
                      <w:sz w:val="21"/>
                      <w:szCs w:val="21"/>
                    </w:rPr>
                    <w:t>为</w:t>
                  </w:r>
                  <w:r>
                    <w:rPr>
                      <w:rFonts w:hint="eastAsia" w:ascii="Times New Roman" w:hAnsi="Times New Roman" w:eastAsiaTheme="minorEastAsia"/>
                      <w:color w:val="auto"/>
                      <w:sz w:val="21"/>
                      <w:szCs w:val="21"/>
                      <w:lang w:eastAsia="zh-CN"/>
                    </w:rPr>
                    <w:t>三氯化磷及原料储存安全提升技改项目</w:t>
                  </w:r>
                  <w:r>
                    <w:rPr>
                      <w:rFonts w:ascii="Times New Roman" w:hAnsi="Times New Roman" w:eastAsia="宋体"/>
                      <w:color w:val="auto"/>
                      <w:sz w:val="21"/>
                      <w:szCs w:val="21"/>
                    </w:rPr>
                    <w:t>，属于</w:t>
                  </w:r>
                  <w:r>
                    <w:rPr>
                      <w:rFonts w:hint="eastAsia" w:ascii="Times New Roman" w:hAnsi="Times New Roman" w:eastAsia="宋体"/>
                      <w:color w:val="auto"/>
                      <w:sz w:val="21"/>
                      <w:szCs w:val="21"/>
                      <w:lang w:eastAsia="zh-CN"/>
                    </w:rPr>
                    <w:t>现有项目配套仓储项目</w:t>
                  </w:r>
                  <w:r>
                    <w:rPr>
                      <w:rFonts w:ascii="Times New Roman" w:hAnsi="Times New Roman" w:eastAsia="宋体"/>
                      <w:color w:val="auto"/>
                      <w:sz w:val="21"/>
                      <w:szCs w:val="21"/>
                    </w:rPr>
                    <w:t>，</w:t>
                  </w:r>
                  <w:r>
                    <w:rPr>
                      <w:rFonts w:hint="eastAsia" w:ascii="Times New Roman" w:hAnsi="Times New Roman" w:eastAsia="宋体"/>
                      <w:color w:val="auto"/>
                      <w:sz w:val="21"/>
                      <w:szCs w:val="21"/>
                      <w:lang w:eastAsia="zh-CN"/>
                    </w:rPr>
                    <w:t>不属于新建化工项目</w:t>
                  </w:r>
                  <w:r>
                    <w:rPr>
                      <w:rFonts w:hint="eastAsia"/>
                      <w:color w:val="auto"/>
                      <w:szCs w:val="21"/>
                    </w:rPr>
                    <w:t>，</w:t>
                  </w:r>
                  <w:r>
                    <w:rPr>
                      <w:color w:val="auto"/>
                      <w:szCs w:val="21"/>
                    </w:rPr>
                    <w:t>符合国家和地方产业政策，不属于禁止建设类项目</w:t>
                  </w:r>
                </w:p>
              </w:tc>
            </w:tr>
            <w:tr w14:paraId="652D2AB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vAlign w:val="center"/>
                </w:tcPr>
                <w:p w14:paraId="052F2D24">
                  <w:pPr>
                    <w:widowControl/>
                    <w:adjustRightInd w:val="0"/>
                    <w:snapToGrid w:val="0"/>
                    <w:jc w:val="center"/>
                    <w:rPr>
                      <w:color w:val="auto"/>
                      <w:szCs w:val="21"/>
                    </w:rPr>
                  </w:pPr>
                  <w:r>
                    <w:rPr>
                      <w:color w:val="auto"/>
                      <w:szCs w:val="21"/>
                    </w:rPr>
                    <w:t>12</w:t>
                  </w:r>
                </w:p>
              </w:tc>
              <w:tc>
                <w:tcPr>
                  <w:tcW w:w="3094" w:type="pct"/>
                  <w:vAlign w:val="center"/>
                </w:tcPr>
                <w:p w14:paraId="6C731061">
                  <w:pPr>
                    <w:widowControl/>
                    <w:adjustRightInd w:val="0"/>
                    <w:snapToGrid w:val="0"/>
                    <w:jc w:val="left"/>
                    <w:rPr>
                      <w:color w:val="auto"/>
                      <w:szCs w:val="21"/>
                    </w:rPr>
                  </w:pPr>
                  <w:r>
                    <w:rPr>
                      <w:rFonts w:hint="eastAsia"/>
                      <w:color w:val="auto"/>
                      <w:szCs w:val="21"/>
                    </w:rPr>
                    <w:t>禁止在合规园区外新建、扩建钢铁、石化、化工、焦化、建材、有色、制浆造纸等高污染项目。合规园区名录按照《〈长江经济带发展负面清单指南</w:t>
                  </w:r>
                  <w:r>
                    <w:rPr>
                      <w:rFonts w:hint="eastAsia"/>
                      <w:color w:val="auto"/>
                      <w:szCs w:val="21"/>
                      <w:lang w:eastAsia="zh-CN"/>
                    </w:rPr>
                    <w:t>（</w:t>
                  </w:r>
                  <w:r>
                    <w:rPr>
                      <w:rFonts w:hint="eastAsia"/>
                      <w:color w:val="auto"/>
                      <w:szCs w:val="21"/>
                    </w:rPr>
                    <w:t>试行， 2022年版</w:t>
                  </w:r>
                  <w:r>
                    <w:rPr>
                      <w:rFonts w:hint="eastAsia"/>
                      <w:color w:val="auto"/>
                      <w:szCs w:val="21"/>
                      <w:lang w:eastAsia="zh-CN"/>
                    </w:rPr>
                    <w:t>）〉</w:t>
                  </w:r>
                  <w:r>
                    <w:rPr>
                      <w:rFonts w:hint="eastAsia"/>
                      <w:color w:val="auto"/>
                      <w:szCs w:val="21"/>
                    </w:rPr>
                    <w:t>江苏省实施细则合规园区名录》执行。</w:t>
                  </w:r>
                </w:p>
              </w:tc>
              <w:tc>
                <w:tcPr>
                  <w:tcW w:w="1463" w:type="pct"/>
                  <w:vMerge w:val="continue"/>
                  <w:vAlign w:val="center"/>
                </w:tcPr>
                <w:p w14:paraId="58F1DFBE">
                  <w:pPr>
                    <w:widowControl/>
                    <w:adjustRightInd w:val="0"/>
                    <w:snapToGrid w:val="0"/>
                    <w:jc w:val="left"/>
                    <w:rPr>
                      <w:color w:val="auto"/>
                      <w:szCs w:val="21"/>
                    </w:rPr>
                  </w:pPr>
                </w:p>
              </w:tc>
            </w:tr>
            <w:tr w14:paraId="025C779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vAlign w:val="center"/>
                </w:tcPr>
                <w:p w14:paraId="71697F8D">
                  <w:pPr>
                    <w:widowControl/>
                    <w:adjustRightInd w:val="0"/>
                    <w:snapToGrid w:val="0"/>
                    <w:jc w:val="center"/>
                    <w:rPr>
                      <w:color w:val="auto"/>
                      <w:szCs w:val="21"/>
                    </w:rPr>
                  </w:pPr>
                  <w:r>
                    <w:rPr>
                      <w:rFonts w:hint="eastAsia"/>
                      <w:color w:val="auto"/>
                      <w:szCs w:val="21"/>
                    </w:rPr>
                    <w:t>13</w:t>
                  </w:r>
                </w:p>
              </w:tc>
              <w:tc>
                <w:tcPr>
                  <w:tcW w:w="3094" w:type="pct"/>
                  <w:vAlign w:val="center"/>
                </w:tcPr>
                <w:p w14:paraId="6E5F91F5">
                  <w:pPr>
                    <w:widowControl/>
                    <w:adjustRightInd w:val="0"/>
                    <w:snapToGrid w:val="0"/>
                    <w:jc w:val="left"/>
                    <w:rPr>
                      <w:color w:val="auto"/>
                      <w:szCs w:val="21"/>
                    </w:rPr>
                  </w:pPr>
                  <w:r>
                    <w:rPr>
                      <w:rFonts w:hint="eastAsia"/>
                      <w:color w:val="auto"/>
                      <w:szCs w:val="21"/>
                    </w:rPr>
                    <w:t>禁止在取消化工定位的园区</w:t>
                  </w:r>
                  <w:r>
                    <w:rPr>
                      <w:rFonts w:hint="eastAsia"/>
                      <w:color w:val="auto"/>
                      <w:szCs w:val="21"/>
                      <w:lang w:eastAsia="zh-CN"/>
                    </w:rPr>
                    <w:t>（</w:t>
                  </w:r>
                  <w:r>
                    <w:rPr>
                      <w:rFonts w:hint="eastAsia"/>
                      <w:color w:val="auto"/>
                      <w:szCs w:val="21"/>
                    </w:rPr>
                    <w:t>集中区</w:t>
                  </w:r>
                  <w:r>
                    <w:rPr>
                      <w:rFonts w:hint="eastAsia"/>
                      <w:color w:val="auto"/>
                      <w:szCs w:val="21"/>
                      <w:lang w:eastAsia="zh-CN"/>
                    </w:rPr>
                    <w:t>）</w:t>
                  </w:r>
                  <w:r>
                    <w:rPr>
                      <w:rFonts w:hint="eastAsia"/>
                      <w:color w:val="auto"/>
                      <w:szCs w:val="21"/>
                    </w:rPr>
                    <w:t>内新建化工项目。</w:t>
                  </w:r>
                </w:p>
              </w:tc>
              <w:tc>
                <w:tcPr>
                  <w:tcW w:w="1463" w:type="pct"/>
                  <w:vAlign w:val="center"/>
                </w:tcPr>
                <w:p w14:paraId="4C296A35">
                  <w:pPr>
                    <w:widowControl/>
                    <w:adjustRightInd w:val="0"/>
                    <w:snapToGrid w:val="0"/>
                    <w:jc w:val="left"/>
                    <w:rPr>
                      <w:color w:val="auto"/>
                      <w:szCs w:val="21"/>
                    </w:rPr>
                  </w:pPr>
                  <w:r>
                    <w:rPr>
                      <w:rFonts w:hint="eastAsia" w:ascii="Times New Roman" w:hAnsi="Times New Roman" w:eastAsia="宋体"/>
                      <w:color w:val="auto"/>
                      <w:sz w:val="21"/>
                      <w:szCs w:val="21"/>
                      <w:lang w:eastAsia="zh-CN"/>
                    </w:rPr>
                    <w:t>本项目建设单位为淮安华源化工有限公司，已取得化工重点监测点认定</w:t>
                  </w:r>
                  <w:r>
                    <w:rPr>
                      <w:color w:val="auto"/>
                      <w:szCs w:val="21"/>
                    </w:rPr>
                    <w:t>，</w:t>
                  </w:r>
                  <w:r>
                    <w:rPr>
                      <w:rFonts w:hint="eastAsia"/>
                      <w:color w:val="auto"/>
                      <w:szCs w:val="21"/>
                      <w:lang w:eastAsia="zh-CN"/>
                    </w:rPr>
                    <w:t>本项目</w:t>
                  </w:r>
                  <w:r>
                    <w:rPr>
                      <w:rFonts w:ascii="Times New Roman" w:hAnsi="Times New Roman" w:eastAsiaTheme="minorEastAsia"/>
                      <w:color w:val="auto"/>
                      <w:sz w:val="21"/>
                      <w:szCs w:val="21"/>
                    </w:rPr>
                    <w:t>为</w:t>
                  </w:r>
                  <w:r>
                    <w:rPr>
                      <w:rFonts w:hint="eastAsia" w:ascii="Times New Roman" w:hAnsi="Times New Roman" w:eastAsiaTheme="minorEastAsia"/>
                      <w:color w:val="auto"/>
                      <w:sz w:val="21"/>
                      <w:szCs w:val="21"/>
                      <w:lang w:eastAsia="zh-CN"/>
                    </w:rPr>
                    <w:t>三氯化磷及原料储存安全提升技改项目</w:t>
                  </w:r>
                  <w:r>
                    <w:rPr>
                      <w:rFonts w:ascii="Times New Roman" w:hAnsi="Times New Roman" w:eastAsia="宋体"/>
                      <w:color w:val="auto"/>
                      <w:sz w:val="21"/>
                      <w:szCs w:val="21"/>
                    </w:rPr>
                    <w:t>，属于</w:t>
                  </w:r>
                  <w:r>
                    <w:rPr>
                      <w:rFonts w:hint="eastAsia" w:ascii="Times New Roman" w:hAnsi="Times New Roman" w:eastAsia="宋体"/>
                      <w:color w:val="auto"/>
                      <w:sz w:val="21"/>
                      <w:szCs w:val="21"/>
                      <w:lang w:eastAsia="zh-CN"/>
                    </w:rPr>
                    <w:t>现有项目配套仓储项目</w:t>
                  </w:r>
                  <w:r>
                    <w:rPr>
                      <w:rFonts w:ascii="Times New Roman" w:hAnsi="Times New Roman" w:eastAsia="宋体"/>
                      <w:color w:val="auto"/>
                      <w:sz w:val="21"/>
                      <w:szCs w:val="21"/>
                    </w:rPr>
                    <w:t>，</w:t>
                  </w:r>
                  <w:r>
                    <w:rPr>
                      <w:rFonts w:hint="eastAsia" w:ascii="Times New Roman" w:hAnsi="Times New Roman" w:eastAsia="宋体"/>
                      <w:color w:val="auto"/>
                      <w:sz w:val="21"/>
                      <w:szCs w:val="21"/>
                      <w:lang w:eastAsia="zh-CN"/>
                    </w:rPr>
                    <w:t>不属于新建化工项目</w:t>
                  </w:r>
                </w:p>
              </w:tc>
            </w:tr>
            <w:tr w14:paraId="10FE9D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vAlign w:val="center"/>
                </w:tcPr>
                <w:p w14:paraId="776420C6">
                  <w:pPr>
                    <w:widowControl/>
                    <w:adjustRightInd w:val="0"/>
                    <w:snapToGrid w:val="0"/>
                    <w:jc w:val="center"/>
                    <w:rPr>
                      <w:color w:val="auto"/>
                      <w:szCs w:val="21"/>
                    </w:rPr>
                  </w:pPr>
                  <w:r>
                    <w:rPr>
                      <w:rFonts w:hint="eastAsia"/>
                      <w:color w:val="auto"/>
                      <w:szCs w:val="21"/>
                    </w:rPr>
                    <w:t>14</w:t>
                  </w:r>
                </w:p>
              </w:tc>
              <w:tc>
                <w:tcPr>
                  <w:tcW w:w="3094" w:type="pct"/>
                  <w:vAlign w:val="center"/>
                </w:tcPr>
                <w:p w14:paraId="5E00A6F7">
                  <w:pPr>
                    <w:pStyle w:val="100"/>
                    <w:rPr>
                      <w:color w:val="auto"/>
                      <w:sz w:val="21"/>
                      <w:szCs w:val="21"/>
                    </w:rPr>
                  </w:pPr>
                  <w:r>
                    <w:rPr>
                      <w:rFonts w:hint="eastAsia"/>
                      <w:color w:val="auto"/>
                      <w:sz w:val="21"/>
                      <w:szCs w:val="21"/>
                    </w:rPr>
                    <w:t>禁止在化工企业周边建设不符合安全距离规定的劳动</w:t>
                  </w:r>
                </w:p>
              </w:tc>
              <w:tc>
                <w:tcPr>
                  <w:tcW w:w="1463" w:type="pct"/>
                  <w:vAlign w:val="center"/>
                </w:tcPr>
                <w:p w14:paraId="1428FBB5">
                  <w:pPr>
                    <w:widowControl/>
                    <w:adjustRightInd w:val="0"/>
                    <w:snapToGrid w:val="0"/>
                    <w:jc w:val="left"/>
                    <w:rPr>
                      <w:rFonts w:hint="eastAsia" w:eastAsia="宋体"/>
                      <w:color w:val="auto"/>
                      <w:szCs w:val="21"/>
                      <w:lang w:eastAsia="zh-CN"/>
                    </w:rPr>
                  </w:pPr>
                  <w:r>
                    <w:rPr>
                      <w:rFonts w:hint="eastAsia"/>
                      <w:color w:val="auto"/>
                      <w:szCs w:val="21"/>
                      <w:lang w:eastAsia="zh-CN"/>
                    </w:rPr>
                    <w:t>建设项目为现有项目配套危险化学品仓储项目，在现有厂区内进行建设，不新增用地，</w:t>
                  </w:r>
                  <w:r>
                    <w:rPr>
                      <w:color w:val="auto"/>
                      <w:szCs w:val="21"/>
                    </w:rPr>
                    <w:t>位于</w:t>
                  </w:r>
                  <w:r>
                    <w:rPr>
                      <w:rFonts w:hint="eastAsia"/>
                      <w:color w:val="auto"/>
                      <w:szCs w:val="21"/>
                    </w:rPr>
                    <w:t>涟水经济开发区循环经济产业园</w:t>
                  </w:r>
                  <w:r>
                    <w:rPr>
                      <w:color w:val="auto"/>
                      <w:szCs w:val="21"/>
                    </w:rPr>
                    <w:t>，</w:t>
                  </w:r>
                  <w:r>
                    <w:rPr>
                      <w:rFonts w:hint="eastAsia"/>
                      <w:color w:val="auto"/>
                      <w:szCs w:val="21"/>
                      <w:lang w:eastAsia="zh-CN"/>
                    </w:rPr>
                    <w:t>周边不涉及</w:t>
                  </w:r>
                  <w:r>
                    <w:rPr>
                      <w:rFonts w:hint="eastAsia"/>
                      <w:color w:val="auto"/>
                      <w:sz w:val="21"/>
                      <w:szCs w:val="21"/>
                    </w:rPr>
                    <w:t>不符合安全距离规定的劳动</w:t>
                  </w:r>
                </w:p>
              </w:tc>
            </w:tr>
            <w:tr w14:paraId="6D53B0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vAlign w:val="center"/>
                </w:tcPr>
                <w:p w14:paraId="602C4075">
                  <w:pPr>
                    <w:widowControl/>
                    <w:adjustRightInd w:val="0"/>
                    <w:snapToGrid w:val="0"/>
                    <w:jc w:val="center"/>
                    <w:rPr>
                      <w:color w:val="auto"/>
                      <w:szCs w:val="21"/>
                    </w:rPr>
                  </w:pPr>
                  <w:r>
                    <w:rPr>
                      <w:rFonts w:hint="eastAsia"/>
                      <w:color w:val="auto"/>
                      <w:szCs w:val="21"/>
                    </w:rPr>
                    <w:t>15</w:t>
                  </w:r>
                </w:p>
              </w:tc>
              <w:tc>
                <w:tcPr>
                  <w:tcW w:w="3094" w:type="pct"/>
                  <w:vAlign w:val="center"/>
                </w:tcPr>
                <w:p w14:paraId="0DD1413C">
                  <w:pPr>
                    <w:pStyle w:val="100"/>
                    <w:rPr>
                      <w:color w:val="auto"/>
                      <w:sz w:val="21"/>
                      <w:szCs w:val="21"/>
                    </w:rPr>
                  </w:pPr>
                  <w:r>
                    <w:rPr>
                      <w:rFonts w:hint="eastAsia"/>
                      <w:color w:val="auto"/>
                      <w:sz w:val="21"/>
                      <w:szCs w:val="21"/>
                    </w:rPr>
                    <w:t>禁止新建、扩建不符合国家和省产业政策的尿素、磷铵、电石、烧碱、聚氯乙烯、纯碱等行业新增产能项目。</w:t>
                  </w:r>
                </w:p>
              </w:tc>
              <w:tc>
                <w:tcPr>
                  <w:tcW w:w="1463" w:type="pct"/>
                  <w:vMerge w:val="restart"/>
                  <w:vAlign w:val="center"/>
                </w:tcPr>
                <w:p w14:paraId="4ABF5D1C">
                  <w:pPr>
                    <w:widowControl/>
                    <w:adjustRightInd w:val="0"/>
                    <w:snapToGrid w:val="0"/>
                    <w:jc w:val="left"/>
                    <w:rPr>
                      <w:color w:val="auto"/>
                      <w:szCs w:val="21"/>
                    </w:rPr>
                  </w:pPr>
                  <w:r>
                    <w:rPr>
                      <w:color w:val="auto"/>
                      <w:szCs w:val="21"/>
                    </w:rPr>
                    <w:t>建设项目位于</w:t>
                  </w:r>
                  <w:r>
                    <w:rPr>
                      <w:rFonts w:hint="eastAsia"/>
                      <w:color w:val="auto"/>
                      <w:szCs w:val="21"/>
                    </w:rPr>
                    <w:t>涟水经济开发区循环经济产业园</w:t>
                  </w:r>
                  <w:r>
                    <w:rPr>
                      <w:color w:val="auto"/>
                      <w:szCs w:val="21"/>
                    </w:rPr>
                    <w:t>，</w:t>
                  </w:r>
                  <w:r>
                    <w:rPr>
                      <w:rFonts w:hint="eastAsia" w:ascii="Times New Roman" w:hAnsi="Times New Roman" w:eastAsia="宋体"/>
                      <w:color w:val="auto"/>
                      <w:sz w:val="21"/>
                      <w:szCs w:val="21"/>
                      <w:lang w:eastAsia="zh-CN"/>
                    </w:rPr>
                    <w:t>建设单位为淮安华源化工有限公司，已取得化工重点监测点认定</w:t>
                  </w:r>
                  <w:r>
                    <w:rPr>
                      <w:color w:val="auto"/>
                      <w:szCs w:val="21"/>
                    </w:rPr>
                    <w:t>，</w:t>
                  </w:r>
                  <w:r>
                    <w:rPr>
                      <w:rFonts w:hint="eastAsia"/>
                      <w:color w:val="auto"/>
                      <w:szCs w:val="21"/>
                      <w:lang w:eastAsia="zh-CN"/>
                    </w:rPr>
                    <w:t>本项目</w:t>
                  </w:r>
                  <w:r>
                    <w:rPr>
                      <w:rFonts w:ascii="Times New Roman" w:hAnsi="Times New Roman" w:eastAsiaTheme="minorEastAsia"/>
                      <w:color w:val="auto"/>
                      <w:sz w:val="21"/>
                      <w:szCs w:val="21"/>
                    </w:rPr>
                    <w:t>为</w:t>
                  </w:r>
                  <w:r>
                    <w:rPr>
                      <w:rFonts w:hint="eastAsia" w:ascii="Times New Roman" w:hAnsi="Times New Roman" w:eastAsiaTheme="minorEastAsia"/>
                      <w:color w:val="auto"/>
                      <w:sz w:val="21"/>
                      <w:szCs w:val="21"/>
                      <w:lang w:eastAsia="zh-CN"/>
                    </w:rPr>
                    <w:t>三氯化磷及原料储存安全提升技改项目</w:t>
                  </w:r>
                  <w:r>
                    <w:rPr>
                      <w:rFonts w:ascii="Times New Roman" w:hAnsi="Times New Roman" w:eastAsia="宋体"/>
                      <w:color w:val="auto"/>
                      <w:sz w:val="21"/>
                      <w:szCs w:val="21"/>
                    </w:rPr>
                    <w:t>，属于</w:t>
                  </w:r>
                  <w:r>
                    <w:rPr>
                      <w:rFonts w:hint="eastAsia" w:ascii="Times New Roman" w:hAnsi="Times New Roman" w:eastAsia="宋体"/>
                      <w:color w:val="auto"/>
                      <w:sz w:val="21"/>
                      <w:szCs w:val="21"/>
                      <w:lang w:eastAsia="zh-CN"/>
                    </w:rPr>
                    <w:t>现有项目配套仓储项目</w:t>
                  </w:r>
                  <w:r>
                    <w:rPr>
                      <w:rFonts w:ascii="Times New Roman" w:hAnsi="Times New Roman" w:eastAsia="宋体"/>
                      <w:color w:val="auto"/>
                      <w:sz w:val="21"/>
                      <w:szCs w:val="21"/>
                    </w:rPr>
                    <w:t>，</w:t>
                  </w:r>
                  <w:r>
                    <w:rPr>
                      <w:rFonts w:hint="eastAsia" w:ascii="Times New Roman" w:hAnsi="Times New Roman" w:eastAsia="宋体"/>
                      <w:color w:val="auto"/>
                      <w:sz w:val="21"/>
                      <w:szCs w:val="21"/>
                      <w:lang w:eastAsia="zh-CN"/>
                    </w:rPr>
                    <w:t>不属于新建化工项目</w:t>
                  </w:r>
                  <w:r>
                    <w:rPr>
                      <w:rFonts w:hint="eastAsia"/>
                      <w:color w:val="auto"/>
                      <w:szCs w:val="21"/>
                    </w:rPr>
                    <w:t>，</w:t>
                  </w:r>
                  <w:r>
                    <w:rPr>
                      <w:color w:val="auto"/>
                      <w:szCs w:val="21"/>
                    </w:rPr>
                    <w:t>符合国家和地方产业政策，不属于禁止建设类项目。</w:t>
                  </w:r>
                </w:p>
              </w:tc>
            </w:tr>
            <w:tr w14:paraId="736FF30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vAlign w:val="center"/>
                </w:tcPr>
                <w:p w14:paraId="774B1EAC">
                  <w:pPr>
                    <w:widowControl/>
                    <w:adjustRightInd w:val="0"/>
                    <w:snapToGrid w:val="0"/>
                    <w:jc w:val="center"/>
                    <w:rPr>
                      <w:color w:val="auto"/>
                      <w:szCs w:val="21"/>
                    </w:rPr>
                  </w:pPr>
                  <w:r>
                    <w:rPr>
                      <w:rFonts w:hint="eastAsia"/>
                      <w:color w:val="auto"/>
                      <w:szCs w:val="21"/>
                    </w:rPr>
                    <w:t>16</w:t>
                  </w:r>
                </w:p>
              </w:tc>
              <w:tc>
                <w:tcPr>
                  <w:tcW w:w="3094" w:type="pct"/>
                  <w:vAlign w:val="center"/>
                </w:tcPr>
                <w:p w14:paraId="62D47D7E">
                  <w:pPr>
                    <w:pStyle w:val="100"/>
                    <w:rPr>
                      <w:color w:val="auto"/>
                      <w:sz w:val="21"/>
                      <w:szCs w:val="21"/>
                    </w:rPr>
                  </w:pPr>
                  <w:r>
                    <w:rPr>
                      <w:rFonts w:hint="eastAsia"/>
                      <w:color w:val="auto"/>
                      <w:sz w:val="21"/>
                      <w:szCs w:val="21"/>
                    </w:rPr>
                    <w:t>禁止新建、改建、扩建高毒、高残留以及对环境影响大的农药原药</w:t>
                  </w:r>
                  <w:r>
                    <w:rPr>
                      <w:rFonts w:hint="eastAsia"/>
                      <w:color w:val="auto"/>
                      <w:sz w:val="21"/>
                      <w:szCs w:val="21"/>
                      <w:lang w:eastAsia="zh-CN"/>
                    </w:rPr>
                    <w:t>（</w:t>
                  </w:r>
                  <w:r>
                    <w:rPr>
                      <w:rFonts w:hint="eastAsia"/>
                      <w:color w:val="auto"/>
                      <w:sz w:val="21"/>
                      <w:szCs w:val="21"/>
                    </w:rPr>
                    <w:t>化学合成类</w:t>
                  </w:r>
                  <w:r>
                    <w:rPr>
                      <w:rFonts w:hint="eastAsia"/>
                      <w:color w:val="auto"/>
                      <w:sz w:val="21"/>
                      <w:szCs w:val="21"/>
                      <w:lang w:eastAsia="zh-CN"/>
                    </w:rPr>
                    <w:t>）</w:t>
                  </w:r>
                  <w:r>
                    <w:rPr>
                      <w:rFonts w:hint="eastAsia"/>
                      <w:color w:val="auto"/>
                      <w:sz w:val="21"/>
                      <w:szCs w:val="21"/>
                    </w:rPr>
                    <w:t>项目，禁止新建、扩建不符合国家和省产业政策的农药、医药和染料中间体化工项目。</w:t>
                  </w:r>
                </w:p>
              </w:tc>
              <w:tc>
                <w:tcPr>
                  <w:tcW w:w="1463" w:type="pct"/>
                  <w:vMerge w:val="continue"/>
                  <w:vAlign w:val="center"/>
                </w:tcPr>
                <w:p w14:paraId="5108F81B">
                  <w:pPr>
                    <w:widowControl/>
                    <w:adjustRightInd w:val="0"/>
                    <w:snapToGrid w:val="0"/>
                    <w:jc w:val="left"/>
                    <w:rPr>
                      <w:color w:val="auto"/>
                      <w:szCs w:val="21"/>
                    </w:rPr>
                  </w:pPr>
                </w:p>
              </w:tc>
            </w:tr>
            <w:tr w14:paraId="24C5A5E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vAlign w:val="center"/>
                </w:tcPr>
                <w:p w14:paraId="53184FFD">
                  <w:pPr>
                    <w:widowControl/>
                    <w:adjustRightInd w:val="0"/>
                    <w:snapToGrid w:val="0"/>
                    <w:jc w:val="center"/>
                    <w:rPr>
                      <w:color w:val="auto"/>
                      <w:szCs w:val="21"/>
                    </w:rPr>
                  </w:pPr>
                  <w:r>
                    <w:rPr>
                      <w:rFonts w:hint="eastAsia"/>
                      <w:color w:val="auto"/>
                      <w:szCs w:val="21"/>
                    </w:rPr>
                    <w:t>17</w:t>
                  </w:r>
                </w:p>
              </w:tc>
              <w:tc>
                <w:tcPr>
                  <w:tcW w:w="3094" w:type="pct"/>
                  <w:vAlign w:val="center"/>
                </w:tcPr>
                <w:p w14:paraId="4BB48B6F">
                  <w:pPr>
                    <w:pStyle w:val="100"/>
                    <w:rPr>
                      <w:color w:val="auto"/>
                      <w:sz w:val="21"/>
                      <w:szCs w:val="21"/>
                    </w:rPr>
                  </w:pPr>
                  <w:r>
                    <w:rPr>
                      <w:rFonts w:hint="eastAsia"/>
                      <w:color w:val="auto"/>
                      <w:sz w:val="21"/>
                      <w:szCs w:val="21"/>
                    </w:rPr>
                    <w:t>禁止新建、扩建不符合国家石化、现代煤化工等产业布局规划的项目，禁止新建独立焦化项目。</w:t>
                  </w:r>
                </w:p>
              </w:tc>
              <w:tc>
                <w:tcPr>
                  <w:tcW w:w="1463" w:type="pct"/>
                  <w:vMerge w:val="continue"/>
                  <w:vAlign w:val="center"/>
                </w:tcPr>
                <w:p w14:paraId="3D95F4F9">
                  <w:pPr>
                    <w:widowControl/>
                    <w:adjustRightInd w:val="0"/>
                    <w:snapToGrid w:val="0"/>
                    <w:jc w:val="left"/>
                    <w:rPr>
                      <w:color w:val="auto"/>
                      <w:szCs w:val="21"/>
                    </w:rPr>
                  </w:pPr>
                </w:p>
              </w:tc>
            </w:tr>
            <w:tr w14:paraId="2B5992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vAlign w:val="center"/>
                </w:tcPr>
                <w:p w14:paraId="6B520A2D">
                  <w:pPr>
                    <w:widowControl/>
                    <w:adjustRightInd w:val="0"/>
                    <w:snapToGrid w:val="0"/>
                    <w:jc w:val="center"/>
                    <w:rPr>
                      <w:color w:val="auto"/>
                      <w:szCs w:val="21"/>
                    </w:rPr>
                  </w:pPr>
                  <w:r>
                    <w:rPr>
                      <w:rFonts w:hint="eastAsia"/>
                      <w:color w:val="auto"/>
                      <w:szCs w:val="21"/>
                    </w:rPr>
                    <w:t>18</w:t>
                  </w:r>
                </w:p>
              </w:tc>
              <w:tc>
                <w:tcPr>
                  <w:tcW w:w="3094" w:type="pct"/>
                  <w:vAlign w:val="center"/>
                </w:tcPr>
                <w:p w14:paraId="68A14350">
                  <w:pPr>
                    <w:pStyle w:val="100"/>
                    <w:rPr>
                      <w:color w:val="auto"/>
                      <w:sz w:val="21"/>
                      <w:szCs w:val="21"/>
                    </w:rPr>
                  </w:pPr>
                  <w:r>
                    <w:rPr>
                      <w:rFonts w:hint="eastAsia"/>
                      <w:color w:val="auto"/>
                      <w:sz w:val="21"/>
                      <w:szCs w:val="21"/>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463" w:type="pct"/>
                  <w:vMerge w:val="continue"/>
                  <w:vAlign w:val="center"/>
                </w:tcPr>
                <w:p w14:paraId="1923BEB5">
                  <w:pPr>
                    <w:widowControl/>
                    <w:adjustRightInd w:val="0"/>
                    <w:snapToGrid w:val="0"/>
                    <w:jc w:val="left"/>
                    <w:rPr>
                      <w:color w:val="auto"/>
                      <w:szCs w:val="21"/>
                    </w:rPr>
                  </w:pPr>
                </w:p>
              </w:tc>
            </w:tr>
            <w:tr w14:paraId="02F0C3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vAlign w:val="center"/>
                </w:tcPr>
                <w:p w14:paraId="1DCCED0A">
                  <w:pPr>
                    <w:widowControl/>
                    <w:adjustRightInd w:val="0"/>
                    <w:snapToGrid w:val="0"/>
                    <w:jc w:val="center"/>
                    <w:rPr>
                      <w:color w:val="auto"/>
                      <w:szCs w:val="21"/>
                    </w:rPr>
                  </w:pPr>
                  <w:r>
                    <w:rPr>
                      <w:rFonts w:hint="eastAsia"/>
                      <w:color w:val="auto"/>
                      <w:szCs w:val="21"/>
                    </w:rPr>
                    <w:t>19</w:t>
                  </w:r>
                </w:p>
              </w:tc>
              <w:tc>
                <w:tcPr>
                  <w:tcW w:w="3094" w:type="pct"/>
                  <w:vAlign w:val="center"/>
                </w:tcPr>
                <w:p w14:paraId="13E1F134">
                  <w:pPr>
                    <w:pStyle w:val="100"/>
                    <w:rPr>
                      <w:color w:val="auto"/>
                      <w:sz w:val="21"/>
                      <w:szCs w:val="21"/>
                    </w:rPr>
                  </w:pPr>
                  <w:r>
                    <w:rPr>
                      <w:rFonts w:hint="eastAsia"/>
                      <w:color w:val="auto"/>
                      <w:sz w:val="21"/>
                      <w:szCs w:val="21"/>
                    </w:rPr>
                    <w:t>禁止新建、扩建不符合国家产能置换要求的严重过剩产能行业的项目。禁止新建、扩建不符合要求的高耗能高排放项目。</w:t>
                  </w:r>
                </w:p>
              </w:tc>
              <w:tc>
                <w:tcPr>
                  <w:tcW w:w="1463" w:type="pct"/>
                  <w:vMerge w:val="continue"/>
                  <w:vAlign w:val="center"/>
                </w:tcPr>
                <w:p w14:paraId="3FA5EF86">
                  <w:pPr>
                    <w:widowControl/>
                    <w:adjustRightInd w:val="0"/>
                    <w:snapToGrid w:val="0"/>
                    <w:jc w:val="left"/>
                    <w:rPr>
                      <w:color w:val="auto"/>
                      <w:szCs w:val="21"/>
                    </w:rPr>
                  </w:pPr>
                </w:p>
              </w:tc>
            </w:tr>
            <w:tr w14:paraId="6D306A1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43" w:type="pct"/>
                  <w:vAlign w:val="center"/>
                </w:tcPr>
                <w:p w14:paraId="4E71CA9C">
                  <w:pPr>
                    <w:widowControl/>
                    <w:adjustRightInd w:val="0"/>
                    <w:snapToGrid w:val="0"/>
                    <w:jc w:val="center"/>
                    <w:rPr>
                      <w:color w:val="auto"/>
                      <w:szCs w:val="21"/>
                    </w:rPr>
                  </w:pPr>
                  <w:r>
                    <w:rPr>
                      <w:rFonts w:hint="eastAsia"/>
                      <w:color w:val="auto"/>
                      <w:szCs w:val="21"/>
                    </w:rPr>
                    <w:t>20</w:t>
                  </w:r>
                </w:p>
              </w:tc>
              <w:tc>
                <w:tcPr>
                  <w:tcW w:w="3094" w:type="pct"/>
                  <w:vAlign w:val="center"/>
                </w:tcPr>
                <w:p w14:paraId="5A42C76E">
                  <w:pPr>
                    <w:pStyle w:val="100"/>
                    <w:rPr>
                      <w:color w:val="auto"/>
                      <w:sz w:val="21"/>
                      <w:szCs w:val="21"/>
                    </w:rPr>
                  </w:pPr>
                  <w:r>
                    <w:rPr>
                      <w:rFonts w:hint="eastAsia"/>
                      <w:color w:val="auto"/>
                      <w:sz w:val="21"/>
                      <w:szCs w:val="21"/>
                    </w:rPr>
                    <w:t>法律法规及相关政策文件有更加严格规定的从其规定。</w:t>
                  </w:r>
                </w:p>
              </w:tc>
              <w:tc>
                <w:tcPr>
                  <w:tcW w:w="1463" w:type="pct"/>
                  <w:vMerge w:val="continue"/>
                  <w:vAlign w:val="center"/>
                </w:tcPr>
                <w:p w14:paraId="1A191762">
                  <w:pPr>
                    <w:widowControl/>
                    <w:adjustRightInd w:val="0"/>
                    <w:snapToGrid w:val="0"/>
                    <w:jc w:val="left"/>
                    <w:rPr>
                      <w:color w:val="auto"/>
                      <w:szCs w:val="21"/>
                    </w:rPr>
                  </w:pPr>
                </w:p>
              </w:tc>
            </w:tr>
          </w:tbl>
          <w:p w14:paraId="5AF18C7B">
            <w:pPr>
              <w:wordWrap w:val="0"/>
              <w:adjustRightInd w:val="0"/>
              <w:spacing w:beforeLines="50" w:line="360" w:lineRule="auto"/>
              <w:ind w:firstLine="470" w:firstLineChars="196"/>
              <w:rPr>
                <w:rFonts w:eastAsiaTheme="minorEastAsia"/>
                <w:color w:val="auto"/>
                <w:kern w:val="0"/>
                <w:sz w:val="24"/>
              </w:rPr>
            </w:pPr>
            <w:r>
              <w:rPr>
                <w:rFonts w:eastAsiaTheme="minorEastAsia"/>
                <w:color w:val="auto"/>
                <w:kern w:val="0"/>
                <w:sz w:val="24"/>
              </w:rPr>
              <w:t>经分析，项目与《江苏省长江经济带生态环境保护实施规划</w:t>
            </w:r>
            <w:r>
              <w:rPr>
                <w:rFonts w:hint="eastAsia" w:eastAsiaTheme="minorEastAsia"/>
                <w:color w:val="auto"/>
                <w:kern w:val="0"/>
                <w:sz w:val="24"/>
                <w:lang w:eastAsia="zh-CN"/>
              </w:rPr>
              <w:t>》《</w:t>
            </w:r>
            <w:r>
              <w:rPr>
                <w:rFonts w:hint="eastAsia" w:eastAsiaTheme="minorEastAsia"/>
                <w:color w:val="auto"/>
                <w:kern w:val="0"/>
                <w:sz w:val="24"/>
              </w:rPr>
              <w:t>〈长江经济带发展负面清单指南〉江苏省实施细则（试行，2022年版）》（苏长江办发〔2022〕55号）</w:t>
            </w:r>
            <w:r>
              <w:rPr>
                <w:rFonts w:eastAsiaTheme="minorEastAsia"/>
                <w:color w:val="auto"/>
                <w:kern w:val="0"/>
                <w:sz w:val="24"/>
              </w:rPr>
              <w:t>相符。</w:t>
            </w:r>
          </w:p>
          <w:p w14:paraId="02E48CF4">
            <w:pPr>
              <w:wordWrap w:val="0"/>
              <w:adjustRightInd w:val="0"/>
              <w:snapToGrid w:val="0"/>
              <w:spacing w:line="360" w:lineRule="auto"/>
              <w:ind w:firstLine="472" w:firstLineChars="196"/>
              <w:rPr>
                <w:rFonts w:hint="eastAsia"/>
                <w:b/>
                <w:bCs/>
                <w:color w:val="auto"/>
                <w:sz w:val="24"/>
              </w:rPr>
            </w:pPr>
            <w:bookmarkStart w:id="17" w:name="_Hlk92913532"/>
            <w:r>
              <w:rPr>
                <w:b/>
                <w:bCs/>
                <w:color w:val="auto"/>
                <w:sz w:val="24"/>
              </w:rPr>
              <w:t>3.</w:t>
            </w:r>
            <w:r>
              <w:rPr>
                <w:rFonts w:hint="eastAsia"/>
                <w:b/>
                <w:bCs/>
                <w:color w:val="auto"/>
                <w:sz w:val="24"/>
              </w:rPr>
              <w:t>与《工业企业危险化学品安全管理指南》（DB32/T4293-2022）对照分析</w:t>
            </w:r>
          </w:p>
          <w:p w14:paraId="37CCE30E">
            <w:pPr>
              <w:wordWrap w:val="0"/>
              <w:adjustRightInd w:val="0"/>
              <w:snapToGrid w:val="0"/>
              <w:spacing w:line="360" w:lineRule="auto"/>
              <w:ind w:firstLine="470" w:firstLineChars="196"/>
              <w:rPr>
                <w:b w:val="0"/>
                <w:bCs w:val="0"/>
                <w:color w:val="auto"/>
                <w:sz w:val="24"/>
              </w:rPr>
            </w:pPr>
            <w:r>
              <w:rPr>
                <w:rFonts w:hint="eastAsia"/>
                <w:b w:val="0"/>
                <w:bCs w:val="0"/>
                <w:color w:val="auto"/>
                <w:sz w:val="24"/>
              </w:rPr>
              <w:t>项目与《工业企业危险化学品安全管理指南》（DB32/T4293-2022）相符性分析详见下表1-</w:t>
            </w:r>
            <w:r>
              <w:rPr>
                <w:rFonts w:hint="eastAsia"/>
                <w:b w:val="0"/>
                <w:bCs w:val="0"/>
                <w:color w:val="auto"/>
                <w:sz w:val="24"/>
                <w:lang w:val="en-US" w:eastAsia="zh-CN"/>
              </w:rPr>
              <w:t>9</w:t>
            </w:r>
            <w:r>
              <w:rPr>
                <w:rFonts w:hint="eastAsia"/>
                <w:b w:val="0"/>
                <w:bCs w:val="0"/>
                <w:color w:val="auto"/>
                <w:sz w:val="24"/>
              </w:rPr>
              <w:t>。</w:t>
            </w:r>
          </w:p>
          <w:p w14:paraId="7A546283">
            <w:pPr>
              <w:adjustRightInd w:val="0"/>
              <w:snapToGrid w:val="0"/>
              <w:jc w:val="center"/>
              <w:rPr>
                <w:b/>
                <w:color w:val="auto"/>
                <w:sz w:val="24"/>
              </w:rPr>
            </w:pPr>
            <w:r>
              <w:rPr>
                <w:b/>
                <w:color w:val="auto"/>
                <w:sz w:val="24"/>
              </w:rPr>
              <w:t>表1-</w:t>
            </w:r>
            <w:r>
              <w:rPr>
                <w:rFonts w:hint="eastAsia"/>
                <w:b/>
                <w:color w:val="auto"/>
                <w:sz w:val="24"/>
                <w:lang w:val="en-US" w:eastAsia="zh-CN"/>
              </w:rPr>
              <w:t>9</w:t>
            </w:r>
            <w:r>
              <w:rPr>
                <w:b/>
                <w:color w:val="auto"/>
                <w:sz w:val="24"/>
              </w:rPr>
              <w:t xml:space="preserve">  本项目与GB 50469-2016相符性分析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368"/>
              <w:gridCol w:w="541"/>
              <w:gridCol w:w="4199"/>
              <w:gridCol w:w="2672"/>
              <w:gridCol w:w="417"/>
            </w:tblGrid>
            <w:tr w14:paraId="248A03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225" w:type="pct"/>
                  <w:shd w:val="clear" w:color="auto" w:fill="auto"/>
                  <w:vAlign w:val="center"/>
                </w:tcPr>
                <w:p w14:paraId="3D33C034">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序号</w:t>
                  </w:r>
                </w:p>
              </w:tc>
              <w:tc>
                <w:tcPr>
                  <w:tcW w:w="2890" w:type="pct"/>
                  <w:gridSpan w:val="2"/>
                  <w:shd w:val="clear" w:color="auto" w:fill="auto"/>
                  <w:vAlign w:val="center"/>
                </w:tcPr>
                <w:p w14:paraId="03BABD11">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文件内容</w:t>
                  </w:r>
                </w:p>
              </w:tc>
              <w:tc>
                <w:tcPr>
                  <w:tcW w:w="1629" w:type="pct"/>
                  <w:shd w:val="clear" w:color="auto" w:fill="auto"/>
                  <w:vAlign w:val="center"/>
                </w:tcPr>
                <w:p w14:paraId="7B3603D9">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项目情况</w:t>
                  </w:r>
                </w:p>
              </w:tc>
              <w:tc>
                <w:tcPr>
                  <w:tcW w:w="254" w:type="pct"/>
                  <w:shd w:val="clear" w:color="auto" w:fill="auto"/>
                  <w:vAlign w:val="center"/>
                </w:tcPr>
                <w:p w14:paraId="2D6BB08E">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相符性</w:t>
                  </w:r>
                </w:p>
              </w:tc>
            </w:tr>
            <w:tr w14:paraId="5241AD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10" w:hRule="atLeast"/>
                <w:jc w:val="center"/>
              </w:trPr>
              <w:tc>
                <w:tcPr>
                  <w:tcW w:w="225" w:type="pct"/>
                  <w:shd w:val="clear" w:color="auto" w:fill="auto"/>
                  <w:vAlign w:val="center"/>
                </w:tcPr>
                <w:p w14:paraId="545B11DC">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p>
              </w:tc>
              <w:tc>
                <w:tcPr>
                  <w:tcW w:w="329" w:type="pct"/>
                  <w:shd w:val="clear" w:color="auto" w:fill="auto"/>
                  <w:vAlign w:val="center"/>
                </w:tcPr>
                <w:p w14:paraId="54A44290">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7.4.1</w:t>
                  </w:r>
                </w:p>
              </w:tc>
              <w:tc>
                <w:tcPr>
                  <w:tcW w:w="2560" w:type="pct"/>
                  <w:shd w:val="clear" w:color="auto" w:fill="auto"/>
                  <w:vAlign w:val="center"/>
                </w:tcPr>
                <w:p w14:paraId="28D799B1">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甲类危险化学品仓库应为单层建筑。甲、乙类危险化学品仓库不得设在地下室。有爆炸危险的危险化学品仓库</w:t>
                  </w:r>
                  <w:r>
                    <w:rPr>
                      <w:rFonts w:hint="eastAsia" w:cs="Times New Roman"/>
                      <w:bCs/>
                      <w:color w:val="auto"/>
                      <w:sz w:val="21"/>
                      <w:szCs w:val="21"/>
                      <w:lang w:eastAsia="zh-CN"/>
                    </w:rPr>
                    <w:t>（</w:t>
                  </w:r>
                  <w:r>
                    <w:rPr>
                      <w:rFonts w:hint="default" w:ascii="Times New Roman" w:hAnsi="Times New Roman" w:eastAsia="宋体" w:cs="Times New Roman"/>
                      <w:bCs/>
                      <w:color w:val="auto"/>
                      <w:sz w:val="21"/>
                      <w:szCs w:val="21"/>
                    </w:rPr>
                    <w:t>中间仓库</w:t>
                  </w:r>
                  <w:r>
                    <w:rPr>
                      <w:rFonts w:hint="eastAsia" w:cs="Times New Roman"/>
                      <w:bCs/>
                      <w:color w:val="auto"/>
                      <w:sz w:val="21"/>
                      <w:szCs w:val="21"/>
                      <w:lang w:eastAsia="zh-CN"/>
                    </w:rPr>
                    <w:t>）</w:t>
                  </w:r>
                  <w:r>
                    <w:rPr>
                      <w:rFonts w:hint="default" w:ascii="Times New Roman" w:hAnsi="Times New Roman" w:eastAsia="宋体" w:cs="Times New Roman"/>
                      <w:bCs/>
                      <w:color w:val="auto"/>
                      <w:sz w:val="21"/>
                      <w:szCs w:val="21"/>
                    </w:rPr>
                    <w:t>或仓库内有爆炸危险的部位宜采取防爆措施，设置泄压设施</w:t>
                  </w:r>
                  <w:r>
                    <w:rPr>
                      <w:rFonts w:hint="eastAsia" w:cs="Times New Roman"/>
                      <w:bCs/>
                      <w:color w:val="auto"/>
                      <w:sz w:val="21"/>
                      <w:szCs w:val="21"/>
                      <w:lang w:eastAsia="zh-CN"/>
                    </w:rPr>
                    <w:t>。</w:t>
                  </w:r>
                </w:p>
              </w:tc>
              <w:tc>
                <w:tcPr>
                  <w:tcW w:w="1629" w:type="pct"/>
                  <w:shd w:val="clear" w:color="auto" w:fill="auto"/>
                  <w:vAlign w:val="center"/>
                </w:tcPr>
                <w:p w14:paraId="3619CEF5">
                  <w:pPr>
                    <w:keepNext w:val="0"/>
                    <w:keepLines w:val="0"/>
                    <w:widowControl/>
                    <w:suppressLineNumbers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本项目液氯</w:t>
                  </w:r>
                  <w:r>
                    <w:rPr>
                      <w:rFonts w:hint="eastAsia" w:cs="Times New Roman"/>
                      <w:color w:val="auto"/>
                      <w:kern w:val="0"/>
                      <w:sz w:val="21"/>
                      <w:szCs w:val="21"/>
                      <w:lang w:val="en-US" w:eastAsia="zh-CN" w:bidi="ar"/>
                    </w:rPr>
                    <w:t>采用储罐暂存，储存在</w:t>
                  </w:r>
                  <w:r>
                    <w:rPr>
                      <w:rFonts w:hint="default" w:ascii="Times New Roman" w:hAnsi="Times New Roman" w:eastAsia="宋体" w:cs="Times New Roman"/>
                      <w:bCs/>
                      <w:color w:val="auto"/>
                      <w:sz w:val="21"/>
                      <w:szCs w:val="21"/>
                      <w:lang w:val="en-US" w:eastAsia="zh-CN"/>
                    </w:rPr>
                    <w:t>液氯罐式集装箱装卸场地</w:t>
                  </w:r>
                  <w:r>
                    <w:rPr>
                      <w:rFonts w:hint="eastAsia" w:cs="Times New Roman"/>
                      <w:color w:val="auto"/>
                      <w:kern w:val="0"/>
                      <w:sz w:val="21"/>
                      <w:szCs w:val="21"/>
                      <w:lang w:val="en-US" w:eastAsia="zh-CN" w:bidi="ar"/>
                    </w:rPr>
                    <w:t>，场地</w:t>
                  </w:r>
                  <w:r>
                    <w:rPr>
                      <w:rFonts w:hint="default" w:ascii="Times New Roman" w:hAnsi="Times New Roman" w:eastAsia="宋体" w:cs="Times New Roman"/>
                      <w:color w:val="auto"/>
                      <w:kern w:val="0"/>
                      <w:sz w:val="21"/>
                      <w:szCs w:val="21"/>
                      <w:lang w:val="en-US" w:eastAsia="zh-CN" w:bidi="ar"/>
                    </w:rPr>
                    <w:t>仓库为单层，未设置地下室，仓库内设置防爆措施。</w:t>
                  </w:r>
                </w:p>
              </w:tc>
              <w:tc>
                <w:tcPr>
                  <w:tcW w:w="254" w:type="pct"/>
                  <w:shd w:val="clear" w:color="auto" w:fill="auto"/>
                  <w:vAlign w:val="center"/>
                </w:tcPr>
                <w:p w14:paraId="523A09D9">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14:paraId="7ADAE7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10" w:hRule="atLeast"/>
                <w:jc w:val="center"/>
              </w:trPr>
              <w:tc>
                <w:tcPr>
                  <w:tcW w:w="225" w:type="pct"/>
                  <w:shd w:val="clear" w:color="auto" w:fill="auto"/>
                  <w:vAlign w:val="center"/>
                </w:tcPr>
                <w:p w14:paraId="146CB1BA">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w:t>
                  </w:r>
                </w:p>
              </w:tc>
              <w:tc>
                <w:tcPr>
                  <w:tcW w:w="329" w:type="pct"/>
                  <w:shd w:val="clear" w:color="auto" w:fill="auto"/>
                  <w:vAlign w:val="center"/>
                </w:tcPr>
                <w:p w14:paraId="08A446CC">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7.4.2</w:t>
                  </w:r>
                </w:p>
              </w:tc>
              <w:tc>
                <w:tcPr>
                  <w:tcW w:w="2560" w:type="pct"/>
                  <w:shd w:val="clear" w:color="auto" w:fill="auto"/>
                  <w:vAlign w:val="center"/>
                </w:tcPr>
                <w:p w14:paraId="662079C0">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危险化学品仓库应设置安全出口。疏散门应采用向疏散方向开启的平开门，丙、丁、戊类仓库首层靠墙的外侧可采用推拉门或卷帘门。</w:t>
                  </w:r>
                </w:p>
              </w:tc>
              <w:tc>
                <w:tcPr>
                  <w:tcW w:w="1629" w:type="pct"/>
                  <w:shd w:val="clear" w:color="auto" w:fill="auto"/>
                  <w:vAlign w:val="center"/>
                </w:tcPr>
                <w:p w14:paraId="3550DB04">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w:t>
                  </w:r>
                  <w:r>
                    <w:rPr>
                      <w:rFonts w:hint="default" w:ascii="Times New Roman" w:hAnsi="Times New Roman" w:eastAsia="宋体" w:cs="Times New Roman"/>
                      <w:bCs/>
                      <w:color w:val="auto"/>
                      <w:sz w:val="21"/>
                      <w:szCs w:val="21"/>
                      <w:lang w:val="en-US" w:eastAsia="zh-CN"/>
                    </w:rPr>
                    <w:t>液氯罐式集装箱装卸场地</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乙</w:t>
                  </w:r>
                  <w:r>
                    <w:rPr>
                      <w:rFonts w:hint="default" w:ascii="Times New Roman" w:hAnsi="Times New Roman" w:eastAsia="宋体" w:cs="Times New Roman"/>
                      <w:bCs/>
                      <w:color w:val="auto"/>
                      <w:sz w:val="21"/>
                      <w:szCs w:val="21"/>
                    </w:rPr>
                    <w:t>类仓库）设置了安全出口</w:t>
                  </w:r>
                </w:p>
              </w:tc>
              <w:tc>
                <w:tcPr>
                  <w:tcW w:w="254" w:type="pct"/>
                  <w:shd w:val="clear" w:color="auto" w:fill="auto"/>
                  <w:vAlign w:val="center"/>
                </w:tcPr>
                <w:p w14:paraId="0F798B94">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14:paraId="63DB9F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10" w:hRule="atLeast"/>
                <w:jc w:val="center"/>
              </w:trPr>
              <w:tc>
                <w:tcPr>
                  <w:tcW w:w="225" w:type="pct"/>
                  <w:shd w:val="clear" w:color="auto" w:fill="auto"/>
                  <w:vAlign w:val="center"/>
                </w:tcPr>
                <w:p w14:paraId="2CDF0385">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w:t>
                  </w:r>
                </w:p>
              </w:tc>
              <w:tc>
                <w:tcPr>
                  <w:tcW w:w="329" w:type="pct"/>
                  <w:shd w:val="clear" w:color="auto" w:fill="auto"/>
                  <w:vAlign w:val="center"/>
                </w:tcPr>
                <w:p w14:paraId="48E5D6C4">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7.4.3</w:t>
                  </w:r>
                </w:p>
              </w:tc>
              <w:tc>
                <w:tcPr>
                  <w:tcW w:w="2560" w:type="pct"/>
                  <w:shd w:val="clear" w:color="auto" w:fill="auto"/>
                  <w:vAlign w:val="center"/>
                </w:tcPr>
                <w:p w14:paraId="5A41E231">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厂房内设置甲、乙类中间仓库时，应靠外墙布置，危险化学品存放总量不宜超过一昼夜用量。</w:t>
                  </w:r>
                </w:p>
              </w:tc>
              <w:tc>
                <w:tcPr>
                  <w:tcW w:w="1629" w:type="pct"/>
                  <w:shd w:val="clear" w:color="auto" w:fill="auto"/>
                  <w:vAlign w:val="center"/>
                </w:tcPr>
                <w:p w14:paraId="5A0A44DD">
                  <w:pPr>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本项目为配套储存设施安全提升，</w:t>
                  </w:r>
                  <w:r>
                    <w:rPr>
                      <w:rFonts w:hint="default" w:ascii="Times New Roman" w:hAnsi="Times New Roman" w:eastAsia="宋体" w:cs="Times New Roman"/>
                      <w:bCs/>
                      <w:color w:val="auto"/>
                      <w:sz w:val="21"/>
                      <w:szCs w:val="21"/>
                      <w:lang w:eastAsia="zh-CN"/>
                    </w:rPr>
                    <w:t>液氯储罐暂存</w:t>
                  </w:r>
                  <w:r>
                    <w:rPr>
                      <w:rFonts w:hint="eastAsia" w:cs="Times New Roman"/>
                      <w:bCs/>
                      <w:color w:val="auto"/>
                      <w:sz w:val="21"/>
                      <w:szCs w:val="21"/>
                      <w:lang w:eastAsia="zh-CN"/>
                    </w:rPr>
                    <w:t>于</w:t>
                  </w:r>
                  <w:r>
                    <w:rPr>
                      <w:rFonts w:hint="default" w:ascii="Times New Roman" w:hAnsi="Times New Roman" w:eastAsia="宋体" w:cs="Times New Roman"/>
                      <w:bCs/>
                      <w:color w:val="auto"/>
                      <w:sz w:val="21"/>
                      <w:szCs w:val="21"/>
                      <w:lang w:val="en-US" w:eastAsia="zh-CN"/>
                    </w:rPr>
                    <w:t>液氯罐式集装箱装卸场地</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乙</w:t>
                  </w:r>
                  <w:r>
                    <w:rPr>
                      <w:rFonts w:hint="default" w:ascii="Times New Roman" w:hAnsi="Times New Roman" w:eastAsia="宋体" w:cs="Times New Roman"/>
                      <w:bCs/>
                      <w:color w:val="auto"/>
                      <w:sz w:val="21"/>
                      <w:szCs w:val="21"/>
                    </w:rPr>
                    <w:t>类仓库）中储存</w:t>
                  </w:r>
                  <w:r>
                    <w:rPr>
                      <w:rFonts w:hint="default" w:ascii="Times New Roman" w:hAnsi="Times New Roman" w:eastAsia="宋体" w:cs="Times New Roman"/>
                      <w:bCs/>
                      <w:color w:val="auto"/>
                      <w:sz w:val="21"/>
                      <w:szCs w:val="21"/>
                      <w:lang w:eastAsia="zh-CN"/>
                    </w:rPr>
                    <w:t>，储存周期未超过一昼夜用量</w:t>
                  </w:r>
                </w:p>
              </w:tc>
              <w:tc>
                <w:tcPr>
                  <w:tcW w:w="254" w:type="pct"/>
                  <w:shd w:val="clear" w:color="auto" w:fill="auto"/>
                  <w:vAlign w:val="center"/>
                </w:tcPr>
                <w:p w14:paraId="238D8D1E">
                  <w:pPr>
                    <w:jc w:val="center"/>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rPr>
                    <w:t>符合</w:t>
                  </w:r>
                </w:p>
              </w:tc>
            </w:tr>
            <w:tr w14:paraId="0F24C5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10" w:hRule="atLeast"/>
                <w:jc w:val="center"/>
              </w:trPr>
              <w:tc>
                <w:tcPr>
                  <w:tcW w:w="225" w:type="pct"/>
                  <w:shd w:val="clear" w:color="auto" w:fill="auto"/>
                  <w:vAlign w:val="center"/>
                </w:tcPr>
                <w:p w14:paraId="67B0241D">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w:t>
                  </w:r>
                </w:p>
              </w:tc>
              <w:tc>
                <w:tcPr>
                  <w:tcW w:w="329" w:type="pct"/>
                  <w:shd w:val="clear" w:color="auto" w:fill="auto"/>
                  <w:vAlign w:val="center"/>
                </w:tcPr>
                <w:p w14:paraId="7AFFFEF9">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7.4.4</w:t>
                  </w:r>
                </w:p>
              </w:tc>
              <w:tc>
                <w:tcPr>
                  <w:tcW w:w="2560" w:type="pct"/>
                  <w:shd w:val="clear" w:color="auto" w:fill="auto"/>
                  <w:vAlign w:val="center"/>
                </w:tcPr>
                <w:p w14:paraId="642014A2">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甲、乙、丙类中间仓库应采用防火墙和耐火极限不低于1.50h的不燃性楼板与其他部位分隔；丁戊类中间仓库应采用耐火极限不低于2.00h的防火隔墙和1.00h的楼板与其他部位分隔。</w:t>
                  </w:r>
                </w:p>
              </w:tc>
              <w:tc>
                <w:tcPr>
                  <w:tcW w:w="1629" w:type="pct"/>
                  <w:shd w:val="clear" w:color="auto" w:fill="auto"/>
                  <w:vAlign w:val="center"/>
                </w:tcPr>
                <w:p w14:paraId="082C1F0B">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本项目拟按照规范执行</w:t>
                  </w:r>
                  <w:r>
                    <w:rPr>
                      <w:rFonts w:hint="default" w:ascii="Times New Roman" w:hAnsi="Times New Roman" w:eastAsia="宋体" w:cs="Times New Roman"/>
                      <w:bCs/>
                      <w:color w:val="auto"/>
                      <w:sz w:val="21"/>
                      <w:szCs w:val="21"/>
                    </w:rPr>
                    <w:t>。</w:t>
                  </w:r>
                </w:p>
              </w:tc>
              <w:tc>
                <w:tcPr>
                  <w:tcW w:w="254" w:type="pct"/>
                  <w:shd w:val="clear" w:color="auto" w:fill="auto"/>
                  <w:vAlign w:val="center"/>
                </w:tcPr>
                <w:p w14:paraId="4709642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A92D9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10" w:hRule="atLeast"/>
                <w:jc w:val="center"/>
              </w:trPr>
              <w:tc>
                <w:tcPr>
                  <w:tcW w:w="225" w:type="pct"/>
                  <w:shd w:val="clear" w:color="auto" w:fill="auto"/>
                  <w:vAlign w:val="center"/>
                </w:tcPr>
                <w:p w14:paraId="57F211F3">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w:t>
                  </w:r>
                </w:p>
              </w:tc>
              <w:tc>
                <w:tcPr>
                  <w:tcW w:w="329" w:type="pct"/>
                  <w:shd w:val="clear" w:color="auto" w:fill="auto"/>
                  <w:vAlign w:val="center"/>
                </w:tcPr>
                <w:p w14:paraId="6C8F08B2">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7.4.5</w:t>
                  </w:r>
                </w:p>
              </w:tc>
              <w:tc>
                <w:tcPr>
                  <w:tcW w:w="2560" w:type="pct"/>
                  <w:shd w:val="clear" w:color="auto" w:fill="auto"/>
                  <w:vAlign w:val="center"/>
                </w:tcPr>
                <w:p w14:paraId="18ED3B15">
                  <w:pPr>
                    <w:keepNext w:val="0"/>
                    <w:keepLines w:val="0"/>
                    <w:widowControl/>
                    <w:suppressLineNumbers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桶装、瓶装甲、乙类液体和液化烃、液氯、液氨等气体钢瓶不应露天存放。遇湿会发生化学反应和对太阳光敏感的危险化学品不应露天、半露天存放。</w:t>
                  </w:r>
                </w:p>
              </w:tc>
              <w:tc>
                <w:tcPr>
                  <w:tcW w:w="1629" w:type="pct"/>
                  <w:shd w:val="clear" w:color="auto" w:fill="auto"/>
                  <w:vAlign w:val="center"/>
                </w:tcPr>
                <w:p w14:paraId="21875D26">
                  <w:pPr>
                    <w:keepNext w:val="0"/>
                    <w:keepLines w:val="0"/>
                    <w:widowControl/>
                    <w:suppressLineNumbers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本项目</w:t>
                  </w:r>
                  <w:r>
                    <w:rPr>
                      <w:rFonts w:hint="eastAsia" w:ascii="Times New Roman" w:hAnsi="Times New Roman" w:eastAsia="宋体" w:cs="Times New Roman"/>
                      <w:color w:val="auto"/>
                      <w:kern w:val="0"/>
                      <w:sz w:val="21"/>
                      <w:szCs w:val="21"/>
                      <w:lang w:val="en-US" w:eastAsia="zh-CN" w:bidi="ar"/>
                    </w:rPr>
                    <w:t>液氯采用储罐暂存，液氯储罐位于</w:t>
                  </w:r>
                  <w:r>
                    <w:rPr>
                      <w:rFonts w:hint="default" w:ascii="Times New Roman" w:hAnsi="Times New Roman" w:eastAsia="宋体" w:cs="Times New Roman"/>
                      <w:bCs/>
                      <w:color w:val="auto"/>
                      <w:sz w:val="21"/>
                      <w:szCs w:val="21"/>
                      <w:lang w:val="en-US" w:eastAsia="zh-CN"/>
                    </w:rPr>
                    <w:t>液氯罐式集装箱装卸场地</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乙</w:t>
                  </w:r>
                  <w:r>
                    <w:rPr>
                      <w:rFonts w:hint="default" w:ascii="Times New Roman" w:hAnsi="Times New Roman" w:eastAsia="宋体" w:cs="Times New Roman"/>
                      <w:bCs/>
                      <w:color w:val="auto"/>
                      <w:sz w:val="21"/>
                      <w:szCs w:val="21"/>
                    </w:rPr>
                    <w:t>类仓库）</w:t>
                  </w:r>
                </w:p>
              </w:tc>
              <w:tc>
                <w:tcPr>
                  <w:tcW w:w="254" w:type="pct"/>
                  <w:shd w:val="clear" w:color="auto" w:fill="auto"/>
                  <w:vAlign w:val="center"/>
                </w:tcPr>
                <w:p w14:paraId="7981426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84464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10" w:hRule="atLeast"/>
                <w:jc w:val="center"/>
              </w:trPr>
              <w:tc>
                <w:tcPr>
                  <w:tcW w:w="225" w:type="pct"/>
                  <w:shd w:val="clear" w:color="auto" w:fill="auto"/>
                  <w:vAlign w:val="center"/>
                </w:tcPr>
                <w:p w14:paraId="661178D8">
                  <w:pPr>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6</w:t>
                  </w:r>
                </w:p>
              </w:tc>
              <w:tc>
                <w:tcPr>
                  <w:tcW w:w="329" w:type="pct"/>
                  <w:shd w:val="clear" w:color="auto" w:fill="auto"/>
                  <w:vAlign w:val="center"/>
                </w:tcPr>
                <w:p w14:paraId="2B9EFB53">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7.4.6</w:t>
                  </w:r>
                </w:p>
              </w:tc>
              <w:tc>
                <w:tcPr>
                  <w:tcW w:w="2560" w:type="pct"/>
                  <w:shd w:val="clear" w:color="auto" w:fill="auto"/>
                  <w:vAlign w:val="center"/>
                </w:tcPr>
                <w:p w14:paraId="52F3142B">
                  <w:pPr>
                    <w:keepNext w:val="0"/>
                    <w:keepLines w:val="0"/>
                    <w:widowControl/>
                    <w:suppressLineNumbers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员工宿舍严禁设置在仓库内。办公室、休息室严禁设置在甲、乙类仓库</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中间仓库</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内，也不应贴邻；办公室、休息室设置在丙、丁类仓库</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中间仓库</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内时，应采用耐火极限不低于2.50h的防火隔墙和1.00h的楼板与其他部位分隔，并设置独立的安全出口，隔墙上开设相互连通的门时，应采用乙级防火门。</w:t>
                  </w:r>
                </w:p>
              </w:tc>
              <w:tc>
                <w:tcPr>
                  <w:tcW w:w="1629" w:type="pct"/>
                  <w:shd w:val="clear" w:color="auto" w:fill="auto"/>
                  <w:vAlign w:val="center"/>
                </w:tcPr>
                <w:p w14:paraId="3DB6157E">
                  <w:pPr>
                    <w:jc w:val="center"/>
                    <w:rPr>
                      <w:rFonts w:hint="default" w:ascii="Times New Roman" w:hAnsi="Times New Roman" w:eastAsia="宋体" w:cs="Times New Roman"/>
                      <w:bCs/>
                      <w:color w:val="auto"/>
                      <w:sz w:val="21"/>
                      <w:szCs w:val="21"/>
                      <w:lang w:val="en-US" w:eastAsia="zh-CN"/>
                    </w:rPr>
                  </w:pPr>
                  <w:r>
                    <w:rPr>
                      <w:rFonts w:hint="eastAsia"/>
                      <w:color w:val="auto"/>
                      <w:lang w:eastAsia="zh-CN"/>
                    </w:rPr>
                    <w:t>根据企业提供的安全评价报告，</w:t>
                  </w:r>
                  <w:r>
                    <w:rPr>
                      <w:color w:val="auto"/>
                    </w:rPr>
                    <w:t>建设项目</w:t>
                  </w:r>
                  <w:r>
                    <w:rPr>
                      <w:rFonts w:hint="eastAsia"/>
                      <w:color w:val="auto"/>
                      <w:lang w:eastAsia="zh-CN"/>
                    </w:rPr>
                    <w:t>厂区总体</w:t>
                  </w:r>
                  <w:r>
                    <w:rPr>
                      <w:color w:val="auto"/>
                    </w:rPr>
                    <w:t>防火间距符合</w:t>
                  </w:r>
                  <w:r>
                    <w:rPr>
                      <w:rFonts w:hint="eastAsia"/>
                      <w:color w:val="auto"/>
                      <w:lang w:eastAsia="zh-CN"/>
                    </w:rPr>
                    <w:t>《精细化工企业工程设计防火标准》（GB51283-2020）</w:t>
                  </w:r>
                  <w:r>
                    <w:rPr>
                      <w:color w:val="auto"/>
                    </w:rPr>
                    <w:t>、《建筑设计防火规范》（GB50016-2014，2018年版）等规范的相关要求</w:t>
                  </w:r>
                </w:p>
              </w:tc>
              <w:tc>
                <w:tcPr>
                  <w:tcW w:w="254" w:type="pct"/>
                  <w:shd w:val="clear" w:color="auto" w:fill="auto"/>
                  <w:vAlign w:val="center"/>
                </w:tcPr>
                <w:p w14:paraId="40C82B1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86C4A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10" w:hRule="atLeast"/>
                <w:jc w:val="center"/>
              </w:trPr>
              <w:tc>
                <w:tcPr>
                  <w:tcW w:w="225" w:type="pct"/>
                  <w:shd w:val="clear" w:color="auto" w:fill="auto"/>
                  <w:vAlign w:val="center"/>
                </w:tcPr>
                <w:p w14:paraId="4A5335FA">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w:t>
                  </w:r>
                </w:p>
              </w:tc>
              <w:tc>
                <w:tcPr>
                  <w:tcW w:w="329" w:type="pct"/>
                  <w:shd w:val="clear" w:color="auto" w:fill="auto"/>
                  <w:vAlign w:val="center"/>
                </w:tcPr>
                <w:p w14:paraId="031F9809">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7.4.7</w:t>
                  </w:r>
                </w:p>
              </w:tc>
              <w:tc>
                <w:tcPr>
                  <w:tcW w:w="2560" w:type="pct"/>
                  <w:shd w:val="clear" w:color="auto" w:fill="auto"/>
                  <w:vAlign w:val="center"/>
                </w:tcPr>
                <w:p w14:paraId="0140A462">
                  <w:pPr>
                    <w:keepNext w:val="0"/>
                    <w:keepLines w:val="0"/>
                    <w:widowControl/>
                    <w:suppressLineNumbers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危险化学品仓库</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中间仓库</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应按储存物品的相关危险特性，设置防腐、防泄漏、通风设施、消防设施、人体静电消除装置等设施。</w:t>
                  </w:r>
                </w:p>
              </w:tc>
              <w:tc>
                <w:tcPr>
                  <w:tcW w:w="1629" w:type="pct"/>
                  <w:shd w:val="clear" w:color="auto" w:fill="auto"/>
                  <w:vAlign w:val="center"/>
                </w:tcPr>
                <w:p w14:paraId="48CFDAA8">
                  <w:pPr>
                    <w:keepNext w:val="0"/>
                    <w:keepLines w:val="0"/>
                    <w:widowControl/>
                    <w:suppressLineNumbers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液氯罐式集装箱装卸场地</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乙</w:t>
                  </w:r>
                  <w:r>
                    <w:rPr>
                      <w:rFonts w:hint="default" w:ascii="Times New Roman" w:hAnsi="Times New Roman" w:eastAsia="宋体" w:cs="Times New Roman"/>
                      <w:bCs/>
                      <w:color w:val="auto"/>
                      <w:sz w:val="21"/>
                      <w:szCs w:val="21"/>
                    </w:rPr>
                    <w:t>类仓库）</w:t>
                  </w:r>
                  <w:r>
                    <w:rPr>
                      <w:rFonts w:hint="default" w:ascii="Times New Roman" w:hAnsi="Times New Roman" w:eastAsia="宋体" w:cs="Times New Roman"/>
                      <w:color w:val="auto"/>
                      <w:kern w:val="0"/>
                      <w:sz w:val="21"/>
                      <w:szCs w:val="21"/>
                      <w:lang w:val="en-US" w:eastAsia="zh-CN" w:bidi="ar"/>
                    </w:rPr>
                    <w:t>将设置防腐、防泄漏、通风设施、消防设施、人体静电消除装置等设施</w:t>
                  </w:r>
                </w:p>
              </w:tc>
              <w:tc>
                <w:tcPr>
                  <w:tcW w:w="254" w:type="pct"/>
                  <w:shd w:val="clear" w:color="auto" w:fill="auto"/>
                  <w:vAlign w:val="center"/>
                </w:tcPr>
                <w:p w14:paraId="7E88445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0366E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10" w:hRule="atLeast"/>
                <w:jc w:val="center"/>
              </w:trPr>
              <w:tc>
                <w:tcPr>
                  <w:tcW w:w="225" w:type="pct"/>
                  <w:shd w:val="clear" w:color="auto" w:fill="auto"/>
                  <w:vAlign w:val="center"/>
                </w:tcPr>
                <w:p w14:paraId="31B68E9B">
                  <w:pPr>
                    <w:jc w:val="center"/>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8</w:t>
                  </w:r>
                </w:p>
              </w:tc>
              <w:tc>
                <w:tcPr>
                  <w:tcW w:w="329" w:type="pct"/>
                  <w:shd w:val="clear" w:color="auto" w:fill="auto"/>
                  <w:vAlign w:val="center"/>
                </w:tcPr>
                <w:p w14:paraId="6CA79B90">
                  <w:pPr>
                    <w:jc w:val="center"/>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7.4.8</w:t>
                  </w:r>
                </w:p>
              </w:tc>
              <w:tc>
                <w:tcPr>
                  <w:tcW w:w="2560" w:type="pct"/>
                  <w:shd w:val="clear" w:color="auto" w:fill="auto"/>
                  <w:vAlign w:val="center"/>
                </w:tcPr>
                <w:p w14:paraId="55A07083">
                  <w:pPr>
                    <w:keepNext w:val="0"/>
                    <w:keepLines w:val="0"/>
                    <w:widowControl/>
                    <w:suppressLineNumbers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储存液体危险化学品仓库</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中间仓库、堆场</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应设置防止液体流散的设施。储存遇湿易燃的危险化学品时，应采取防止水浸渍措施。储存甲、乙类危险化学品和对太阳光敏感的危险化学品时，仓库的门、窗、通风孔等应采取遮光措施。</w:t>
                  </w:r>
                </w:p>
              </w:tc>
              <w:tc>
                <w:tcPr>
                  <w:tcW w:w="1629" w:type="pct"/>
                  <w:shd w:val="clear" w:color="auto" w:fill="auto"/>
                  <w:vAlign w:val="center"/>
                </w:tcPr>
                <w:p w14:paraId="7CCDFC30">
                  <w:pPr>
                    <w:keepNext w:val="0"/>
                    <w:keepLines w:val="0"/>
                    <w:widowControl/>
                    <w:suppressLineNumbers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本项目</w:t>
                  </w:r>
                  <w:r>
                    <w:rPr>
                      <w:rFonts w:hint="default" w:ascii="Times New Roman" w:hAnsi="Times New Roman" w:eastAsia="宋体" w:cs="Times New Roman"/>
                      <w:bCs/>
                      <w:color w:val="auto"/>
                      <w:sz w:val="21"/>
                      <w:szCs w:val="21"/>
                      <w:lang w:val="en-US" w:eastAsia="zh-CN"/>
                    </w:rPr>
                    <w:t>液氯罐式集装箱装卸场地</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乙</w:t>
                  </w:r>
                  <w:r>
                    <w:rPr>
                      <w:rFonts w:hint="default" w:ascii="Times New Roman" w:hAnsi="Times New Roman" w:eastAsia="宋体" w:cs="Times New Roman"/>
                      <w:bCs/>
                      <w:color w:val="auto"/>
                      <w:sz w:val="21"/>
                      <w:szCs w:val="21"/>
                    </w:rPr>
                    <w:t>类仓库）</w:t>
                  </w:r>
                  <w:r>
                    <w:rPr>
                      <w:rFonts w:hint="default" w:ascii="Times New Roman" w:hAnsi="Times New Roman" w:eastAsia="宋体" w:cs="Times New Roman"/>
                      <w:color w:val="auto"/>
                      <w:kern w:val="0"/>
                      <w:sz w:val="21"/>
                      <w:szCs w:val="21"/>
                      <w:lang w:val="en-US" w:eastAsia="zh-CN" w:bidi="ar"/>
                    </w:rPr>
                    <w:t>中设置导流设施，防止液体流散。</w:t>
                  </w:r>
                </w:p>
              </w:tc>
              <w:tc>
                <w:tcPr>
                  <w:tcW w:w="254" w:type="pct"/>
                  <w:shd w:val="clear" w:color="auto" w:fill="auto"/>
                  <w:vAlign w:val="center"/>
                </w:tcPr>
                <w:p w14:paraId="18225FD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D9C02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10" w:hRule="atLeast"/>
                <w:jc w:val="center"/>
              </w:trPr>
              <w:tc>
                <w:tcPr>
                  <w:tcW w:w="225" w:type="pct"/>
                  <w:shd w:val="clear" w:color="auto" w:fill="auto"/>
                  <w:vAlign w:val="center"/>
                </w:tcPr>
                <w:p w14:paraId="204864CE">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9</w:t>
                  </w:r>
                </w:p>
              </w:tc>
              <w:tc>
                <w:tcPr>
                  <w:tcW w:w="329" w:type="pct"/>
                  <w:shd w:val="clear" w:color="auto" w:fill="auto"/>
                  <w:vAlign w:val="center"/>
                </w:tcPr>
                <w:p w14:paraId="2BA6B587">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7.4.9</w:t>
                  </w:r>
                </w:p>
              </w:tc>
              <w:tc>
                <w:tcPr>
                  <w:tcW w:w="2560" w:type="pct"/>
                  <w:shd w:val="clear" w:color="auto" w:fill="auto"/>
                  <w:vAlign w:val="center"/>
                </w:tcPr>
                <w:p w14:paraId="257270B6">
                  <w:pPr>
                    <w:keepNext w:val="0"/>
                    <w:keepLines w:val="0"/>
                    <w:widowControl/>
                    <w:suppressLineNumbers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同一库房内隔离储存的危险化学品应设置明显的标志，危险化学品包装上应粘贴或者</w:t>
                  </w:r>
                  <w:r>
                    <w:rPr>
                      <w:rFonts w:hint="eastAsia" w:cs="Times New Roman"/>
                      <w:color w:val="auto"/>
                      <w:kern w:val="0"/>
                      <w:sz w:val="21"/>
                      <w:szCs w:val="21"/>
                      <w:lang w:val="en-US" w:eastAsia="zh-CN" w:bidi="ar"/>
                    </w:rPr>
                    <w:t>拴</w:t>
                  </w:r>
                  <w:r>
                    <w:rPr>
                      <w:rFonts w:hint="default" w:ascii="Times New Roman" w:hAnsi="Times New Roman" w:eastAsia="宋体" w:cs="Times New Roman"/>
                      <w:color w:val="auto"/>
                      <w:kern w:val="0"/>
                      <w:sz w:val="21"/>
                      <w:szCs w:val="21"/>
                      <w:lang w:val="en-US" w:eastAsia="zh-CN" w:bidi="ar"/>
                    </w:rPr>
                    <w:t>挂与包装内物品相符的化学品安全标签。库房内严禁分</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换</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装、拆分、开箱</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袋</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、开桶</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瓶</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和调配等作业。</w:t>
                  </w:r>
                </w:p>
              </w:tc>
              <w:tc>
                <w:tcPr>
                  <w:tcW w:w="1629" w:type="pct"/>
                  <w:shd w:val="clear" w:color="auto" w:fill="auto"/>
                  <w:vAlign w:val="center"/>
                </w:tcPr>
                <w:p w14:paraId="667CEEEF">
                  <w:pPr>
                    <w:keepNext w:val="0"/>
                    <w:keepLines w:val="0"/>
                    <w:widowControl/>
                    <w:suppressLineNumbers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本项目</w:t>
                  </w:r>
                  <w:r>
                    <w:rPr>
                      <w:rFonts w:hint="default" w:ascii="Times New Roman" w:hAnsi="Times New Roman" w:eastAsia="宋体" w:cs="Times New Roman"/>
                      <w:bCs/>
                      <w:color w:val="auto"/>
                      <w:sz w:val="21"/>
                      <w:szCs w:val="21"/>
                      <w:lang w:val="en-US" w:eastAsia="zh-CN"/>
                    </w:rPr>
                    <w:t>液氯罐式集装箱装卸场地</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乙</w:t>
                  </w:r>
                  <w:r>
                    <w:rPr>
                      <w:rFonts w:hint="default" w:ascii="Times New Roman" w:hAnsi="Times New Roman" w:eastAsia="宋体" w:cs="Times New Roman"/>
                      <w:bCs/>
                      <w:color w:val="auto"/>
                      <w:sz w:val="21"/>
                      <w:szCs w:val="21"/>
                    </w:rPr>
                    <w:t>类仓库）</w:t>
                  </w:r>
                  <w:r>
                    <w:rPr>
                      <w:rFonts w:hint="default" w:ascii="Times New Roman" w:hAnsi="Times New Roman" w:eastAsia="宋体" w:cs="Times New Roman"/>
                      <w:color w:val="auto"/>
                      <w:kern w:val="0"/>
                      <w:sz w:val="21"/>
                      <w:szCs w:val="21"/>
                      <w:lang w:val="en-US" w:eastAsia="zh-CN" w:bidi="ar"/>
                    </w:rPr>
                    <w:t>仅进行危险化学品储存，不涉及分</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换</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装、拆分、开箱</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袋</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、开桶</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瓶</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和调配等作业；建成后仓库内将分区储存，并设置标志和安全标签。</w:t>
                  </w:r>
                </w:p>
              </w:tc>
              <w:tc>
                <w:tcPr>
                  <w:tcW w:w="254" w:type="pct"/>
                  <w:shd w:val="clear" w:color="auto" w:fill="auto"/>
                  <w:vAlign w:val="center"/>
                </w:tcPr>
                <w:p w14:paraId="702414E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8BB92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10" w:hRule="atLeast"/>
                <w:jc w:val="center"/>
              </w:trPr>
              <w:tc>
                <w:tcPr>
                  <w:tcW w:w="225" w:type="pct"/>
                  <w:shd w:val="clear" w:color="auto" w:fill="auto"/>
                  <w:vAlign w:val="center"/>
                </w:tcPr>
                <w:p w14:paraId="3AF867E2">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10</w:t>
                  </w:r>
                </w:p>
              </w:tc>
              <w:tc>
                <w:tcPr>
                  <w:tcW w:w="329" w:type="pct"/>
                  <w:shd w:val="clear" w:color="auto" w:fill="auto"/>
                  <w:vAlign w:val="center"/>
                </w:tcPr>
                <w:p w14:paraId="1418653E">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7.4.10</w:t>
                  </w:r>
                </w:p>
              </w:tc>
              <w:tc>
                <w:tcPr>
                  <w:tcW w:w="2560" w:type="pct"/>
                  <w:shd w:val="clear" w:color="auto" w:fill="auto"/>
                  <w:vAlign w:val="center"/>
                </w:tcPr>
                <w:p w14:paraId="1000B14F">
                  <w:pPr>
                    <w:keepNext w:val="0"/>
                    <w:keepLines w:val="0"/>
                    <w:widowControl/>
                    <w:suppressLineNumbers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危险化学品仓库</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中间仓库</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内物品堆放的垛距、灯距、墙距、柱距、顶距等应满足XF1131的规定。仓库内需要设置货架堆放物品时，货架应采用非燃烧材料制作，不应遮挡消火栓、自动喷淋系统以及排烟口，并保证疏散通道畅通。</w:t>
                  </w:r>
                </w:p>
              </w:tc>
              <w:tc>
                <w:tcPr>
                  <w:tcW w:w="1629" w:type="pct"/>
                  <w:shd w:val="clear" w:color="auto" w:fill="auto"/>
                  <w:vAlign w:val="center"/>
                </w:tcPr>
                <w:p w14:paraId="77C92716">
                  <w:pPr>
                    <w:keepNext w:val="0"/>
                    <w:keepLines w:val="0"/>
                    <w:widowControl/>
                    <w:suppressLineNumbers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液氯罐式集装箱装卸场地</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乙</w:t>
                  </w:r>
                  <w:r>
                    <w:rPr>
                      <w:rFonts w:hint="default" w:ascii="Times New Roman" w:hAnsi="Times New Roman" w:eastAsia="宋体" w:cs="Times New Roman"/>
                      <w:bCs/>
                      <w:color w:val="auto"/>
                      <w:sz w:val="21"/>
                      <w:szCs w:val="21"/>
                    </w:rPr>
                    <w:t>类仓库）</w:t>
                  </w:r>
                  <w:r>
                    <w:rPr>
                      <w:rFonts w:hint="default" w:ascii="Times New Roman" w:hAnsi="Times New Roman" w:eastAsia="宋体" w:cs="Times New Roman"/>
                      <w:color w:val="auto"/>
                      <w:kern w:val="0"/>
                      <w:sz w:val="21"/>
                      <w:szCs w:val="21"/>
                      <w:lang w:val="en-US" w:eastAsia="zh-CN" w:bidi="ar"/>
                    </w:rPr>
                    <w:t>内设计的灯距、墙距、柱距、顶距等应满足XF1131的规定</w:t>
                  </w:r>
                </w:p>
              </w:tc>
              <w:tc>
                <w:tcPr>
                  <w:tcW w:w="254" w:type="pct"/>
                  <w:shd w:val="clear" w:color="auto" w:fill="auto"/>
                  <w:vAlign w:val="center"/>
                </w:tcPr>
                <w:p w14:paraId="677D3B6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76D08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10" w:hRule="atLeast"/>
                <w:jc w:val="center"/>
              </w:trPr>
              <w:tc>
                <w:tcPr>
                  <w:tcW w:w="225" w:type="pct"/>
                  <w:shd w:val="clear" w:color="auto" w:fill="auto"/>
                  <w:vAlign w:val="center"/>
                </w:tcPr>
                <w:p w14:paraId="346DF84F">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11</w:t>
                  </w:r>
                </w:p>
              </w:tc>
              <w:tc>
                <w:tcPr>
                  <w:tcW w:w="329" w:type="pct"/>
                  <w:shd w:val="clear" w:color="auto" w:fill="auto"/>
                  <w:vAlign w:val="center"/>
                </w:tcPr>
                <w:p w14:paraId="1F6AF472">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7.4.11</w:t>
                  </w:r>
                </w:p>
              </w:tc>
              <w:tc>
                <w:tcPr>
                  <w:tcW w:w="2560" w:type="pct"/>
                  <w:shd w:val="clear" w:color="auto" w:fill="auto"/>
                  <w:vAlign w:val="center"/>
                </w:tcPr>
                <w:p w14:paraId="1DE1A836">
                  <w:pPr>
                    <w:keepNext w:val="0"/>
                    <w:keepLines w:val="0"/>
                    <w:widowControl/>
                    <w:suppressLineNumbers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剧毒化学品应当在专用仓库内单独存放，并实行双人验收、双人保管、双人发货、双把锁、双</w:t>
                  </w:r>
                  <w:r>
                    <w:rPr>
                      <w:rFonts w:hint="eastAsia" w:cs="Times New Roman"/>
                      <w:color w:val="auto"/>
                      <w:kern w:val="0"/>
                      <w:sz w:val="21"/>
                      <w:szCs w:val="21"/>
                      <w:lang w:val="en-US" w:eastAsia="zh-CN" w:bidi="ar"/>
                    </w:rPr>
                    <w:t>台账</w:t>
                  </w:r>
                  <w:r>
                    <w:rPr>
                      <w:rFonts w:hint="default" w:ascii="Times New Roman" w:hAnsi="Times New Roman" w:eastAsia="宋体" w:cs="Times New Roman"/>
                      <w:color w:val="auto"/>
                      <w:kern w:val="0"/>
                      <w:sz w:val="21"/>
                      <w:szCs w:val="21"/>
                      <w:lang w:val="en-US" w:eastAsia="zh-CN" w:bidi="ar"/>
                    </w:rPr>
                    <w:t>制度</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储存数量构成重大危险源的危险化学品也应在专用仓库内单独存放，并实行双人收发、双人保管制度。</w:t>
                  </w:r>
                </w:p>
              </w:tc>
              <w:tc>
                <w:tcPr>
                  <w:tcW w:w="1629" w:type="pct"/>
                  <w:shd w:val="clear" w:color="auto" w:fill="auto"/>
                  <w:vAlign w:val="center"/>
                </w:tcPr>
                <w:p w14:paraId="70EECB1C">
                  <w:pPr>
                    <w:keepNext w:val="0"/>
                    <w:keepLines w:val="0"/>
                    <w:widowControl/>
                    <w:suppressLineNumbers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本项目后期按要求执行</w:t>
                  </w:r>
                  <w:r>
                    <w:rPr>
                      <w:rFonts w:hint="default" w:ascii="Times New Roman" w:hAnsi="Times New Roman" w:eastAsia="宋体" w:cs="Times New Roman"/>
                      <w:bCs/>
                      <w:color w:val="auto"/>
                      <w:sz w:val="21"/>
                      <w:szCs w:val="21"/>
                    </w:rPr>
                    <w:t>。</w:t>
                  </w:r>
                </w:p>
              </w:tc>
              <w:tc>
                <w:tcPr>
                  <w:tcW w:w="254" w:type="pct"/>
                  <w:shd w:val="clear" w:color="auto" w:fill="auto"/>
                  <w:vAlign w:val="center"/>
                </w:tcPr>
                <w:p w14:paraId="2244A19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DD073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10" w:hRule="atLeast"/>
                <w:jc w:val="center"/>
              </w:trPr>
              <w:tc>
                <w:tcPr>
                  <w:tcW w:w="225" w:type="pct"/>
                  <w:shd w:val="clear" w:color="auto" w:fill="auto"/>
                  <w:vAlign w:val="center"/>
                </w:tcPr>
                <w:p w14:paraId="1D324E97">
                  <w:pPr>
                    <w:jc w:val="center"/>
                    <w:rPr>
                      <w:rFonts w:hint="default" w:ascii="Times New Roman" w:hAnsi="Times New Roman" w:eastAsia="宋体" w:cs="Times New Roman"/>
                      <w:bCs/>
                      <w:color w:val="auto"/>
                      <w:sz w:val="21"/>
                      <w:szCs w:val="21"/>
                      <w:lang w:val="en-US"/>
                    </w:rPr>
                  </w:pPr>
                  <w:r>
                    <w:rPr>
                      <w:rFonts w:hint="default" w:ascii="Times New Roman" w:hAnsi="Times New Roman" w:eastAsia="宋体" w:cs="Times New Roman"/>
                      <w:bCs/>
                      <w:color w:val="auto"/>
                      <w:sz w:val="21"/>
                      <w:szCs w:val="21"/>
                      <w:lang w:val="en-US" w:eastAsia="zh-CN"/>
                    </w:rPr>
                    <w:t>12</w:t>
                  </w:r>
                </w:p>
              </w:tc>
              <w:tc>
                <w:tcPr>
                  <w:tcW w:w="329" w:type="pct"/>
                  <w:shd w:val="clear" w:color="auto" w:fill="auto"/>
                  <w:vAlign w:val="center"/>
                </w:tcPr>
                <w:p w14:paraId="22FEC864">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7.4.12</w:t>
                  </w:r>
                </w:p>
              </w:tc>
              <w:tc>
                <w:tcPr>
                  <w:tcW w:w="2560" w:type="pct"/>
                  <w:shd w:val="clear" w:color="auto" w:fill="auto"/>
                  <w:vAlign w:val="center"/>
                </w:tcPr>
                <w:p w14:paraId="083BEC63">
                  <w:pPr>
                    <w:keepNext w:val="0"/>
                    <w:keepLines w:val="0"/>
                    <w:widowControl/>
                    <w:suppressLineNumbers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危险化学品仓库</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中间仓库</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内应设置温湿度计并每日记录，库房内温湿度应保持在规定范围之内。</w:t>
                  </w:r>
                </w:p>
              </w:tc>
              <w:tc>
                <w:tcPr>
                  <w:tcW w:w="1629" w:type="pct"/>
                  <w:shd w:val="clear" w:color="auto" w:fill="auto"/>
                  <w:vAlign w:val="center"/>
                </w:tcPr>
                <w:p w14:paraId="666CCE86">
                  <w:pPr>
                    <w:keepNext w:val="0"/>
                    <w:keepLines w:val="0"/>
                    <w:widowControl/>
                    <w:suppressLineNumbers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本项目后期按要求执行</w:t>
                  </w:r>
                  <w:r>
                    <w:rPr>
                      <w:rFonts w:hint="default" w:ascii="Times New Roman" w:hAnsi="Times New Roman" w:eastAsia="宋体" w:cs="Times New Roman"/>
                      <w:bCs/>
                      <w:color w:val="auto"/>
                      <w:sz w:val="21"/>
                      <w:szCs w:val="21"/>
                    </w:rPr>
                    <w:t>。</w:t>
                  </w:r>
                </w:p>
              </w:tc>
              <w:tc>
                <w:tcPr>
                  <w:tcW w:w="254" w:type="pct"/>
                  <w:shd w:val="clear" w:color="auto" w:fill="auto"/>
                  <w:vAlign w:val="center"/>
                </w:tcPr>
                <w:p w14:paraId="56F38FFC">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14:paraId="1438A8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10" w:hRule="atLeast"/>
                <w:jc w:val="center"/>
              </w:trPr>
              <w:tc>
                <w:tcPr>
                  <w:tcW w:w="225" w:type="pct"/>
                  <w:shd w:val="clear" w:color="auto" w:fill="auto"/>
                  <w:vAlign w:val="center"/>
                </w:tcPr>
                <w:p w14:paraId="5601C1F8">
                  <w:pPr>
                    <w:jc w:val="center"/>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13</w:t>
                  </w:r>
                </w:p>
              </w:tc>
              <w:tc>
                <w:tcPr>
                  <w:tcW w:w="329" w:type="pct"/>
                  <w:shd w:val="clear" w:color="auto" w:fill="auto"/>
                  <w:vAlign w:val="center"/>
                </w:tcPr>
                <w:p w14:paraId="6BB514CF">
                  <w:pPr>
                    <w:jc w:val="center"/>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7.4.13</w:t>
                  </w:r>
                </w:p>
              </w:tc>
              <w:tc>
                <w:tcPr>
                  <w:tcW w:w="2560" w:type="pct"/>
                  <w:shd w:val="clear" w:color="auto" w:fill="auto"/>
                  <w:vAlign w:val="center"/>
                </w:tcPr>
                <w:p w14:paraId="0F67A109">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危险化学品仓库</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中间仓库</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通风设施应符合GB15603 的规定。</w:t>
                  </w:r>
                </w:p>
                <w:p w14:paraId="104E55DF">
                  <w:pPr>
                    <w:jc w:val="center"/>
                    <w:rPr>
                      <w:rFonts w:hint="default" w:ascii="Times New Roman" w:hAnsi="Times New Roman" w:eastAsia="宋体" w:cs="Times New Roman"/>
                      <w:bCs/>
                      <w:color w:val="auto"/>
                      <w:sz w:val="21"/>
                      <w:szCs w:val="21"/>
                    </w:rPr>
                  </w:pPr>
                </w:p>
              </w:tc>
              <w:tc>
                <w:tcPr>
                  <w:tcW w:w="1629" w:type="pct"/>
                  <w:shd w:val="clear" w:color="auto" w:fill="auto"/>
                  <w:vAlign w:val="center"/>
                </w:tcPr>
                <w:p w14:paraId="417B4800">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本项目后期按要求执行</w:t>
                  </w:r>
                  <w:r>
                    <w:rPr>
                      <w:rFonts w:hint="default" w:ascii="Times New Roman" w:hAnsi="Times New Roman" w:eastAsia="宋体" w:cs="Times New Roman"/>
                      <w:bCs/>
                      <w:color w:val="auto"/>
                      <w:sz w:val="21"/>
                      <w:szCs w:val="21"/>
                    </w:rPr>
                    <w:t>。</w:t>
                  </w:r>
                </w:p>
              </w:tc>
              <w:tc>
                <w:tcPr>
                  <w:tcW w:w="254" w:type="pct"/>
                  <w:shd w:val="clear" w:color="auto" w:fill="auto"/>
                  <w:vAlign w:val="center"/>
                </w:tcPr>
                <w:p w14:paraId="4A8B8F23">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14:paraId="481B98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10" w:hRule="atLeast"/>
                <w:jc w:val="center"/>
              </w:trPr>
              <w:tc>
                <w:tcPr>
                  <w:tcW w:w="225" w:type="pct"/>
                  <w:shd w:val="clear" w:color="auto" w:fill="auto"/>
                  <w:vAlign w:val="center"/>
                </w:tcPr>
                <w:p w14:paraId="0E0F8183">
                  <w:pPr>
                    <w:jc w:val="center"/>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14</w:t>
                  </w:r>
                </w:p>
              </w:tc>
              <w:tc>
                <w:tcPr>
                  <w:tcW w:w="329" w:type="pct"/>
                  <w:shd w:val="clear" w:color="auto" w:fill="auto"/>
                  <w:vAlign w:val="center"/>
                </w:tcPr>
                <w:p w14:paraId="3A7A80E0">
                  <w:pPr>
                    <w:jc w:val="center"/>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7.4.14</w:t>
                  </w:r>
                </w:p>
              </w:tc>
              <w:tc>
                <w:tcPr>
                  <w:tcW w:w="2560" w:type="pct"/>
                  <w:shd w:val="clear" w:color="auto" w:fill="auto"/>
                  <w:vAlign w:val="center"/>
                </w:tcPr>
                <w:p w14:paraId="4F34C795">
                  <w:pPr>
                    <w:keepNext w:val="0"/>
                    <w:keepLines w:val="0"/>
                    <w:widowControl/>
                    <w:suppressLineNumbers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可燃材料仓库的配电箱及开关应设置在仓库外</w:t>
                  </w:r>
                  <w:r>
                    <w:rPr>
                      <w:rFonts w:hint="eastAsia" w:ascii="Times New Roman" w:hAnsi="Times New Roman" w:eastAsia="宋体" w:cs="Times New Roman"/>
                      <w:color w:val="auto"/>
                      <w:kern w:val="0"/>
                      <w:sz w:val="21"/>
                      <w:szCs w:val="21"/>
                      <w:lang w:val="en-US" w:eastAsia="zh-CN" w:bidi="ar"/>
                    </w:rPr>
                    <w:t>。</w:t>
                  </w:r>
                </w:p>
              </w:tc>
              <w:tc>
                <w:tcPr>
                  <w:tcW w:w="1629" w:type="pct"/>
                  <w:shd w:val="clear" w:color="auto" w:fill="auto"/>
                  <w:vAlign w:val="center"/>
                </w:tcPr>
                <w:p w14:paraId="0202499A">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本项目后期按要求执行</w:t>
                  </w:r>
                  <w:r>
                    <w:rPr>
                      <w:rFonts w:hint="default" w:ascii="Times New Roman" w:hAnsi="Times New Roman" w:eastAsia="宋体" w:cs="Times New Roman"/>
                      <w:bCs/>
                      <w:color w:val="auto"/>
                      <w:sz w:val="21"/>
                      <w:szCs w:val="21"/>
                    </w:rPr>
                    <w:t>。</w:t>
                  </w:r>
                </w:p>
              </w:tc>
              <w:tc>
                <w:tcPr>
                  <w:tcW w:w="254" w:type="pct"/>
                  <w:shd w:val="clear" w:color="auto" w:fill="auto"/>
                  <w:vAlign w:val="center"/>
                </w:tcPr>
                <w:p w14:paraId="3692A75E">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14:paraId="71C5B8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10" w:hRule="atLeast"/>
                <w:jc w:val="center"/>
              </w:trPr>
              <w:tc>
                <w:tcPr>
                  <w:tcW w:w="225" w:type="pct"/>
                  <w:shd w:val="clear" w:color="auto" w:fill="auto"/>
                  <w:vAlign w:val="center"/>
                </w:tcPr>
                <w:p w14:paraId="02A5D395">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15</w:t>
                  </w:r>
                </w:p>
              </w:tc>
              <w:tc>
                <w:tcPr>
                  <w:tcW w:w="329" w:type="pct"/>
                  <w:shd w:val="clear" w:color="auto" w:fill="auto"/>
                  <w:vAlign w:val="center"/>
                </w:tcPr>
                <w:p w14:paraId="0EC14498">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7.4.15</w:t>
                  </w:r>
                </w:p>
              </w:tc>
              <w:tc>
                <w:tcPr>
                  <w:tcW w:w="2560" w:type="pct"/>
                  <w:shd w:val="clear" w:color="auto" w:fill="auto"/>
                  <w:vAlign w:val="center"/>
                </w:tcPr>
                <w:p w14:paraId="7D1633D8">
                  <w:pPr>
                    <w:keepNext w:val="0"/>
                    <w:keepLines w:val="0"/>
                    <w:widowControl/>
                    <w:suppressLineNumbers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采用货架堆放</w:t>
                  </w:r>
                  <w:r>
                    <w:rPr>
                      <w:rFonts w:hint="eastAsia" w:cs="Times New Roman"/>
                      <w:color w:val="auto"/>
                      <w:kern w:val="0"/>
                      <w:sz w:val="21"/>
                      <w:szCs w:val="21"/>
                      <w:lang w:val="en-US" w:eastAsia="zh-CN" w:bidi="ar"/>
                    </w:rPr>
                    <w:t>危险化学品</w:t>
                  </w:r>
                  <w:r>
                    <w:rPr>
                      <w:rFonts w:hint="default" w:ascii="Times New Roman" w:hAnsi="Times New Roman" w:eastAsia="宋体" w:cs="Times New Roman"/>
                      <w:color w:val="auto"/>
                      <w:kern w:val="0"/>
                      <w:sz w:val="21"/>
                      <w:szCs w:val="21"/>
                      <w:lang w:val="en-US" w:eastAsia="zh-CN" w:bidi="ar"/>
                    </w:rPr>
                    <w:t>，货架应按GB/T33454 的规定设立警示标识</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显示其最大额定荷载及加载方式等重要信息。在货架及其周围应当设置防护措施，避免对货架及操作人员造成损伤。</w:t>
                  </w:r>
                </w:p>
              </w:tc>
              <w:tc>
                <w:tcPr>
                  <w:tcW w:w="1629" w:type="pct"/>
                  <w:shd w:val="clear" w:color="auto" w:fill="auto"/>
                  <w:vAlign w:val="center"/>
                </w:tcPr>
                <w:p w14:paraId="23FAA8DA">
                  <w:pPr>
                    <w:keepNext w:val="0"/>
                    <w:keepLines w:val="0"/>
                    <w:widowControl/>
                    <w:suppressLineNumbers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本项目仓库内不设置货架</w:t>
                  </w:r>
                  <w:r>
                    <w:rPr>
                      <w:rFonts w:hint="default" w:ascii="Times New Roman" w:hAnsi="Times New Roman" w:eastAsia="宋体" w:cs="Times New Roman"/>
                      <w:bCs/>
                      <w:color w:val="auto"/>
                      <w:sz w:val="21"/>
                      <w:szCs w:val="21"/>
                    </w:rPr>
                    <w:t>。</w:t>
                  </w:r>
                </w:p>
              </w:tc>
              <w:tc>
                <w:tcPr>
                  <w:tcW w:w="254" w:type="pct"/>
                  <w:shd w:val="clear" w:color="auto" w:fill="auto"/>
                  <w:vAlign w:val="center"/>
                </w:tcPr>
                <w:p w14:paraId="7025C067">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bookmarkEnd w:id="17"/>
          </w:tbl>
          <w:p w14:paraId="38840D5D">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2" w:firstLineChars="200"/>
              <w:textAlignment w:val="auto"/>
              <w:rPr>
                <w:rFonts w:hint="eastAsia"/>
                <w:b/>
                <w:color w:val="auto"/>
                <w:kern w:val="0"/>
                <w:sz w:val="24"/>
              </w:rPr>
            </w:pPr>
            <w:r>
              <w:rPr>
                <w:rFonts w:hint="eastAsia"/>
                <w:b/>
                <w:color w:val="auto"/>
                <w:kern w:val="0"/>
                <w:sz w:val="24"/>
                <w:lang w:val="en-US" w:eastAsia="zh-CN"/>
              </w:rPr>
              <w:t>4.</w:t>
            </w:r>
            <w:r>
              <w:rPr>
                <w:rFonts w:hint="eastAsia"/>
                <w:b/>
                <w:color w:val="auto"/>
                <w:kern w:val="0"/>
                <w:sz w:val="24"/>
              </w:rPr>
              <w:t>与《危险化学品仓库储存通则》</w:t>
            </w:r>
            <w:r>
              <w:rPr>
                <w:rFonts w:hint="eastAsia"/>
                <w:b/>
                <w:color w:val="auto"/>
                <w:kern w:val="0"/>
                <w:sz w:val="24"/>
                <w:lang w:eastAsia="zh-CN"/>
              </w:rPr>
              <w:t>（</w:t>
            </w:r>
            <w:r>
              <w:rPr>
                <w:rFonts w:hint="eastAsia"/>
                <w:b/>
                <w:color w:val="auto"/>
                <w:kern w:val="0"/>
                <w:sz w:val="24"/>
              </w:rPr>
              <w:t xml:space="preserve">GB15603-2022 </w:t>
            </w:r>
            <w:r>
              <w:rPr>
                <w:rFonts w:hint="eastAsia"/>
                <w:b/>
                <w:color w:val="auto"/>
                <w:kern w:val="0"/>
                <w:sz w:val="24"/>
                <w:lang w:eastAsia="zh-CN"/>
              </w:rPr>
              <w:t>）</w:t>
            </w:r>
          </w:p>
          <w:p w14:paraId="675CA09C">
            <w:pPr>
              <w:autoSpaceDE w:val="0"/>
              <w:autoSpaceDN w:val="0"/>
              <w:adjustRightInd w:val="0"/>
              <w:snapToGrid w:val="0"/>
              <w:spacing w:line="240" w:lineRule="auto"/>
              <w:ind w:firstLine="482" w:firstLineChars="200"/>
              <w:jc w:val="center"/>
              <w:rPr>
                <w:rFonts w:hint="eastAsia"/>
                <w:b/>
                <w:color w:val="auto"/>
                <w:kern w:val="0"/>
                <w:sz w:val="24"/>
              </w:rPr>
            </w:pPr>
            <w:r>
              <w:rPr>
                <w:rFonts w:hint="eastAsia"/>
                <w:b/>
                <w:color w:val="auto"/>
                <w:kern w:val="0"/>
                <w:sz w:val="24"/>
              </w:rPr>
              <w:t>表1-1</w:t>
            </w:r>
            <w:r>
              <w:rPr>
                <w:rFonts w:hint="eastAsia"/>
                <w:b/>
                <w:color w:val="auto"/>
                <w:kern w:val="0"/>
                <w:sz w:val="24"/>
                <w:lang w:val="en-US" w:eastAsia="zh-CN"/>
              </w:rPr>
              <w:t>0</w:t>
            </w:r>
            <w:r>
              <w:rPr>
                <w:rFonts w:hint="eastAsia"/>
                <w:b/>
                <w:color w:val="auto"/>
                <w:kern w:val="0"/>
                <w:sz w:val="24"/>
              </w:rPr>
              <w:t>项目与GB15603-2022号文相符性分析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366"/>
              <w:gridCol w:w="5697"/>
              <w:gridCol w:w="1717"/>
              <w:gridCol w:w="417"/>
            </w:tblGrid>
            <w:tr w14:paraId="3D44E3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223" w:type="pct"/>
                  <w:shd w:val="clear" w:color="auto" w:fill="auto"/>
                  <w:vAlign w:val="center"/>
                </w:tcPr>
                <w:p w14:paraId="0D5ABAEF">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序号</w:t>
                  </w:r>
                </w:p>
              </w:tc>
              <w:tc>
                <w:tcPr>
                  <w:tcW w:w="3473" w:type="pct"/>
                  <w:shd w:val="clear" w:color="auto" w:fill="auto"/>
                  <w:vAlign w:val="center"/>
                </w:tcPr>
                <w:p w14:paraId="79DD5BDB">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文件内容</w:t>
                  </w:r>
                </w:p>
              </w:tc>
              <w:tc>
                <w:tcPr>
                  <w:tcW w:w="1047" w:type="pct"/>
                  <w:shd w:val="clear" w:color="auto" w:fill="auto"/>
                  <w:vAlign w:val="center"/>
                </w:tcPr>
                <w:p w14:paraId="10D6F986">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项目情况</w:t>
                  </w:r>
                </w:p>
              </w:tc>
              <w:tc>
                <w:tcPr>
                  <w:tcW w:w="254" w:type="pct"/>
                  <w:shd w:val="clear" w:color="auto" w:fill="auto"/>
                  <w:vAlign w:val="center"/>
                </w:tcPr>
                <w:p w14:paraId="6ED31E66">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相符性</w:t>
                  </w:r>
                </w:p>
              </w:tc>
            </w:tr>
            <w:tr w14:paraId="0FC5D2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10" w:hRule="atLeast"/>
                <w:jc w:val="center"/>
              </w:trPr>
              <w:tc>
                <w:tcPr>
                  <w:tcW w:w="223" w:type="pct"/>
                  <w:shd w:val="clear" w:color="auto" w:fill="auto"/>
                  <w:vAlign w:val="center"/>
                </w:tcPr>
                <w:p w14:paraId="246C81D8">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p>
              </w:tc>
              <w:tc>
                <w:tcPr>
                  <w:tcW w:w="3473" w:type="pct"/>
                  <w:shd w:val="clear" w:color="auto" w:fill="auto"/>
                  <w:vAlign w:val="center"/>
                </w:tcPr>
                <w:p w14:paraId="02A22FF1">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5.1 危险化学品仓库应采用隔离储存、隔开储存、分离储存的方式对危险化学品进行储存。</w:t>
                  </w:r>
                </w:p>
                <w:p w14:paraId="239235CA">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5.2 应选择符合危险化学品的特性、防火要求及化学品安全技术说明书中储存要求的仓储设施进行储存。</w:t>
                  </w:r>
                </w:p>
                <w:p w14:paraId="434D434D">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5.3 应根据危险化学品仓库的设计和经营许可要求，严格控制危险化学品的储存品种、数量。</w:t>
                  </w:r>
                </w:p>
                <w:p w14:paraId="0D741D09">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5.4 危险化学品储存应满足危险化学品分类、包装、储存方式及消防要求。</w:t>
                  </w:r>
                </w:p>
                <w:p w14:paraId="256A515A">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5.5 危险化学品的储存配存，应符合附录 A 及其化学品安全技术说明书的要求。</w:t>
                  </w:r>
                </w:p>
                <w:p w14:paraId="09F616E1">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5.6 储存爆炸物的仓库，其外部安全防护距离以及物品存放应满足 GB 18265 的要求。 </w:t>
                  </w:r>
                </w:p>
                <w:p w14:paraId="26503901">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5.7 储存有毒气体或易燃气体，且其构成危险化学品重大危险源的仓库，其外部安全防护距离应满足 GB 18265的要求。 </w:t>
                  </w:r>
                </w:p>
                <w:p w14:paraId="667D1122">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5.8 储存具有火灾危险性危险化学品的仓库，耐火等级、层数、面积及防火间距应符合 GB 50016 的要求。 </w:t>
                  </w:r>
                </w:p>
                <w:p w14:paraId="30F54B81">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5.9 剧毒化学品、易燃气体、氧化性气体、急性毒性气体、遇水放出易燃气体的物质和混合物、氯酸盐、高锰酸盐、亚硝酸盐、过氧化钠、过氧化氢、溴素应分离储存。 </w:t>
                  </w:r>
                </w:p>
                <w:p w14:paraId="51ABBC8F">
                  <w:pPr>
                    <w:keepNext w:val="0"/>
                    <w:keepLines w:val="0"/>
                    <w:widowControl/>
                    <w:suppressLineNumbers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5.10 剧毒化学品、监控化学品、易制毒化学品、易制爆危险化学品，应按规定将储存地点、储存数量、流向及管理人员的情况报相关部门备案，剧毒化学品以及构成重大危险源的危险化学品</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应在专用仓库内单独存放</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并实行双人收发、双人保管制度。</w:t>
                  </w:r>
                </w:p>
              </w:tc>
              <w:tc>
                <w:tcPr>
                  <w:tcW w:w="1047" w:type="pct"/>
                  <w:shd w:val="clear" w:color="auto" w:fill="auto"/>
                  <w:vAlign w:val="center"/>
                </w:tcPr>
                <w:p w14:paraId="173A9496">
                  <w:pPr>
                    <w:keepNext w:val="0"/>
                    <w:keepLines w:val="0"/>
                    <w:widowControl/>
                    <w:suppressLineNumbers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val="en-US" w:eastAsia="zh-CN" w:bidi="ar"/>
                    </w:rPr>
                    <w:t>本项目危险化学品仓库采取分区隔离储存；储存条件按要求按照设计、规范</w:t>
                  </w:r>
                </w:p>
              </w:tc>
              <w:tc>
                <w:tcPr>
                  <w:tcW w:w="254" w:type="pct"/>
                  <w:shd w:val="clear" w:color="auto" w:fill="auto"/>
                  <w:vAlign w:val="center"/>
                </w:tcPr>
                <w:p w14:paraId="351F121A">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bl>
          <w:p w14:paraId="455E8A05">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2" w:firstLineChars="200"/>
              <w:textAlignment w:val="auto"/>
              <w:rPr>
                <w:b/>
                <w:color w:val="auto"/>
                <w:kern w:val="0"/>
                <w:sz w:val="24"/>
              </w:rPr>
            </w:pPr>
            <w:r>
              <w:rPr>
                <w:b/>
                <w:color w:val="auto"/>
                <w:kern w:val="0"/>
                <w:sz w:val="24"/>
              </w:rPr>
              <w:t>5.与《省政府关于印发大运河江苏段核心监控区国土空间管控暂行办法的通知》（苏政发</w:t>
            </w:r>
            <w:r>
              <w:rPr>
                <w:rFonts w:hint="eastAsia"/>
                <w:b/>
                <w:color w:val="auto"/>
                <w:kern w:val="0"/>
                <w:sz w:val="24"/>
                <w:lang w:eastAsia="zh-CN"/>
              </w:rPr>
              <w:t>〔2021〕20号</w:t>
            </w:r>
            <w:r>
              <w:rPr>
                <w:b/>
                <w:color w:val="auto"/>
                <w:kern w:val="0"/>
                <w:sz w:val="24"/>
              </w:rPr>
              <w:t>）相符性分析</w:t>
            </w:r>
          </w:p>
          <w:p w14:paraId="413975EF">
            <w:pPr>
              <w:pStyle w:val="100"/>
              <w:snapToGrid w:val="0"/>
              <w:jc w:val="center"/>
              <w:rPr>
                <w:rFonts w:ascii="Times New Roman" w:cs="Times New Roman"/>
                <w:color w:val="auto"/>
              </w:rPr>
            </w:pPr>
            <w:r>
              <w:rPr>
                <w:rFonts w:ascii="Times New Roman" w:cs="Times New Roman"/>
                <w:b/>
                <w:bCs/>
                <w:color w:val="auto"/>
              </w:rPr>
              <w:t>表1-</w:t>
            </w:r>
            <w:r>
              <w:rPr>
                <w:rFonts w:hint="eastAsia" w:ascii="Times New Roman" w:cs="Times New Roman"/>
                <w:b/>
                <w:bCs/>
                <w:color w:val="auto"/>
              </w:rPr>
              <w:t>11</w:t>
            </w:r>
            <w:r>
              <w:rPr>
                <w:rFonts w:ascii="Times New Roman" w:cs="Times New Roman"/>
                <w:b/>
                <w:bCs/>
                <w:color w:val="auto"/>
              </w:rPr>
              <w:t xml:space="preserve">  与</w:t>
            </w:r>
            <w:r>
              <w:rPr>
                <w:rFonts w:ascii="Times New Roman" w:cs="Times New Roman"/>
                <w:b/>
                <w:color w:val="auto"/>
              </w:rPr>
              <w:t>苏政发</w:t>
            </w:r>
            <w:r>
              <w:rPr>
                <w:rFonts w:hint="eastAsia" w:ascii="Times New Roman" w:cs="Times New Roman"/>
                <w:b/>
                <w:color w:val="auto"/>
                <w:lang w:eastAsia="zh-CN"/>
              </w:rPr>
              <w:t>〔2021〕20号</w:t>
            </w:r>
            <w:r>
              <w:rPr>
                <w:rFonts w:ascii="Times New Roman" w:cs="Times New Roman"/>
                <w:b/>
                <w:bCs/>
                <w:color w:val="auto"/>
              </w:rPr>
              <w:t>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11"/>
              <w:gridCol w:w="4880"/>
              <w:gridCol w:w="2606"/>
            </w:tblGrid>
            <w:tr w14:paraId="63AF3EE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34" w:type="pct"/>
                  <w:vAlign w:val="center"/>
                </w:tcPr>
                <w:p w14:paraId="5EF56356">
                  <w:pPr>
                    <w:jc w:val="center"/>
                    <w:rPr>
                      <w:b/>
                      <w:color w:val="auto"/>
                      <w:szCs w:val="21"/>
                    </w:rPr>
                  </w:pPr>
                  <w:r>
                    <w:rPr>
                      <w:b/>
                      <w:color w:val="auto"/>
                      <w:szCs w:val="21"/>
                    </w:rPr>
                    <w:t>序号</w:t>
                  </w:r>
                </w:p>
              </w:tc>
              <w:tc>
                <w:tcPr>
                  <w:tcW w:w="2977" w:type="pct"/>
                  <w:vAlign w:val="center"/>
                </w:tcPr>
                <w:p w14:paraId="6CB887DB">
                  <w:pPr>
                    <w:ind w:firstLine="420"/>
                    <w:jc w:val="center"/>
                    <w:rPr>
                      <w:b/>
                      <w:color w:val="auto"/>
                      <w:szCs w:val="21"/>
                    </w:rPr>
                  </w:pPr>
                  <w:r>
                    <w:rPr>
                      <w:b/>
                      <w:color w:val="auto"/>
                      <w:szCs w:val="21"/>
                    </w:rPr>
                    <w:t>相关要求</w:t>
                  </w:r>
                </w:p>
              </w:tc>
              <w:tc>
                <w:tcPr>
                  <w:tcW w:w="1589" w:type="pct"/>
                  <w:vAlign w:val="center"/>
                </w:tcPr>
                <w:p w14:paraId="48CAEEB8">
                  <w:pPr>
                    <w:ind w:firstLine="420"/>
                    <w:jc w:val="center"/>
                    <w:rPr>
                      <w:b/>
                      <w:color w:val="auto"/>
                      <w:szCs w:val="21"/>
                    </w:rPr>
                  </w:pPr>
                  <w:r>
                    <w:rPr>
                      <w:b/>
                      <w:color w:val="auto"/>
                      <w:szCs w:val="21"/>
                    </w:rPr>
                    <w:t>相符性分析</w:t>
                  </w:r>
                </w:p>
              </w:tc>
            </w:tr>
            <w:tr w14:paraId="1082524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34" w:type="pct"/>
                  <w:vAlign w:val="center"/>
                </w:tcPr>
                <w:p w14:paraId="78E374BB">
                  <w:pPr>
                    <w:widowControl/>
                    <w:adjustRightInd w:val="0"/>
                    <w:snapToGrid w:val="0"/>
                    <w:jc w:val="center"/>
                    <w:rPr>
                      <w:color w:val="auto"/>
                      <w:szCs w:val="21"/>
                    </w:rPr>
                  </w:pPr>
                  <w:r>
                    <w:rPr>
                      <w:color w:val="auto"/>
                      <w:szCs w:val="21"/>
                    </w:rPr>
                    <w:t>1</w:t>
                  </w:r>
                </w:p>
              </w:tc>
              <w:tc>
                <w:tcPr>
                  <w:tcW w:w="2977" w:type="pct"/>
                  <w:vAlign w:val="center"/>
                </w:tcPr>
                <w:p w14:paraId="4209076E">
                  <w:pPr>
                    <w:widowControl/>
                    <w:adjustRightInd w:val="0"/>
                    <w:snapToGrid w:val="0"/>
                    <w:jc w:val="center"/>
                    <w:rPr>
                      <w:color w:val="auto"/>
                      <w:szCs w:val="21"/>
                    </w:rPr>
                  </w:pPr>
                  <w:r>
                    <w:rPr>
                      <w:color w:val="auto"/>
                      <w:szCs w:val="21"/>
                    </w:rPr>
                    <w:t>第三条本办法所称核心监控区，是指大运河江苏段主河道两岸各2千米的范围。滨河生态空间，是指核心监控区内，原则上除建成区</w:t>
                  </w:r>
                  <w:r>
                    <w:rPr>
                      <w:rFonts w:hint="eastAsia"/>
                      <w:color w:val="auto"/>
                      <w:szCs w:val="21"/>
                      <w:lang w:eastAsia="zh-CN"/>
                    </w:rPr>
                    <w:t>（</w:t>
                  </w:r>
                  <w:r>
                    <w:rPr>
                      <w:color w:val="auto"/>
                      <w:szCs w:val="21"/>
                    </w:rPr>
                    <w:t>城市、建制镇</w:t>
                  </w:r>
                  <w:r>
                    <w:rPr>
                      <w:rFonts w:hint="eastAsia"/>
                      <w:color w:val="auto"/>
                      <w:szCs w:val="21"/>
                      <w:lang w:eastAsia="zh-CN"/>
                    </w:rPr>
                    <w:t>）</w:t>
                  </w:r>
                  <w:r>
                    <w:rPr>
                      <w:color w:val="auto"/>
                      <w:szCs w:val="21"/>
                    </w:rPr>
                    <w:t>外，大运河江苏段主河道两岸各1千米的范围。</w:t>
                  </w:r>
                </w:p>
              </w:tc>
              <w:tc>
                <w:tcPr>
                  <w:tcW w:w="1589" w:type="pct"/>
                  <w:vAlign w:val="center"/>
                </w:tcPr>
                <w:p w14:paraId="677814F7">
                  <w:pPr>
                    <w:widowControl/>
                    <w:adjustRightInd w:val="0"/>
                    <w:snapToGrid w:val="0"/>
                    <w:jc w:val="center"/>
                    <w:rPr>
                      <w:color w:val="auto"/>
                      <w:szCs w:val="21"/>
                    </w:rPr>
                  </w:pPr>
                  <w:r>
                    <w:rPr>
                      <w:color w:val="auto"/>
                      <w:szCs w:val="21"/>
                    </w:rPr>
                    <w:t>建设项目位于涟水经济开发区</w:t>
                  </w:r>
                  <w:r>
                    <w:rPr>
                      <w:rFonts w:hint="eastAsia"/>
                      <w:color w:val="auto"/>
                      <w:szCs w:val="21"/>
                      <w:lang w:eastAsia="zh-CN"/>
                    </w:rPr>
                    <w:t>循环经济产业园</w:t>
                  </w:r>
                  <w:r>
                    <w:rPr>
                      <w:color w:val="auto"/>
                      <w:szCs w:val="21"/>
                    </w:rPr>
                    <w:t>，项目所在地为城市建成区，</w:t>
                  </w:r>
                  <w:r>
                    <w:rPr>
                      <w:rFonts w:hint="eastAsia"/>
                      <w:color w:val="auto"/>
                      <w:szCs w:val="21"/>
                      <w:lang w:eastAsia="zh-CN"/>
                    </w:rPr>
                    <w:t>距离大运河最近距离约</w:t>
                  </w:r>
                  <w:r>
                    <w:rPr>
                      <w:rFonts w:hint="eastAsia"/>
                      <w:color w:val="auto"/>
                      <w:szCs w:val="21"/>
                      <w:lang w:val="en-US" w:eastAsia="zh-CN"/>
                    </w:rPr>
                    <w:t>36.7km，</w:t>
                  </w:r>
                  <w:r>
                    <w:rPr>
                      <w:rFonts w:hint="eastAsia"/>
                      <w:color w:val="auto"/>
                      <w:szCs w:val="21"/>
                    </w:rPr>
                    <w:t>不在大运河江苏段核心监控区</w:t>
                  </w:r>
                  <w:r>
                    <w:rPr>
                      <w:rFonts w:hint="eastAsia"/>
                      <w:color w:val="auto"/>
                      <w:szCs w:val="21"/>
                      <w:lang w:eastAsia="zh-CN"/>
                    </w:rPr>
                    <w:t>、</w:t>
                  </w:r>
                  <w:r>
                    <w:rPr>
                      <w:color w:val="auto"/>
                      <w:szCs w:val="21"/>
                    </w:rPr>
                    <w:t>滨河生态空间范围内。</w:t>
                  </w:r>
                </w:p>
              </w:tc>
            </w:tr>
            <w:tr w14:paraId="7BED7CE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34" w:type="pct"/>
                  <w:vAlign w:val="center"/>
                </w:tcPr>
                <w:p w14:paraId="5F94B4CE">
                  <w:pPr>
                    <w:widowControl/>
                    <w:adjustRightInd w:val="0"/>
                    <w:snapToGrid w:val="0"/>
                    <w:jc w:val="center"/>
                    <w:rPr>
                      <w:color w:val="auto"/>
                      <w:szCs w:val="21"/>
                    </w:rPr>
                  </w:pPr>
                  <w:r>
                    <w:rPr>
                      <w:color w:val="auto"/>
                      <w:szCs w:val="21"/>
                    </w:rPr>
                    <w:t>2</w:t>
                  </w:r>
                </w:p>
              </w:tc>
              <w:tc>
                <w:tcPr>
                  <w:tcW w:w="2977" w:type="pct"/>
                  <w:vAlign w:val="center"/>
                </w:tcPr>
                <w:p w14:paraId="2BFA4ED2">
                  <w:pPr>
                    <w:widowControl/>
                    <w:adjustRightInd w:val="0"/>
                    <w:snapToGrid w:val="0"/>
                    <w:jc w:val="center"/>
                    <w:rPr>
                      <w:color w:val="auto"/>
                      <w:szCs w:val="21"/>
                    </w:rPr>
                  </w:pPr>
                  <w:r>
                    <w:rPr>
                      <w:color w:val="auto"/>
                      <w:szCs w:val="21"/>
                    </w:rPr>
                    <w:t>第十四条建成区</w:t>
                  </w:r>
                  <w:r>
                    <w:rPr>
                      <w:rFonts w:hint="eastAsia"/>
                      <w:color w:val="auto"/>
                      <w:szCs w:val="21"/>
                      <w:lang w:eastAsia="zh-CN"/>
                    </w:rPr>
                    <w:t>（</w:t>
                  </w:r>
                  <w:r>
                    <w:rPr>
                      <w:color w:val="auto"/>
                      <w:szCs w:val="21"/>
                    </w:rPr>
                    <w:t>城市、建制镇</w:t>
                  </w:r>
                  <w:r>
                    <w:rPr>
                      <w:rFonts w:hint="eastAsia"/>
                      <w:color w:val="auto"/>
                      <w:szCs w:val="21"/>
                      <w:lang w:eastAsia="zh-CN"/>
                    </w:rPr>
                    <w:t>）</w:t>
                  </w:r>
                  <w:r>
                    <w:rPr>
                      <w:color w:val="auto"/>
                      <w:szCs w:val="21"/>
                    </w:rPr>
                    <w:t>内，严禁实施不符合产业政策、规划和管制要求的建设项目。</w:t>
                  </w:r>
                </w:p>
              </w:tc>
              <w:tc>
                <w:tcPr>
                  <w:tcW w:w="1589" w:type="pct"/>
                  <w:vAlign w:val="center"/>
                </w:tcPr>
                <w:p w14:paraId="74F2ED8D">
                  <w:pPr>
                    <w:widowControl/>
                    <w:adjustRightInd w:val="0"/>
                    <w:snapToGrid w:val="0"/>
                    <w:jc w:val="center"/>
                    <w:rPr>
                      <w:color w:val="auto"/>
                      <w:szCs w:val="21"/>
                    </w:rPr>
                  </w:pPr>
                  <w:r>
                    <w:rPr>
                      <w:color w:val="auto"/>
                      <w:szCs w:val="21"/>
                    </w:rPr>
                    <w:t>建设项目位于涟水经济开发区</w:t>
                  </w:r>
                  <w:r>
                    <w:rPr>
                      <w:rFonts w:hint="eastAsia"/>
                      <w:color w:val="auto"/>
                      <w:szCs w:val="21"/>
                      <w:lang w:eastAsia="zh-CN"/>
                    </w:rPr>
                    <w:t>循环经济产业园</w:t>
                  </w:r>
                  <w:r>
                    <w:rPr>
                      <w:color w:val="auto"/>
                      <w:szCs w:val="21"/>
                    </w:rPr>
                    <w:t>，属于城市建成区，为</w:t>
                  </w:r>
                  <w:r>
                    <w:rPr>
                      <w:rFonts w:hint="eastAsia"/>
                      <w:color w:val="auto"/>
                      <w:szCs w:val="21"/>
                      <w:lang w:eastAsia="zh-CN"/>
                    </w:rPr>
                    <w:t>G5942 危险化学品仓储</w:t>
                  </w:r>
                  <w:r>
                    <w:rPr>
                      <w:color w:val="auto"/>
                      <w:szCs w:val="21"/>
                    </w:rPr>
                    <w:t>，符合产业政策</w:t>
                  </w:r>
                </w:p>
              </w:tc>
            </w:tr>
            <w:tr w14:paraId="34BDEB0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34" w:type="pct"/>
                  <w:vAlign w:val="center"/>
                </w:tcPr>
                <w:p w14:paraId="3A3E7E2E">
                  <w:pPr>
                    <w:widowControl/>
                    <w:adjustRightInd w:val="0"/>
                    <w:snapToGrid w:val="0"/>
                    <w:jc w:val="center"/>
                    <w:rPr>
                      <w:color w:val="auto"/>
                      <w:szCs w:val="21"/>
                    </w:rPr>
                  </w:pPr>
                  <w:r>
                    <w:rPr>
                      <w:color w:val="auto"/>
                      <w:szCs w:val="21"/>
                    </w:rPr>
                    <w:t>3</w:t>
                  </w:r>
                </w:p>
              </w:tc>
              <w:tc>
                <w:tcPr>
                  <w:tcW w:w="2977" w:type="pct"/>
                  <w:vAlign w:val="center"/>
                </w:tcPr>
                <w:p w14:paraId="35932956">
                  <w:pPr>
                    <w:widowControl/>
                    <w:adjustRightInd w:val="0"/>
                    <w:snapToGrid w:val="0"/>
                    <w:jc w:val="center"/>
                    <w:rPr>
                      <w:color w:val="auto"/>
                      <w:szCs w:val="21"/>
                    </w:rPr>
                  </w:pPr>
                  <w:r>
                    <w:rPr>
                      <w:color w:val="auto"/>
                      <w:szCs w:val="21"/>
                    </w:rPr>
                    <w:t>第十六条生态用途区域内，严格生态保护红线管理，在符合现行法律法规前提下，除国家重大战略项目外，仅允许对生态功能不造成破坏的有限人为活动。自然保护地核心保护区原则上禁止人为活动，其他区域严格禁止开发性、生产性建设活动。</w:t>
                  </w:r>
                </w:p>
              </w:tc>
              <w:tc>
                <w:tcPr>
                  <w:tcW w:w="1589" w:type="pct"/>
                  <w:vAlign w:val="center"/>
                </w:tcPr>
                <w:p w14:paraId="4666825C">
                  <w:pPr>
                    <w:widowControl/>
                    <w:adjustRightInd w:val="0"/>
                    <w:snapToGrid w:val="0"/>
                    <w:jc w:val="center"/>
                    <w:rPr>
                      <w:color w:val="auto"/>
                      <w:szCs w:val="21"/>
                    </w:rPr>
                  </w:pPr>
                  <w:r>
                    <w:rPr>
                      <w:color w:val="auto"/>
                      <w:szCs w:val="21"/>
                    </w:rPr>
                    <w:t>建设项目位于涟水经济开发区</w:t>
                  </w:r>
                  <w:r>
                    <w:rPr>
                      <w:rFonts w:hint="eastAsia"/>
                      <w:color w:val="auto"/>
                      <w:szCs w:val="21"/>
                      <w:lang w:eastAsia="zh-CN"/>
                    </w:rPr>
                    <w:t>循环经济产业园</w:t>
                  </w:r>
                  <w:r>
                    <w:rPr>
                      <w:color w:val="auto"/>
                      <w:szCs w:val="21"/>
                    </w:rPr>
                    <w:t>，距离京杭大运河较远，不在其红线范围内</w:t>
                  </w:r>
                </w:p>
              </w:tc>
            </w:tr>
            <w:tr w14:paraId="69CB151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34" w:type="pct"/>
                  <w:vAlign w:val="center"/>
                </w:tcPr>
                <w:p w14:paraId="5B234DFE">
                  <w:pPr>
                    <w:widowControl/>
                    <w:adjustRightInd w:val="0"/>
                    <w:snapToGrid w:val="0"/>
                    <w:jc w:val="center"/>
                    <w:rPr>
                      <w:color w:val="auto"/>
                      <w:szCs w:val="21"/>
                    </w:rPr>
                  </w:pPr>
                  <w:r>
                    <w:rPr>
                      <w:color w:val="auto"/>
                      <w:szCs w:val="21"/>
                    </w:rPr>
                    <w:t>4</w:t>
                  </w:r>
                </w:p>
              </w:tc>
              <w:tc>
                <w:tcPr>
                  <w:tcW w:w="2977" w:type="pct"/>
                  <w:vAlign w:val="center"/>
                </w:tcPr>
                <w:p w14:paraId="2C5F3210">
                  <w:pPr>
                    <w:widowControl/>
                    <w:adjustRightInd w:val="0"/>
                    <w:snapToGrid w:val="0"/>
                    <w:jc w:val="center"/>
                    <w:rPr>
                      <w:color w:val="auto"/>
                      <w:szCs w:val="21"/>
                    </w:rPr>
                  </w:pPr>
                  <w:r>
                    <w:rPr>
                      <w:color w:val="auto"/>
                      <w:szCs w:val="21"/>
                    </w:rPr>
                    <w:t>第二十二条加强不合理用地空间腾退。开展主河道沿线化工企业整治提升，依法关闭不符合安全生产标准的化工企业、园区，依法关停环保不达标的化工企业、园区，依法依规淘汰化工行业落后产能。</w:t>
                  </w:r>
                </w:p>
              </w:tc>
              <w:tc>
                <w:tcPr>
                  <w:tcW w:w="1589" w:type="pct"/>
                  <w:vAlign w:val="center"/>
                </w:tcPr>
                <w:p w14:paraId="0245207A">
                  <w:pPr>
                    <w:widowControl/>
                    <w:adjustRightInd w:val="0"/>
                    <w:snapToGrid w:val="0"/>
                    <w:jc w:val="center"/>
                    <w:rPr>
                      <w:color w:val="auto"/>
                      <w:szCs w:val="21"/>
                    </w:rPr>
                  </w:pPr>
                  <w:r>
                    <w:rPr>
                      <w:color w:val="auto"/>
                      <w:szCs w:val="21"/>
                    </w:rPr>
                    <w:t>建设项目为</w:t>
                  </w:r>
                  <w:r>
                    <w:rPr>
                      <w:rFonts w:hint="eastAsia"/>
                      <w:color w:val="auto"/>
                      <w:szCs w:val="21"/>
                      <w:lang w:eastAsia="zh-CN"/>
                    </w:rPr>
                    <w:t>G5942 危险化学品仓储</w:t>
                  </w:r>
                  <w:r>
                    <w:rPr>
                      <w:color w:val="auto"/>
                      <w:szCs w:val="21"/>
                    </w:rPr>
                    <w:t>，</w:t>
                  </w:r>
                  <w:r>
                    <w:rPr>
                      <w:rFonts w:hint="eastAsia"/>
                      <w:color w:val="auto"/>
                      <w:szCs w:val="21"/>
                      <w:lang w:eastAsia="zh-CN"/>
                    </w:rPr>
                    <w:t>位于涟水经济开发区循环经济产业园</w:t>
                  </w:r>
                  <w:r>
                    <w:rPr>
                      <w:color w:val="auto"/>
                      <w:szCs w:val="21"/>
                    </w:rPr>
                    <w:t>。</w:t>
                  </w:r>
                </w:p>
              </w:tc>
            </w:tr>
          </w:tbl>
          <w:p w14:paraId="345FF820">
            <w:pPr>
              <w:wordWrap w:val="0"/>
              <w:adjustRightInd w:val="0"/>
              <w:spacing w:beforeLines="50" w:line="360" w:lineRule="auto"/>
              <w:ind w:firstLine="470" w:firstLineChars="196"/>
              <w:rPr>
                <w:rFonts w:eastAsiaTheme="minorEastAsia"/>
                <w:color w:val="auto"/>
                <w:kern w:val="0"/>
                <w:sz w:val="24"/>
              </w:rPr>
            </w:pPr>
            <w:r>
              <w:rPr>
                <w:rFonts w:eastAsiaTheme="minorEastAsia"/>
                <w:color w:val="auto"/>
                <w:kern w:val="0"/>
                <w:sz w:val="24"/>
              </w:rPr>
              <w:t>经分析，项目与苏政发</w:t>
            </w:r>
            <w:r>
              <w:rPr>
                <w:rFonts w:hint="eastAsia" w:eastAsiaTheme="minorEastAsia"/>
                <w:color w:val="auto"/>
                <w:kern w:val="0"/>
                <w:sz w:val="24"/>
                <w:lang w:eastAsia="zh-CN"/>
              </w:rPr>
              <w:t>〔2021〕20号</w:t>
            </w:r>
            <w:r>
              <w:rPr>
                <w:rFonts w:eastAsiaTheme="minorEastAsia"/>
                <w:color w:val="auto"/>
                <w:kern w:val="0"/>
                <w:sz w:val="24"/>
              </w:rPr>
              <w:t>相符。</w:t>
            </w:r>
          </w:p>
          <w:p w14:paraId="7F069A99">
            <w:pPr>
              <w:adjustRightInd w:val="0"/>
              <w:snapToGrid w:val="0"/>
              <w:spacing w:line="360" w:lineRule="auto"/>
              <w:ind w:firstLine="482" w:firstLineChars="200"/>
              <w:contextualSpacing/>
              <w:rPr>
                <w:rFonts w:hint="eastAsia" w:eastAsiaTheme="minorEastAsia"/>
                <w:b/>
                <w:color w:val="auto"/>
                <w:kern w:val="0"/>
                <w:sz w:val="24"/>
              </w:rPr>
            </w:pPr>
            <w:r>
              <w:rPr>
                <w:rFonts w:hint="eastAsia" w:eastAsiaTheme="minorEastAsia"/>
                <w:b/>
                <w:color w:val="auto"/>
                <w:kern w:val="0"/>
                <w:sz w:val="24"/>
                <w:lang w:val="en-US" w:eastAsia="zh-CN"/>
              </w:rPr>
              <w:t>6.与《关于加强重点行业涉新污染物建设项目环境影响评价工作的意见》（环环评〔</w:t>
            </w:r>
            <w:r>
              <w:rPr>
                <w:rFonts w:hint="default" w:eastAsiaTheme="minorEastAsia"/>
                <w:b/>
                <w:color w:val="auto"/>
                <w:kern w:val="0"/>
                <w:sz w:val="24"/>
                <w:lang w:val="en-US" w:eastAsia="zh-CN"/>
              </w:rPr>
              <w:t>2025</w:t>
            </w:r>
            <w:r>
              <w:rPr>
                <w:rFonts w:hint="eastAsia" w:eastAsiaTheme="minorEastAsia"/>
                <w:b/>
                <w:color w:val="auto"/>
                <w:kern w:val="0"/>
                <w:sz w:val="24"/>
                <w:lang w:val="en-US" w:eastAsia="zh-CN"/>
              </w:rPr>
              <w:t>〕</w:t>
            </w:r>
            <w:r>
              <w:rPr>
                <w:rFonts w:hint="default" w:eastAsiaTheme="minorEastAsia"/>
                <w:b/>
                <w:color w:val="auto"/>
                <w:kern w:val="0"/>
                <w:sz w:val="24"/>
                <w:lang w:val="en-US" w:eastAsia="zh-CN"/>
              </w:rPr>
              <w:t xml:space="preserve">28 </w:t>
            </w:r>
            <w:r>
              <w:rPr>
                <w:rFonts w:hint="eastAsia" w:eastAsiaTheme="minorEastAsia"/>
                <w:b/>
                <w:color w:val="auto"/>
                <w:kern w:val="0"/>
                <w:sz w:val="24"/>
                <w:lang w:val="en-US" w:eastAsia="zh-CN"/>
              </w:rPr>
              <w:t xml:space="preserve">号）相符性分析 </w:t>
            </w:r>
          </w:p>
          <w:p w14:paraId="6B6D034F">
            <w:pPr>
              <w:adjustRightInd w:val="0"/>
              <w:snapToGrid w:val="0"/>
              <w:spacing w:line="360" w:lineRule="auto"/>
              <w:ind w:firstLine="480" w:firstLineChars="200"/>
              <w:contextualSpacing/>
              <w:rPr>
                <w:rFonts w:hint="eastAsia" w:eastAsiaTheme="minorEastAsia"/>
                <w:color w:val="auto"/>
                <w:sz w:val="24"/>
              </w:rPr>
            </w:pPr>
            <w:r>
              <w:rPr>
                <w:rFonts w:hint="eastAsia" w:eastAsiaTheme="minorEastAsia"/>
                <w:color w:val="auto"/>
                <w:sz w:val="24"/>
                <w:lang w:val="en-US" w:eastAsia="zh-CN"/>
              </w:rPr>
              <w:t>本项目不涉及《重点管控新污染物清单（</w:t>
            </w:r>
            <w:r>
              <w:rPr>
                <w:rFonts w:hint="default" w:eastAsiaTheme="minorEastAsia"/>
                <w:color w:val="auto"/>
                <w:sz w:val="24"/>
                <w:lang w:val="en-US" w:eastAsia="zh-CN"/>
              </w:rPr>
              <w:t xml:space="preserve">2023 </w:t>
            </w:r>
            <w:r>
              <w:rPr>
                <w:rFonts w:hint="eastAsia" w:eastAsiaTheme="minorEastAsia"/>
                <w:color w:val="auto"/>
                <w:sz w:val="24"/>
                <w:lang w:val="en-US" w:eastAsia="zh-CN"/>
              </w:rPr>
              <w:t xml:space="preserve">年版）》（生态环境部 部令第 </w:t>
            </w:r>
            <w:r>
              <w:rPr>
                <w:rFonts w:hint="default" w:eastAsiaTheme="minorEastAsia"/>
                <w:color w:val="auto"/>
                <w:sz w:val="24"/>
                <w:lang w:val="en-US" w:eastAsia="zh-CN"/>
              </w:rPr>
              <w:t xml:space="preserve">28 </w:t>
            </w:r>
            <w:r>
              <w:rPr>
                <w:rFonts w:hint="eastAsia" w:eastAsiaTheme="minorEastAsia"/>
                <w:color w:val="auto"/>
                <w:sz w:val="24"/>
                <w:lang w:val="en-US" w:eastAsia="zh-CN"/>
              </w:rPr>
              <w:t>号）、《中国严格限制的有毒化学品名录》（</w:t>
            </w:r>
            <w:r>
              <w:rPr>
                <w:rFonts w:hint="default" w:eastAsiaTheme="minorEastAsia"/>
                <w:color w:val="auto"/>
                <w:sz w:val="24"/>
                <w:lang w:val="en-US" w:eastAsia="zh-CN"/>
              </w:rPr>
              <w:t xml:space="preserve">2023 </w:t>
            </w:r>
            <w:r>
              <w:rPr>
                <w:rFonts w:hint="eastAsia" w:eastAsiaTheme="minorEastAsia"/>
                <w:color w:val="auto"/>
                <w:sz w:val="24"/>
                <w:lang w:val="en-US" w:eastAsia="zh-CN"/>
              </w:rPr>
              <w:t>年）、《有毒有害大气污染物名录（</w:t>
            </w:r>
            <w:r>
              <w:rPr>
                <w:rFonts w:hint="default" w:eastAsiaTheme="minorEastAsia"/>
                <w:color w:val="auto"/>
                <w:sz w:val="24"/>
                <w:lang w:val="en-US" w:eastAsia="zh-CN"/>
              </w:rPr>
              <w:t xml:space="preserve">2018 </w:t>
            </w:r>
            <w:r>
              <w:rPr>
                <w:rFonts w:hint="eastAsia" w:eastAsiaTheme="minorEastAsia"/>
                <w:color w:val="auto"/>
                <w:sz w:val="24"/>
                <w:lang w:val="en-US" w:eastAsia="zh-CN"/>
              </w:rPr>
              <w:t>年）》《有毒有害水污染物名录（第一批）》《优先控制化学品名录（第一批）》（公告</w:t>
            </w:r>
            <w:r>
              <w:rPr>
                <w:rFonts w:hint="default" w:eastAsiaTheme="minorEastAsia"/>
                <w:color w:val="auto"/>
                <w:sz w:val="24"/>
                <w:lang w:val="en-US" w:eastAsia="zh-CN"/>
              </w:rPr>
              <w:t>2017</w:t>
            </w:r>
            <w:r>
              <w:rPr>
                <w:rFonts w:hint="eastAsia" w:eastAsiaTheme="minorEastAsia"/>
                <w:color w:val="auto"/>
                <w:sz w:val="24"/>
                <w:lang w:val="en-US" w:eastAsia="zh-CN"/>
              </w:rPr>
              <w:t>年第</w:t>
            </w:r>
            <w:r>
              <w:rPr>
                <w:rFonts w:hint="default" w:eastAsiaTheme="minorEastAsia"/>
                <w:color w:val="auto"/>
                <w:sz w:val="24"/>
                <w:lang w:val="en-US" w:eastAsia="zh-CN"/>
              </w:rPr>
              <w:t>83</w:t>
            </w:r>
            <w:r>
              <w:rPr>
                <w:rFonts w:hint="eastAsia" w:eastAsiaTheme="minorEastAsia"/>
                <w:color w:val="auto"/>
                <w:sz w:val="24"/>
                <w:lang w:val="en-US" w:eastAsia="zh-CN"/>
              </w:rPr>
              <w:t>号）、《优先控制化学品名录（第二批）》（公告</w:t>
            </w:r>
            <w:r>
              <w:rPr>
                <w:rFonts w:hint="default" w:eastAsiaTheme="minorEastAsia"/>
                <w:color w:val="auto"/>
                <w:sz w:val="24"/>
                <w:lang w:val="en-US" w:eastAsia="zh-CN"/>
              </w:rPr>
              <w:t>2020</w:t>
            </w:r>
            <w:r>
              <w:rPr>
                <w:rFonts w:hint="eastAsia" w:eastAsiaTheme="minorEastAsia"/>
                <w:color w:val="auto"/>
                <w:sz w:val="24"/>
                <w:lang w:val="en-US" w:eastAsia="zh-CN"/>
              </w:rPr>
              <w:t>年第</w:t>
            </w:r>
            <w:r>
              <w:rPr>
                <w:rFonts w:hint="default" w:eastAsiaTheme="minorEastAsia"/>
                <w:color w:val="auto"/>
                <w:sz w:val="24"/>
                <w:lang w:val="en-US" w:eastAsia="zh-CN"/>
              </w:rPr>
              <w:t>47</w:t>
            </w:r>
            <w:r>
              <w:rPr>
                <w:rFonts w:hint="eastAsia" w:eastAsiaTheme="minorEastAsia"/>
                <w:color w:val="auto"/>
                <w:sz w:val="24"/>
                <w:lang w:val="en-US" w:eastAsia="zh-CN"/>
              </w:rPr>
              <w:t>号）以及《关于持久性有机污染物的斯德哥尔摩公约》附件中的污染物，因此无需开展相关工作。</w:t>
            </w:r>
          </w:p>
          <w:p w14:paraId="1CEC6C64">
            <w:pPr>
              <w:adjustRightInd w:val="0"/>
              <w:snapToGrid w:val="0"/>
              <w:spacing w:line="360" w:lineRule="auto"/>
              <w:ind w:firstLine="482" w:firstLineChars="200"/>
              <w:contextualSpacing/>
              <w:rPr>
                <w:rFonts w:eastAsiaTheme="minorEastAsia"/>
                <w:b/>
                <w:color w:val="auto"/>
                <w:kern w:val="0"/>
                <w:sz w:val="24"/>
              </w:rPr>
            </w:pPr>
            <w:r>
              <w:rPr>
                <w:rFonts w:hint="eastAsia" w:eastAsiaTheme="minorEastAsia"/>
                <w:b/>
                <w:color w:val="auto"/>
                <w:kern w:val="0"/>
                <w:sz w:val="24"/>
              </w:rPr>
              <w:t>7</w:t>
            </w:r>
            <w:r>
              <w:rPr>
                <w:rFonts w:eastAsiaTheme="minorEastAsia"/>
                <w:b/>
                <w:color w:val="auto"/>
                <w:kern w:val="0"/>
                <w:sz w:val="24"/>
              </w:rPr>
              <w:t>.其他相关文件相符性分析</w:t>
            </w:r>
          </w:p>
          <w:p w14:paraId="2478758C">
            <w:pPr>
              <w:adjustRightInd w:val="0"/>
              <w:snapToGrid w:val="0"/>
              <w:spacing w:line="360" w:lineRule="auto"/>
              <w:ind w:firstLine="480" w:firstLineChars="200"/>
              <w:contextualSpacing/>
              <w:rPr>
                <w:rFonts w:eastAsiaTheme="minorEastAsia"/>
                <w:color w:val="auto"/>
                <w:sz w:val="24"/>
              </w:rPr>
            </w:pPr>
            <w:r>
              <w:rPr>
                <w:rFonts w:eastAsiaTheme="minorEastAsia"/>
                <w:color w:val="auto"/>
                <w:sz w:val="24"/>
              </w:rPr>
              <w:t>对照</w:t>
            </w:r>
            <w:r>
              <w:rPr>
                <w:rFonts w:hint="eastAsia" w:eastAsiaTheme="minorEastAsia"/>
                <w:color w:val="auto"/>
                <w:sz w:val="24"/>
              </w:rPr>
              <w:t>《淮河流域水污染防治暂行条例》（2011年修订）、《关于做好生态环境和应急管理部门联动工作的意见》</w:t>
            </w:r>
            <w:r>
              <w:rPr>
                <w:rFonts w:hint="eastAsia" w:eastAsiaTheme="minorEastAsia"/>
                <w:color w:val="auto"/>
                <w:sz w:val="24"/>
                <w:lang w:eastAsia="zh-CN"/>
              </w:rPr>
              <w:t>（</w:t>
            </w:r>
            <w:r>
              <w:rPr>
                <w:rFonts w:hint="eastAsia" w:eastAsiaTheme="minorEastAsia"/>
                <w:color w:val="auto"/>
                <w:sz w:val="24"/>
              </w:rPr>
              <w:t>苏环办〔2020〕101号</w:t>
            </w:r>
            <w:r>
              <w:rPr>
                <w:rFonts w:hint="eastAsia" w:eastAsiaTheme="minorEastAsia"/>
                <w:color w:val="auto"/>
                <w:sz w:val="24"/>
                <w:lang w:eastAsia="zh-CN"/>
              </w:rPr>
              <w:t>）</w:t>
            </w:r>
            <w:r>
              <w:rPr>
                <w:rFonts w:eastAsiaTheme="minorEastAsia"/>
                <w:color w:val="auto"/>
                <w:sz w:val="24"/>
              </w:rPr>
              <w:t>等政策文件，本项目与其相符性分析见表1-1</w:t>
            </w:r>
            <w:r>
              <w:rPr>
                <w:rFonts w:hint="eastAsia" w:eastAsiaTheme="minorEastAsia"/>
                <w:color w:val="auto"/>
                <w:sz w:val="24"/>
                <w:lang w:val="en-US" w:eastAsia="zh-CN"/>
              </w:rPr>
              <w:t>2</w:t>
            </w:r>
            <w:r>
              <w:rPr>
                <w:rFonts w:eastAsiaTheme="minorEastAsia"/>
                <w:color w:val="auto"/>
                <w:sz w:val="24"/>
              </w:rPr>
              <w:t>。</w:t>
            </w:r>
          </w:p>
          <w:p w14:paraId="1F001DBA">
            <w:pPr>
              <w:pStyle w:val="169"/>
              <w:adjustRightInd w:val="0"/>
              <w:snapToGrid w:val="0"/>
              <w:spacing w:line="240" w:lineRule="auto"/>
              <w:rPr>
                <w:rFonts w:ascii="Times New Roman" w:hAnsi="Times New Roman" w:cs="Times New Roman" w:eastAsiaTheme="minorEastAsia"/>
                <w:color w:val="auto"/>
                <w:szCs w:val="24"/>
              </w:rPr>
            </w:pPr>
            <w:r>
              <w:rPr>
                <w:rFonts w:ascii="Times New Roman" w:hAnsi="Times New Roman" w:cs="Times New Roman" w:eastAsiaTheme="minorEastAsia"/>
                <w:color w:val="auto"/>
                <w:szCs w:val="24"/>
              </w:rPr>
              <w:t>表1-1</w:t>
            </w:r>
            <w:r>
              <w:rPr>
                <w:rFonts w:hint="eastAsia" w:ascii="Times New Roman" w:hAnsi="Times New Roman" w:cs="Times New Roman" w:eastAsiaTheme="minorEastAsia"/>
                <w:color w:val="auto"/>
                <w:szCs w:val="24"/>
                <w:lang w:val="en-US" w:eastAsia="zh-CN"/>
              </w:rPr>
              <w:t>2</w:t>
            </w:r>
            <w:r>
              <w:rPr>
                <w:rFonts w:ascii="Times New Roman" w:hAnsi="Times New Roman" w:cs="Times New Roman" w:eastAsiaTheme="minorEastAsia"/>
                <w:color w:val="auto"/>
                <w:szCs w:val="24"/>
              </w:rPr>
              <w:t xml:space="preserve">  建设项目与环保政策相符性分析表</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2266"/>
              <w:gridCol w:w="2695"/>
              <w:gridCol w:w="2082"/>
              <w:gridCol w:w="728"/>
            </w:tblGrid>
            <w:tr w14:paraId="552CF4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59" w:type="pct"/>
                  <w:vAlign w:val="center"/>
                </w:tcPr>
                <w:p w14:paraId="03437805">
                  <w:pPr>
                    <w:adjustRightInd w:val="0"/>
                    <w:snapToGrid w:val="0"/>
                    <w:jc w:val="center"/>
                    <w:rPr>
                      <w:rFonts w:eastAsiaTheme="minorEastAsia"/>
                      <w:bCs/>
                      <w:color w:val="auto"/>
                      <w:szCs w:val="21"/>
                    </w:rPr>
                  </w:pPr>
                  <w:r>
                    <w:rPr>
                      <w:rFonts w:eastAsiaTheme="minorEastAsia"/>
                      <w:bCs/>
                      <w:color w:val="auto"/>
                      <w:szCs w:val="21"/>
                    </w:rPr>
                    <w:t>序号</w:t>
                  </w:r>
                </w:p>
              </w:tc>
              <w:tc>
                <w:tcPr>
                  <w:tcW w:w="1382" w:type="pct"/>
                  <w:vAlign w:val="center"/>
                </w:tcPr>
                <w:p w14:paraId="75436070">
                  <w:pPr>
                    <w:adjustRightInd w:val="0"/>
                    <w:snapToGrid w:val="0"/>
                    <w:jc w:val="center"/>
                    <w:rPr>
                      <w:rFonts w:eastAsiaTheme="minorEastAsia"/>
                      <w:bCs/>
                      <w:color w:val="auto"/>
                      <w:szCs w:val="21"/>
                    </w:rPr>
                  </w:pPr>
                  <w:r>
                    <w:rPr>
                      <w:rFonts w:eastAsiaTheme="minorEastAsia"/>
                      <w:bCs/>
                      <w:color w:val="auto"/>
                      <w:szCs w:val="21"/>
                    </w:rPr>
                    <w:t>文件</w:t>
                  </w:r>
                </w:p>
              </w:tc>
              <w:tc>
                <w:tcPr>
                  <w:tcW w:w="1643" w:type="pct"/>
                  <w:vAlign w:val="center"/>
                </w:tcPr>
                <w:p w14:paraId="2858C869">
                  <w:pPr>
                    <w:adjustRightInd w:val="0"/>
                    <w:snapToGrid w:val="0"/>
                    <w:jc w:val="center"/>
                    <w:rPr>
                      <w:rFonts w:eastAsiaTheme="minorEastAsia"/>
                      <w:bCs/>
                      <w:color w:val="auto"/>
                      <w:szCs w:val="21"/>
                    </w:rPr>
                  </w:pPr>
                  <w:r>
                    <w:rPr>
                      <w:rFonts w:eastAsiaTheme="minorEastAsia"/>
                      <w:bCs/>
                      <w:color w:val="auto"/>
                      <w:szCs w:val="21"/>
                    </w:rPr>
                    <w:t>文件内容</w:t>
                  </w:r>
                </w:p>
              </w:tc>
              <w:tc>
                <w:tcPr>
                  <w:tcW w:w="1269" w:type="pct"/>
                  <w:vAlign w:val="center"/>
                </w:tcPr>
                <w:p w14:paraId="38F15029">
                  <w:pPr>
                    <w:adjustRightInd w:val="0"/>
                    <w:snapToGrid w:val="0"/>
                    <w:jc w:val="center"/>
                    <w:rPr>
                      <w:rFonts w:eastAsiaTheme="minorEastAsia"/>
                      <w:bCs/>
                      <w:color w:val="auto"/>
                      <w:szCs w:val="21"/>
                    </w:rPr>
                  </w:pPr>
                  <w:r>
                    <w:rPr>
                      <w:rFonts w:eastAsiaTheme="minorEastAsia"/>
                      <w:bCs/>
                      <w:color w:val="auto"/>
                      <w:szCs w:val="21"/>
                    </w:rPr>
                    <w:t>项目情况</w:t>
                  </w:r>
                </w:p>
              </w:tc>
              <w:tc>
                <w:tcPr>
                  <w:tcW w:w="444" w:type="pct"/>
                  <w:vAlign w:val="center"/>
                </w:tcPr>
                <w:p w14:paraId="43B96728">
                  <w:pPr>
                    <w:adjustRightInd w:val="0"/>
                    <w:snapToGrid w:val="0"/>
                    <w:jc w:val="center"/>
                    <w:rPr>
                      <w:rFonts w:eastAsiaTheme="minorEastAsia"/>
                      <w:bCs/>
                      <w:color w:val="auto"/>
                      <w:szCs w:val="21"/>
                    </w:rPr>
                  </w:pPr>
                  <w:r>
                    <w:rPr>
                      <w:rFonts w:eastAsiaTheme="minorEastAsia"/>
                      <w:bCs/>
                      <w:color w:val="auto"/>
                      <w:szCs w:val="21"/>
                    </w:rPr>
                    <w:t>符合情况</w:t>
                  </w:r>
                </w:p>
              </w:tc>
            </w:tr>
            <w:tr w14:paraId="2999B5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59" w:type="pct"/>
                  <w:vAlign w:val="center"/>
                </w:tcPr>
                <w:p w14:paraId="29D1FC98">
                  <w:pPr>
                    <w:adjustRightInd w:val="0"/>
                    <w:snapToGrid w:val="0"/>
                    <w:jc w:val="center"/>
                    <w:rPr>
                      <w:rFonts w:hint="eastAsia" w:eastAsiaTheme="minorEastAsia"/>
                      <w:color w:val="auto"/>
                      <w:szCs w:val="21"/>
                      <w:lang w:eastAsia="zh-CN"/>
                    </w:rPr>
                  </w:pPr>
                  <w:r>
                    <w:rPr>
                      <w:rFonts w:hint="eastAsia" w:eastAsiaTheme="minorEastAsia"/>
                      <w:color w:val="auto"/>
                      <w:szCs w:val="21"/>
                      <w:lang w:val="en-US" w:eastAsia="zh-CN"/>
                    </w:rPr>
                    <w:t>1</w:t>
                  </w:r>
                </w:p>
              </w:tc>
              <w:tc>
                <w:tcPr>
                  <w:tcW w:w="1382" w:type="pct"/>
                  <w:vAlign w:val="center"/>
                </w:tcPr>
                <w:p w14:paraId="26634838">
                  <w:pPr>
                    <w:pStyle w:val="199"/>
                    <w:rPr>
                      <w:rFonts w:ascii="Times New Roman" w:hAnsi="Times New Roman" w:eastAsia="宋体"/>
                      <w:color w:val="auto"/>
                      <w:sz w:val="21"/>
                      <w:szCs w:val="21"/>
                    </w:rPr>
                  </w:pPr>
                  <w:r>
                    <w:rPr>
                      <w:rFonts w:ascii="Times New Roman" w:hAnsi="Times New Roman" w:eastAsia="宋体"/>
                      <w:color w:val="auto"/>
                      <w:sz w:val="21"/>
                      <w:szCs w:val="21"/>
                    </w:rPr>
                    <w:t>《淮河流域水污染防治暂行条例》（2011年修订）</w:t>
                  </w:r>
                </w:p>
              </w:tc>
              <w:tc>
                <w:tcPr>
                  <w:tcW w:w="1643" w:type="pct"/>
                  <w:vAlign w:val="center"/>
                </w:tcPr>
                <w:p w14:paraId="2BD38114">
                  <w:pPr>
                    <w:pStyle w:val="199"/>
                    <w:rPr>
                      <w:rFonts w:ascii="Times New Roman" w:hAnsi="Times New Roman" w:eastAsia="宋体"/>
                      <w:color w:val="auto"/>
                      <w:sz w:val="21"/>
                      <w:szCs w:val="21"/>
                    </w:rPr>
                  </w:pPr>
                  <w:r>
                    <w:rPr>
                      <w:rFonts w:ascii="Times New Roman" w:hAnsi="Times New Roman" w:eastAsia="宋体"/>
                      <w:color w:val="auto"/>
                      <w:sz w:val="21"/>
                      <w:szCs w:val="21"/>
                      <w:lang w:val="fr-FR"/>
                    </w:rPr>
                    <w:t>禁止在淮河流域新建化学制浆造纸企业。禁止在淮河流域新建制革、化工、印染、电镀、酿造等污染严重的小型企业。严格限制在淮河流域新建前款所列大中型项目或者其他污染严重的项目；建设该类项目的，必须事先征得有关省人民政府环境保护行政主管部门的同意，并报国务院环境保护行政主管部门备案。</w:t>
                  </w:r>
                </w:p>
              </w:tc>
              <w:tc>
                <w:tcPr>
                  <w:tcW w:w="1269" w:type="pct"/>
                  <w:vAlign w:val="center"/>
                </w:tcPr>
                <w:p w14:paraId="2D25BDBD">
                  <w:pPr>
                    <w:pStyle w:val="199"/>
                    <w:rPr>
                      <w:rFonts w:ascii="Times New Roman" w:hAnsi="Times New Roman" w:eastAsia="宋体"/>
                      <w:color w:val="auto"/>
                      <w:sz w:val="21"/>
                      <w:szCs w:val="21"/>
                    </w:rPr>
                  </w:pPr>
                  <w:r>
                    <w:rPr>
                      <w:rFonts w:ascii="Times New Roman" w:hAnsi="Times New Roman" w:eastAsia="宋体"/>
                      <w:color w:val="auto"/>
                      <w:sz w:val="21"/>
                      <w:szCs w:val="21"/>
                    </w:rPr>
                    <w:t>项目</w:t>
                  </w:r>
                  <w:r>
                    <w:rPr>
                      <w:rFonts w:ascii="Times New Roman" w:hAnsi="Times New Roman" w:eastAsiaTheme="minorEastAsia"/>
                      <w:color w:val="auto"/>
                      <w:sz w:val="21"/>
                      <w:szCs w:val="21"/>
                    </w:rPr>
                    <w:t>为</w:t>
                  </w:r>
                  <w:r>
                    <w:rPr>
                      <w:rFonts w:hint="eastAsia" w:ascii="Times New Roman" w:hAnsi="Times New Roman" w:eastAsiaTheme="minorEastAsia"/>
                      <w:color w:val="auto"/>
                      <w:sz w:val="21"/>
                      <w:szCs w:val="21"/>
                      <w:lang w:eastAsia="zh-CN"/>
                    </w:rPr>
                    <w:t>三氯化磷及原料储存安全提升技改项目</w:t>
                  </w:r>
                  <w:r>
                    <w:rPr>
                      <w:rFonts w:ascii="Times New Roman" w:hAnsi="Times New Roman" w:eastAsia="宋体"/>
                      <w:color w:val="auto"/>
                      <w:sz w:val="21"/>
                      <w:szCs w:val="21"/>
                    </w:rPr>
                    <w:t>，属于</w:t>
                  </w:r>
                  <w:r>
                    <w:rPr>
                      <w:rFonts w:hint="eastAsia" w:ascii="Times New Roman" w:hAnsi="Times New Roman" w:eastAsia="宋体"/>
                      <w:color w:val="auto"/>
                      <w:sz w:val="21"/>
                      <w:szCs w:val="21"/>
                      <w:lang w:eastAsia="zh-CN"/>
                    </w:rPr>
                    <w:t>现有项目配套仓储项目</w:t>
                  </w:r>
                  <w:r>
                    <w:rPr>
                      <w:rFonts w:ascii="Times New Roman" w:hAnsi="Times New Roman" w:eastAsia="宋体"/>
                      <w:color w:val="auto"/>
                      <w:sz w:val="21"/>
                      <w:szCs w:val="21"/>
                    </w:rPr>
                    <w:t>，</w:t>
                  </w:r>
                  <w:r>
                    <w:rPr>
                      <w:rFonts w:ascii="Times New Roman" w:hAnsi="Times New Roman" w:eastAsia="宋体"/>
                      <w:color w:val="auto"/>
                      <w:sz w:val="21"/>
                      <w:szCs w:val="21"/>
                      <w:lang w:val="fr-FR"/>
                    </w:rPr>
                    <w:t>不属于《淮河流域水污染防治暂行条例》中相关条款的严格限制类产业，因此本项目与</w:t>
                  </w:r>
                  <w:r>
                    <w:rPr>
                      <w:rFonts w:hint="eastAsia" w:ascii="Times New Roman" w:hAnsi="Times New Roman" w:eastAsia="宋体"/>
                      <w:color w:val="auto"/>
                      <w:sz w:val="21"/>
                      <w:szCs w:val="21"/>
                      <w:lang w:val="fr-FR" w:eastAsia="zh-CN"/>
                    </w:rPr>
                    <w:t>《淮河流域水污染防治暂行条例》</w:t>
                  </w:r>
                  <w:r>
                    <w:rPr>
                      <w:rFonts w:ascii="Times New Roman" w:hAnsi="Times New Roman" w:eastAsia="宋体"/>
                      <w:color w:val="auto"/>
                      <w:sz w:val="21"/>
                      <w:szCs w:val="21"/>
                      <w:lang w:val="fr-FR"/>
                    </w:rPr>
                    <w:t>是相</w:t>
                  </w:r>
                  <w:r>
                    <w:rPr>
                      <w:rFonts w:hint="eastAsia" w:ascii="Times New Roman" w:hAnsi="Times New Roman" w:eastAsia="宋体"/>
                      <w:color w:val="auto"/>
                      <w:sz w:val="21"/>
                      <w:szCs w:val="21"/>
                      <w:lang w:val="fr-FR" w:eastAsia="zh-CN"/>
                    </w:rPr>
                    <w:t>符</w:t>
                  </w:r>
                  <w:r>
                    <w:rPr>
                      <w:rFonts w:ascii="Times New Roman" w:hAnsi="Times New Roman" w:eastAsia="宋体"/>
                      <w:color w:val="auto"/>
                      <w:sz w:val="21"/>
                      <w:szCs w:val="21"/>
                      <w:lang w:val="fr-FR"/>
                    </w:rPr>
                    <w:t>的。</w:t>
                  </w:r>
                </w:p>
              </w:tc>
              <w:tc>
                <w:tcPr>
                  <w:tcW w:w="444" w:type="pct"/>
                  <w:vAlign w:val="center"/>
                </w:tcPr>
                <w:p w14:paraId="002FD07A">
                  <w:pPr>
                    <w:pStyle w:val="199"/>
                    <w:rPr>
                      <w:rFonts w:ascii="Times New Roman" w:hAnsi="Times New Roman" w:eastAsia="宋体"/>
                      <w:color w:val="auto"/>
                      <w:sz w:val="21"/>
                      <w:szCs w:val="21"/>
                    </w:rPr>
                  </w:pPr>
                  <w:r>
                    <w:rPr>
                      <w:rFonts w:ascii="Times New Roman" w:hAnsi="Times New Roman" w:eastAsia="宋体"/>
                      <w:color w:val="auto"/>
                      <w:sz w:val="21"/>
                      <w:szCs w:val="21"/>
                    </w:rPr>
                    <w:t>相符</w:t>
                  </w:r>
                </w:p>
              </w:tc>
            </w:tr>
            <w:tr w14:paraId="5B22C4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59" w:type="pct"/>
                  <w:vAlign w:val="center"/>
                </w:tcPr>
                <w:p w14:paraId="33082DA6">
                  <w:pPr>
                    <w:adjustRightInd w:val="0"/>
                    <w:snapToGrid w:val="0"/>
                    <w:jc w:val="center"/>
                    <w:rPr>
                      <w:rFonts w:hint="eastAsia" w:eastAsiaTheme="minorEastAsia"/>
                      <w:color w:val="auto"/>
                      <w:szCs w:val="21"/>
                      <w:lang w:eastAsia="zh-CN"/>
                    </w:rPr>
                  </w:pPr>
                  <w:r>
                    <w:rPr>
                      <w:rFonts w:hint="eastAsia" w:eastAsiaTheme="minorEastAsia"/>
                      <w:color w:val="auto"/>
                      <w:szCs w:val="21"/>
                      <w:lang w:val="en-US" w:eastAsia="zh-CN"/>
                    </w:rPr>
                    <w:t>2</w:t>
                  </w:r>
                </w:p>
              </w:tc>
              <w:tc>
                <w:tcPr>
                  <w:tcW w:w="1382" w:type="pct"/>
                  <w:vAlign w:val="center"/>
                </w:tcPr>
                <w:p w14:paraId="3FCF5506">
                  <w:pPr>
                    <w:pStyle w:val="199"/>
                    <w:rPr>
                      <w:rFonts w:ascii="Times New Roman" w:hAnsi="Times New Roman" w:eastAsia="宋体"/>
                      <w:color w:val="auto"/>
                      <w:sz w:val="21"/>
                      <w:szCs w:val="21"/>
                    </w:rPr>
                  </w:pPr>
                  <w:r>
                    <w:rPr>
                      <w:rFonts w:ascii="Times New Roman" w:hAnsi="Times New Roman" w:eastAsia="宋体"/>
                      <w:color w:val="auto"/>
                      <w:sz w:val="21"/>
                      <w:szCs w:val="21"/>
                    </w:rPr>
                    <w:t>《关于做好生态环境和应急管理部门联动工作的意见》</w:t>
                  </w:r>
                  <w:r>
                    <w:rPr>
                      <w:rFonts w:hint="eastAsia" w:ascii="Times New Roman" w:hAnsi="Times New Roman" w:eastAsia="宋体"/>
                      <w:color w:val="auto"/>
                      <w:sz w:val="21"/>
                      <w:szCs w:val="21"/>
                      <w:lang w:eastAsia="zh-CN"/>
                    </w:rPr>
                    <w:t>（</w:t>
                  </w:r>
                  <w:r>
                    <w:rPr>
                      <w:rFonts w:ascii="Times New Roman" w:hAnsi="Times New Roman" w:eastAsia="宋体"/>
                      <w:color w:val="auto"/>
                      <w:sz w:val="21"/>
                      <w:szCs w:val="21"/>
                    </w:rPr>
                    <w:t>苏环办〔2020〕101号</w:t>
                  </w:r>
                  <w:r>
                    <w:rPr>
                      <w:rFonts w:hint="eastAsia" w:ascii="Times New Roman" w:hAnsi="Times New Roman" w:eastAsia="宋体"/>
                      <w:color w:val="auto"/>
                      <w:sz w:val="21"/>
                      <w:szCs w:val="21"/>
                      <w:lang w:eastAsia="zh-CN"/>
                    </w:rPr>
                    <w:t>）</w:t>
                  </w:r>
                </w:p>
              </w:tc>
              <w:tc>
                <w:tcPr>
                  <w:tcW w:w="1643" w:type="pct"/>
                  <w:vAlign w:val="center"/>
                </w:tcPr>
                <w:p w14:paraId="2BE3D822">
                  <w:pPr>
                    <w:pStyle w:val="199"/>
                    <w:jc w:val="left"/>
                    <w:rPr>
                      <w:rFonts w:ascii="Times New Roman" w:hAnsi="Times New Roman" w:eastAsia="宋体"/>
                      <w:color w:val="auto"/>
                      <w:sz w:val="21"/>
                      <w:szCs w:val="21"/>
                    </w:rPr>
                  </w:pPr>
                  <w:r>
                    <w:rPr>
                      <w:rFonts w:ascii="Times New Roman" w:hAnsi="Times New Roman" w:eastAsia="宋体"/>
                      <w:color w:val="auto"/>
                      <w:sz w:val="21"/>
                      <w:szCs w:val="21"/>
                    </w:rPr>
                    <w:t>企业要切实履行好从危险废物产生、收集、贮存、运输、利用、处置等环节各项环保和安全职责；要制定危险废物管理计划并报属地生态环境部门备案。</w:t>
                  </w:r>
                </w:p>
                <w:p w14:paraId="69DE4A56">
                  <w:pPr>
                    <w:pStyle w:val="199"/>
                    <w:jc w:val="left"/>
                    <w:rPr>
                      <w:rFonts w:ascii="Times New Roman" w:hAnsi="Times New Roman" w:eastAsia="宋体"/>
                      <w:color w:val="auto"/>
                      <w:sz w:val="21"/>
                      <w:szCs w:val="21"/>
                    </w:rPr>
                  </w:pPr>
                  <w:r>
                    <w:rPr>
                      <w:rFonts w:ascii="Times New Roman" w:hAnsi="Times New Roman" w:eastAsia="宋体"/>
                      <w:color w:val="auto"/>
                      <w:sz w:val="21"/>
                      <w:szCs w:val="21"/>
                    </w:rPr>
                    <w:t>企业要对脱硫脱硝、煤改气、挥发性有机物回收、污水处理、粉尘制粒、RTO焚烧炉等六类环境治理设施开展安全风险辨识管控，要健全内部污染防治设施稳定运行和管理责任制度，严格依据标准规范建设环境治理设施，确保环境治理设施安全、稳定、有效运行。</w:t>
                  </w:r>
                </w:p>
              </w:tc>
              <w:tc>
                <w:tcPr>
                  <w:tcW w:w="1269" w:type="pct"/>
                  <w:vAlign w:val="center"/>
                </w:tcPr>
                <w:p w14:paraId="0F23D44E">
                  <w:pPr>
                    <w:pStyle w:val="199"/>
                    <w:jc w:val="left"/>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项目无固废产生</w:t>
                  </w:r>
                </w:p>
              </w:tc>
              <w:tc>
                <w:tcPr>
                  <w:tcW w:w="444" w:type="pct"/>
                  <w:vAlign w:val="center"/>
                </w:tcPr>
                <w:p w14:paraId="5FDEEE66">
                  <w:pPr>
                    <w:jc w:val="center"/>
                    <w:rPr>
                      <w:color w:val="auto"/>
                      <w:szCs w:val="21"/>
                    </w:rPr>
                  </w:pPr>
                  <w:r>
                    <w:rPr>
                      <w:color w:val="auto"/>
                      <w:szCs w:val="21"/>
                    </w:rPr>
                    <w:t>相符</w:t>
                  </w:r>
                </w:p>
              </w:tc>
            </w:tr>
            <w:tr w14:paraId="22D36C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59" w:type="pct"/>
                  <w:vAlign w:val="center"/>
                </w:tcPr>
                <w:p w14:paraId="05DC11F9">
                  <w:pPr>
                    <w:adjustRightInd w:val="0"/>
                    <w:snapToGrid w:val="0"/>
                    <w:jc w:val="center"/>
                    <w:rPr>
                      <w:rFonts w:hint="default" w:eastAsiaTheme="minorEastAsia"/>
                      <w:color w:val="auto"/>
                      <w:szCs w:val="21"/>
                      <w:lang w:val="en-US" w:eastAsia="zh-CN"/>
                    </w:rPr>
                  </w:pPr>
                  <w:r>
                    <w:rPr>
                      <w:rFonts w:hint="eastAsia" w:eastAsiaTheme="minorEastAsia"/>
                      <w:color w:val="auto"/>
                      <w:szCs w:val="21"/>
                      <w:lang w:val="en-US" w:eastAsia="zh-CN"/>
                    </w:rPr>
                    <w:t>3</w:t>
                  </w:r>
                </w:p>
              </w:tc>
              <w:tc>
                <w:tcPr>
                  <w:tcW w:w="1382" w:type="pct"/>
                  <w:vAlign w:val="center"/>
                </w:tcPr>
                <w:p w14:paraId="2B11234C">
                  <w:pPr>
                    <w:pStyle w:val="199"/>
                    <w:rPr>
                      <w:rFonts w:ascii="Times New Roman" w:hAnsi="Times New Roman" w:eastAsia="宋体"/>
                      <w:color w:val="auto"/>
                      <w:sz w:val="21"/>
                      <w:szCs w:val="21"/>
                    </w:rPr>
                  </w:pPr>
                  <w:r>
                    <w:rPr>
                      <w:rFonts w:hint="eastAsia" w:ascii="Times New Roman" w:hAnsi="Times New Roman" w:eastAsia="宋体"/>
                      <w:color w:val="auto"/>
                      <w:sz w:val="21"/>
                      <w:szCs w:val="21"/>
                    </w:rPr>
                    <w:t>《省生态环境厅关于加强重点管控新污染物和优先控制化学品环境管理工作的通知》（苏环办〔2023〕314号）</w:t>
                  </w:r>
                </w:p>
              </w:tc>
              <w:tc>
                <w:tcPr>
                  <w:tcW w:w="1643" w:type="pct"/>
                  <w:shd w:val="clear" w:color="auto" w:fill="auto"/>
                  <w:vAlign w:val="center"/>
                </w:tcPr>
                <w:p w14:paraId="149FF4B3">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落实《重点管控新污染物清单》环境风险管控措施</w:t>
                  </w:r>
                  <w:r>
                    <w:rPr>
                      <w:rFonts w:hint="eastAsia"/>
                      <w:color w:val="auto"/>
                      <w:szCs w:val="21"/>
                      <w:lang w:eastAsia="zh-CN"/>
                    </w:rPr>
                    <w:t>：按照《重点管控新污染物清单（2023年版）》要求，对列入清单的重点管控新污染物，采取相应的禁止、限制、限排、环境监测、隐患排查、环境风险评估等环境风险管控措施。涉重点管控新污染物的企业依照《环境监管重点单位名录管理办法》纳入环境监管重点单位。针对重点管控新污染物清单中环境风险管控措施的落实情况，会同有关部门每年至少组织开展一次联合执法或联合检查，依法严厉打击已淘汰持久性有机污染物等管控物质的非法生产和加工使用行为。</w:t>
                  </w:r>
                </w:p>
              </w:tc>
              <w:tc>
                <w:tcPr>
                  <w:tcW w:w="1269" w:type="pct"/>
                  <w:shd w:val="clear" w:color="auto" w:fill="auto"/>
                  <w:vAlign w:val="center"/>
                </w:tcPr>
                <w:p w14:paraId="12E7F533">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建设</w:t>
                  </w:r>
                  <w:r>
                    <w:rPr>
                      <w:rFonts w:hint="eastAsia"/>
                      <w:color w:val="auto"/>
                      <w:szCs w:val="21"/>
                    </w:rPr>
                    <w:t>项目不涉及重点管控新污染物</w:t>
                  </w:r>
                  <w:r>
                    <w:rPr>
                      <w:rFonts w:hint="eastAsia"/>
                      <w:color w:val="auto"/>
                      <w:szCs w:val="21"/>
                      <w:lang w:eastAsia="zh-CN"/>
                    </w:rPr>
                    <w:t>和优先控制化学品</w:t>
                  </w:r>
                </w:p>
              </w:tc>
              <w:tc>
                <w:tcPr>
                  <w:tcW w:w="444" w:type="pct"/>
                  <w:vAlign w:val="center"/>
                </w:tcPr>
                <w:p w14:paraId="7F9F1E0E">
                  <w:pPr>
                    <w:jc w:val="center"/>
                    <w:rPr>
                      <w:rFonts w:hint="eastAsia" w:eastAsia="宋体"/>
                      <w:color w:val="auto"/>
                      <w:szCs w:val="21"/>
                      <w:lang w:eastAsia="zh-CN"/>
                    </w:rPr>
                  </w:pPr>
                  <w:r>
                    <w:rPr>
                      <w:rFonts w:hint="eastAsia"/>
                      <w:color w:val="auto"/>
                      <w:szCs w:val="21"/>
                      <w:lang w:eastAsia="zh-CN"/>
                    </w:rPr>
                    <w:t>符合</w:t>
                  </w:r>
                </w:p>
              </w:tc>
            </w:tr>
            <w:tr w14:paraId="355D41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59" w:type="pct"/>
                  <w:vMerge w:val="restart"/>
                  <w:vAlign w:val="center"/>
                </w:tcPr>
                <w:p w14:paraId="3537BBC2">
                  <w:pPr>
                    <w:adjustRightInd w:val="0"/>
                    <w:snapToGrid w:val="0"/>
                    <w:jc w:val="center"/>
                    <w:rPr>
                      <w:rFonts w:hint="default" w:eastAsiaTheme="minorEastAsia"/>
                      <w:color w:val="auto"/>
                      <w:szCs w:val="21"/>
                      <w:lang w:val="en-US" w:eastAsia="zh-CN"/>
                    </w:rPr>
                  </w:pPr>
                  <w:r>
                    <w:rPr>
                      <w:rFonts w:hint="eastAsia" w:eastAsiaTheme="minorEastAsia"/>
                      <w:color w:val="auto"/>
                      <w:szCs w:val="21"/>
                      <w:lang w:val="en-US" w:eastAsia="zh-CN"/>
                    </w:rPr>
                    <w:t>4</w:t>
                  </w:r>
                </w:p>
              </w:tc>
              <w:tc>
                <w:tcPr>
                  <w:tcW w:w="1382" w:type="pct"/>
                  <w:vMerge w:val="restart"/>
                  <w:vAlign w:val="center"/>
                </w:tcPr>
                <w:p w14:paraId="24AC7FF4">
                  <w:pPr>
                    <w:pStyle w:val="199"/>
                    <w:rPr>
                      <w:rFonts w:ascii="Times New Roman" w:hAnsi="Times New Roman" w:eastAsia="宋体"/>
                      <w:color w:val="auto"/>
                      <w:sz w:val="21"/>
                      <w:szCs w:val="21"/>
                    </w:rPr>
                  </w:pPr>
                  <w:r>
                    <w:rPr>
                      <w:rFonts w:hint="eastAsia" w:ascii="Times New Roman" w:hAnsi="Times New Roman" w:eastAsia="宋体"/>
                      <w:color w:val="auto"/>
                      <w:sz w:val="21"/>
                      <w:szCs w:val="21"/>
                    </w:rPr>
                    <w:t>《省政府关于加快推动化工产业高质量发展的意见》（苏政规</w:t>
                  </w:r>
                  <w:r>
                    <w:rPr>
                      <w:rFonts w:hint="eastAsia" w:ascii="Times New Roman" w:hAnsi="Times New Roman" w:eastAsia="宋体"/>
                      <w:color w:val="auto"/>
                      <w:sz w:val="21"/>
                      <w:szCs w:val="21"/>
                      <w:lang w:eastAsia="zh-CN"/>
                    </w:rPr>
                    <w:t>〔2024〕9号</w:t>
                  </w:r>
                  <w:r>
                    <w:rPr>
                      <w:rFonts w:hint="eastAsia" w:ascii="Times New Roman" w:hAnsi="Times New Roman" w:eastAsia="宋体"/>
                      <w:color w:val="auto"/>
                      <w:sz w:val="21"/>
                      <w:szCs w:val="21"/>
                    </w:rPr>
                    <w:t>）</w:t>
                  </w:r>
                </w:p>
              </w:tc>
              <w:tc>
                <w:tcPr>
                  <w:tcW w:w="1643" w:type="pct"/>
                  <w:vAlign w:val="center"/>
                </w:tcPr>
                <w:p w14:paraId="181235F2">
                  <w:pPr>
                    <w:pStyle w:val="199"/>
                    <w:jc w:val="left"/>
                    <w:rPr>
                      <w:rFonts w:ascii="Times New Roman" w:hAnsi="Times New Roman" w:eastAsia="宋体"/>
                      <w:color w:val="auto"/>
                      <w:sz w:val="21"/>
                      <w:szCs w:val="21"/>
                    </w:rPr>
                  </w:pPr>
                  <w:r>
                    <w:rPr>
                      <w:rFonts w:hint="eastAsia" w:ascii="Times New Roman" w:hAnsi="Times New Roman" w:eastAsia="宋体"/>
                      <w:color w:val="auto"/>
                      <w:sz w:val="21"/>
                      <w:szCs w:val="21"/>
                    </w:rPr>
                    <w:t>新建化工项目原则上应在化工园区和化工重点监测点企业实施，引导支持园区外化工生产企业搬迁入园，推动化工产业集约集聚发展。以物理加工为主要生产方式的非危险化学品生产项目、有机肥料及微生物肥料制造以及为其他行业配套的二氧化碳捕集、可再生能源发电制氢、工业气体项目可以在化工园区外实施，支持润滑油、涂料等以物理加工为主要生产方式的区域特色产业进入合规园区整合集聚发展。禁止在长江干支流岸线边界（即水利部门河道管理范围边界）一公里范围内新建、扩建化工园区和化工项目。</w:t>
                  </w:r>
                </w:p>
              </w:tc>
              <w:tc>
                <w:tcPr>
                  <w:tcW w:w="1269" w:type="pct"/>
                  <w:vAlign w:val="center"/>
                </w:tcPr>
                <w:p w14:paraId="578FF97D">
                  <w:pPr>
                    <w:pStyle w:val="199"/>
                    <w:jc w:val="left"/>
                    <w:rPr>
                      <w:rFonts w:hint="eastAsia" w:ascii="Times New Roman" w:hAnsi="Times New Roman" w:eastAsia="宋体"/>
                      <w:color w:val="auto"/>
                      <w:sz w:val="21"/>
                      <w:szCs w:val="21"/>
                      <w:lang w:eastAsia="zh-CN"/>
                    </w:rPr>
                  </w:pPr>
                  <w:r>
                    <w:rPr>
                      <w:rFonts w:ascii="Times New Roman" w:hAnsi="Times New Roman" w:eastAsia="宋体"/>
                      <w:color w:val="auto"/>
                      <w:sz w:val="21"/>
                      <w:szCs w:val="21"/>
                    </w:rPr>
                    <w:t>项目</w:t>
                  </w:r>
                  <w:r>
                    <w:rPr>
                      <w:rFonts w:ascii="Times New Roman" w:hAnsi="Times New Roman" w:eastAsiaTheme="minorEastAsia"/>
                      <w:color w:val="auto"/>
                      <w:sz w:val="21"/>
                      <w:szCs w:val="21"/>
                    </w:rPr>
                    <w:t>为</w:t>
                  </w:r>
                  <w:r>
                    <w:rPr>
                      <w:rFonts w:hint="eastAsia" w:ascii="Times New Roman" w:hAnsi="Times New Roman" w:eastAsiaTheme="minorEastAsia"/>
                      <w:color w:val="auto"/>
                      <w:sz w:val="21"/>
                      <w:szCs w:val="21"/>
                      <w:lang w:eastAsia="zh-CN"/>
                    </w:rPr>
                    <w:t>三氯化磷及原料储存安全提升技改项目</w:t>
                  </w:r>
                  <w:r>
                    <w:rPr>
                      <w:rFonts w:ascii="Times New Roman" w:hAnsi="Times New Roman" w:eastAsia="宋体"/>
                      <w:color w:val="auto"/>
                      <w:sz w:val="21"/>
                      <w:szCs w:val="21"/>
                    </w:rPr>
                    <w:t>，属于</w:t>
                  </w:r>
                  <w:r>
                    <w:rPr>
                      <w:rFonts w:hint="eastAsia" w:ascii="Times New Roman" w:hAnsi="Times New Roman" w:eastAsia="宋体"/>
                      <w:color w:val="auto"/>
                      <w:sz w:val="21"/>
                      <w:szCs w:val="21"/>
                      <w:lang w:eastAsia="zh-CN"/>
                    </w:rPr>
                    <w:t>现有项目配套仓储项目</w:t>
                  </w:r>
                  <w:r>
                    <w:rPr>
                      <w:rFonts w:ascii="Times New Roman" w:hAnsi="Times New Roman" w:eastAsia="宋体"/>
                      <w:color w:val="auto"/>
                      <w:sz w:val="21"/>
                      <w:szCs w:val="21"/>
                    </w:rPr>
                    <w:t>，</w:t>
                  </w:r>
                  <w:r>
                    <w:rPr>
                      <w:rFonts w:hint="eastAsia" w:ascii="Times New Roman" w:hAnsi="Times New Roman" w:eastAsia="宋体"/>
                      <w:color w:val="auto"/>
                      <w:sz w:val="21"/>
                      <w:szCs w:val="21"/>
                      <w:lang w:eastAsia="zh-CN"/>
                    </w:rPr>
                    <w:t>不属于新建化工项目，本项目建设单位为淮安华源化工有限公司，已取得化工重点监测点认定，项目位于淮安市涟水经济开发区循环经济产业园，不在长江干支流</w:t>
                  </w:r>
                  <w:r>
                    <w:rPr>
                      <w:rFonts w:hint="eastAsia" w:ascii="Times New Roman" w:hAnsi="Times New Roman" w:eastAsia="宋体"/>
                      <w:color w:val="auto"/>
                      <w:sz w:val="21"/>
                      <w:szCs w:val="21"/>
                    </w:rPr>
                    <w:t>岸线边界一公里范围内</w:t>
                  </w:r>
                </w:p>
              </w:tc>
              <w:tc>
                <w:tcPr>
                  <w:tcW w:w="444" w:type="pct"/>
                  <w:vAlign w:val="center"/>
                </w:tcPr>
                <w:p w14:paraId="19A1CC25">
                  <w:pPr>
                    <w:jc w:val="center"/>
                    <w:rPr>
                      <w:color w:val="auto"/>
                      <w:szCs w:val="21"/>
                    </w:rPr>
                  </w:pPr>
                  <w:r>
                    <w:rPr>
                      <w:rFonts w:hint="eastAsia"/>
                      <w:color w:val="auto"/>
                      <w:szCs w:val="21"/>
                      <w:lang w:eastAsia="zh-CN"/>
                    </w:rPr>
                    <w:t>符合</w:t>
                  </w:r>
                </w:p>
              </w:tc>
            </w:tr>
            <w:tr w14:paraId="6E63DC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59" w:type="pct"/>
                  <w:vMerge w:val="continue"/>
                  <w:vAlign w:val="center"/>
                </w:tcPr>
                <w:p w14:paraId="7689A478">
                  <w:pPr>
                    <w:adjustRightInd w:val="0"/>
                    <w:snapToGrid w:val="0"/>
                    <w:jc w:val="center"/>
                    <w:rPr>
                      <w:rFonts w:hint="eastAsia" w:eastAsiaTheme="minorEastAsia"/>
                      <w:color w:val="auto"/>
                      <w:szCs w:val="21"/>
                      <w:lang w:val="en-US" w:eastAsia="zh-CN"/>
                    </w:rPr>
                  </w:pPr>
                </w:p>
              </w:tc>
              <w:tc>
                <w:tcPr>
                  <w:tcW w:w="1382" w:type="pct"/>
                  <w:vMerge w:val="continue"/>
                  <w:vAlign w:val="center"/>
                </w:tcPr>
                <w:p w14:paraId="2B0A5556">
                  <w:pPr>
                    <w:pStyle w:val="199"/>
                    <w:rPr>
                      <w:rFonts w:ascii="Times New Roman" w:hAnsi="Times New Roman" w:eastAsia="宋体"/>
                      <w:color w:val="auto"/>
                      <w:sz w:val="21"/>
                      <w:szCs w:val="21"/>
                    </w:rPr>
                  </w:pPr>
                </w:p>
              </w:tc>
              <w:tc>
                <w:tcPr>
                  <w:tcW w:w="1643" w:type="pct"/>
                  <w:vAlign w:val="center"/>
                </w:tcPr>
                <w:p w14:paraId="6CD22280">
                  <w:pPr>
                    <w:pStyle w:val="199"/>
                    <w:jc w:val="left"/>
                    <w:rPr>
                      <w:rFonts w:ascii="Times New Roman" w:hAnsi="Times New Roman" w:eastAsia="宋体"/>
                      <w:color w:val="auto"/>
                      <w:sz w:val="21"/>
                      <w:szCs w:val="21"/>
                    </w:rPr>
                  </w:pPr>
                  <w:r>
                    <w:rPr>
                      <w:rFonts w:hint="eastAsia" w:ascii="Times New Roman" w:hAnsi="Times New Roman" w:eastAsia="宋体"/>
                      <w:color w:val="auto"/>
                      <w:sz w:val="21"/>
                      <w:szCs w:val="21"/>
                    </w:rPr>
                    <w:t>化工园区外企业搬迁入园确有困难的，可以通过提升安全环保管理和技术创新能力认定为化工重点监测点。化工重点监测点可以在不新增供地、不增加主要污染物排放总量的情况下新建、改建、扩建化工项目；确需增加主要污染物排放总量的，由设区市人民政府研究后在县级行政区域内调剂平衡。园区外其他企业（非化工重点监测点）在不新增产品类别、不增加主要污染物排放总量、提升本质安全环保水平的前提下，可以实施提升改造项目。</w:t>
                  </w:r>
                </w:p>
              </w:tc>
              <w:tc>
                <w:tcPr>
                  <w:tcW w:w="1269" w:type="pct"/>
                  <w:vAlign w:val="center"/>
                </w:tcPr>
                <w:p w14:paraId="61BCCBC9">
                  <w:pPr>
                    <w:pStyle w:val="199"/>
                    <w:jc w:val="left"/>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建设</w:t>
                  </w:r>
                  <w:r>
                    <w:rPr>
                      <w:rFonts w:ascii="Times New Roman" w:hAnsi="Times New Roman" w:eastAsia="宋体"/>
                      <w:color w:val="auto"/>
                      <w:sz w:val="21"/>
                      <w:szCs w:val="21"/>
                    </w:rPr>
                    <w:t>项目</w:t>
                  </w:r>
                  <w:r>
                    <w:rPr>
                      <w:rFonts w:hint="eastAsia" w:ascii="Times New Roman" w:hAnsi="Times New Roman" w:eastAsia="宋体"/>
                      <w:color w:val="auto"/>
                      <w:sz w:val="21"/>
                      <w:szCs w:val="21"/>
                      <w:lang w:eastAsia="zh-CN"/>
                    </w:rPr>
                    <w:t>位于江苏涟水经济开发区循环经济产业园，</w:t>
                  </w:r>
                  <w:r>
                    <w:rPr>
                      <w:rFonts w:ascii="Times New Roman" w:hAnsi="Times New Roman" w:eastAsiaTheme="minorEastAsia"/>
                      <w:color w:val="auto"/>
                      <w:sz w:val="21"/>
                      <w:szCs w:val="21"/>
                    </w:rPr>
                    <w:t>为</w:t>
                  </w:r>
                  <w:r>
                    <w:rPr>
                      <w:rFonts w:hint="eastAsia" w:ascii="Times New Roman" w:hAnsi="Times New Roman" w:eastAsiaTheme="minorEastAsia"/>
                      <w:color w:val="auto"/>
                      <w:sz w:val="21"/>
                      <w:szCs w:val="21"/>
                      <w:lang w:eastAsia="zh-CN"/>
                    </w:rPr>
                    <w:t>三氯化磷及原料储存安全提升技改项目</w:t>
                  </w:r>
                  <w:r>
                    <w:rPr>
                      <w:rFonts w:ascii="Times New Roman" w:hAnsi="Times New Roman" w:eastAsia="宋体"/>
                      <w:color w:val="auto"/>
                      <w:sz w:val="21"/>
                      <w:szCs w:val="21"/>
                    </w:rPr>
                    <w:t>，属于</w:t>
                  </w:r>
                  <w:r>
                    <w:rPr>
                      <w:rFonts w:hint="eastAsia" w:ascii="Times New Roman" w:hAnsi="Times New Roman" w:eastAsia="宋体"/>
                      <w:color w:val="auto"/>
                      <w:sz w:val="21"/>
                      <w:szCs w:val="21"/>
                      <w:lang w:eastAsia="zh-CN"/>
                    </w:rPr>
                    <w:t>现有项目配套仓储项目</w:t>
                  </w:r>
                  <w:r>
                    <w:rPr>
                      <w:rFonts w:ascii="Times New Roman" w:hAnsi="Times New Roman" w:eastAsia="宋体"/>
                      <w:color w:val="auto"/>
                      <w:sz w:val="21"/>
                      <w:szCs w:val="21"/>
                    </w:rPr>
                    <w:t>，</w:t>
                  </w:r>
                  <w:r>
                    <w:rPr>
                      <w:rFonts w:hint="eastAsia" w:ascii="Times New Roman" w:hAnsi="Times New Roman" w:eastAsia="宋体"/>
                      <w:color w:val="auto"/>
                      <w:sz w:val="21"/>
                      <w:szCs w:val="21"/>
                      <w:lang w:eastAsia="zh-CN"/>
                    </w:rPr>
                    <w:t>不属于新建化工项目，项目建设单位为淮安华源化工有限公司，已取得化工重点监测点认定</w:t>
                  </w:r>
                </w:p>
              </w:tc>
              <w:tc>
                <w:tcPr>
                  <w:tcW w:w="444" w:type="pct"/>
                  <w:vAlign w:val="center"/>
                </w:tcPr>
                <w:p w14:paraId="2AB5A07C">
                  <w:pPr>
                    <w:jc w:val="center"/>
                    <w:rPr>
                      <w:color w:val="auto"/>
                      <w:szCs w:val="21"/>
                    </w:rPr>
                  </w:pPr>
                  <w:r>
                    <w:rPr>
                      <w:rFonts w:hint="eastAsia"/>
                      <w:color w:val="auto"/>
                      <w:szCs w:val="21"/>
                      <w:lang w:eastAsia="zh-CN"/>
                    </w:rPr>
                    <w:t>符合</w:t>
                  </w:r>
                </w:p>
              </w:tc>
            </w:tr>
            <w:tr w14:paraId="48BA5D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59" w:type="pct"/>
                  <w:vMerge w:val="continue"/>
                  <w:vAlign w:val="center"/>
                </w:tcPr>
                <w:p w14:paraId="396C230B">
                  <w:pPr>
                    <w:adjustRightInd w:val="0"/>
                    <w:snapToGrid w:val="0"/>
                    <w:jc w:val="center"/>
                    <w:rPr>
                      <w:rFonts w:hint="eastAsia" w:eastAsiaTheme="minorEastAsia"/>
                      <w:color w:val="auto"/>
                      <w:szCs w:val="21"/>
                      <w:lang w:val="en-US" w:eastAsia="zh-CN"/>
                    </w:rPr>
                  </w:pPr>
                </w:p>
              </w:tc>
              <w:tc>
                <w:tcPr>
                  <w:tcW w:w="1382" w:type="pct"/>
                  <w:vMerge w:val="continue"/>
                  <w:vAlign w:val="center"/>
                </w:tcPr>
                <w:p w14:paraId="52DDCB90">
                  <w:pPr>
                    <w:pStyle w:val="199"/>
                    <w:rPr>
                      <w:rFonts w:ascii="Times New Roman" w:hAnsi="Times New Roman" w:eastAsia="宋体"/>
                      <w:color w:val="auto"/>
                      <w:sz w:val="21"/>
                      <w:szCs w:val="21"/>
                    </w:rPr>
                  </w:pPr>
                </w:p>
              </w:tc>
              <w:tc>
                <w:tcPr>
                  <w:tcW w:w="1643" w:type="pct"/>
                  <w:vAlign w:val="center"/>
                </w:tcPr>
                <w:p w14:paraId="784B0607">
                  <w:pPr>
                    <w:pStyle w:val="199"/>
                    <w:jc w:val="left"/>
                    <w:rPr>
                      <w:rFonts w:ascii="Times New Roman" w:hAnsi="Times New Roman" w:eastAsia="宋体"/>
                      <w:color w:val="auto"/>
                      <w:sz w:val="21"/>
                      <w:szCs w:val="21"/>
                    </w:rPr>
                  </w:pPr>
                  <w:r>
                    <w:rPr>
                      <w:rFonts w:hint="eastAsia" w:ascii="Times New Roman" w:hAnsi="Times New Roman" w:eastAsia="宋体"/>
                      <w:color w:val="auto"/>
                      <w:sz w:val="21"/>
                      <w:szCs w:val="21"/>
                    </w:rPr>
                    <w:t>严格执行国家和省产业结构调整指导目录，深入开展落后生产工艺装备排查，坚决关停淘汰类生产工艺装备。强化安全、环保、能效、质量等标准硬约束，持续压减技术指标相对落后的低端低效产能。支持化工园区内优质企业整合重组低效产能，推动存量优化，提升发展质量和效益。</w:t>
                  </w:r>
                </w:p>
              </w:tc>
              <w:tc>
                <w:tcPr>
                  <w:tcW w:w="1269" w:type="pct"/>
                  <w:vAlign w:val="center"/>
                </w:tcPr>
                <w:p w14:paraId="4CE79A31">
                  <w:pPr>
                    <w:pStyle w:val="199"/>
                    <w:jc w:val="left"/>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建设</w:t>
                  </w:r>
                  <w:r>
                    <w:rPr>
                      <w:rFonts w:ascii="Times New Roman" w:hAnsi="Times New Roman" w:eastAsia="宋体"/>
                      <w:color w:val="auto"/>
                      <w:sz w:val="21"/>
                      <w:szCs w:val="21"/>
                    </w:rPr>
                    <w:t>项目</w:t>
                  </w:r>
                  <w:r>
                    <w:rPr>
                      <w:rFonts w:hint="eastAsia" w:ascii="Times New Roman" w:hAnsi="Times New Roman" w:eastAsia="宋体"/>
                      <w:color w:val="auto"/>
                      <w:sz w:val="21"/>
                      <w:szCs w:val="21"/>
                      <w:lang w:eastAsia="zh-CN"/>
                    </w:rPr>
                    <w:t>位于江苏涟水经济开发区循环经济产业园，</w:t>
                  </w:r>
                  <w:r>
                    <w:rPr>
                      <w:rFonts w:ascii="Times New Roman" w:hAnsi="Times New Roman" w:eastAsiaTheme="minorEastAsia"/>
                      <w:color w:val="auto"/>
                      <w:sz w:val="21"/>
                      <w:szCs w:val="21"/>
                    </w:rPr>
                    <w:t>为</w:t>
                  </w:r>
                  <w:r>
                    <w:rPr>
                      <w:rFonts w:hint="eastAsia" w:ascii="Times New Roman" w:hAnsi="Times New Roman" w:eastAsiaTheme="minorEastAsia"/>
                      <w:color w:val="auto"/>
                      <w:sz w:val="21"/>
                      <w:szCs w:val="21"/>
                      <w:lang w:eastAsia="zh-CN"/>
                    </w:rPr>
                    <w:t>三氯化磷及原料储存安全提升技改项目</w:t>
                  </w:r>
                  <w:r>
                    <w:rPr>
                      <w:rFonts w:ascii="Times New Roman" w:hAnsi="Times New Roman" w:eastAsia="宋体"/>
                      <w:color w:val="auto"/>
                      <w:sz w:val="21"/>
                      <w:szCs w:val="21"/>
                    </w:rPr>
                    <w:t>，属于</w:t>
                  </w:r>
                  <w:r>
                    <w:rPr>
                      <w:rFonts w:hint="eastAsia" w:ascii="Times New Roman" w:hAnsi="Times New Roman" w:eastAsia="宋体"/>
                      <w:color w:val="auto"/>
                      <w:sz w:val="21"/>
                      <w:szCs w:val="21"/>
                      <w:lang w:eastAsia="zh-CN"/>
                    </w:rPr>
                    <w:t>现有项目配套仓储项目</w:t>
                  </w:r>
                  <w:r>
                    <w:rPr>
                      <w:rFonts w:ascii="Times New Roman" w:hAnsi="Times New Roman" w:eastAsia="宋体"/>
                      <w:color w:val="auto"/>
                      <w:sz w:val="21"/>
                      <w:szCs w:val="21"/>
                    </w:rPr>
                    <w:t>，</w:t>
                  </w:r>
                  <w:r>
                    <w:rPr>
                      <w:rFonts w:hint="eastAsia" w:ascii="Times New Roman" w:hAnsi="Times New Roman" w:eastAsia="宋体"/>
                      <w:color w:val="auto"/>
                      <w:sz w:val="21"/>
                      <w:szCs w:val="21"/>
                      <w:lang w:eastAsia="zh-CN"/>
                    </w:rPr>
                    <w:t>不属于新建化工项目，项目建设单位为淮安华源化工有限公司，已取得化工重点监测点认定，现有项目不涉及国家禁止和淘汰工艺</w:t>
                  </w:r>
                </w:p>
              </w:tc>
              <w:tc>
                <w:tcPr>
                  <w:tcW w:w="444" w:type="pct"/>
                  <w:vAlign w:val="center"/>
                </w:tcPr>
                <w:p w14:paraId="606BB9A4">
                  <w:pPr>
                    <w:jc w:val="center"/>
                    <w:rPr>
                      <w:color w:val="auto"/>
                      <w:szCs w:val="21"/>
                    </w:rPr>
                  </w:pPr>
                  <w:r>
                    <w:rPr>
                      <w:rFonts w:hint="eastAsia"/>
                      <w:color w:val="auto"/>
                      <w:szCs w:val="21"/>
                      <w:lang w:eastAsia="zh-CN"/>
                    </w:rPr>
                    <w:t>符合</w:t>
                  </w:r>
                </w:p>
              </w:tc>
            </w:tr>
          </w:tbl>
          <w:p w14:paraId="3669C982">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textAlignment w:val="auto"/>
              <w:rPr>
                <w:rFonts w:eastAsiaTheme="minorEastAsia"/>
                <w:color w:val="auto"/>
                <w:sz w:val="24"/>
              </w:rPr>
            </w:pPr>
            <w:r>
              <w:rPr>
                <w:rFonts w:eastAsiaTheme="minorEastAsia"/>
                <w:color w:val="auto"/>
                <w:sz w:val="24"/>
              </w:rPr>
              <w:t>综上，本项目的建设符合省市相关环保规划文件要求。</w:t>
            </w:r>
          </w:p>
          <w:p w14:paraId="37F0AE56">
            <w:pPr>
              <w:pStyle w:val="40"/>
              <w:rPr>
                <w:rFonts w:eastAsiaTheme="minorEastAsia"/>
                <w:color w:val="auto"/>
                <w:sz w:val="24"/>
              </w:rPr>
            </w:pPr>
          </w:p>
        </w:tc>
      </w:tr>
    </w:tbl>
    <w:p w14:paraId="74164576">
      <w:pPr>
        <w:pStyle w:val="81"/>
        <w:jc w:val="center"/>
        <w:outlineLvl w:val="0"/>
        <w:rPr>
          <w:rFonts w:ascii="Times New Roman" w:hAnsi="Times New Roman" w:eastAsia="黑体" w:cs="Times New Roman"/>
          <w:snapToGrid w:val="0"/>
          <w:color w:val="auto"/>
          <w:sz w:val="30"/>
          <w:szCs w:val="30"/>
        </w:rPr>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14:paraId="2A4598EA">
      <w:pPr>
        <w:pStyle w:val="81"/>
        <w:spacing w:before="0" w:beforeAutospacing="0" w:after="0" w:afterAutospacing="0"/>
        <w:jc w:val="center"/>
        <w:outlineLvl w:val="0"/>
        <w:rPr>
          <w:rFonts w:ascii="Times New Roman" w:hAnsi="Times New Roman" w:eastAsia="黑体" w:cs="Times New Roman"/>
          <w:snapToGrid w:val="0"/>
          <w:color w:val="auto"/>
          <w:sz w:val="30"/>
          <w:szCs w:val="30"/>
        </w:rPr>
      </w:pPr>
      <w:bookmarkStart w:id="18" w:name="_Toc7955"/>
      <w:r>
        <w:rPr>
          <w:rFonts w:ascii="Times New Roman" w:hAnsi="Times New Roman" w:eastAsia="黑体" w:cs="Times New Roman"/>
          <w:snapToGrid w:val="0"/>
          <w:color w:val="auto"/>
          <w:sz w:val="30"/>
          <w:szCs w:val="30"/>
        </w:rPr>
        <w:t>二、建设项目工程分析</w:t>
      </w:r>
      <w:bookmarkEnd w:id="18"/>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4"/>
        <w:gridCol w:w="8630"/>
      </w:tblGrid>
      <w:tr w14:paraId="2A32FC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85" w:hRule="atLeast"/>
          <w:jc w:val="center"/>
        </w:trPr>
        <w:tc>
          <w:tcPr>
            <w:tcW w:w="354" w:type="dxa"/>
            <w:vAlign w:val="center"/>
          </w:tcPr>
          <w:p w14:paraId="57E477F5">
            <w:pPr>
              <w:pStyle w:val="81"/>
              <w:adjustRightInd w:val="0"/>
              <w:snapToGrid w:val="0"/>
              <w:spacing w:before="0" w:beforeAutospacing="0" w:after="0" w:afterAutospacing="0"/>
              <w:jc w:val="center"/>
              <w:rPr>
                <w:rFonts w:ascii="Times New Roman" w:hAnsi="Times New Roman" w:cs="Times New Roman"/>
                <w:color w:val="auto"/>
                <w:szCs w:val="24"/>
              </w:rPr>
            </w:pPr>
            <w:r>
              <w:rPr>
                <w:rFonts w:ascii="Times New Roman" w:hAnsi="Times New Roman" w:cs="Times New Roman"/>
                <w:color w:val="auto"/>
                <w:szCs w:val="24"/>
              </w:rPr>
              <w:t>建设内容</w:t>
            </w:r>
          </w:p>
        </w:tc>
        <w:tc>
          <w:tcPr>
            <w:tcW w:w="8630" w:type="dxa"/>
          </w:tcPr>
          <w:p w14:paraId="22709ACC">
            <w:pPr>
              <w:adjustRightInd w:val="0"/>
              <w:snapToGrid w:val="0"/>
              <w:spacing w:line="360" w:lineRule="auto"/>
              <w:ind w:firstLine="482" w:firstLineChars="200"/>
              <w:rPr>
                <w:rFonts w:eastAsiaTheme="minorEastAsia"/>
                <w:b/>
                <w:color w:val="auto"/>
                <w:sz w:val="24"/>
              </w:rPr>
            </w:pPr>
            <w:r>
              <w:rPr>
                <w:rFonts w:eastAsiaTheme="minorEastAsia"/>
                <w:b/>
                <w:color w:val="auto"/>
                <w:sz w:val="24"/>
              </w:rPr>
              <w:t>2.1项目由来</w:t>
            </w:r>
          </w:p>
          <w:p w14:paraId="4073E09B">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auto"/>
                <w:kern w:val="2"/>
                <w:sz w:val="24"/>
                <w:szCs w:val="24"/>
                <w:lang w:val="en-US" w:eastAsia="zh-CN" w:bidi="ar-SA"/>
              </w:rPr>
            </w:pPr>
            <w:bookmarkStart w:id="19" w:name="OLE_LINK15"/>
            <w:bookmarkStart w:id="20" w:name="OLE_LINK14"/>
            <w:r>
              <w:rPr>
                <w:rFonts w:hint="default" w:ascii="Times New Roman" w:hAnsi="Times New Roman" w:cs="Times New Roman" w:eastAsiaTheme="minorEastAsia"/>
                <w:color w:val="auto"/>
                <w:kern w:val="2"/>
                <w:sz w:val="24"/>
                <w:szCs w:val="24"/>
                <w:lang w:val="en-US" w:eastAsia="zh-CN" w:bidi="ar-SA"/>
              </w:rPr>
              <w:t>淮安华源化工有限公司成立于2006年，公司曾用名为涟水华源合成化工有限公司，位于江苏涟水经济开发区循环经济产业园纬十四路2号，全厂总占地面积为25726.95m</w:t>
            </w:r>
            <w:r>
              <w:rPr>
                <w:rFonts w:hint="default" w:ascii="Times New Roman" w:hAnsi="Times New Roman" w:cs="Times New Roman" w:eastAsiaTheme="minorEastAsia"/>
                <w:color w:val="auto"/>
                <w:kern w:val="2"/>
                <w:sz w:val="24"/>
                <w:szCs w:val="24"/>
                <w:vertAlign w:val="superscript"/>
                <w:lang w:val="en-US" w:eastAsia="zh-CN" w:bidi="ar-SA"/>
              </w:rPr>
              <w:t>2</w:t>
            </w:r>
            <w:r>
              <w:rPr>
                <w:rFonts w:hint="default" w:ascii="Times New Roman" w:hAnsi="Times New Roman" w:cs="Times New Roman" w:eastAsiaTheme="minorEastAsia"/>
                <w:color w:val="auto"/>
                <w:kern w:val="2"/>
                <w:sz w:val="24"/>
                <w:szCs w:val="24"/>
                <w:lang w:val="en-US" w:eastAsia="zh-CN" w:bidi="ar-SA"/>
              </w:rPr>
              <w:t>（约38.6亩），主要从事危险化学品生产和销售</w:t>
            </w:r>
            <w:r>
              <w:rPr>
                <w:rFonts w:hint="eastAsia" w:ascii="Times New Roman" w:hAnsi="Times New Roman" w:cs="Times New Roman" w:eastAsiaTheme="minorEastAsia"/>
                <w:color w:val="auto"/>
                <w:kern w:val="2"/>
                <w:sz w:val="24"/>
                <w:szCs w:val="24"/>
                <w:lang w:val="en-US" w:eastAsia="zh-CN" w:bidi="ar-SA"/>
              </w:rPr>
              <w:t>，目前已进行二期环评。</w:t>
            </w:r>
          </w:p>
          <w:p w14:paraId="7090B40C">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eastAsia="zh-CN"/>
              </w:rPr>
            </w:pPr>
            <w:r>
              <w:rPr>
                <w:rFonts w:hint="eastAsia" w:ascii="Times New Roman" w:hAnsi="Times New Roman" w:cs="Times New Roman" w:eastAsiaTheme="minorEastAsia"/>
                <w:color w:val="auto"/>
                <w:kern w:val="2"/>
                <w:sz w:val="24"/>
                <w:szCs w:val="24"/>
                <w:lang w:val="en-US" w:eastAsia="zh-CN" w:bidi="ar-SA"/>
              </w:rPr>
              <w:t>一期</w:t>
            </w:r>
            <w:r>
              <w:rPr>
                <w:rFonts w:hint="eastAsia" w:ascii="Times New Roman" w:cs="Times New Roman" w:eastAsiaTheme="minorEastAsia"/>
                <w:color w:val="auto"/>
                <w:kern w:val="2"/>
                <w:sz w:val="24"/>
                <w:szCs w:val="24"/>
                <w:lang w:val="en-US" w:eastAsia="zh-CN" w:bidi="ar-SA"/>
              </w:rPr>
              <w:t>“</w:t>
            </w:r>
            <w:r>
              <w:rPr>
                <w:rFonts w:hint="default" w:ascii="Times New Roman" w:hAnsi="Times New Roman" w:cs="Times New Roman" w:eastAsiaTheme="minorEastAsia"/>
                <w:color w:val="auto"/>
                <w:kern w:val="2"/>
                <w:sz w:val="24"/>
                <w:szCs w:val="24"/>
                <w:lang w:val="en-US" w:eastAsia="zh-CN" w:bidi="ar-SA"/>
              </w:rPr>
              <w:t>年产38000吨三氯氧磷系列产品搬迁改造项目</w:t>
            </w:r>
            <w:r>
              <w:rPr>
                <w:rFonts w:hint="eastAsia" w:ascii="Times New Roman" w:cs="Times New Roman" w:eastAsiaTheme="minorEastAsia"/>
                <w:color w:val="auto"/>
                <w:kern w:val="2"/>
                <w:sz w:val="24"/>
                <w:szCs w:val="24"/>
                <w:lang w:val="en-US" w:eastAsia="zh-CN" w:bidi="ar-SA"/>
              </w:rPr>
              <w:t>”</w:t>
            </w:r>
            <w:r>
              <w:rPr>
                <w:rFonts w:hint="eastAsia" w:ascii="Times New Roman" w:hAnsi="Times New Roman" w:cs="Times New Roman" w:eastAsiaTheme="minorEastAsia"/>
                <w:color w:val="auto"/>
                <w:kern w:val="2"/>
                <w:sz w:val="24"/>
                <w:szCs w:val="24"/>
                <w:lang w:val="en-US" w:eastAsia="zh-CN" w:bidi="ar-SA"/>
              </w:rPr>
              <w:t>于2007年取得</w:t>
            </w:r>
            <w:r>
              <w:rPr>
                <w:rFonts w:hint="default" w:ascii="Times New Roman" w:hAnsi="Times New Roman" w:cs="Times New Roman" w:eastAsiaTheme="minorEastAsia"/>
                <w:color w:val="auto"/>
                <w:kern w:val="2"/>
                <w:sz w:val="24"/>
                <w:szCs w:val="24"/>
                <w:lang w:val="en-US" w:eastAsia="zh-CN" w:bidi="ar-SA"/>
              </w:rPr>
              <w:t>淮安市经济贸易委员会备案（备案号：3208000704022），环境影响评价报告书于2009年9月取得淮安市环境保护局批复（批复文号：淮环发〔2009〕22号），于2012年3月试生产，2013年2月通过环保“三同时验收”。企业因实际生产内容与验收内容存在变动，于2022年11月编写了验收后变动环境影响分析报告，主要变动内容：由于市场原因，华源化工取消了部分产品（3000t/a 异丙基化磷酸三苯酯（IPPP）、3000t/a磷酸三丁氧基乙基酯（TBEP））、三氯化磷/三氯氧磷装置生产取</w:t>
            </w:r>
            <w:r>
              <w:rPr>
                <w:rFonts w:hint="default" w:ascii="Times New Roman" w:hAnsi="Times New Roman" w:eastAsia="宋体" w:cs="Times New Roman"/>
                <w:color w:val="auto"/>
                <w:sz w:val="24"/>
                <w:szCs w:val="24"/>
                <w:lang w:eastAsia="zh-CN"/>
              </w:rPr>
              <w:t>消了精馏及蒸馏、取消了加热油炉采用集中供热。</w:t>
            </w:r>
          </w:p>
          <w:p w14:paraId="3BC843CE">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由于电子级产品应用前景广阔，公司对产品延伸升级，提高产品市场竞争力，为此开展</w:t>
            </w:r>
            <w:r>
              <w:rPr>
                <w:rFonts w:hint="eastAsia" w:ascii="Times New Roman" w:eastAsia="宋体" w:cs="Times New Roman"/>
                <w:color w:val="auto"/>
                <w:sz w:val="24"/>
                <w:szCs w:val="24"/>
                <w:lang w:eastAsia="zh-CN"/>
              </w:rPr>
              <w:t>二期“</w:t>
            </w:r>
            <w:r>
              <w:rPr>
                <w:rFonts w:hint="default" w:ascii="Times New Roman" w:hAnsi="Times New Roman" w:eastAsia="宋体" w:cs="Times New Roman"/>
                <w:color w:val="auto"/>
                <w:sz w:val="24"/>
                <w:szCs w:val="24"/>
                <w:lang w:eastAsia="zh-CN"/>
              </w:rPr>
              <w:t>年产14.5万吨三氯氧磷（其中电子级0.5万吨）、11万吨电子级五氯化磷技改项目</w:t>
            </w:r>
            <w:r>
              <w:rPr>
                <w:rFonts w:hint="eastAsia" w:asci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，该项目环境影响评价报告书于2023年9月19日取得淮安市生态环境局批复（批复文号：淮环发〔2023〕125号）</w:t>
            </w:r>
            <w:r>
              <w:rPr>
                <w:rFonts w:hint="eastAsia" w:ascii="Times New Roman" w:eastAsia="宋体" w:cs="Times New Roman"/>
                <w:color w:val="auto"/>
                <w:sz w:val="24"/>
                <w:szCs w:val="24"/>
                <w:lang w:eastAsia="zh-CN"/>
              </w:rPr>
              <w:t>，并于</w:t>
            </w:r>
            <w:r>
              <w:rPr>
                <w:rFonts w:hint="eastAsia" w:ascii="Times New Roman" w:eastAsia="宋体" w:cs="Times New Roman"/>
                <w:color w:val="auto"/>
                <w:sz w:val="24"/>
                <w:szCs w:val="24"/>
                <w:lang w:val="en-US" w:eastAsia="zh-CN"/>
              </w:rPr>
              <w:t>2025年5月通过环保“三同时”验收，至此，现有厂区实际生产规模为</w:t>
            </w:r>
            <w:r>
              <w:rPr>
                <w:rFonts w:hint="default" w:ascii="Times New Roman" w:hAnsi="Times New Roman" w:eastAsia="宋体" w:cs="Times New Roman"/>
                <w:color w:val="auto"/>
                <w:sz w:val="24"/>
                <w:szCs w:val="24"/>
                <w:lang w:eastAsia="zh-CN"/>
              </w:rPr>
              <w:t>年产1</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万吨三氯氧磷（其中电子级0.5万吨）、11万吨电子级五氯化磷</w:t>
            </w:r>
            <w:r>
              <w:rPr>
                <w:rFonts w:hint="eastAsia" w:ascii="Times New Roman" w:hAnsi="Times New Roman" w:eastAsia="宋体" w:cs="Times New Roman"/>
                <w:color w:val="auto"/>
                <w:sz w:val="24"/>
                <w:szCs w:val="24"/>
                <w:lang w:eastAsia="zh-CN"/>
              </w:rPr>
              <w:t>、三氯化磷</w:t>
            </w:r>
            <w:r>
              <w:rPr>
                <w:rFonts w:hint="eastAsia" w:ascii="Times New Roman" w:hAnsi="Times New Roman" w:eastAsia="宋体" w:cs="Times New Roman"/>
                <w:color w:val="auto"/>
                <w:sz w:val="24"/>
                <w:szCs w:val="24"/>
                <w:lang w:val="en-US" w:eastAsia="zh-CN"/>
              </w:rPr>
              <w:t>1.4万吨（其中380吨外售，其余自用）</w:t>
            </w:r>
            <w:r>
              <w:rPr>
                <w:rFonts w:hint="eastAsia" w:ascii="Times New Roman" w:hAnsi="Times New Roman" w:eastAsia="宋体" w:cs="Times New Roman"/>
                <w:color w:val="auto"/>
                <w:sz w:val="24"/>
                <w:szCs w:val="24"/>
                <w:lang w:eastAsia="zh-CN"/>
              </w:rPr>
              <w:t>。</w:t>
            </w:r>
          </w:p>
          <w:p w14:paraId="3DC43CBE">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rFonts w:hint="eastAsia" w:ascii="Times New Roman" w:eastAsia="宋体" w:cs="Times New Roman"/>
                <w:color w:val="auto"/>
                <w:sz w:val="24"/>
                <w:szCs w:val="24"/>
                <w:lang w:eastAsia="zh-CN"/>
              </w:rPr>
              <w:t>为了减少实验室废气对周围环境的影响，企业</w:t>
            </w:r>
            <w:r>
              <w:rPr>
                <w:rFonts w:hint="eastAsia" w:ascii="Times New Roman" w:eastAsia="宋体" w:cs="Times New Roman"/>
                <w:color w:val="auto"/>
                <w:sz w:val="24"/>
                <w:szCs w:val="24"/>
                <w:lang w:val="en-US" w:eastAsia="zh-CN"/>
              </w:rPr>
              <w:t>对实验室废气进行收集处理，实验室废气采用通风橱收集+一级活性炭吸附+5m排气筒排放，目前已取得环评登记，登记编号：202532082600000069，目前实验室废气处理装置正常运行。</w:t>
            </w:r>
          </w:p>
          <w:p w14:paraId="7AC7535D">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企业于2023年12月20日重新申领了排污许可证，排污许可编号为913208267855626437001V，有效期自2023年12月20日至2028年12月19日。</w:t>
            </w:r>
          </w:p>
          <w:p w14:paraId="6594C3C0">
            <w:pPr>
              <w:adjustRightInd w:val="0"/>
              <w:snapToGrid w:val="0"/>
              <w:spacing w:line="360" w:lineRule="auto"/>
              <w:ind w:firstLine="480" w:firstLineChars="200"/>
              <w:rPr>
                <w:rFonts w:hint="eastAsia" w:eastAsiaTheme="minorEastAsia"/>
                <w:color w:val="auto"/>
                <w:sz w:val="24"/>
              </w:rPr>
            </w:pPr>
            <w:r>
              <w:rPr>
                <w:rFonts w:hint="eastAsia" w:eastAsiaTheme="minorEastAsia"/>
                <w:color w:val="auto"/>
                <w:sz w:val="24"/>
              </w:rPr>
              <w:t>公司现有液氯储存装置为液氯罐式集装箱，根据最新的国家标准《化工企业氯气安全技术规范》（GB11984-2024），从2025年8月1日起不再允许将液氯罐式集装箱作为液氯储存设施使用。</w:t>
            </w:r>
          </w:p>
          <w:p w14:paraId="01E8C827">
            <w:pPr>
              <w:adjustRightInd w:val="0"/>
              <w:snapToGrid w:val="0"/>
              <w:spacing w:line="360" w:lineRule="auto"/>
              <w:ind w:firstLine="480" w:firstLineChars="200"/>
              <w:rPr>
                <w:rFonts w:hint="eastAsia" w:eastAsiaTheme="minorEastAsia"/>
                <w:color w:val="auto"/>
                <w:sz w:val="24"/>
                <w:lang w:val="en-US" w:eastAsia="zh-CN"/>
              </w:rPr>
            </w:pPr>
            <w:r>
              <w:rPr>
                <w:rFonts w:hint="eastAsia" w:eastAsiaTheme="minorEastAsia"/>
                <w:color w:val="auto"/>
                <w:sz w:val="24"/>
                <w:lang w:val="en-US" w:eastAsia="zh-CN"/>
              </w:rPr>
              <w:t>现有项目黄磷年用量为49169.224t，</w:t>
            </w:r>
            <w:r>
              <w:rPr>
                <w:rFonts w:hint="eastAsia" w:eastAsiaTheme="minorEastAsia"/>
                <w:color w:val="auto"/>
                <w:sz w:val="24"/>
                <w:lang w:eastAsia="zh-CN"/>
              </w:rPr>
              <w:t>目前厂区内黄磷池黄磷最大储存量为</w:t>
            </w:r>
            <w:r>
              <w:rPr>
                <w:rFonts w:hint="eastAsia" w:eastAsiaTheme="minorEastAsia"/>
                <w:color w:val="auto"/>
                <w:sz w:val="24"/>
                <w:lang w:val="en-US" w:eastAsia="zh-CN"/>
              </w:rPr>
              <w:t>852.6t，可供厂区生产5天，实际生产过程中，由于上游来源或运输不稳定等问题，将会出现黄磷不足，项目被迫停产的情况。</w:t>
            </w:r>
          </w:p>
          <w:p w14:paraId="63E6612F">
            <w:pPr>
              <w:adjustRightInd w:val="0"/>
              <w:snapToGrid w:val="0"/>
              <w:spacing w:line="360" w:lineRule="auto"/>
              <w:ind w:firstLine="480" w:firstLineChars="200"/>
              <w:rPr>
                <w:rFonts w:hint="eastAsia" w:eastAsiaTheme="minorEastAsia"/>
                <w:color w:val="auto"/>
                <w:sz w:val="24"/>
                <w:lang w:eastAsia="zh-CN"/>
              </w:rPr>
            </w:pPr>
            <w:r>
              <w:rPr>
                <w:rFonts w:hint="eastAsia" w:eastAsiaTheme="minorEastAsia"/>
                <w:color w:val="auto"/>
                <w:sz w:val="24"/>
                <w:lang w:eastAsia="zh-CN"/>
              </w:rPr>
              <w:t>因此，</w:t>
            </w:r>
            <w:r>
              <w:rPr>
                <w:rFonts w:hint="eastAsia" w:eastAsiaTheme="minorEastAsia"/>
                <w:color w:val="auto"/>
                <w:sz w:val="24"/>
              </w:rPr>
              <w:t>为了适应新规范，确保生产的可持续性，华源化工拟按照新规范对液氯罐式集装箱装卸场地内的液氯储存设施</w:t>
            </w:r>
            <w:r>
              <w:rPr>
                <w:rFonts w:hint="eastAsia" w:eastAsiaTheme="minorEastAsia"/>
                <w:color w:val="auto"/>
                <w:sz w:val="24"/>
                <w:lang w:eastAsia="zh-CN"/>
              </w:rPr>
              <w:t>和黄磷池</w:t>
            </w:r>
            <w:r>
              <w:rPr>
                <w:rFonts w:hint="eastAsia" w:eastAsiaTheme="minorEastAsia"/>
                <w:color w:val="auto"/>
                <w:sz w:val="24"/>
              </w:rPr>
              <w:t>进行安全提升改造</w:t>
            </w:r>
            <w:r>
              <w:rPr>
                <w:rFonts w:hint="eastAsia" w:eastAsiaTheme="minorEastAsia"/>
                <w:color w:val="auto"/>
                <w:sz w:val="24"/>
                <w:lang w:eastAsia="zh-CN"/>
              </w:rPr>
              <w:t>。</w:t>
            </w:r>
          </w:p>
          <w:p w14:paraId="604732A8">
            <w:pPr>
              <w:adjustRightInd w:val="0"/>
              <w:snapToGrid w:val="0"/>
              <w:spacing w:line="360" w:lineRule="auto"/>
              <w:ind w:firstLine="480" w:firstLineChars="200"/>
              <w:rPr>
                <w:rFonts w:hint="eastAsia" w:eastAsiaTheme="minorEastAsia"/>
                <w:color w:val="auto"/>
                <w:sz w:val="24"/>
                <w:lang w:eastAsia="zh-CN"/>
              </w:rPr>
            </w:pPr>
            <w:r>
              <w:rPr>
                <w:rFonts w:hint="eastAsia" w:eastAsiaTheme="minorEastAsia"/>
                <w:color w:val="auto"/>
                <w:sz w:val="24"/>
                <w:lang w:eastAsia="zh-CN"/>
              </w:rPr>
              <w:t>本项目为淮安华源化工有限公司三氯化磷及原料储存安全提升技改项目，</w:t>
            </w:r>
            <w:r>
              <w:rPr>
                <w:rFonts w:eastAsiaTheme="minorEastAsia"/>
                <w:color w:val="auto"/>
                <w:sz w:val="24"/>
              </w:rPr>
              <w:t>投资</w:t>
            </w:r>
            <w:r>
              <w:rPr>
                <w:rFonts w:hint="eastAsia" w:eastAsiaTheme="minorEastAsia"/>
                <w:color w:val="auto"/>
                <w:sz w:val="24"/>
                <w:lang w:eastAsia="zh-CN"/>
              </w:rPr>
              <w:t>10800</w:t>
            </w:r>
            <w:r>
              <w:rPr>
                <w:rFonts w:eastAsiaTheme="minorEastAsia"/>
                <w:color w:val="auto"/>
                <w:sz w:val="24"/>
              </w:rPr>
              <w:t>万元，</w:t>
            </w:r>
            <w:r>
              <w:rPr>
                <w:rFonts w:hint="eastAsia" w:eastAsiaTheme="minorEastAsia"/>
                <w:color w:val="auto"/>
                <w:sz w:val="24"/>
                <w:lang w:eastAsia="zh-CN"/>
              </w:rPr>
              <w:t>计划对厂区内液氯、黄磷及三氯化磷储存进行改造提升，新增液氯贮罐、三氯化磷储罐，厂区内新增黄磷池两座，预计购入主要设备十套，增加液位、压力、温度等连锁安全措施，其他公辅工程利旧，不涉及产品产能及工艺变化，项目建成后可增强企业安全防控能力，</w:t>
            </w:r>
            <w:r>
              <w:rPr>
                <w:rFonts w:eastAsiaTheme="minorEastAsia"/>
                <w:color w:val="auto"/>
                <w:sz w:val="24"/>
              </w:rPr>
              <w:t>项目</w:t>
            </w:r>
            <w:r>
              <w:rPr>
                <w:rFonts w:hint="eastAsia" w:eastAsiaTheme="minorEastAsia"/>
                <w:color w:val="auto"/>
                <w:sz w:val="24"/>
                <w:lang w:eastAsia="zh-CN"/>
              </w:rPr>
              <w:t>已</w:t>
            </w:r>
            <w:r>
              <w:rPr>
                <w:rFonts w:eastAsiaTheme="minorEastAsia"/>
                <w:color w:val="auto"/>
                <w:sz w:val="24"/>
              </w:rPr>
              <w:t>于202</w:t>
            </w:r>
            <w:r>
              <w:rPr>
                <w:rFonts w:hint="eastAsia" w:eastAsiaTheme="minorEastAsia"/>
                <w:color w:val="auto"/>
                <w:sz w:val="24"/>
                <w:lang w:val="en-US" w:eastAsia="zh-CN"/>
              </w:rPr>
              <w:t>5</w:t>
            </w:r>
            <w:r>
              <w:rPr>
                <w:rFonts w:eastAsiaTheme="minorEastAsia"/>
                <w:color w:val="auto"/>
                <w:sz w:val="24"/>
              </w:rPr>
              <w:t>年</w:t>
            </w:r>
            <w:r>
              <w:rPr>
                <w:rFonts w:hint="eastAsia" w:eastAsiaTheme="minorEastAsia"/>
                <w:color w:val="auto"/>
                <w:sz w:val="24"/>
              </w:rPr>
              <w:t>6</w:t>
            </w:r>
            <w:r>
              <w:rPr>
                <w:rFonts w:eastAsiaTheme="minorEastAsia"/>
                <w:color w:val="auto"/>
                <w:sz w:val="24"/>
              </w:rPr>
              <w:t>月取得</w:t>
            </w:r>
            <w:r>
              <w:rPr>
                <w:rFonts w:hint="eastAsia" w:eastAsiaTheme="minorEastAsia"/>
                <w:color w:val="auto"/>
                <w:sz w:val="24"/>
                <w:lang w:eastAsia="zh-CN"/>
              </w:rPr>
              <w:t>涟水县工业和信息化局</w:t>
            </w:r>
            <w:r>
              <w:rPr>
                <w:rFonts w:eastAsiaTheme="minorEastAsia"/>
                <w:color w:val="auto"/>
                <w:sz w:val="24"/>
              </w:rPr>
              <w:t>备案，项目代码：</w:t>
            </w:r>
            <w:r>
              <w:rPr>
                <w:rFonts w:hint="eastAsia" w:eastAsiaTheme="minorEastAsia"/>
                <w:color w:val="auto"/>
                <w:sz w:val="24"/>
                <w:lang w:eastAsia="zh-CN"/>
              </w:rPr>
              <w:t>2506-320826-07-02-321019。</w:t>
            </w:r>
          </w:p>
          <w:p w14:paraId="3C59ADC5">
            <w:pPr>
              <w:adjustRightInd w:val="0"/>
              <w:snapToGrid w:val="0"/>
              <w:spacing w:line="360" w:lineRule="auto"/>
              <w:ind w:firstLine="482" w:firstLineChars="200"/>
              <w:rPr>
                <w:rFonts w:hint="eastAsia" w:eastAsiaTheme="minorEastAsia"/>
                <w:b/>
                <w:bCs/>
                <w:color w:val="auto"/>
                <w:sz w:val="24"/>
                <w:lang w:eastAsia="zh-CN"/>
              </w:rPr>
            </w:pPr>
            <w:r>
              <w:rPr>
                <w:rFonts w:hint="eastAsia" w:eastAsiaTheme="minorEastAsia"/>
                <w:b/>
                <w:bCs/>
                <w:color w:val="auto"/>
                <w:sz w:val="24"/>
              </w:rPr>
              <w:t>原计划购入厂区西侧停产的涟水县新新化工厂有限公司建设三氯化磷储罐，后因计划搁置，故本期仅新增液氯贮罐三只和黄磷池两座</w:t>
            </w:r>
            <w:r>
              <w:rPr>
                <w:rFonts w:hint="eastAsia" w:eastAsiaTheme="minorEastAsia"/>
                <w:b/>
                <w:bCs/>
                <w:color w:val="auto"/>
                <w:sz w:val="24"/>
                <w:lang w:eastAsia="zh-CN"/>
              </w:rPr>
              <w:t>，后续如计划重新建设三氯化磷储罐，企业应另行履行环保手续。</w:t>
            </w:r>
          </w:p>
          <w:bookmarkEnd w:id="19"/>
          <w:bookmarkEnd w:id="20"/>
          <w:p w14:paraId="71B227C1">
            <w:pPr>
              <w:adjustRightInd w:val="0"/>
              <w:snapToGrid w:val="0"/>
              <w:spacing w:line="360" w:lineRule="auto"/>
              <w:ind w:firstLine="480" w:firstLineChars="200"/>
              <w:rPr>
                <w:rFonts w:eastAsiaTheme="minorEastAsia"/>
                <w:color w:val="auto"/>
                <w:sz w:val="24"/>
              </w:rPr>
            </w:pPr>
            <w:r>
              <w:rPr>
                <w:rFonts w:eastAsiaTheme="minorEastAsia"/>
                <w:color w:val="auto"/>
                <w:sz w:val="24"/>
              </w:rPr>
              <w:t>本项目为</w:t>
            </w:r>
            <w:r>
              <w:rPr>
                <w:rFonts w:hint="eastAsia" w:eastAsiaTheme="minorEastAsia"/>
                <w:color w:val="auto"/>
                <w:sz w:val="24"/>
                <w:lang w:eastAsia="zh-CN"/>
              </w:rPr>
              <w:t>危险化学品仓储</w:t>
            </w:r>
            <w:r>
              <w:rPr>
                <w:rFonts w:eastAsiaTheme="minorEastAsia"/>
                <w:color w:val="auto"/>
                <w:sz w:val="24"/>
              </w:rPr>
              <w:t>项目，</w:t>
            </w:r>
            <w:r>
              <w:rPr>
                <w:rFonts w:hint="eastAsia" w:eastAsiaTheme="minorEastAsia"/>
                <w:color w:val="auto"/>
                <w:sz w:val="24"/>
              </w:rPr>
              <w:t>对照</w:t>
            </w:r>
            <w:r>
              <w:rPr>
                <w:rFonts w:eastAsiaTheme="minorEastAsia"/>
                <w:color w:val="auto"/>
                <w:sz w:val="24"/>
              </w:rPr>
              <w:t>《国民经济行业分类》（GB/T 4754-2017）及第1号修改单</w:t>
            </w:r>
            <w:r>
              <w:rPr>
                <w:rFonts w:hint="eastAsia" w:eastAsiaTheme="minorEastAsia"/>
                <w:color w:val="auto"/>
                <w:sz w:val="24"/>
              </w:rPr>
              <w:t>，属于其中的</w:t>
            </w:r>
            <w:r>
              <w:rPr>
                <w:rFonts w:eastAsiaTheme="minorEastAsia"/>
                <w:color w:val="auto"/>
                <w:sz w:val="24"/>
              </w:rPr>
              <w:t>“</w:t>
            </w:r>
            <w:r>
              <w:rPr>
                <w:rFonts w:hint="eastAsia"/>
                <w:color w:val="auto"/>
                <w:sz w:val="24"/>
                <w:lang w:eastAsia="zh-CN"/>
              </w:rPr>
              <w:t>G5942 危险化学品仓储</w:t>
            </w:r>
            <w:r>
              <w:rPr>
                <w:rFonts w:eastAsiaTheme="minorEastAsia"/>
                <w:color w:val="auto"/>
                <w:sz w:val="24"/>
              </w:rPr>
              <w:t>”，对照《建设项目环境影响评价分类管理名录（2021年版）》，根据下表对项目环评类别进行判定。</w:t>
            </w:r>
          </w:p>
          <w:p w14:paraId="7900B1D2">
            <w:pPr>
              <w:adjustRightInd w:val="0"/>
              <w:snapToGrid w:val="0"/>
              <w:ind w:firstLine="482" w:firstLineChars="200"/>
              <w:jc w:val="center"/>
              <w:rPr>
                <w:rFonts w:eastAsiaTheme="minorEastAsia"/>
                <w:b/>
                <w:color w:val="auto"/>
                <w:sz w:val="24"/>
              </w:rPr>
            </w:pPr>
            <w:r>
              <w:rPr>
                <w:rFonts w:eastAsiaTheme="minorEastAsia"/>
                <w:b/>
                <w:color w:val="auto"/>
                <w:sz w:val="24"/>
              </w:rPr>
              <w:t>表2-1  本项目环境影响类别判别表</w:t>
            </w:r>
          </w:p>
          <w:tbl>
            <w:tblPr>
              <w:tblStyle w:val="8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1920"/>
              <w:gridCol w:w="1686"/>
              <w:gridCol w:w="1520"/>
              <w:gridCol w:w="885"/>
              <w:gridCol w:w="958"/>
            </w:tblGrid>
            <w:tr w14:paraId="192609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57" w:type="pct"/>
                  <w:vMerge w:val="restart"/>
                  <w:tcBorders>
                    <w:tl2br w:val="nil"/>
                    <w:tr2bl w:val="nil"/>
                  </w:tcBorders>
                  <w:vAlign w:val="center"/>
                </w:tcPr>
                <w:p w14:paraId="4ECDD2A0">
                  <w:pPr>
                    <w:adjustRightInd w:val="0"/>
                    <w:snapToGrid w:val="0"/>
                    <w:jc w:val="center"/>
                    <w:rPr>
                      <w:rFonts w:eastAsiaTheme="minorEastAsia"/>
                      <w:b/>
                      <w:color w:val="auto"/>
                      <w:szCs w:val="21"/>
                    </w:rPr>
                  </w:pPr>
                  <w:r>
                    <w:rPr>
                      <w:rFonts w:eastAsiaTheme="minorEastAsia"/>
                      <w:b/>
                      <w:color w:val="auto"/>
                      <w:szCs w:val="21"/>
                    </w:rPr>
                    <w:t>对应国民经济行业类别</w:t>
                  </w:r>
                </w:p>
              </w:tc>
              <w:tc>
                <w:tcPr>
                  <w:tcW w:w="1141" w:type="pct"/>
                  <w:vMerge w:val="restart"/>
                  <w:tcBorders>
                    <w:tl2br w:val="nil"/>
                    <w:tr2bl w:val="nil"/>
                  </w:tcBorders>
                  <w:vAlign w:val="center"/>
                </w:tcPr>
                <w:p w14:paraId="29889B3A">
                  <w:pPr>
                    <w:adjustRightInd w:val="0"/>
                    <w:snapToGrid w:val="0"/>
                    <w:jc w:val="center"/>
                    <w:rPr>
                      <w:rFonts w:eastAsiaTheme="minorEastAsia"/>
                      <w:b/>
                      <w:color w:val="auto"/>
                      <w:szCs w:val="21"/>
                    </w:rPr>
                  </w:pPr>
                  <w:r>
                    <w:rPr>
                      <w:rFonts w:eastAsiaTheme="minorEastAsia"/>
                      <w:b/>
                      <w:color w:val="auto"/>
                      <w:szCs w:val="21"/>
                    </w:rPr>
                    <w:t>建设项目行业类别</w:t>
                  </w:r>
                </w:p>
              </w:tc>
              <w:tc>
                <w:tcPr>
                  <w:tcW w:w="2431" w:type="pct"/>
                  <w:gridSpan w:val="3"/>
                  <w:tcBorders>
                    <w:tl2br w:val="nil"/>
                    <w:tr2bl w:val="nil"/>
                  </w:tcBorders>
                  <w:vAlign w:val="center"/>
                </w:tcPr>
                <w:p w14:paraId="4CB57886">
                  <w:pPr>
                    <w:adjustRightInd w:val="0"/>
                    <w:snapToGrid w:val="0"/>
                    <w:jc w:val="center"/>
                    <w:rPr>
                      <w:rFonts w:eastAsiaTheme="minorEastAsia"/>
                      <w:b/>
                      <w:color w:val="auto"/>
                      <w:szCs w:val="21"/>
                    </w:rPr>
                  </w:pPr>
                  <w:r>
                    <w:rPr>
                      <w:rFonts w:eastAsiaTheme="minorEastAsia"/>
                      <w:b/>
                      <w:color w:val="auto"/>
                      <w:szCs w:val="21"/>
                    </w:rPr>
                    <w:t>环评类别</w:t>
                  </w:r>
                </w:p>
              </w:tc>
              <w:tc>
                <w:tcPr>
                  <w:tcW w:w="569" w:type="pct"/>
                  <w:vMerge w:val="restart"/>
                  <w:tcBorders>
                    <w:tl2br w:val="nil"/>
                    <w:tr2bl w:val="nil"/>
                  </w:tcBorders>
                  <w:vAlign w:val="center"/>
                </w:tcPr>
                <w:p w14:paraId="1603F3DA">
                  <w:pPr>
                    <w:adjustRightInd w:val="0"/>
                    <w:snapToGrid w:val="0"/>
                    <w:jc w:val="center"/>
                    <w:rPr>
                      <w:rFonts w:eastAsiaTheme="minorEastAsia"/>
                      <w:b/>
                      <w:color w:val="auto"/>
                      <w:szCs w:val="21"/>
                    </w:rPr>
                  </w:pPr>
                  <w:r>
                    <w:rPr>
                      <w:rFonts w:eastAsiaTheme="minorEastAsia"/>
                      <w:b/>
                      <w:color w:val="auto"/>
                      <w:szCs w:val="21"/>
                    </w:rPr>
                    <w:t>报告类别</w:t>
                  </w:r>
                </w:p>
              </w:tc>
            </w:tr>
            <w:tr w14:paraId="7E369C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57" w:type="pct"/>
                  <w:vMerge w:val="continue"/>
                  <w:tcBorders>
                    <w:tl2br w:val="nil"/>
                    <w:tr2bl w:val="nil"/>
                  </w:tcBorders>
                  <w:vAlign w:val="center"/>
                </w:tcPr>
                <w:p w14:paraId="2F619335">
                  <w:pPr>
                    <w:adjustRightInd w:val="0"/>
                    <w:snapToGrid w:val="0"/>
                    <w:jc w:val="center"/>
                    <w:rPr>
                      <w:rFonts w:eastAsiaTheme="minorEastAsia"/>
                      <w:b/>
                      <w:color w:val="auto"/>
                      <w:szCs w:val="21"/>
                    </w:rPr>
                  </w:pPr>
                </w:p>
              </w:tc>
              <w:tc>
                <w:tcPr>
                  <w:tcW w:w="1141" w:type="pct"/>
                  <w:vMerge w:val="continue"/>
                  <w:tcBorders>
                    <w:tl2br w:val="nil"/>
                    <w:tr2bl w:val="nil"/>
                  </w:tcBorders>
                  <w:vAlign w:val="center"/>
                </w:tcPr>
                <w:p w14:paraId="38E73143">
                  <w:pPr>
                    <w:adjustRightInd w:val="0"/>
                    <w:snapToGrid w:val="0"/>
                    <w:jc w:val="center"/>
                    <w:rPr>
                      <w:rFonts w:eastAsiaTheme="minorEastAsia"/>
                      <w:b/>
                      <w:color w:val="auto"/>
                      <w:szCs w:val="21"/>
                    </w:rPr>
                  </w:pPr>
                </w:p>
              </w:tc>
              <w:tc>
                <w:tcPr>
                  <w:tcW w:w="1002" w:type="pct"/>
                  <w:tcBorders>
                    <w:tl2br w:val="nil"/>
                    <w:tr2bl w:val="nil"/>
                  </w:tcBorders>
                  <w:vAlign w:val="center"/>
                </w:tcPr>
                <w:p w14:paraId="101F7E80">
                  <w:pPr>
                    <w:adjustRightInd w:val="0"/>
                    <w:snapToGrid w:val="0"/>
                    <w:jc w:val="center"/>
                    <w:rPr>
                      <w:rFonts w:eastAsiaTheme="minorEastAsia"/>
                      <w:b/>
                      <w:color w:val="auto"/>
                      <w:szCs w:val="21"/>
                    </w:rPr>
                  </w:pPr>
                  <w:r>
                    <w:rPr>
                      <w:rFonts w:eastAsiaTheme="minorEastAsia"/>
                      <w:b/>
                      <w:color w:val="auto"/>
                      <w:szCs w:val="21"/>
                    </w:rPr>
                    <w:t>报告书</w:t>
                  </w:r>
                </w:p>
              </w:tc>
              <w:tc>
                <w:tcPr>
                  <w:tcW w:w="903" w:type="pct"/>
                  <w:tcBorders>
                    <w:tl2br w:val="nil"/>
                    <w:tr2bl w:val="nil"/>
                  </w:tcBorders>
                  <w:vAlign w:val="center"/>
                </w:tcPr>
                <w:p w14:paraId="4B83D123">
                  <w:pPr>
                    <w:adjustRightInd w:val="0"/>
                    <w:snapToGrid w:val="0"/>
                    <w:jc w:val="center"/>
                    <w:rPr>
                      <w:rFonts w:eastAsiaTheme="minorEastAsia"/>
                      <w:b/>
                      <w:color w:val="auto"/>
                      <w:szCs w:val="21"/>
                    </w:rPr>
                  </w:pPr>
                  <w:r>
                    <w:rPr>
                      <w:rFonts w:eastAsiaTheme="minorEastAsia"/>
                      <w:b/>
                      <w:color w:val="auto"/>
                      <w:szCs w:val="21"/>
                    </w:rPr>
                    <w:t>报告表</w:t>
                  </w:r>
                </w:p>
              </w:tc>
              <w:tc>
                <w:tcPr>
                  <w:tcW w:w="525" w:type="pct"/>
                  <w:tcBorders>
                    <w:tl2br w:val="nil"/>
                    <w:tr2bl w:val="nil"/>
                  </w:tcBorders>
                  <w:vAlign w:val="center"/>
                </w:tcPr>
                <w:p w14:paraId="21171737">
                  <w:pPr>
                    <w:adjustRightInd w:val="0"/>
                    <w:snapToGrid w:val="0"/>
                    <w:jc w:val="center"/>
                    <w:rPr>
                      <w:rFonts w:eastAsiaTheme="minorEastAsia"/>
                      <w:b/>
                      <w:color w:val="auto"/>
                      <w:szCs w:val="21"/>
                    </w:rPr>
                  </w:pPr>
                  <w:r>
                    <w:rPr>
                      <w:rFonts w:eastAsiaTheme="minorEastAsia"/>
                      <w:b/>
                      <w:color w:val="auto"/>
                      <w:szCs w:val="21"/>
                    </w:rPr>
                    <w:t>登记表</w:t>
                  </w:r>
                </w:p>
              </w:tc>
              <w:tc>
                <w:tcPr>
                  <w:tcW w:w="569" w:type="pct"/>
                  <w:vMerge w:val="continue"/>
                  <w:tcBorders>
                    <w:tl2br w:val="nil"/>
                    <w:tr2bl w:val="nil"/>
                  </w:tcBorders>
                  <w:vAlign w:val="center"/>
                </w:tcPr>
                <w:p w14:paraId="60C217EC">
                  <w:pPr>
                    <w:adjustRightInd w:val="0"/>
                    <w:snapToGrid w:val="0"/>
                    <w:jc w:val="center"/>
                    <w:rPr>
                      <w:rFonts w:eastAsiaTheme="minorEastAsia"/>
                      <w:b/>
                      <w:color w:val="auto"/>
                      <w:szCs w:val="21"/>
                    </w:rPr>
                  </w:pPr>
                </w:p>
              </w:tc>
            </w:tr>
            <w:tr w14:paraId="440D8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7" w:type="pct"/>
                  <w:tcBorders>
                    <w:tl2br w:val="nil"/>
                    <w:tr2bl w:val="nil"/>
                  </w:tcBorders>
                  <w:vAlign w:val="center"/>
                </w:tcPr>
                <w:p w14:paraId="3EC82C2B">
                  <w:pPr>
                    <w:adjustRightInd w:val="0"/>
                    <w:snapToGrid w:val="0"/>
                    <w:jc w:val="center"/>
                    <w:rPr>
                      <w:rFonts w:hint="eastAsia" w:eastAsiaTheme="minorEastAsia"/>
                      <w:color w:val="auto"/>
                      <w:szCs w:val="21"/>
                      <w:lang w:eastAsia="zh-CN"/>
                    </w:rPr>
                  </w:pPr>
                  <w:r>
                    <w:rPr>
                      <w:rFonts w:hint="eastAsia" w:eastAsiaTheme="minorEastAsia"/>
                      <w:color w:val="auto"/>
                      <w:szCs w:val="21"/>
                      <w:lang w:eastAsia="zh-CN"/>
                    </w:rPr>
                    <w:t>G5942 危险化学品仓储</w:t>
                  </w:r>
                </w:p>
              </w:tc>
              <w:tc>
                <w:tcPr>
                  <w:tcW w:w="1141" w:type="pct"/>
                  <w:tcBorders>
                    <w:tl2br w:val="nil"/>
                    <w:tr2bl w:val="nil"/>
                  </w:tcBorders>
                  <w:vAlign w:val="center"/>
                </w:tcPr>
                <w:p w14:paraId="11BF1DD2">
                  <w:pPr>
                    <w:adjustRightInd w:val="0"/>
                    <w:snapToGrid w:val="0"/>
                    <w:jc w:val="center"/>
                    <w:rPr>
                      <w:rFonts w:eastAsiaTheme="minorEastAsia"/>
                      <w:color w:val="auto"/>
                      <w:szCs w:val="21"/>
                    </w:rPr>
                  </w:pPr>
                  <w:r>
                    <w:rPr>
                      <w:rFonts w:hint="eastAsia" w:eastAsiaTheme="minorEastAsia"/>
                      <w:color w:val="auto"/>
                      <w:szCs w:val="21"/>
                      <w:lang w:val="en-US" w:eastAsia="zh-CN"/>
                    </w:rPr>
                    <w:t xml:space="preserve">五十三、装卸搬运和仓储业 59149 </w:t>
                  </w:r>
                  <w:r>
                    <w:rPr>
                      <w:rFonts w:hint="eastAsia" w:eastAsiaTheme="minorEastAsia"/>
                      <w:color w:val="auto"/>
                      <w:szCs w:val="21"/>
                    </w:rPr>
                    <w:t>危险品仓储 594（不含加油站的油库；不含加气站的气库）</w:t>
                  </w:r>
                </w:p>
              </w:tc>
              <w:tc>
                <w:tcPr>
                  <w:tcW w:w="1002" w:type="pct"/>
                  <w:tcBorders>
                    <w:tl2br w:val="nil"/>
                    <w:tr2bl w:val="nil"/>
                  </w:tcBorders>
                  <w:vAlign w:val="center"/>
                </w:tcPr>
                <w:p w14:paraId="02C98804">
                  <w:pPr>
                    <w:autoSpaceDE w:val="0"/>
                    <w:autoSpaceDN w:val="0"/>
                    <w:adjustRightInd w:val="0"/>
                    <w:jc w:val="center"/>
                    <w:rPr>
                      <w:rFonts w:eastAsiaTheme="minorEastAsia"/>
                      <w:color w:val="auto"/>
                      <w:szCs w:val="21"/>
                    </w:rPr>
                  </w:pPr>
                  <w:r>
                    <w:rPr>
                      <w:rFonts w:hint="eastAsia" w:eastAsiaTheme="minorEastAsia"/>
                      <w:color w:val="auto"/>
                      <w:szCs w:val="21"/>
                    </w:rPr>
                    <w:t>总容量20万立方米及以上的油库（含油品码头后方配套油库）；地下油库；地下气库</w:t>
                  </w:r>
                </w:p>
              </w:tc>
              <w:tc>
                <w:tcPr>
                  <w:tcW w:w="903" w:type="pct"/>
                  <w:tcBorders>
                    <w:tl2br w:val="nil"/>
                    <w:tr2bl w:val="nil"/>
                  </w:tcBorders>
                  <w:vAlign w:val="center"/>
                </w:tcPr>
                <w:p w14:paraId="71D0CA6A">
                  <w:pPr>
                    <w:autoSpaceDE w:val="0"/>
                    <w:autoSpaceDN w:val="0"/>
                    <w:adjustRightInd w:val="0"/>
                    <w:jc w:val="center"/>
                    <w:rPr>
                      <w:rFonts w:eastAsiaTheme="minorEastAsia"/>
                      <w:color w:val="auto"/>
                      <w:szCs w:val="21"/>
                    </w:rPr>
                  </w:pPr>
                  <w:r>
                    <w:rPr>
                      <w:rFonts w:hint="eastAsia" w:eastAsiaTheme="minorEastAsia"/>
                      <w:color w:val="auto"/>
                      <w:szCs w:val="21"/>
                    </w:rPr>
                    <w:t>其他（含有毒、有害、危险品的仓储；含液化天然气库）</w:t>
                  </w:r>
                </w:p>
              </w:tc>
              <w:tc>
                <w:tcPr>
                  <w:tcW w:w="525" w:type="pct"/>
                  <w:tcBorders>
                    <w:tl2br w:val="nil"/>
                    <w:tr2bl w:val="nil"/>
                  </w:tcBorders>
                  <w:vAlign w:val="center"/>
                </w:tcPr>
                <w:p w14:paraId="653C2A67">
                  <w:pPr>
                    <w:adjustRightInd w:val="0"/>
                    <w:snapToGrid w:val="0"/>
                    <w:jc w:val="center"/>
                    <w:rPr>
                      <w:rFonts w:eastAsiaTheme="minorEastAsia"/>
                      <w:color w:val="auto"/>
                      <w:szCs w:val="21"/>
                    </w:rPr>
                  </w:pPr>
                  <w:r>
                    <w:rPr>
                      <w:rFonts w:eastAsiaTheme="minorEastAsia"/>
                      <w:color w:val="auto"/>
                      <w:szCs w:val="21"/>
                    </w:rPr>
                    <w:t>/</w:t>
                  </w:r>
                </w:p>
              </w:tc>
              <w:tc>
                <w:tcPr>
                  <w:tcW w:w="569" w:type="pct"/>
                  <w:tcBorders>
                    <w:tl2br w:val="nil"/>
                    <w:tr2bl w:val="nil"/>
                  </w:tcBorders>
                  <w:vAlign w:val="center"/>
                </w:tcPr>
                <w:p w14:paraId="12103A71">
                  <w:pPr>
                    <w:adjustRightInd w:val="0"/>
                    <w:snapToGrid w:val="0"/>
                    <w:jc w:val="center"/>
                    <w:rPr>
                      <w:rFonts w:hint="eastAsia" w:eastAsiaTheme="minorEastAsia"/>
                      <w:color w:val="auto"/>
                      <w:szCs w:val="21"/>
                      <w:lang w:eastAsia="zh-CN"/>
                    </w:rPr>
                  </w:pPr>
                  <w:r>
                    <w:rPr>
                      <w:rFonts w:hint="eastAsia" w:eastAsiaTheme="minorEastAsia"/>
                      <w:color w:val="auto"/>
                      <w:szCs w:val="21"/>
                      <w:lang w:eastAsia="zh-CN"/>
                    </w:rPr>
                    <w:t>报告表</w:t>
                  </w:r>
                </w:p>
              </w:tc>
            </w:tr>
          </w:tbl>
          <w:p w14:paraId="5488FC09">
            <w:pPr>
              <w:adjustRightInd w:val="0"/>
              <w:snapToGrid w:val="0"/>
              <w:spacing w:beforeLines="50" w:line="360" w:lineRule="auto"/>
              <w:ind w:firstLine="480" w:firstLineChars="200"/>
              <w:rPr>
                <w:rFonts w:eastAsiaTheme="minorEastAsia"/>
                <w:color w:val="auto"/>
                <w:sz w:val="24"/>
              </w:rPr>
            </w:pPr>
            <w:r>
              <w:rPr>
                <w:rFonts w:hint="eastAsia" w:eastAsiaTheme="minorEastAsia"/>
                <w:color w:val="auto"/>
                <w:sz w:val="24"/>
                <w:lang w:eastAsia="zh-CN"/>
              </w:rPr>
              <w:t>本项目为危险化学品仓储</w:t>
            </w:r>
            <w:r>
              <w:rPr>
                <w:rFonts w:eastAsiaTheme="minorEastAsia"/>
                <w:color w:val="auto"/>
                <w:sz w:val="24"/>
              </w:rPr>
              <w:t>项目，</w:t>
            </w:r>
            <w:r>
              <w:rPr>
                <w:rFonts w:hint="eastAsia" w:eastAsiaTheme="minorEastAsia"/>
                <w:color w:val="auto"/>
                <w:sz w:val="24"/>
                <w:lang w:eastAsia="zh-CN"/>
              </w:rPr>
              <w:t>储存物质为黄磷和液氯，不涉及油类仓储</w:t>
            </w:r>
            <w:r>
              <w:rPr>
                <w:rFonts w:eastAsiaTheme="minorEastAsia"/>
                <w:color w:val="auto"/>
                <w:sz w:val="24"/>
              </w:rPr>
              <w:t>，因此本项目编制报告表。</w:t>
            </w:r>
          </w:p>
          <w:p w14:paraId="7A438126">
            <w:pPr>
              <w:adjustRightInd w:val="0"/>
              <w:snapToGrid w:val="0"/>
              <w:spacing w:line="360" w:lineRule="auto"/>
              <w:ind w:firstLine="480" w:firstLineChars="200"/>
              <w:rPr>
                <w:rFonts w:eastAsiaTheme="minorEastAsia"/>
                <w:color w:val="auto"/>
                <w:sz w:val="24"/>
              </w:rPr>
            </w:pPr>
            <w:r>
              <w:rPr>
                <w:rFonts w:eastAsiaTheme="minorEastAsia"/>
                <w:color w:val="auto"/>
                <w:sz w:val="24"/>
              </w:rPr>
              <w:t>根据《中华人民共和国环境保护法》（2014修订）、《中华人民共和国环境影响评价法》（2018年修正），凡实施对环境有影响的建设项目都必须执行环境影响评价制度。为此</w:t>
            </w:r>
            <w:r>
              <w:rPr>
                <w:rFonts w:hint="eastAsia" w:eastAsiaTheme="minorEastAsia"/>
                <w:color w:val="auto"/>
                <w:sz w:val="24"/>
                <w:lang w:eastAsia="zh-CN"/>
              </w:rPr>
              <w:t>淮安华源化工有限公司</w:t>
            </w:r>
            <w:r>
              <w:rPr>
                <w:rFonts w:eastAsiaTheme="minorEastAsia"/>
                <w:color w:val="auto"/>
                <w:sz w:val="24"/>
              </w:rPr>
              <w:t>根据有关环保法律法规要求，特委托</w:t>
            </w:r>
            <w:r>
              <w:rPr>
                <w:rFonts w:hint="eastAsia" w:eastAsiaTheme="minorEastAsia"/>
                <w:color w:val="auto"/>
                <w:sz w:val="24"/>
                <w:lang w:eastAsia="zh-CN"/>
              </w:rPr>
              <w:t>江苏尚云环保技术服务</w:t>
            </w:r>
            <w:r>
              <w:rPr>
                <w:rFonts w:eastAsiaTheme="minorEastAsia"/>
                <w:color w:val="auto"/>
                <w:sz w:val="24"/>
              </w:rPr>
              <w:t>公司就该项目进行环境影响评价工作。我单位在接受委托后，随即组织人员到项目建设场地及其周围进行了实地勘查与调研，收集了有关的工程资料，结合该企业提供资料和项目的建设特点，依据有关环评技术规范，编制了本报告表。</w:t>
            </w:r>
          </w:p>
          <w:p w14:paraId="6282052A">
            <w:pPr>
              <w:adjustRightInd w:val="0"/>
              <w:snapToGrid w:val="0"/>
              <w:spacing w:line="360" w:lineRule="auto"/>
              <w:rPr>
                <w:rFonts w:eastAsiaTheme="minorEastAsia"/>
                <w:b/>
                <w:color w:val="auto"/>
                <w:kern w:val="0"/>
                <w:sz w:val="24"/>
                <w:lang w:val="zh-CN"/>
              </w:rPr>
            </w:pPr>
            <w:r>
              <w:rPr>
                <w:rFonts w:eastAsiaTheme="minorEastAsia"/>
                <w:b/>
                <w:color w:val="auto"/>
                <w:kern w:val="0"/>
                <w:sz w:val="24"/>
                <w:lang w:val="zh-CN"/>
              </w:rPr>
              <w:t>2.2建设内容</w:t>
            </w:r>
          </w:p>
          <w:p w14:paraId="56A5431E">
            <w:pPr>
              <w:adjustRightInd w:val="0"/>
              <w:snapToGrid w:val="0"/>
              <w:spacing w:line="360" w:lineRule="auto"/>
              <w:ind w:firstLine="480" w:firstLineChars="200"/>
              <w:rPr>
                <w:rFonts w:hint="eastAsia" w:ascii="Times New Roman" w:hAnsi="Times New Roman" w:cs="Times New Roman" w:eastAsiaTheme="minorEastAsia"/>
                <w:color w:val="auto"/>
                <w:sz w:val="24"/>
              </w:rPr>
            </w:pPr>
            <w:r>
              <w:rPr>
                <w:rFonts w:hint="eastAsia" w:ascii="Times New Roman" w:hAnsi="Times New Roman" w:cs="Times New Roman" w:eastAsiaTheme="minorEastAsia"/>
                <w:color w:val="auto"/>
                <w:sz w:val="24"/>
                <w:lang w:eastAsia="zh-CN"/>
              </w:rPr>
              <w:t>建设</w:t>
            </w:r>
            <w:r>
              <w:rPr>
                <w:rFonts w:hint="eastAsia" w:ascii="Times New Roman" w:hAnsi="Times New Roman" w:cs="Times New Roman" w:eastAsiaTheme="minorEastAsia"/>
                <w:color w:val="auto"/>
                <w:sz w:val="24"/>
              </w:rPr>
              <w:t>项目新增</w:t>
            </w:r>
            <w:r>
              <w:rPr>
                <w:rFonts w:hint="eastAsia" w:ascii="Times New Roman" w:hAnsi="Times New Roman" w:cs="Times New Roman" w:eastAsiaTheme="minorEastAsia"/>
                <w:color w:val="auto"/>
                <w:sz w:val="24"/>
                <w:lang w:val="en-US" w:eastAsia="zh-CN"/>
              </w:rPr>
              <w:t>三</w:t>
            </w:r>
            <w:r>
              <w:rPr>
                <w:rFonts w:hint="eastAsia" w:ascii="Times New Roman" w:hAnsi="Times New Roman" w:cs="Times New Roman" w:eastAsiaTheme="minorEastAsia"/>
                <w:color w:val="auto"/>
                <w:sz w:val="24"/>
              </w:rPr>
              <w:t>只固定式</w:t>
            </w:r>
            <w:r>
              <w:rPr>
                <w:rFonts w:hint="eastAsia" w:ascii="Times New Roman" w:hAnsi="Times New Roman" w:cs="Times New Roman" w:eastAsiaTheme="minorEastAsia"/>
                <w:color w:val="auto"/>
                <w:sz w:val="24"/>
                <w:lang w:eastAsia="zh-CN"/>
              </w:rPr>
              <w:t>液氯贮罐（</w:t>
            </w:r>
            <w:r>
              <w:rPr>
                <w:rFonts w:hint="eastAsia" w:ascii="Times New Roman" w:hAnsi="Times New Roman" w:cs="Times New Roman" w:eastAsiaTheme="minorEastAsia"/>
                <w:color w:val="auto"/>
                <w:sz w:val="24"/>
                <w:lang w:val="en-US" w:eastAsia="zh-CN"/>
              </w:rPr>
              <w:t>两用一应急</w:t>
            </w:r>
            <w:r>
              <w:rPr>
                <w:rFonts w:hint="eastAsia" w:ascii="Times New Roman" w:hAnsi="Times New Roman" w:cs="Times New Roman" w:eastAsiaTheme="minorEastAsia"/>
                <w:color w:val="auto"/>
                <w:sz w:val="24"/>
                <w:lang w:eastAsia="zh-CN"/>
              </w:rPr>
              <w:t>）</w:t>
            </w:r>
            <w:r>
              <w:rPr>
                <w:rFonts w:hint="eastAsia" w:ascii="Times New Roman" w:hAnsi="Times New Roman" w:cs="Times New Roman" w:eastAsiaTheme="minorEastAsia"/>
                <w:color w:val="auto"/>
                <w:sz w:val="24"/>
              </w:rPr>
              <w:t>、</w:t>
            </w:r>
            <w:r>
              <w:rPr>
                <w:rFonts w:hint="eastAsia" w:ascii="Times New Roman" w:hAnsi="Times New Roman" w:cs="Times New Roman" w:eastAsiaTheme="minorEastAsia"/>
                <w:color w:val="auto"/>
                <w:sz w:val="24"/>
                <w:lang w:val="en-US" w:eastAsia="zh-CN"/>
              </w:rPr>
              <w:t>两座黄磷池</w:t>
            </w:r>
            <w:r>
              <w:rPr>
                <w:rFonts w:hint="eastAsia" w:ascii="Times New Roman" w:hAnsi="Times New Roman" w:cs="Times New Roman" w:eastAsiaTheme="minorEastAsia"/>
                <w:color w:val="auto"/>
                <w:sz w:val="24"/>
              </w:rPr>
              <w:t>，</w:t>
            </w:r>
            <w:r>
              <w:rPr>
                <w:rFonts w:ascii="Times New Roman" w:hAnsi="Times New Roman" w:cs="Times New Roman" w:eastAsiaTheme="minorEastAsia"/>
                <w:color w:val="auto"/>
                <w:sz w:val="24"/>
                <w:lang w:val="en-US" w:eastAsia="zh-CN"/>
              </w:rPr>
              <w:t>增加液位、压力、温度等连锁安全措施，其他公辅工程利旧</w:t>
            </w:r>
            <w:r>
              <w:rPr>
                <w:rFonts w:hint="eastAsia" w:ascii="Times New Roman" w:hAnsi="Times New Roman" w:cs="Times New Roman" w:eastAsiaTheme="minorEastAsia"/>
                <w:color w:val="auto"/>
                <w:sz w:val="24"/>
                <w:lang w:val="en-US" w:eastAsia="zh-CN"/>
              </w:rPr>
              <w:t>，不涉及产品产能及工艺变化</w:t>
            </w:r>
            <w:r>
              <w:rPr>
                <w:rFonts w:hint="eastAsia" w:ascii="Times New Roman" w:hAnsi="Times New Roman" w:cs="Times New Roman" w:eastAsiaTheme="minorEastAsia"/>
                <w:color w:val="auto"/>
                <w:sz w:val="24"/>
              </w:rPr>
              <w:t>。</w:t>
            </w:r>
          </w:p>
          <w:p w14:paraId="20263694">
            <w:pPr>
              <w:pStyle w:val="3934"/>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rPr>
            </w:pPr>
            <w:r>
              <w:rPr>
                <w:color w:val="auto"/>
              </w:rPr>
              <w:t>表2</w:t>
            </w:r>
            <w:r>
              <w:rPr>
                <w:rFonts w:hint="eastAsia"/>
                <w:color w:val="auto"/>
                <w:lang w:val="en-US" w:eastAsia="zh-CN"/>
              </w:rPr>
              <w:t>-2</w:t>
            </w:r>
            <w:r>
              <w:rPr>
                <w:color w:val="auto"/>
              </w:rPr>
              <w:t xml:space="preserve"> 建设项目涉及的建（构）筑物一览表</w:t>
            </w:r>
          </w:p>
          <w:tbl>
            <w:tblPr>
              <w:tblStyle w:val="8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675"/>
              <w:gridCol w:w="1101"/>
              <w:gridCol w:w="520"/>
              <w:gridCol w:w="1073"/>
              <w:gridCol w:w="702"/>
              <w:gridCol w:w="720"/>
              <w:gridCol w:w="675"/>
              <w:gridCol w:w="1296"/>
            </w:tblGrid>
            <w:tr w14:paraId="05D1F5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dxa"/>
                  <w:vMerge w:val="restart"/>
                  <w:tcBorders>
                    <w:tl2br w:val="nil"/>
                    <w:tr2bl w:val="nil"/>
                  </w:tcBorders>
                  <w:noWrap w:val="0"/>
                  <w:vAlign w:val="center"/>
                </w:tcPr>
                <w:p w14:paraId="253C790A">
                  <w:pPr>
                    <w:pStyle w:val="3935"/>
                    <w:rPr>
                      <w:b/>
                      <w:color w:val="auto"/>
                    </w:rPr>
                  </w:pPr>
                  <w:r>
                    <w:rPr>
                      <w:b/>
                      <w:color w:val="auto"/>
                    </w:rPr>
                    <w:t>序号</w:t>
                  </w:r>
                </w:p>
              </w:tc>
              <w:tc>
                <w:tcPr>
                  <w:tcW w:w="1675" w:type="dxa"/>
                  <w:vMerge w:val="restart"/>
                  <w:tcBorders>
                    <w:tl2br w:val="nil"/>
                    <w:tr2bl w:val="nil"/>
                  </w:tcBorders>
                  <w:noWrap w:val="0"/>
                  <w:vAlign w:val="center"/>
                </w:tcPr>
                <w:p w14:paraId="5F138BA8">
                  <w:pPr>
                    <w:pStyle w:val="3935"/>
                    <w:rPr>
                      <w:b/>
                      <w:color w:val="auto"/>
                    </w:rPr>
                  </w:pPr>
                  <w:r>
                    <w:rPr>
                      <w:b/>
                      <w:color w:val="auto"/>
                    </w:rPr>
                    <w:t>建筑物</w:t>
                  </w:r>
                </w:p>
                <w:p w14:paraId="2F6FB995">
                  <w:pPr>
                    <w:pStyle w:val="3935"/>
                    <w:rPr>
                      <w:b/>
                      <w:color w:val="auto"/>
                    </w:rPr>
                  </w:pPr>
                  <w:r>
                    <w:rPr>
                      <w:b/>
                      <w:color w:val="auto"/>
                    </w:rPr>
                    <w:t>名称</w:t>
                  </w:r>
                </w:p>
              </w:tc>
              <w:tc>
                <w:tcPr>
                  <w:tcW w:w="1101" w:type="dxa"/>
                  <w:vMerge w:val="restart"/>
                  <w:tcBorders>
                    <w:tl2br w:val="nil"/>
                    <w:tr2bl w:val="nil"/>
                  </w:tcBorders>
                  <w:noWrap w:val="0"/>
                  <w:vAlign w:val="center"/>
                </w:tcPr>
                <w:p w14:paraId="583A7D95">
                  <w:pPr>
                    <w:pStyle w:val="3935"/>
                    <w:rPr>
                      <w:rFonts w:hint="eastAsia"/>
                      <w:b/>
                      <w:color w:val="auto"/>
                    </w:rPr>
                  </w:pPr>
                  <w:r>
                    <w:rPr>
                      <w:b/>
                      <w:color w:val="auto"/>
                    </w:rPr>
                    <w:t>占地面积</w:t>
                  </w:r>
                  <w:r>
                    <w:rPr>
                      <w:rFonts w:hint="eastAsia"/>
                      <w:b/>
                      <w:color w:val="auto"/>
                    </w:rPr>
                    <w:t>（</w:t>
                  </w:r>
                  <w:r>
                    <w:rPr>
                      <w:b/>
                      <w:color w:val="auto"/>
                    </w:rPr>
                    <w:t>m</w:t>
                  </w:r>
                  <w:r>
                    <w:rPr>
                      <w:b/>
                      <w:color w:val="auto"/>
                      <w:vertAlign w:val="superscript"/>
                    </w:rPr>
                    <w:t>2</w:t>
                  </w:r>
                  <w:r>
                    <w:rPr>
                      <w:rFonts w:hint="eastAsia"/>
                      <w:b/>
                      <w:color w:val="auto"/>
                    </w:rPr>
                    <w:t>）</w:t>
                  </w:r>
                </w:p>
              </w:tc>
              <w:tc>
                <w:tcPr>
                  <w:tcW w:w="520" w:type="dxa"/>
                  <w:vMerge w:val="restart"/>
                  <w:tcBorders>
                    <w:tl2br w:val="nil"/>
                    <w:tr2bl w:val="nil"/>
                  </w:tcBorders>
                  <w:noWrap w:val="0"/>
                  <w:vAlign w:val="center"/>
                </w:tcPr>
                <w:p w14:paraId="538165CC">
                  <w:pPr>
                    <w:pStyle w:val="3935"/>
                    <w:rPr>
                      <w:b/>
                      <w:color w:val="auto"/>
                    </w:rPr>
                  </w:pPr>
                  <w:r>
                    <w:rPr>
                      <w:b/>
                      <w:color w:val="auto"/>
                    </w:rPr>
                    <w:t>层数</w:t>
                  </w:r>
                </w:p>
              </w:tc>
              <w:tc>
                <w:tcPr>
                  <w:tcW w:w="1073" w:type="dxa"/>
                  <w:vMerge w:val="restart"/>
                  <w:tcBorders>
                    <w:tl2br w:val="nil"/>
                    <w:tr2bl w:val="nil"/>
                  </w:tcBorders>
                  <w:noWrap w:val="0"/>
                  <w:vAlign w:val="center"/>
                </w:tcPr>
                <w:p w14:paraId="7CA01F8C">
                  <w:pPr>
                    <w:pStyle w:val="3935"/>
                    <w:rPr>
                      <w:rFonts w:hint="eastAsia"/>
                      <w:b/>
                      <w:color w:val="auto"/>
                    </w:rPr>
                  </w:pPr>
                  <w:r>
                    <w:rPr>
                      <w:b/>
                      <w:color w:val="auto"/>
                    </w:rPr>
                    <w:t>建筑面积</w:t>
                  </w:r>
                  <w:r>
                    <w:rPr>
                      <w:rFonts w:hint="eastAsia"/>
                      <w:b/>
                      <w:color w:val="auto"/>
                    </w:rPr>
                    <w:t>（</w:t>
                  </w:r>
                  <w:r>
                    <w:rPr>
                      <w:b/>
                      <w:color w:val="auto"/>
                    </w:rPr>
                    <w:t>m</w:t>
                  </w:r>
                  <w:r>
                    <w:rPr>
                      <w:b/>
                      <w:color w:val="auto"/>
                      <w:vertAlign w:val="superscript"/>
                    </w:rPr>
                    <w:t>2</w:t>
                  </w:r>
                  <w:r>
                    <w:rPr>
                      <w:rFonts w:hint="eastAsia"/>
                      <w:b/>
                      <w:color w:val="auto"/>
                    </w:rPr>
                    <w:t>）</w:t>
                  </w:r>
                </w:p>
              </w:tc>
              <w:tc>
                <w:tcPr>
                  <w:tcW w:w="702" w:type="dxa"/>
                  <w:vMerge w:val="restart"/>
                  <w:tcBorders>
                    <w:tl2br w:val="nil"/>
                    <w:tr2bl w:val="nil"/>
                  </w:tcBorders>
                  <w:noWrap w:val="0"/>
                  <w:vAlign w:val="center"/>
                </w:tcPr>
                <w:p w14:paraId="39A054EB">
                  <w:pPr>
                    <w:pStyle w:val="3935"/>
                    <w:rPr>
                      <w:b/>
                      <w:color w:val="auto"/>
                    </w:rPr>
                  </w:pPr>
                  <w:r>
                    <w:rPr>
                      <w:b/>
                      <w:color w:val="auto"/>
                    </w:rPr>
                    <w:t>耐火</w:t>
                  </w:r>
                </w:p>
                <w:p w14:paraId="581E6ACA">
                  <w:pPr>
                    <w:pStyle w:val="3935"/>
                    <w:rPr>
                      <w:b/>
                      <w:color w:val="auto"/>
                    </w:rPr>
                  </w:pPr>
                  <w:r>
                    <w:rPr>
                      <w:b/>
                      <w:color w:val="auto"/>
                    </w:rPr>
                    <w:t>等级</w:t>
                  </w:r>
                </w:p>
              </w:tc>
              <w:tc>
                <w:tcPr>
                  <w:tcW w:w="720" w:type="dxa"/>
                  <w:vMerge w:val="restart"/>
                  <w:tcBorders>
                    <w:tl2br w:val="nil"/>
                    <w:tr2bl w:val="nil"/>
                  </w:tcBorders>
                  <w:noWrap w:val="0"/>
                  <w:vAlign w:val="center"/>
                </w:tcPr>
                <w:p w14:paraId="472B5FC2">
                  <w:pPr>
                    <w:pStyle w:val="3935"/>
                    <w:rPr>
                      <w:b/>
                      <w:color w:val="auto"/>
                    </w:rPr>
                  </w:pPr>
                  <w:r>
                    <w:rPr>
                      <w:b/>
                      <w:color w:val="auto"/>
                    </w:rPr>
                    <w:t>火灾</w:t>
                  </w:r>
                </w:p>
                <w:p w14:paraId="2E2DAC3F">
                  <w:pPr>
                    <w:pStyle w:val="3935"/>
                    <w:rPr>
                      <w:b/>
                      <w:color w:val="auto"/>
                    </w:rPr>
                  </w:pPr>
                  <w:r>
                    <w:rPr>
                      <w:b/>
                      <w:color w:val="auto"/>
                    </w:rPr>
                    <w:t>类别</w:t>
                  </w:r>
                </w:p>
              </w:tc>
              <w:tc>
                <w:tcPr>
                  <w:tcW w:w="675" w:type="dxa"/>
                  <w:vMerge w:val="restart"/>
                  <w:tcBorders>
                    <w:tl2br w:val="nil"/>
                    <w:tr2bl w:val="nil"/>
                  </w:tcBorders>
                  <w:noWrap w:val="0"/>
                  <w:vAlign w:val="center"/>
                </w:tcPr>
                <w:p w14:paraId="2B3A1A59">
                  <w:pPr>
                    <w:pStyle w:val="3935"/>
                    <w:rPr>
                      <w:b/>
                      <w:color w:val="auto"/>
                    </w:rPr>
                  </w:pPr>
                  <w:r>
                    <w:rPr>
                      <w:b/>
                      <w:color w:val="auto"/>
                    </w:rPr>
                    <w:t>结构</w:t>
                  </w:r>
                </w:p>
                <w:p w14:paraId="6923C6AF">
                  <w:pPr>
                    <w:pStyle w:val="3935"/>
                    <w:rPr>
                      <w:b/>
                      <w:color w:val="auto"/>
                    </w:rPr>
                  </w:pPr>
                  <w:r>
                    <w:rPr>
                      <w:b/>
                      <w:color w:val="auto"/>
                    </w:rPr>
                    <w:t>形式</w:t>
                  </w:r>
                </w:p>
              </w:tc>
              <w:tc>
                <w:tcPr>
                  <w:tcW w:w="1296" w:type="dxa"/>
                  <w:vMerge w:val="restart"/>
                  <w:tcBorders>
                    <w:tl2br w:val="nil"/>
                    <w:tr2bl w:val="nil"/>
                  </w:tcBorders>
                  <w:noWrap w:val="0"/>
                  <w:vAlign w:val="center"/>
                </w:tcPr>
                <w:p w14:paraId="4FF2E4F8">
                  <w:pPr>
                    <w:pStyle w:val="3935"/>
                    <w:rPr>
                      <w:b/>
                      <w:color w:val="auto"/>
                    </w:rPr>
                  </w:pPr>
                  <w:r>
                    <w:rPr>
                      <w:b/>
                      <w:color w:val="auto"/>
                    </w:rPr>
                    <w:t>备注</w:t>
                  </w:r>
                </w:p>
              </w:tc>
            </w:tr>
            <w:tr w14:paraId="74FEA3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47" w:type="dxa"/>
                  <w:vMerge w:val="continue"/>
                  <w:tcBorders>
                    <w:tl2br w:val="nil"/>
                    <w:tr2bl w:val="nil"/>
                  </w:tcBorders>
                  <w:noWrap w:val="0"/>
                  <w:vAlign w:val="center"/>
                </w:tcPr>
                <w:p w14:paraId="7603EA44">
                  <w:pPr>
                    <w:ind w:firstLine="560"/>
                    <w:rPr>
                      <w:color w:val="auto"/>
                    </w:rPr>
                  </w:pPr>
                </w:p>
              </w:tc>
              <w:tc>
                <w:tcPr>
                  <w:tcW w:w="1675" w:type="dxa"/>
                  <w:vMerge w:val="continue"/>
                  <w:tcBorders>
                    <w:tl2br w:val="nil"/>
                    <w:tr2bl w:val="nil"/>
                  </w:tcBorders>
                  <w:noWrap w:val="0"/>
                  <w:vAlign w:val="center"/>
                </w:tcPr>
                <w:p w14:paraId="60F98DC2">
                  <w:pPr>
                    <w:ind w:firstLine="560"/>
                    <w:rPr>
                      <w:color w:val="auto"/>
                    </w:rPr>
                  </w:pPr>
                </w:p>
              </w:tc>
              <w:tc>
                <w:tcPr>
                  <w:tcW w:w="1101" w:type="dxa"/>
                  <w:vMerge w:val="continue"/>
                  <w:tcBorders>
                    <w:tl2br w:val="nil"/>
                    <w:tr2bl w:val="nil"/>
                  </w:tcBorders>
                  <w:noWrap w:val="0"/>
                  <w:vAlign w:val="center"/>
                </w:tcPr>
                <w:p w14:paraId="66440096">
                  <w:pPr>
                    <w:ind w:firstLine="560"/>
                    <w:rPr>
                      <w:color w:val="auto"/>
                    </w:rPr>
                  </w:pPr>
                </w:p>
              </w:tc>
              <w:tc>
                <w:tcPr>
                  <w:tcW w:w="520" w:type="dxa"/>
                  <w:vMerge w:val="continue"/>
                  <w:tcBorders>
                    <w:tl2br w:val="nil"/>
                    <w:tr2bl w:val="nil"/>
                  </w:tcBorders>
                  <w:noWrap w:val="0"/>
                  <w:vAlign w:val="center"/>
                </w:tcPr>
                <w:p w14:paraId="28519CF0">
                  <w:pPr>
                    <w:ind w:firstLine="560"/>
                    <w:rPr>
                      <w:color w:val="auto"/>
                    </w:rPr>
                  </w:pPr>
                </w:p>
              </w:tc>
              <w:tc>
                <w:tcPr>
                  <w:tcW w:w="1073" w:type="dxa"/>
                  <w:vMerge w:val="continue"/>
                  <w:tcBorders>
                    <w:tl2br w:val="nil"/>
                    <w:tr2bl w:val="nil"/>
                  </w:tcBorders>
                  <w:noWrap w:val="0"/>
                  <w:vAlign w:val="center"/>
                </w:tcPr>
                <w:p w14:paraId="357CA61C">
                  <w:pPr>
                    <w:ind w:firstLine="560"/>
                    <w:rPr>
                      <w:color w:val="auto"/>
                    </w:rPr>
                  </w:pPr>
                </w:p>
              </w:tc>
              <w:tc>
                <w:tcPr>
                  <w:tcW w:w="702" w:type="dxa"/>
                  <w:vMerge w:val="continue"/>
                  <w:tcBorders>
                    <w:tl2br w:val="nil"/>
                    <w:tr2bl w:val="nil"/>
                  </w:tcBorders>
                  <w:noWrap w:val="0"/>
                  <w:vAlign w:val="center"/>
                </w:tcPr>
                <w:p w14:paraId="14B3C912">
                  <w:pPr>
                    <w:ind w:firstLine="560"/>
                    <w:rPr>
                      <w:color w:val="auto"/>
                    </w:rPr>
                  </w:pPr>
                </w:p>
              </w:tc>
              <w:tc>
                <w:tcPr>
                  <w:tcW w:w="720" w:type="dxa"/>
                  <w:vMerge w:val="continue"/>
                  <w:tcBorders>
                    <w:tl2br w:val="nil"/>
                    <w:tr2bl w:val="nil"/>
                  </w:tcBorders>
                  <w:noWrap w:val="0"/>
                  <w:vAlign w:val="center"/>
                </w:tcPr>
                <w:p w14:paraId="7F2DAF12">
                  <w:pPr>
                    <w:ind w:firstLine="560"/>
                    <w:rPr>
                      <w:color w:val="auto"/>
                    </w:rPr>
                  </w:pPr>
                </w:p>
              </w:tc>
              <w:tc>
                <w:tcPr>
                  <w:tcW w:w="675" w:type="dxa"/>
                  <w:vMerge w:val="continue"/>
                  <w:tcBorders>
                    <w:tl2br w:val="nil"/>
                    <w:tr2bl w:val="nil"/>
                  </w:tcBorders>
                  <w:noWrap w:val="0"/>
                  <w:vAlign w:val="center"/>
                </w:tcPr>
                <w:p w14:paraId="781A004B">
                  <w:pPr>
                    <w:ind w:firstLine="560"/>
                    <w:rPr>
                      <w:color w:val="auto"/>
                    </w:rPr>
                  </w:pPr>
                </w:p>
              </w:tc>
              <w:tc>
                <w:tcPr>
                  <w:tcW w:w="1296" w:type="dxa"/>
                  <w:vMerge w:val="continue"/>
                  <w:tcBorders>
                    <w:tl2br w:val="nil"/>
                    <w:tr2bl w:val="nil"/>
                  </w:tcBorders>
                  <w:noWrap w:val="0"/>
                  <w:vAlign w:val="center"/>
                </w:tcPr>
                <w:p w14:paraId="14CD242F">
                  <w:pPr>
                    <w:ind w:firstLine="560"/>
                    <w:rPr>
                      <w:color w:val="auto"/>
                    </w:rPr>
                  </w:pPr>
                </w:p>
              </w:tc>
            </w:tr>
            <w:tr w14:paraId="604DA9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dxa"/>
                  <w:tcBorders>
                    <w:tl2br w:val="nil"/>
                    <w:tr2bl w:val="nil"/>
                  </w:tcBorders>
                  <w:noWrap w:val="0"/>
                  <w:vAlign w:val="center"/>
                </w:tcPr>
                <w:p w14:paraId="1A1DCA6C">
                  <w:pPr>
                    <w:pStyle w:val="3935"/>
                    <w:rPr>
                      <w:color w:val="auto"/>
                    </w:rPr>
                  </w:pPr>
                  <w:r>
                    <w:rPr>
                      <w:rFonts w:hint="eastAsia"/>
                      <w:color w:val="auto"/>
                    </w:rPr>
                    <w:t>1</w:t>
                  </w:r>
                </w:p>
              </w:tc>
              <w:tc>
                <w:tcPr>
                  <w:tcW w:w="1675" w:type="dxa"/>
                  <w:tcBorders>
                    <w:tl2br w:val="nil"/>
                    <w:tr2bl w:val="nil"/>
                  </w:tcBorders>
                  <w:noWrap w:val="0"/>
                  <w:vAlign w:val="center"/>
                </w:tcPr>
                <w:p w14:paraId="384E9183">
                  <w:pPr>
                    <w:pStyle w:val="3935"/>
                    <w:rPr>
                      <w:rFonts w:hint="default" w:eastAsia="宋体"/>
                      <w:color w:val="auto"/>
                      <w:lang w:val="en-US" w:eastAsia="zh-CN"/>
                    </w:rPr>
                  </w:pPr>
                  <w:r>
                    <w:rPr>
                      <w:rFonts w:hint="eastAsia"/>
                      <w:color w:val="auto"/>
                      <w:lang w:val="en-US" w:eastAsia="zh-CN"/>
                    </w:rPr>
                    <w:t>液氯罐式集装箱装卸场地</w:t>
                  </w:r>
                </w:p>
              </w:tc>
              <w:tc>
                <w:tcPr>
                  <w:tcW w:w="1101" w:type="dxa"/>
                  <w:tcBorders>
                    <w:tl2br w:val="nil"/>
                    <w:tr2bl w:val="nil"/>
                  </w:tcBorders>
                  <w:noWrap w:val="0"/>
                  <w:vAlign w:val="center"/>
                </w:tcPr>
                <w:p w14:paraId="1C74F3BC">
                  <w:pPr>
                    <w:spacing w:line="240" w:lineRule="atLeast"/>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255</w:t>
                  </w:r>
                </w:p>
              </w:tc>
              <w:tc>
                <w:tcPr>
                  <w:tcW w:w="520" w:type="dxa"/>
                  <w:tcBorders>
                    <w:tl2br w:val="nil"/>
                    <w:tr2bl w:val="nil"/>
                  </w:tcBorders>
                  <w:noWrap w:val="0"/>
                  <w:vAlign w:val="center"/>
                </w:tcPr>
                <w:p w14:paraId="0081389E">
                  <w:pPr>
                    <w:spacing w:line="240" w:lineRule="atLeast"/>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w:t>
                  </w:r>
                </w:p>
              </w:tc>
              <w:tc>
                <w:tcPr>
                  <w:tcW w:w="1073" w:type="dxa"/>
                  <w:tcBorders>
                    <w:tl2br w:val="nil"/>
                    <w:tr2bl w:val="nil"/>
                  </w:tcBorders>
                  <w:noWrap w:val="0"/>
                  <w:vAlign w:val="center"/>
                </w:tcPr>
                <w:p w14:paraId="68C98764">
                  <w:pPr>
                    <w:spacing w:line="240" w:lineRule="atLeast"/>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255</w:t>
                  </w:r>
                </w:p>
              </w:tc>
              <w:tc>
                <w:tcPr>
                  <w:tcW w:w="702" w:type="dxa"/>
                  <w:tcBorders>
                    <w:tl2br w:val="nil"/>
                    <w:tr2bl w:val="nil"/>
                  </w:tcBorders>
                  <w:noWrap w:val="0"/>
                  <w:vAlign w:val="center"/>
                </w:tcPr>
                <w:p w14:paraId="6628FABB">
                  <w:pPr>
                    <w:spacing w:line="240" w:lineRule="atLeast"/>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一级</w:t>
                  </w:r>
                </w:p>
              </w:tc>
              <w:tc>
                <w:tcPr>
                  <w:tcW w:w="720" w:type="dxa"/>
                  <w:tcBorders>
                    <w:tl2br w:val="nil"/>
                    <w:tr2bl w:val="nil"/>
                  </w:tcBorders>
                  <w:noWrap w:val="0"/>
                  <w:vAlign w:val="center"/>
                </w:tcPr>
                <w:p w14:paraId="69A150E4">
                  <w:pPr>
                    <w:spacing w:line="240" w:lineRule="atLeast"/>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乙类</w:t>
                  </w:r>
                </w:p>
              </w:tc>
              <w:tc>
                <w:tcPr>
                  <w:tcW w:w="675" w:type="dxa"/>
                  <w:tcBorders>
                    <w:tl2br w:val="nil"/>
                    <w:tr2bl w:val="nil"/>
                  </w:tcBorders>
                  <w:noWrap w:val="0"/>
                  <w:vAlign w:val="center"/>
                </w:tcPr>
                <w:p w14:paraId="4B93DCFF">
                  <w:pPr>
                    <w:spacing w:line="240" w:lineRule="atLeast"/>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框架</w:t>
                  </w:r>
                </w:p>
              </w:tc>
              <w:tc>
                <w:tcPr>
                  <w:tcW w:w="1296" w:type="dxa"/>
                  <w:tcBorders>
                    <w:tl2br w:val="nil"/>
                    <w:tr2bl w:val="nil"/>
                  </w:tcBorders>
                  <w:noWrap w:val="0"/>
                  <w:vAlign w:val="center"/>
                </w:tcPr>
                <w:p w14:paraId="4441891F">
                  <w:pPr>
                    <w:spacing w:line="240" w:lineRule="atLeas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增加三只液氯贮罐</w:t>
                  </w:r>
                </w:p>
              </w:tc>
            </w:tr>
            <w:tr w14:paraId="00B00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dxa"/>
                  <w:tcBorders>
                    <w:tl2br w:val="nil"/>
                    <w:tr2bl w:val="nil"/>
                  </w:tcBorders>
                  <w:noWrap w:val="0"/>
                  <w:vAlign w:val="center"/>
                </w:tcPr>
                <w:p w14:paraId="324C8782">
                  <w:pPr>
                    <w:pStyle w:val="3935"/>
                    <w:rPr>
                      <w:rFonts w:hint="eastAsia" w:eastAsia="宋体"/>
                      <w:color w:val="auto"/>
                      <w:lang w:val="en-US" w:eastAsia="zh-CN"/>
                    </w:rPr>
                  </w:pPr>
                  <w:r>
                    <w:rPr>
                      <w:rFonts w:hint="eastAsia"/>
                      <w:color w:val="auto"/>
                      <w:lang w:val="en-US" w:eastAsia="zh-CN"/>
                    </w:rPr>
                    <w:t>2</w:t>
                  </w:r>
                </w:p>
              </w:tc>
              <w:tc>
                <w:tcPr>
                  <w:tcW w:w="1675" w:type="dxa"/>
                  <w:tcBorders>
                    <w:tl2br w:val="nil"/>
                    <w:tr2bl w:val="nil"/>
                  </w:tcBorders>
                  <w:noWrap w:val="0"/>
                  <w:vAlign w:val="center"/>
                </w:tcPr>
                <w:p w14:paraId="4EC44CE1">
                  <w:pPr>
                    <w:pStyle w:val="3935"/>
                    <w:rPr>
                      <w:rFonts w:hint="default" w:eastAsia="宋体"/>
                      <w:color w:val="auto"/>
                      <w:lang w:val="en-US" w:eastAsia="zh-CN"/>
                    </w:rPr>
                  </w:pPr>
                  <w:r>
                    <w:rPr>
                      <w:rFonts w:hint="eastAsia" w:eastAsia="宋体"/>
                      <w:color w:val="auto"/>
                      <w:lang w:val="en-US" w:eastAsia="zh-CN"/>
                    </w:rPr>
                    <w:t>黄磷池</w:t>
                  </w:r>
                </w:p>
              </w:tc>
              <w:tc>
                <w:tcPr>
                  <w:tcW w:w="1101" w:type="dxa"/>
                  <w:tcBorders>
                    <w:tl2br w:val="nil"/>
                    <w:tr2bl w:val="nil"/>
                  </w:tcBorders>
                  <w:noWrap w:val="0"/>
                  <w:vAlign w:val="center"/>
                </w:tcPr>
                <w:p w14:paraId="43FA54A4">
                  <w:pPr>
                    <w:spacing w:line="240" w:lineRule="atLeas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136</w:t>
                  </w:r>
                </w:p>
              </w:tc>
              <w:tc>
                <w:tcPr>
                  <w:tcW w:w="520" w:type="dxa"/>
                  <w:tcBorders>
                    <w:tl2br w:val="nil"/>
                    <w:tr2bl w:val="nil"/>
                  </w:tcBorders>
                  <w:noWrap w:val="0"/>
                  <w:vAlign w:val="center"/>
                </w:tcPr>
                <w:p w14:paraId="46FEA004">
                  <w:pPr>
                    <w:spacing w:line="240" w:lineRule="atLeast"/>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1073" w:type="dxa"/>
                  <w:tcBorders>
                    <w:tl2br w:val="nil"/>
                    <w:tr2bl w:val="nil"/>
                  </w:tcBorders>
                  <w:noWrap w:val="0"/>
                  <w:vAlign w:val="center"/>
                </w:tcPr>
                <w:p w14:paraId="1FBAF01A">
                  <w:pPr>
                    <w:spacing w:line="240" w:lineRule="atLeas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136</w:t>
                  </w:r>
                </w:p>
              </w:tc>
              <w:tc>
                <w:tcPr>
                  <w:tcW w:w="702" w:type="dxa"/>
                  <w:tcBorders>
                    <w:tl2br w:val="nil"/>
                    <w:tr2bl w:val="nil"/>
                  </w:tcBorders>
                  <w:noWrap w:val="0"/>
                  <w:vAlign w:val="center"/>
                </w:tcPr>
                <w:p w14:paraId="283005D8">
                  <w:pPr>
                    <w:spacing w:line="240" w:lineRule="atLeast"/>
                    <w:ind w:firstLine="0" w:firstLineChars="0"/>
                    <w:jc w:val="center"/>
                    <w:rPr>
                      <w:rFonts w:hint="eastAsia" w:eastAsia="宋体"/>
                      <w:bCs/>
                      <w:color w:val="auto"/>
                      <w:sz w:val="21"/>
                      <w:szCs w:val="21"/>
                      <w:lang w:val="en-US" w:eastAsia="zh-CN"/>
                    </w:rPr>
                  </w:pPr>
                  <w:r>
                    <w:rPr>
                      <w:rFonts w:hint="eastAsia"/>
                      <w:bCs/>
                      <w:color w:val="auto"/>
                      <w:sz w:val="21"/>
                      <w:szCs w:val="21"/>
                      <w:lang w:val="en-US" w:eastAsia="zh-CN"/>
                    </w:rPr>
                    <w:t>二级</w:t>
                  </w:r>
                </w:p>
              </w:tc>
              <w:tc>
                <w:tcPr>
                  <w:tcW w:w="720" w:type="dxa"/>
                  <w:tcBorders>
                    <w:tl2br w:val="nil"/>
                    <w:tr2bl w:val="nil"/>
                  </w:tcBorders>
                  <w:noWrap w:val="0"/>
                  <w:vAlign w:val="center"/>
                </w:tcPr>
                <w:p w14:paraId="5DA82449">
                  <w:pPr>
                    <w:pStyle w:val="3935"/>
                    <w:rPr>
                      <w:rFonts w:hint="eastAsia" w:eastAsia="宋体"/>
                      <w:color w:val="auto"/>
                      <w:lang w:val="en-US" w:eastAsia="zh-CN"/>
                    </w:rPr>
                  </w:pPr>
                  <w:r>
                    <w:rPr>
                      <w:rFonts w:hint="eastAsia"/>
                      <w:color w:val="auto"/>
                      <w:lang w:val="en-US" w:eastAsia="zh-CN"/>
                    </w:rPr>
                    <w:t>甲类</w:t>
                  </w:r>
                </w:p>
              </w:tc>
              <w:tc>
                <w:tcPr>
                  <w:tcW w:w="675" w:type="dxa"/>
                  <w:tcBorders>
                    <w:tl2br w:val="nil"/>
                    <w:tr2bl w:val="nil"/>
                  </w:tcBorders>
                  <w:noWrap w:val="0"/>
                  <w:vAlign w:val="center"/>
                </w:tcPr>
                <w:p w14:paraId="66EF64AA">
                  <w:pPr>
                    <w:pStyle w:val="3935"/>
                    <w:rPr>
                      <w:rFonts w:hint="eastAsia" w:eastAsia="宋体"/>
                      <w:color w:val="auto"/>
                      <w:lang w:val="en-US" w:eastAsia="zh-CN"/>
                    </w:rPr>
                  </w:pPr>
                  <w:r>
                    <w:rPr>
                      <w:rFonts w:hint="eastAsia"/>
                      <w:color w:val="auto"/>
                      <w:lang w:val="en-US" w:eastAsia="zh-CN"/>
                    </w:rPr>
                    <w:t>甲类</w:t>
                  </w:r>
                </w:p>
              </w:tc>
              <w:tc>
                <w:tcPr>
                  <w:tcW w:w="1296" w:type="dxa"/>
                  <w:tcBorders>
                    <w:tl2br w:val="nil"/>
                    <w:tr2bl w:val="nil"/>
                  </w:tcBorders>
                  <w:noWrap w:val="0"/>
                  <w:vAlign w:val="center"/>
                </w:tcPr>
                <w:p w14:paraId="57DFE284">
                  <w:pPr>
                    <w:spacing w:line="240" w:lineRule="atLeas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增加两座黄磷池</w:t>
                  </w:r>
                </w:p>
              </w:tc>
            </w:tr>
          </w:tbl>
          <w:p w14:paraId="3EDF4BF8">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textAlignment w:val="auto"/>
              <w:rPr>
                <w:rFonts w:hint="eastAsia"/>
                <w:b/>
                <w:bCs/>
                <w:color w:val="auto"/>
                <w:sz w:val="24"/>
                <w:szCs w:val="24"/>
                <w:lang w:val="en-US" w:eastAsia="zh-CN"/>
              </w:rPr>
            </w:pPr>
            <w:r>
              <w:rPr>
                <w:rFonts w:hint="eastAsia"/>
                <w:b/>
                <w:bCs/>
                <w:color w:val="auto"/>
                <w:sz w:val="24"/>
                <w:szCs w:val="24"/>
                <w:lang w:val="en-US" w:eastAsia="zh-CN"/>
              </w:rPr>
              <w:t>1.主要原辅材料</w:t>
            </w:r>
          </w:p>
          <w:p w14:paraId="7241CF13">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z w:val="24"/>
                <w:szCs w:val="24"/>
              </w:rPr>
            </w:pPr>
            <w:r>
              <w:rPr>
                <w:rFonts w:hint="eastAsia"/>
                <w:color w:val="auto"/>
                <w:sz w:val="24"/>
                <w:szCs w:val="24"/>
                <w:lang w:eastAsia="zh-CN"/>
              </w:rPr>
              <w:t>建设项目为现有项目危险品配套仓储项目，不涉及原辅材料的使用，</w:t>
            </w:r>
            <w:r>
              <w:rPr>
                <w:color w:val="auto"/>
                <w:sz w:val="24"/>
                <w:szCs w:val="24"/>
              </w:rPr>
              <w:t>建设项目</w:t>
            </w:r>
            <w:r>
              <w:rPr>
                <w:rFonts w:hint="eastAsia"/>
                <w:color w:val="auto"/>
                <w:sz w:val="24"/>
                <w:szCs w:val="24"/>
                <w:lang w:eastAsia="zh-CN"/>
              </w:rPr>
              <w:t>涉及物质</w:t>
            </w:r>
            <w:r>
              <w:rPr>
                <w:color w:val="auto"/>
                <w:sz w:val="24"/>
                <w:szCs w:val="24"/>
              </w:rPr>
              <w:t>储存情况见表</w:t>
            </w:r>
            <w:r>
              <w:rPr>
                <w:rFonts w:hint="eastAsia"/>
                <w:color w:val="auto"/>
                <w:sz w:val="24"/>
                <w:szCs w:val="24"/>
                <w:lang w:val="en-US" w:eastAsia="zh-CN"/>
              </w:rPr>
              <w:t>2-3</w:t>
            </w:r>
            <w:r>
              <w:rPr>
                <w:color w:val="auto"/>
                <w:sz w:val="24"/>
                <w:szCs w:val="24"/>
              </w:rPr>
              <w:t>。</w:t>
            </w:r>
          </w:p>
          <w:p w14:paraId="299B2D50">
            <w:pPr>
              <w:pStyle w:val="3934"/>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rPr>
            </w:pPr>
            <w:r>
              <w:rPr>
                <w:color w:val="auto"/>
              </w:rPr>
              <w:t>表2</w:t>
            </w:r>
            <w:r>
              <w:rPr>
                <w:rFonts w:hint="eastAsia"/>
                <w:color w:val="auto"/>
                <w:lang w:val="en-US" w:eastAsia="zh-CN"/>
              </w:rPr>
              <w:t xml:space="preserve">-3 </w:t>
            </w:r>
            <w:r>
              <w:rPr>
                <w:color w:val="auto"/>
              </w:rPr>
              <w:t xml:space="preserve"> 主要</w:t>
            </w:r>
            <w:r>
              <w:rPr>
                <w:rFonts w:hint="eastAsia"/>
                <w:color w:val="auto"/>
                <w:lang w:eastAsia="zh-CN"/>
              </w:rPr>
              <w:t>涉及物料</w:t>
            </w:r>
            <w:r>
              <w:rPr>
                <w:color w:val="auto"/>
              </w:rPr>
              <w:t>储存情况一览表</w:t>
            </w:r>
          </w:p>
          <w:tbl>
            <w:tblPr>
              <w:tblStyle w:val="8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10"/>
              <w:gridCol w:w="551"/>
              <w:gridCol w:w="450"/>
              <w:gridCol w:w="372"/>
              <w:gridCol w:w="490"/>
              <w:gridCol w:w="557"/>
              <w:gridCol w:w="626"/>
              <w:gridCol w:w="763"/>
              <w:gridCol w:w="694"/>
              <w:gridCol w:w="653"/>
              <w:gridCol w:w="512"/>
              <w:gridCol w:w="515"/>
              <w:gridCol w:w="512"/>
              <w:gridCol w:w="370"/>
              <w:gridCol w:w="401"/>
              <w:gridCol w:w="733"/>
            </w:tblGrid>
            <w:tr w14:paraId="47D28D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tblHeader/>
                <w:jc w:val="center"/>
              </w:trPr>
              <w:tc>
                <w:tcPr>
                  <w:tcW w:w="125" w:type="pct"/>
                  <w:vMerge w:val="restart"/>
                  <w:tcBorders>
                    <w:tl2br w:val="nil"/>
                    <w:tr2bl w:val="nil"/>
                  </w:tcBorders>
                  <w:noWrap w:val="0"/>
                  <w:tcMar>
                    <w:left w:w="28" w:type="dxa"/>
                    <w:right w:w="28" w:type="dxa"/>
                  </w:tcMar>
                  <w:vAlign w:val="center"/>
                </w:tcPr>
                <w:p w14:paraId="2E2D2C27">
                  <w:pPr>
                    <w:pStyle w:val="3935"/>
                    <w:rPr>
                      <w:b/>
                      <w:bCs w:val="0"/>
                      <w:color w:val="auto"/>
                      <w:sz w:val="15"/>
                      <w:szCs w:val="15"/>
                    </w:rPr>
                  </w:pPr>
                  <w:bookmarkStart w:id="21" w:name="_Hlk88137914"/>
                  <w:r>
                    <w:rPr>
                      <w:b/>
                      <w:bCs w:val="0"/>
                      <w:color w:val="auto"/>
                      <w:sz w:val="15"/>
                      <w:szCs w:val="15"/>
                    </w:rPr>
                    <w:t>序号</w:t>
                  </w:r>
                </w:p>
              </w:tc>
              <w:tc>
                <w:tcPr>
                  <w:tcW w:w="327" w:type="pct"/>
                  <w:vMerge w:val="restart"/>
                  <w:tcBorders>
                    <w:tl2br w:val="nil"/>
                    <w:tr2bl w:val="nil"/>
                  </w:tcBorders>
                  <w:noWrap w:val="0"/>
                  <w:tcMar>
                    <w:left w:w="28" w:type="dxa"/>
                    <w:right w:w="28" w:type="dxa"/>
                  </w:tcMar>
                  <w:vAlign w:val="center"/>
                </w:tcPr>
                <w:p w14:paraId="46E2323E">
                  <w:pPr>
                    <w:pStyle w:val="3935"/>
                    <w:rPr>
                      <w:b/>
                      <w:bCs w:val="0"/>
                      <w:color w:val="auto"/>
                      <w:sz w:val="15"/>
                      <w:szCs w:val="15"/>
                    </w:rPr>
                  </w:pPr>
                  <w:r>
                    <w:rPr>
                      <w:b/>
                      <w:bCs w:val="0"/>
                      <w:color w:val="auto"/>
                      <w:sz w:val="15"/>
                      <w:szCs w:val="15"/>
                    </w:rPr>
                    <w:t>物料名称</w:t>
                  </w:r>
                </w:p>
              </w:tc>
              <w:tc>
                <w:tcPr>
                  <w:tcW w:w="267" w:type="pct"/>
                  <w:vMerge w:val="restart"/>
                  <w:tcBorders>
                    <w:tl2br w:val="nil"/>
                    <w:tr2bl w:val="nil"/>
                  </w:tcBorders>
                  <w:noWrap w:val="0"/>
                  <w:tcMar>
                    <w:left w:w="28" w:type="dxa"/>
                    <w:right w:w="28" w:type="dxa"/>
                  </w:tcMar>
                  <w:vAlign w:val="center"/>
                </w:tcPr>
                <w:p w14:paraId="6E30D749">
                  <w:pPr>
                    <w:pStyle w:val="3935"/>
                    <w:rPr>
                      <w:b/>
                      <w:bCs w:val="0"/>
                      <w:color w:val="auto"/>
                      <w:sz w:val="15"/>
                      <w:szCs w:val="15"/>
                    </w:rPr>
                  </w:pPr>
                  <w:r>
                    <w:rPr>
                      <w:b/>
                      <w:bCs w:val="0"/>
                      <w:color w:val="auto"/>
                      <w:sz w:val="15"/>
                      <w:szCs w:val="15"/>
                    </w:rPr>
                    <w:t>规格</w:t>
                  </w:r>
                </w:p>
                <w:p w14:paraId="60B5C3FF">
                  <w:pPr>
                    <w:pStyle w:val="3935"/>
                    <w:rPr>
                      <w:b/>
                      <w:bCs w:val="0"/>
                      <w:color w:val="auto"/>
                      <w:sz w:val="15"/>
                      <w:szCs w:val="15"/>
                    </w:rPr>
                  </w:pPr>
                  <w:r>
                    <w:rPr>
                      <w:b/>
                      <w:bCs w:val="0"/>
                      <w:color w:val="auto"/>
                      <w:sz w:val="15"/>
                      <w:szCs w:val="15"/>
                    </w:rPr>
                    <w:t>（%）</w:t>
                  </w:r>
                </w:p>
              </w:tc>
              <w:tc>
                <w:tcPr>
                  <w:tcW w:w="221" w:type="pct"/>
                  <w:vMerge w:val="restart"/>
                  <w:tcBorders>
                    <w:tl2br w:val="nil"/>
                    <w:tr2bl w:val="nil"/>
                  </w:tcBorders>
                  <w:noWrap w:val="0"/>
                  <w:vAlign w:val="center"/>
                </w:tcPr>
                <w:p w14:paraId="2306E6FA">
                  <w:pPr>
                    <w:pStyle w:val="3935"/>
                    <w:rPr>
                      <w:b/>
                      <w:bCs w:val="0"/>
                      <w:color w:val="auto"/>
                      <w:sz w:val="15"/>
                      <w:szCs w:val="15"/>
                    </w:rPr>
                  </w:pPr>
                  <w:r>
                    <w:rPr>
                      <w:b/>
                      <w:bCs w:val="0"/>
                      <w:color w:val="auto"/>
                      <w:sz w:val="15"/>
                      <w:szCs w:val="15"/>
                    </w:rPr>
                    <w:t>火灾危险类别</w:t>
                  </w:r>
                </w:p>
              </w:tc>
              <w:tc>
                <w:tcPr>
                  <w:tcW w:w="291" w:type="pct"/>
                  <w:vMerge w:val="restart"/>
                  <w:tcBorders>
                    <w:tl2br w:val="nil"/>
                    <w:tr2bl w:val="nil"/>
                  </w:tcBorders>
                  <w:noWrap w:val="0"/>
                  <w:tcMar>
                    <w:left w:w="28" w:type="dxa"/>
                    <w:right w:w="28" w:type="dxa"/>
                  </w:tcMar>
                  <w:vAlign w:val="center"/>
                </w:tcPr>
                <w:p w14:paraId="4B1666E7">
                  <w:pPr>
                    <w:pStyle w:val="3935"/>
                    <w:rPr>
                      <w:b/>
                      <w:bCs w:val="0"/>
                      <w:color w:val="auto"/>
                      <w:sz w:val="15"/>
                      <w:szCs w:val="15"/>
                    </w:rPr>
                  </w:pPr>
                  <w:r>
                    <w:rPr>
                      <w:b/>
                      <w:bCs w:val="0"/>
                      <w:color w:val="auto"/>
                      <w:sz w:val="15"/>
                      <w:szCs w:val="15"/>
                    </w:rPr>
                    <w:t>储存状态</w:t>
                  </w:r>
                </w:p>
              </w:tc>
              <w:tc>
                <w:tcPr>
                  <w:tcW w:w="331" w:type="pct"/>
                  <w:vMerge w:val="restart"/>
                  <w:tcBorders>
                    <w:tl2br w:val="nil"/>
                    <w:tr2bl w:val="nil"/>
                  </w:tcBorders>
                  <w:noWrap w:val="0"/>
                  <w:tcMar>
                    <w:left w:w="28" w:type="dxa"/>
                    <w:right w:w="28" w:type="dxa"/>
                  </w:tcMar>
                  <w:vAlign w:val="center"/>
                </w:tcPr>
                <w:p w14:paraId="7C3F210B">
                  <w:pPr>
                    <w:pStyle w:val="3935"/>
                    <w:rPr>
                      <w:b/>
                      <w:bCs w:val="0"/>
                      <w:color w:val="auto"/>
                      <w:sz w:val="15"/>
                      <w:szCs w:val="15"/>
                    </w:rPr>
                  </w:pPr>
                  <w:r>
                    <w:rPr>
                      <w:b/>
                      <w:bCs w:val="0"/>
                      <w:color w:val="auto"/>
                      <w:sz w:val="15"/>
                      <w:szCs w:val="15"/>
                    </w:rPr>
                    <w:t>储存方式</w:t>
                  </w:r>
                </w:p>
              </w:tc>
              <w:tc>
                <w:tcPr>
                  <w:tcW w:w="1237" w:type="pct"/>
                  <w:gridSpan w:val="3"/>
                  <w:tcBorders>
                    <w:tl2br w:val="nil"/>
                    <w:tr2bl w:val="nil"/>
                  </w:tcBorders>
                  <w:noWrap w:val="0"/>
                  <w:tcMar>
                    <w:left w:w="28" w:type="dxa"/>
                    <w:right w:w="28" w:type="dxa"/>
                  </w:tcMar>
                  <w:vAlign w:val="center"/>
                </w:tcPr>
                <w:p w14:paraId="7094510A">
                  <w:pPr>
                    <w:pStyle w:val="3935"/>
                    <w:rPr>
                      <w:b/>
                      <w:bCs w:val="0"/>
                      <w:color w:val="auto"/>
                      <w:sz w:val="15"/>
                      <w:szCs w:val="15"/>
                    </w:rPr>
                  </w:pPr>
                  <w:r>
                    <w:rPr>
                      <w:b/>
                      <w:bCs w:val="0"/>
                      <w:color w:val="auto"/>
                      <w:sz w:val="15"/>
                      <w:szCs w:val="15"/>
                    </w:rPr>
                    <w:t>最大存量（t）</w:t>
                  </w:r>
                </w:p>
              </w:tc>
              <w:tc>
                <w:tcPr>
                  <w:tcW w:w="998" w:type="pct"/>
                  <w:gridSpan w:val="3"/>
                  <w:tcBorders>
                    <w:tl2br w:val="nil"/>
                    <w:tr2bl w:val="nil"/>
                  </w:tcBorders>
                  <w:noWrap w:val="0"/>
                  <w:tcMar>
                    <w:left w:w="28" w:type="dxa"/>
                    <w:right w:w="28" w:type="dxa"/>
                  </w:tcMar>
                  <w:vAlign w:val="center"/>
                </w:tcPr>
                <w:p w14:paraId="5D2AB1E8">
                  <w:pPr>
                    <w:pStyle w:val="3935"/>
                    <w:rPr>
                      <w:b/>
                      <w:bCs w:val="0"/>
                      <w:color w:val="auto"/>
                      <w:sz w:val="15"/>
                      <w:szCs w:val="15"/>
                    </w:rPr>
                  </w:pPr>
                  <w:r>
                    <w:rPr>
                      <w:rFonts w:hint="eastAsia"/>
                      <w:b/>
                      <w:bCs w:val="0"/>
                      <w:color w:val="auto"/>
                      <w:sz w:val="15"/>
                      <w:szCs w:val="15"/>
                      <w:lang w:val="en-US" w:eastAsia="zh-CN"/>
                    </w:rPr>
                    <w:t>年周转量</w:t>
                  </w:r>
                  <w:r>
                    <w:rPr>
                      <w:b/>
                      <w:bCs w:val="0"/>
                      <w:color w:val="auto"/>
                      <w:sz w:val="15"/>
                      <w:szCs w:val="15"/>
                    </w:rPr>
                    <w:t>（t）</w:t>
                  </w:r>
                </w:p>
              </w:tc>
              <w:tc>
                <w:tcPr>
                  <w:tcW w:w="304" w:type="pct"/>
                  <w:vMerge w:val="restart"/>
                  <w:tcBorders>
                    <w:tl2br w:val="nil"/>
                    <w:tr2bl w:val="nil"/>
                  </w:tcBorders>
                  <w:noWrap w:val="0"/>
                  <w:tcMar>
                    <w:left w:w="28" w:type="dxa"/>
                    <w:right w:w="28" w:type="dxa"/>
                  </w:tcMar>
                  <w:vAlign w:val="center"/>
                </w:tcPr>
                <w:p w14:paraId="1119DEA8">
                  <w:pPr>
                    <w:pStyle w:val="3935"/>
                    <w:rPr>
                      <w:b/>
                      <w:bCs w:val="0"/>
                      <w:color w:val="auto"/>
                      <w:sz w:val="15"/>
                      <w:szCs w:val="15"/>
                    </w:rPr>
                  </w:pPr>
                  <w:r>
                    <w:rPr>
                      <w:b/>
                      <w:bCs w:val="0"/>
                      <w:color w:val="auto"/>
                      <w:sz w:val="15"/>
                      <w:szCs w:val="15"/>
                    </w:rPr>
                    <w:t>储存场所</w:t>
                  </w:r>
                </w:p>
              </w:tc>
              <w:tc>
                <w:tcPr>
                  <w:tcW w:w="458" w:type="pct"/>
                  <w:gridSpan w:val="2"/>
                  <w:tcBorders>
                    <w:tl2br w:val="nil"/>
                    <w:tr2bl w:val="nil"/>
                  </w:tcBorders>
                  <w:noWrap w:val="0"/>
                  <w:tcMar>
                    <w:left w:w="28" w:type="dxa"/>
                    <w:right w:w="28" w:type="dxa"/>
                  </w:tcMar>
                  <w:vAlign w:val="center"/>
                </w:tcPr>
                <w:p w14:paraId="0EC2068E">
                  <w:pPr>
                    <w:pStyle w:val="3935"/>
                    <w:rPr>
                      <w:b/>
                      <w:bCs w:val="0"/>
                      <w:color w:val="auto"/>
                      <w:sz w:val="15"/>
                      <w:szCs w:val="15"/>
                    </w:rPr>
                  </w:pPr>
                  <w:r>
                    <w:rPr>
                      <w:b/>
                      <w:bCs w:val="0"/>
                      <w:color w:val="auto"/>
                      <w:sz w:val="15"/>
                      <w:szCs w:val="15"/>
                    </w:rPr>
                    <w:t>运输方式</w:t>
                  </w:r>
                </w:p>
              </w:tc>
              <w:tc>
                <w:tcPr>
                  <w:tcW w:w="435" w:type="pct"/>
                  <w:vMerge w:val="restart"/>
                  <w:tcBorders>
                    <w:tl2br w:val="nil"/>
                    <w:tr2bl w:val="nil"/>
                  </w:tcBorders>
                  <w:noWrap w:val="0"/>
                  <w:tcMar>
                    <w:left w:w="28" w:type="dxa"/>
                    <w:right w:w="28" w:type="dxa"/>
                  </w:tcMar>
                  <w:vAlign w:val="center"/>
                </w:tcPr>
                <w:p w14:paraId="4C5CD5A0">
                  <w:pPr>
                    <w:pStyle w:val="917"/>
                    <w:rPr>
                      <w:rFonts w:hint="eastAsia" w:eastAsia="宋体"/>
                      <w:b/>
                      <w:bCs w:val="0"/>
                      <w:color w:val="auto"/>
                      <w:sz w:val="15"/>
                      <w:szCs w:val="15"/>
                      <w:lang w:eastAsia="zh-CN"/>
                    </w:rPr>
                  </w:pPr>
                  <w:r>
                    <w:rPr>
                      <w:rFonts w:hint="eastAsia" w:ascii="Times New Roman"/>
                      <w:b/>
                      <w:bCs/>
                      <w:color w:val="auto"/>
                      <w:sz w:val="15"/>
                      <w:szCs w:val="15"/>
                    </w:rPr>
                    <w:t>围堰设置情况</w:t>
                  </w:r>
                </w:p>
              </w:tc>
            </w:tr>
            <w:tr w14:paraId="566F87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tblHeader/>
                <w:jc w:val="center"/>
              </w:trPr>
              <w:tc>
                <w:tcPr>
                  <w:tcW w:w="125" w:type="pct"/>
                  <w:vMerge w:val="continue"/>
                  <w:tcBorders>
                    <w:tl2br w:val="nil"/>
                    <w:tr2bl w:val="nil"/>
                  </w:tcBorders>
                  <w:noWrap w:val="0"/>
                  <w:tcMar>
                    <w:left w:w="28" w:type="dxa"/>
                    <w:right w:w="28" w:type="dxa"/>
                  </w:tcMar>
                  <w:vAlign w:val="center"/>
                </w:tcPr>
                <w:p w14:paraId="2D71D1FD">
                  <w:pPr>
                    <w:pStyle w:val="3935"/>
                    <w:rPr>
                      <w:b/>
                      <w:bCs w:val="0"/>
                      <w:color w:val="auto"/>
                      <w:sz w:val="15"/>
                      <w:szCs w:val="15"/>
                    </w:rPr>
                  </w:pPr>
                </w:p>
              </w:tc>
              <w:tc>
                <w:tcPr>
                  <w:tcW w:w="327" w:type="pct"/>
                  <w:vMerge w:val="continue"/>
                  <w:tcBorders>
                    <w:tl2br w:val="nil"/>
                    <w:tr2bl w:val="nil"/>
                  </w:tcBorders>
                  <w:noWrap w:val="0"/>
                  <w:tcMar>
                    <w:left w:w="28" w:type="dxa"/>
                    <w:right w:w="28" w:type="dxa"/>
                  </w:tcMar>
                  <w:vAlign w:val="center"/>
                </w:tcPr>
                <w:p w14:paraId="43A943AB">
                  <w:pPr>
                    <w:pStyle w:val="3935"/>
                    <w:rPr>
                      <w:b/>
                      <w:bCs w:val="0"/>
                      <w:color w:val="auto"/>
                      <w:sz w:val="15"/>
                      <w:szCs w:val="15"/>
                    </w:rPr>
                  </w:pPr>
                </w:p>
              </w:tc>
              <w:tc>
                <w:tcPr>
                  <w:tcW w:w="267" w:type="pct"/>
                  <w:vMerge w:val="continue"/>
                  <w:tcBorders>
                    <w:tl2br w:val="nil"/>
                    <w:tr2bl w:val="nil"/>
                  </w:tcBorders>
                  <w:noWrap w:val="0"/>
                  <w:tcMar>
                    <w:left w:w="28" w:type="dxa"/>
                    <w:right w:w="28" w:type="dxa"/>
                  </w:tcMar>
                  <w:vAlign w:val="center"/>
                </w:tcPr>
                <w:p w14:paraId="10B8E074">
                  <w:pPr>
                    <w:pStyle w:val="3935"/>
                    <w:rPr>
                      <w:b/>
                      <w:bCs w:val="0"/>
                      <w:color w:val="auto"/>
                      <w:sz w:val="15"/>
                      <w:szCs w:val="15"/>
                    </w:rPr>
                  </w:pPr>
                </w:p>
              </w:tc>
              <w:tc>
                <w:tcPr>
                  <w:tcW w:w="221" w:type="pct"/>
                  <w:vMerge w:val="continue"/>
                  <w:tcBorders>
                    <w:tl2br w:val="nil"/>
                    <w:tr2bl w:val="nil"/>
                  </w:tcBorders>
                  <w:noWrap w:val="0"/>
                  <w:vAlign w:val="center"/>
                </w:tcPr>
                <w:p w14:paraId="424D1EAF">
                  <w:pPr>
                    <w:pStyle w:val="3935"/>
                    <w:rPr>
                      <w:b/>
                      <w:bCs w:val="0"/>
                      <w:color w:val="auto"/>
                      <w:sz w:val="15"/>
                      <w:szCs w:val="15"/>
                    </w:rPr>
                  </w:pPr>
                </w:p>
              </w:tc>
              <w:tc>
                <w:tcPr>
                  <w:tcW w:w="291" w:type="pct"/>
                  <w:vMerge w:val="continue"/>
                  <w:tcBorders>
                    <w:tl2br w:val="nil"/>
                    <w:tr2bl w:val="nil"/>
                  </w:tcBorders>
                  <w:noWrap w:val="0"/>
                  <w:tcMar>
                    <w:left w:w="28" w:type="dxa"/>
                    <w:right w:w="28" w:type="dxa"/>
                  </w:tcMar>
                  <w:vAlign w:val="center"/>
                </w:tcPr>
                <w:p w14:paraId="19A1D969">
                  <w:pPr>
                    <w:pStyle w:val="3935"/>
                    <w:rPr>
                      <w:b/>
                      <w:bCs w:val="0"/>
                      <w:color w:val="auto"/>
                      <w:sz w:val="15"/>
                      <w:szCs w:val="15"/>
                    </w:rPr>
                  </w:pPr>
                </w:p>
              </w:tc>
              <w:tc>
                <w:tcPr>
                  <w:tcW w:w="331" w:type="pct"/>
                  <w:vMerge w:val="continue"/>
                  <w:tcBorders>
                    <w:tl2br w:val="nil"/>
                    <w:tr2bl w:val="nil"/>
                  </w:tcBorders>
                  <w:noWrap w:val="0"/>
                  <w:tcMar>
                    <w:left w:w="28" w:type="dxa"/>
                    <w:right w:w="28" w:type="dxa"/>
                  </w:tcMar>
                  <w:vAlign w:val="center"/>
                </w:tcPr>
                <w:p w14:paraId="6F049992">
                  <w:pPr>
                    <w:pStyle w:val="3935"/>
                    <w:rPr>
                      <w:b/>
                      <w:bCs w:val="0"/>
                      <w:color w:val="auto"/>
                      <w:sz w:val="15"/>
                      <w:szCs w:val="15"/>
                    </w:rPr>
                  </w:pPr>
                </w:p>
              </w:tc>
              <w:tc>
                <w:tcPr>
                  <w:tcW w:w="372" w:type="pct"/>
                  <w:tcBorders>
                    <w:tl2br w:val="nil"/>
                    <w:tr2bl w:val="nil"/>
                  </w:tcBorders>
                  <w:noWrap w:val="0"/>
                  <w:tcMar>
                    <w:left w:w="28" w:type="dxa"/>
                    <w:right w:w="28" w:type="dxa"/>
                  </w:tcMar>
                  <w:vAlign w:val="center"/>
                </w:tcPr>
                <w:p w14:paraId="45BD42C6">
                  <w:pPr>
                    <w:pStyle w:val="3935"/>
                    <w:rPr>
                      <w:rFonts w:hint="eastAsia" w:eastAsia="宋体"/>
                      <w:b/>
                      <w:bCs w:val="0"/>
                      <w:color w:val="auto"/>
                      <w:sz w:val="15"/>
                      <w:szCs w:val="15"/>
                      <w:lang w:eastAsia="zh-CN"/>
                    </w:rPr>
                  </w:pPr>
                  <w:r>
                    <w:rPr>
                      <w:rFonts w:hint="eastAsia"/>
                      <w:b/>
                      <w:bCs w:val="0"/>
                      <w:color w:val="auto"/>
                      <w:sz w:val="15"/>
                      <w:szCs w:val="15"/>
                      <w:lang w:eastAsia="zh-CN"/>
                    </w:rPr>
                    <w:t>技改前</w:t>
                  </w:r>
                </w:p>
              </w:tc>
              <w:tc>
                <w:tcPr>
                  <w:tcW w:w="453" w:type="pct"/>
                  <w:tcBorders>
                    <w:tl2br w:val="nil"/>
                    <w:tr2bl w:val="nil"/>
                  </w:tcBorders>
                  <w:noWrap w:val="0"/>
                  <w:tcMar>
                    <w:left w:w="28" w:type="dxa"/>
                    <w:right w:w="28" w:type="dxa"/>
                  </w:tcMar>
                  <w:vAlign w:val="center"/>
                </w:tcPr>
                <w:p w14:paraId="027D9CD7">
                  <w:pPr>
                    <w:pStyle w:val="3935"/>
                    <w:rPr>
                      <w:rFonts w:hint="default" w:eastAsia="宋体"/>
                      <w:b/>
                      <w:bCs w:val="0"/>
                      <w:color w:val="auto"/>
                      <w:sz w:val="15"/>
                      <w:szCs w:val="15"/>
                      <w:lang w:val="en-US" w:eastAsia="zh-CN"/>
                    </w:rPr>
                  </w:pPr>
                  <w:r>
                    <w:rPr>
                      <w:rFonts w:hint="eastAsia"/>
                      <w:b/>
                      <w:bCs w:val="0"/>
                      <w:color w:val="auto"/>
                      <w:sz w:val="15"/>
                      <w:szCs w:val="15"/>
                      <w:lang w:eastAsia="zh-CN"/>
                    </w:rPr>
                    <w:t>技改后</w:t>
                  </w:r>
                  <w:r>
                    <w:rPr>
                      <w:rFonts w:hint="eastAsia"/>
                      <w:b/>
                      <w:bCs w:val="0"/>
                      <w:color w:val="auto"/>
                      <w:sz w:val="15"/>
                      <w:szCs w:val="15"/>
                      <w:lang w:val="en-US" w:eastAsia="zh-CN"/>
                    </w:rPr>
                    <w:t>*</w:t>
                  </w:r>
                </w:p>
              </w:tc>
              <w:tc>
                <w:tcPr>
                  <w:tcW w:w="412" w:type="pct"/>
                  <w:tcBorders>
                    <w:tl2br w:val="nil"/>
                    <w:tr2bl w:val="nil"/>
                  </w:tcBorders>
                  <w:noWrap w:val="0"/>
                  <w:tcMar>
                    <w:left w:w="28" w:type="dxa"/>
                    <w:right w:w="28" w:type="dxa"/>
                  </w:tcMar>
                  <w:vAlign w:val="center"/>
                </w:tcPr>
                <w:p w14:paraId="4D9CBB56">
                  <w:pPr>
                    <w:pStyle w:val="3935"/>
                    <w:rPr>
                      <w:rFonts w:hint="eastAsia" w:eastAsia="宋体"/>
                      <w:b/>
                      <w:bCs w:val="0"/>
                      <w:color w:val="auto"/>
                      <w:sz w:val="15"/>
                      <w:szCs w:val="15"/>
                      <w:lang w:eastAsia="zh-CN"/>
                    </w:rPr>
                  </w:pPr>
                  <w:r>
                    <w:rPr>
                      <w:rFonts w:hint="eastAsia"/>
                      <w:b/>
                      <w:bCs w:val="0"/>
                      <w:color w:val="auto"/>
                      <w:sz w:val="15"/>
                      <w:szCs w:val="15"/>
                      <w:lang w:eastAsia="zh-CN"/>
                    </w:rPr>
                    <w:t>增减量</w:t>
                  </w:r>
                </w:p>
              </w:tc>
              <w:tc>
                <w:tcPr>
                  <w:tcW w:w="388" w:type="pct"/>
                  <w:tcBorders>
                    <w:tl2br w:val="nil"/>
                    <w:tr2bl w:val="nil"/>
                  </w:tcBorders>
                  <w:noWrap w:val="0"/>
                  <w:tcMar>
                    <w:left w:w="28" w:type="dxa"/>
                    <w:right w:w="28" w:type="dxa"/>
                  </w:tcMar>
                  <w:vAlign w:val="center"/>
                </w:tcPr>
                <w:p w14:paraId="51F7A755">
                  <w:pPr>
                    <w:pStyle w:val="3935"/>
                    <w:rPr>
                      <w:rFonts w:hint="eastAsia"/>
                      <w:b/>
                      <w:bCs w:val="0"/>
                      <w:color w:val="auto"/>
                      <w:sz w:val="15"/>
                      <w:szCs w:val="15"/>
                      <w:lang w:eastAsia="zh-CN"/>
                    </w:rPr>
                  </w:pPr>
                  <w:r>
                    <w:rPr>
                      <w:rFonts w:hint="eastAsia"/>
                      <w:b/>
                      <w:bCs w:val="0"/>
                      <w:color w:val="auto"/>
                      <w:sz w:val="15"/>
                      <w:szCs w:val="15"/>
                      <w:lang w:eastAsia="zh-CN"/>
                    </w:rPr>
                    <w:t>技改前</w:t>
                  </w:r>
                </w:p>
              </w:tc>
              <w:tc>
                <w:tcPr>
                  <w:tcW w:w="304" w:type="pct"/>
                  <w:tcBorders>
                    <w:tl2br w:val="nil"/>
                    <w:tr2bl w:val="nil"/>
                  </w:tcBorders>
                  <w:noWrap w:val="0"/>
                  <w:tcMar>
                    <w:left w:w="28" w:type="dxa"/>
                    <w:right w:w="28" w:type="dxa"/>
                  </w:tcMar>
                  <w:vAlign w:val="center"/>
                </w:tcPr>
                <w:p w14:paraId="674A4FC5">
                  <w:pPr>
                    <w:pStyle w:val="3935"/>
                    <w:rPr>
                      <w:rFonts w:hint="eastAsia"/>
                      <w:b/>
                      <w:bCs w:val="0"/>
                      <w:color w:val="auto"/>
                      <w:sz w:val="15"/>
                      <w:szCs w:val="15"/>
                      <w:lang w:eastAsia="zh-CN"/>
                    </w:rPr>
                  </w:pPr>
                  <w:r>
                    <w:rPr>
                      <w:rFonts w:hint="eastAsia"/>
                      <w:b/>
                      <w:bCs w:val="0"/>
                      <w:color w:val="auto"/>
                      <w:sz w:val="15"/>
                      <w:szCs w:val="15"/>
                      <w:lang w:eastAsia="zh-CN"/>
                    </w:rPr>
                    <w:t>技改后</w:t>
                  </w:r>
                  <w:r>
                    <w:rPr>
                      <w:rFonts w:hint="eastAsia"/>
                      <w:b/>
                      <w:bCs w:val="0"/>
                      <w:color w:val="auto"/>
                      <w:sz w:val="15"/>
                      <w:szCs w:val="15"/>
                      <w:lang w:val="en-US" w:eastAsia="zh-CN"/>
                    </w:rPr>
                    <w:t>*</w:t>
                  </w:r>
                </w:p>
              </w:tc>
              <w:tc>
                <w:tcPr>
                  <w:tcW w:w="305" w:type="pct"/>
                  <w:tcBorders>
                    <w:tl2br w:val="nil"/>
                    <w:tr2bl w:val="nil"/>
                  </w:tcBorders>
                  <w:noWrap w:val="0"/>
                  <w:tcMar>
                    <w:left w:w="28" w:type="dxa"/>
                    <w:right w:w="28" w:type="dxa"/>
                  </w:tcMar>
                  <w:vAlign w:val="center"/>
                </w:tcPr>
                <w:p w14:paraId="12EF4AF0">
                  <w:pPr>
                    <w:pStyle w:val="3935"/>
                    <w:rPr>
                      <w:rFonts w:hint="eastAsia"/>
                      <w:b/>
                      <w:bCs w:val="0"/>
                      <w:color w:val="auto"/>
                      <w:sz w:val="15"/>
                      <w:szCs w:val="15"/>
                      <w:lang w:eastAsia="zh-CN"/>
                    </w:rPr>
                  </w:pPr>
                  <w:r>
                    <w:rPr>
                      <w:rFonts w:hint="eastAsia"/>
                      <w:b/>
                      <w:bCs w:val="0"/>
                      <w:color w:val="auto"/>
                      <w:sz w:val="15"/>
                      <w:szCs w:val="15"/>
                      <w:lang w:eastAsia="zh-CN"/>
                    </w:rPr>
                    <w:t>增减量</w:t>
                  </w:r>
                </w:p>
              </w:tc>
              <w:tc>
                <w:tcPr>
                  <w:tcW w:w="304" w:type="pct"/>
                  <w:vMerge w:val="continue"/>
                  <w:tcBorders>
                    <w:tl2br w:val="nil"/>
                    <w:tr2bl w:val="nil"/>
                  </w:tcBorders>
                  <w:noWrap w:val="0"/>
                  <w:tcMar>
                    <w:left w:w="28" w:type="dxa"/>
                    <w:right w:w="28" w:type="dxa"/>
                  </w:tcMar>
                  <w:vAlign w:val="center"/>
                </w:tcPr>
                <w:p w14:paraId="4141B65A">
                  <w:pPr>
                    <w:pStyle w:val="3935"/>
                    <w:rPr>
                      <w:b/>
                      <w:bCs w:val="0"/>
                      <w:color w:val="auto"/>
                      <w:sz w:val="15"/>
                      <w:szCs w:val="15"/>
                    </w:rPr>
                  </w:pPr>
                </w:p>
              </w:tc>
              <w:tc>
                <w:tcPr>
                  <w:tcW w:w="220" w:type="pct"/>
                  <w:tcBorders>
                    <w:tl2br w:val="nil"/>
                    <w:tr2bl w:val="nil"/>
                  </w:tcBorders>
                  <w:noWrap w:val="0"/>
                  <w:tcMar>
                    <w:left w:w="28" w:type="dxa"/>
                    <w:right w:w="28" w:type="dxa"/>
                  </w:tcMar>
                  <w:vAlign w:val="center"/>
                </w:tcPr>
                <w:p w14:paraId="59AB3AD4">
                  <w:pPr>
                    <w:pStyle w:val="3935"/>
                    <w:rPr>
                      <w:b/>
                      <w:bCs w:val="0"/>
                      <w:color w:val="auto"/>
                      <w:sz w:val="15"/>
                      <w:szCs w:val="15"/>
                    </w:rPr>
                  </w:pPr>
                  <w:r>
                    <w:rPr>
                      <w:b/>
                      <w:bCs w:val="0"/>
                      <w:color w:val="auto"/>
                      <w:sz w:val="15"/>
                      <w:szCs w:val="15"/>
                    </w:rPr>
                    <w:t>厂外</w:t>
                  </w:r>
                </w:p>
              </w:tc>
              <w:tc>
                <w:tcPr>
                  <w:tcW w:w="237" w:type="pct"/>
                  <w:tcBorders>
                    <w:tl2br w:val="nil"/>
                    <w:tr2bl w:val="nil"/>
                  </w:tcBorders>
                  <w:noWrap w:val="0"/>
                  <w:tcMar>
                    <w:left w:w="28" w:type="dxa"/>
                    <w:right w:w="28" w:type="dxa"/>
                  </w:tcMar>
                  <w:vAlign w:val="center"/>
                </w:tcPr>
                <w:p w14:paraId="1FAC6A60">
                  <w:pPr>
                    <w:pStyle w:val="3935"/>
                    <w:rPr>
                      <w:b/>
                      <w:bCs w:val="0"/>
                      <w:color w:val="auto"/>
                      <w:sz w:val="15"/>
                      <w:szCs w:val="15"/>
                    </w:rPr>
                  </w:pPr>
                  <w:r>
                    <w:rPr>
                      <w:b/>
                      <w:bCs w:val="0"/>
                      <w:color w:val="auto"/>
                      <w:sz w:val="15"/>
                      <w:szCs w:val="15"/>
                    </w:rPr>
                    <w:t>厂内</w:t>
                  </w:r>
                </w:p>
              </w:tc>
              <w:tc>
                <w:tcPr>
                  <w:tcW w:w="435" w:type="pct"/>
                  <w:vMerge w:val="continue"/>
                  <w:tcBorders>
                    <w:tl2br w:val="nil"/>
                    <w:tr2bl w:val="nil"/>
                  </w:tcBorders>
                  <w:noWrap w:val="0"/>
                  <w:tcMar>
                    <w:left w:w="28" w:type="dxa"/>
                    <w:right w:w="28" w:type="dxa"/>
                  </w:tcMar>
                  <w:vAlign w:val="center"/>
                </w:tcPr>
                <w:p w14:paraId="354FC6D4">
                  <w:pPr>
                    <w:pStyle w:val="3935"/>
                    <w:rPr>
                      <w:b/>
                      <w:bCs w:val="0"/>
                      <w:color w:val="auto"/>
                      <w:sz w:val="15"/>
                      <w:szCs w:val="15"/>
                    </w:rPr>
                  </w:pPr>
                </w:p>
              </w:tc>
            </w:tr>
            <w:tr w14:paraId="03BDC6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25" w:type="pct"/>
                  <w:tcBorders>
                    <w:tl2br w:val="nil"/>
                    <w:tr2bl w:val="nil"/>
                  </w:tcBorders>
                  <w:noWrap w:val="0"/>
                  <w:tcMar>
                    <w:left w:w="28" w:type="dxa"/>
                    <w:right w:w="28" w:type="dxa"/>
                  </w:tcMar>
                  <w:vAlign w:val="center"/>
                </w:tcPr>
                <w:p w14:paraId="75635BDE">
                  <w:pPr>
                    <w:pStyle w:val="3935"/>
                    <w:rPr>
                      <w:color w:val="auto"/>
                      <w:sz w:val="15"/>
                      <w:szCs w:val="15"/>
                    </w:rPr>
                  </w:pPr>
                  <w:r>
                    <w:rPr>
                      <w:color w:val="auto"/>
                      <w:sz w:val="15"/>
                      <w:szCs w:val="15"/>
                    </w:rPr>
                    <w:t>1</w:t>
                  </w:r>
                </w:p>
              </w:tc>
              <w:tc>
                <w:tcPr>
                  <w:tcW w:w="327" w:type="pct"/>
                  <w:tcBorders>
                    <w:tl2br w:val="nil"/>
                    <w:tr2bl w:val="nil"/>
                  </w:tcBorders>
                  <w:noWrap w:val="0"/>
                  <w:tcMar>
                    <w:left w:w="28" w:type="dxa"/>
                    <w:right w:w="28" w:type="dxa"/>
                  </w:tcMar>
                  <w:vAlign w:val="center"/>
                </w:tcPr>
                <w:p w14:paraId="4ECBF1DE">
                  <w:pPr>
                    <w:pStyle w:val="3935"/>
                    <w:rPr>
                      <w:color w:val="auto"/>
                      <w:sz w:val="15"/>
                      <w:szCs w:val="15"/>
                    </w:rPr>
                  </w:pPr>
                  <w:r>
                    <w:rPr>
                      <w:color w:val="auto"/>
                      <w:sz w:val="15"/>
                      <w:szCs w:val="15"/>
                    </w:rPr>
                    <w:t>液氯</w:t>
                  </w:r>
                </w:p>
              </w:tc>
              <w:tc>
                <w:tcPr>
                  <w:tcW w:w="267" w:type="pct"/>
                  <w:tcBorders>
                    <w:tl2br w:val="nil"/>
                    <w:tr2bl w:val="nil"/>
                  </w:tcBorders>
                  <w:noWrap w:val="0"/>
                  <w:tcMar>
                    <w:left w:w="28" w:type="dxa"/>
                    <w:right w:w="28" w:type="dxa"/>
                  </w:tcMar>
                  <w:vAlign w:val="center"/>
                </w:tcPr>
                <w:p w14:paraId="1850591E">
                  <w:pPr>
                    <w:pStyle w:val="3935"/>
                    <w:rPr>
                      <w:rFonts w:hint="eastAsia"/>
                      <w:color w:val="auto"/>
                      <w:sz w:val="15"/>
                      <w:szCs w:val="15"/>
                    </w:rPr>
                  </w:pPr>
                  <w:r>
                    <w:rPr>
                      <w:color w:val="auto"/>
                      <w:sz w:val="15"/>
                      <w:szCs w:val="15"/>
                    </w:rPr>
                    <w:t>99.</w:t>
                  </w:r>
                  <w:r>
                    <w:rPr>
                      <w:rFonts w:hint="eastAsia"/>
                      <w:color w:val="auto"/>
                      <w:sz w:val="15"/>
                      <w:szCs w:val="15"/>
                    </w:rPr>
                    <w:t>9</w:t>
                  </w:r>
                </w:p>
              </w:tc>
              <w:tc>
                <w:tcPr>
                  <w:tcW w:w="221" w:type="pct"/>
                  <w:tcBorders>
                    <w:tl2br w:val="nil"/>
                    <w:tr2bl w:val="nil"/>
                  </w:tcBorders>
                  <w:noWrap w:val="0"/>
                  <w:vAlign w:val="center"/>
                </w:tcPr>
                <w:p w14:paraId="21B518BF">
                  <w:pPr>
                    <w:pStyle w:val="3935"/>
                    <w:rPr>
                      <w:color w:val="auto"/>
                      <w:sz w:val="15"/>
                      <w:szCs w:val="15"/>
                    </w:rPr>
                  </w:pPr>
                  <w:r>
                    <w:rPr>
                      <w:color w:val="auto"/>
                      <w:sz w:val="15"/>
                      <w:szCs w:val="15"/>
                    </w:rPr>
                    <w:t>乙类</w:t>
                  </w:r>
                </w:p>
              </w:tc>
              <w:tc>
                <w:tcPr>
                  <w:tcW w:w="291" w:type="pct"/>
                  <w:tcBorders>
                    <w:tl2br w:val="nil"/>
                    <w:tr2bl w:val="nil"/>
                  </w:tcBorders>
                  <w:noWrap w:val="0"/>
                  <w:tcMar>
                    <w:left w:w="28" w:type="dxa"/>
                    <w:right w:w="28" w:type="dxa"/>
                  </w:tcMar>
                  <w:vAlign w:val="center"/>
                </w:tcPr>
                <w:p w14:paraId="26621E56">
                  <w:pPr>
                    <w:pStyle w:val="3935"/>
                    <w:rPr>
                      <w:color w:val="auto"/>
                      <w:sz w:val="15"/>
                      <w:szCs w:val="15"/>
                    </w:rPr>
                  </w:pPr>
                  <w:r>
                    <w:rPr>
                      <w:color w:val="auto"/>
                      <w:sz w:val="15"/>
                      <w:szCs w:val="15"/>
                    </w:rPr>
                    <w:t>液态</w:t>
                  </w:r>
                </w:p>
              </w:tc>
              <w:tc>
                <w:tcPr>
                  <w:tcW w:w="331" w:type="pct"/>
                  <w:tcBorders>
                    <w:tl2br w:val="nil"/>
                    <w:tr2bl w:val="nil"/>
                  </w:tcBorders>
                  <w:noWrap w:val="0"/>
                  <w:tcMar>
                    <w:left w:w="28" w:type="dxa"/>
                    <w:right w:w="28" w:type="dxa"/>
                  </w:tcMar>
                  <w:vAlign w:val="center"/>
                </w:tcPr>
                <w:p w14:paraId="62E963AA">
                  <w:pPr>
                    <w:adjustRightInd w:val="0"/>
                    <w:snapToGrid w:val="0"/>
                    <w:jc w:val="center"/>
                    <w:rPr>
                      <w:color w:val="auto"/>
                      <w:sz w:val="15"/>
                      <w:szCs w:val="15"/>
                    </w:rPr>
                  </w:pPr>
                  <w:r>
                    <w:rPr>
                      <w:rFonts w:hint="eastAsia"/>
                      <w:color w:val="auto"/>
                      <w:sz w:val="15"/>
                      <w:szCs w:val="15"/>
                      <w:lang w:val="en-US" w:eastAsia="zh-CN"/>
                    </w:rPr>
                    <w:t>卧式储罐</w:t>
                  </w:r>
                  <w:r>
                    <w:rPr>
                      <w:rFonts w:hint="eastAsia"/>
                      <w:color w:val="auto"/>
                      <w:sz w:val="15"/>
                      <w:szCs w:val="15"/>
                    </w:rPr>
                    <w:t>，地上</w:t>
                  </w:r>
                  <w:r>
                    <w:rPr>
                      <w:rFonts w:hint="eastAsia"/>
                      <w:color w:val="auto"/>
                      <w:sz w:val="15"/>
                      <w:szCs w:val="15"/>
                      <w:lang w:eastAsia="zh-CN"/>
                    </w:rPr>
                    <w:t>、</w:t>
                  </w:r>
                  <w:r>
                    <w:rPr>
                      <w:rFonts w:hint="eastAsia"/>
                      <w:color w:val="auto"/>
                      <w:sz w:val="15"/>
                      <w:szCs w:val="15"/>
                      <w:lang w:val="en-US" w:eastAsia="zh-CN"/>
                    </w:rPr>
                    <w:t>氮封</w:t>
                  </w:r>
                </w:p>
              </w:tc>
              <w:tc>
                <w:tcPr>
                  <w:tcW w:w="372" w:type="pct"/>
                  <w:tcBorders>
                    <w:tl2br w:val="nil"/>
                    <w:tr2bl w:val="nil"/>
                  </w:tcBorders>
                  <w:noWrap w:val="0"/>
                  <w:tcMar>
                    <w:left w:w="28" w:type="dxa"/>
                    <w:right w:w="28" w:type="dxa"/>
                  </w:tcMar>
                  <w:vAlign w:val="center"/>
                </w:tcPr>
                <w:p w14:paraId="321773BA">
                  <w:pPr>
                    <w:pStyle w:val="3935"/>
                    <w:rPr>
                      <w:rFonts w:hint="default" w:ascii="Times New Roman" w:hAnsi="Times New Roman" w:eastAsia="宋体" w:cs="Times New Roman"/>
                      <w:bCs/>
                      <w:color w:val="auto"/>
                      <w:sz w:val="15"/>
                      <w:szCs w:val="15"/>
                      <w:lang w:val="en-US" w:eastAsia="zh-CN"/>
                    </w:rPr>
                  </w:pPr>
                  <w:r>
                    <w:rPr>
                      <w:rFonts w:hint="eastAsia" w:cs="Times New Roman"/>
                      <w:bCs/>
                      <w:color w:val="auto"/>
                      <w:sz w:val="15"/>
                      <w:szCs w:val="15"/>
                      <w:lang w:val="en-US" w:eastAsia="zh-CN"/>
                    </w:rPr>
                    <w:t>30.565</w:t>
                  </w:r>
                </w:p>
              </w:tc>
              <w:tc>
                <w:tcPr>
                  <w:tcW w:w="453" w:type="pct"/>
                  <w:tcBorders>
                    <w:tl2br w:val="nil"/>
                    <w:tr2bl w:val="nil"/>
                  </w:tcBorders>
                  <w:noWrap w:val="0"/>
                  <w:tcMar>
                    <w:left w:w="28" w:type="dxa"/>
                    <w:right w:w="28" w:type="dxa"/>
                  </w:tcMar>
                  <w:vAlign w:val="center"/>
                </w:tcPr>
                <w:p w14:paraId="345366AB">
                  <w:pPr>
                    <w:pStyle w:val="3935"/>
                    <w:rPr>
                      <w:rFonts w:hint="default" w:ascii="Times New Roman" w:hAnsi="Times New Roman" w:eastAsia="宋体" w:cs="Times New Roman"/>
                      <w:bCs/>
                      <w:color w:val="auto"/>
                      <w:sz w:val="15"/>
                      <w:szCs w:val="15"/>
                      <w:lang w:val="en-US" w:eastAsia="zh-CN"/>
                    </w:rPr>
                  </w:pPr>
                  <w:r>
                    <w:rPr>
                      <w:rFonts w:hint="eastAsia" w:ascii="Times New Roman" w:hAnsi="Times New Roman" w:eastAsia="宋体" w:cs="Times New Roman"/>
                      <w:bCs/>
                      <w:color w:val="auto"/>
                      <w:sz w:val="15"/>
                      <w:szCs w:val="15"/>
                      <w:lang w:val="en-US" w:eastAsia="zh-CN"/>
                    </w:rPr>
                    <w:t>153.408</w:t>
                  </w:r>
                </w:p>
              </w:tc>
              <w:tc>
                <w:tcPr>
                  <w:tcW w:w="412" w:type="pct"/>
                  <w:tcBorders>
                    <w:tl2br w:val="nil"/>
                    <w:tr2bl w:val="nil"/>
                  </w:tcBorders>
                  <w:noWrap w:val="0"/>
                  <w:tcMar>
                    <w:left w:w="28" w:type="dxa"/>
                    <w:right w:w="28" w:type="dxa"/>
                  </w:tcMar>
                  <w:vAlign w:val="center"/>
                </w:tcPr>
                <w:p w14:paraId="071BECA3">
                  <w:pPr>
                    <w:pStyle w:val="3935"/>
                    <w:rPr>
                      <w:rFonts w:hint="default" w:ascii="Times New Roman" w:hAnsi="Times New Roman" w:eastAsia="宋体" w:cs="Times New Roman"/>
                      <w:bCs/>
                      <w:color w:val="auto"/>
                      <w:sz w:val="15"/>
                      <w:szCs w:val="15"/>
                      <w:lang w:val="en-US" w:eastAsia="zh-CN"/>
                    </w:rPr>
                  </w:pPr>
                  <w:r>
                    <w:rPr>
                      <w:rFonts w:hint="eastAsia" w:cs="Times New Roman"/>
                      <w:bCs/>
                      <w:color w:val="auto"/>
                      <w:sz w:val="15"/>
                      <w:szCs w:val="15"/>
                      <w:lang w:val="en-US" w:eastAsia="zh-CN"/>
                    </w:rPr>
                    <w:t>+122.843</w:t>
                  </w:r>
                </w:p>
              </w:tc>
              <w:tc>
                <w:tcPr>
                  <w:tcW w:w="388" w:type="pct"/>
                  <w:tcBorders>
                    <w:tl2br w:val="nil"/>
                    <w:tr2bl w:val="nil"/>
                  </w:tcBorders>
                  <w:noWrap w:val="0"/>
                  <w:tcMar>
                    <w:left w:w="28" w:type="dxa"/>
                    <w:right w:w="28" w:type="dxa"/>
                  </w:tcMar>
                  <w:vAlign w:val="center"/>
                </w:tcPr>
                <w:p w14:paraId="2B2A0B43">
                  <w:pPr>
                    <w:pStyle w:val="3935"/>
                    <w:rPr>
                      <w:rFonts w:hint="eastAsia" w:cs="Times New Roman"/>
                      <w:bCs/>
                      <w:color w:val="auto"/>
                      <w:sz w:val="15"/>
                      <w:szCs w:val="15"/>
                      <w:lang w:val="en-US" w:eastAsia="zh-CN"/>
                    </w:rPr>
                  </w:pPr>
                  <w:r>
                    <w:rPr>
                      <w:rFonts w:ascii="Times New Roman" w:hAnsi="Times New Roman" w:cs="Times New Roman"/>
                      <w:color w:val="auto"/>
                      <w:sz w:val="15"/>
                      <w:szCs w:val="15"/>
                    </w:rPr>
                    <w:t>207097.03</w:t>
                  </w:r>
                </w:p>
              </w:tc>
              <w:tc>
                <w:tcPr>
                  <w:tcW w:w="304" w:type="pct"/>
                  <w:tcBorders>
                    <w:tl2br w:val="nil"/>
                    <w:tr2bl w:val="nil"/>
                  </w:tcBorders>
                  <w:noWrap w:val="0"/>
                  <w:tcMar>
                    <w:left w:w="28" w:type="dxa"/>
                    <w:right w:w="28" w:type="dxa"/>
                  </w:tcMar>
                  <w:vAlign w:val="center"/>
                </w:tcPr>
                <w:p w14:paraId="38BFA518">
                  <w:pPr>
                    <w:pStyle w:val="3935"/>
                    <w:rPr>
                      <w:rFonts w:hint="eastAsia" w:cs="Times New Roman"/>
                      <w:bCs/>
                      <w:color w:val="auto"/>
                      <w:sz w:val="15"/>
                      <w:szCs w:val="15"/>
                      <w:lang w:val="en-US" w:eastAsia="zh-CN"/>
                    </w:rPr>
                  </w:pPr>
                  <w:r>
                    <w:rPr>
                      <w:rFonts w:ascii="Times New Roman" w:hAnsi="Times New Roman" w:cs="Times New Roman"/>
                      <w:color w:val="auto"/>
                      <w:sz w:val="15"/>
                      <w:szCs w:val="15"/>
                    </w:rPr>
                    <w:t>207097.03</w:t>
                  </w:r>
                </w:p>
              </w:tc>
              <w:tc>
                <w:tcPr>
                  <w:tcW w:w="305" w:type="pct"/>
                  <w:tcBorders>
                    <w:tl2br w:val="nil"/>
                    <w:tr2bl w:val="nil"/>
                  </w:tcBorders>
                  <w:noWrap w:val="0"/>
                  <w:tcMar>
                    <w:left w:w="28" w:type="dxa"/>
                    <w:right w:w="28" w:type="dxa"/>
                  </w:tcMar>
                  <w:vAlign w:val="center"/>
                </w:tcPr>
                <w:p w14:paraId="6D3AAF10">
                  <w:pPr>
                    <w:pStyle w:val="3935"/>
                    <w:rPr>
                      <w:rFonts w:hint="default" w:cs="Times New Roman"/>
                      <w:bCs/>
                      <w:color w:val="auto"/>
                      <w:sz w:val="15"/>
                      <w:szCs w:val="15"/>
                      <w:lang w:val="en-US" w:eastAsia="zh-CN"/>
                    </w:rPr>
                  </w:pPr>
                  <w:r>
                    <w:rPr>
                      <w:rFonts w:hint="eastAsia" w:cs="Times New Roman"/>
                      <w:bCs/>
                      <w:color w:val="auto"/>
                      <w:sz w:val="15"/>
                      <w:szCs w:val="15"/>
                      <w:lang w:val="en-US" w:eastAsia="zh-CN"/>
                    </w:rPr>
                    <w:t>0</w:t>
                  </w:r>
                </w:p>
              </w:tc>
              <w:tc>
                <w:tcPr>
                  <w:tcW w:w="304" w:type="pct"/>
                  <w:tcBorders>
                    <w:tl2br w:val="nil"/>
                    <w:tr2bl w:val="nil"/>
                  </w:tcBorders>
                  <w:noWrap w:val="0"/>
                  <w:tcMar>
                    <w:left w:w="28" w:type="dxa"/>
                    <w:right w:w="28" w:type="dxa"/>
                  </w:tcMar>
                  <w:vAlign w:val="center"/>
                </w:tcPr>
                <w:p w14:paraId="4142C596">
                  <w:pPr>
                    <w:pStyle w:val="3935"/>
                    <w:rPr>
                      <w:rFonts w:hint="eastAsia" w:ascii="Times New Roman" w:hAnsi="Times New Roman" w:eastAsia="宋体" w:cs="Times New Roman"/>
                      <w:bCs/>
                      <w:color w:val="auto"/>
                      <w:sz w:val="15"/>
                      <w:szCs w:val="15"/>
                      <w:lang w:val="en-US" w:eastAsia="zh-CN"/>
                    </w:rPr>
                  </w:pPr>
                  <w:r>
                    <w:rPr>
                      <w:rFonts w:hint="eastAsia" w:ascii="Times New Roman" w:hAnsi="Times New Roman" w:eastAsia="宋体" w:cs="Times New Roman"/>
                      <w:bCs/>
                      <w:color w:val="auto"/>
                      <w:sz w:val="15"/>
                      <w:szCs w:val="15"/>
                      <w:lang w:val="en-US" w:eastAsia="zh-CN"/>
                    </w:rPr>
                    <w:t>液氯罐式集装箱装卸场地</w:t>
                  </w:r>
                </w:p>
              </w:tc>
              <w:tc>
                <w:tcPr>
                  <w:tcW w:w="220" w:type="pct"/>
                  <w:tcBorders>
                    <w:tl2br w:val="nil"/>
                    <w:tr2bl w:val="nil"/>
                  </w:tcBorders>
                  <w:noWrap w:val="0"/>
                  <w:tcMar>
                    <w:left w:w="28" w:type="dxa"/>
                    <w:right w:w="28" w:type="dxa"/>
                  </w:tcMar>
                  <w:vAlign w:val="center"/>
                </w:tcPr>
                <w:p w14:paraId="7C4DB0F9">
                  <w:pPr>
                    <w:pStyle w:val="3935"/>
                    <w:rPr>
                      <w:color w:val="auto"/>
                      <w:sz w:val="15"/>
                      <w:szCs w:val="15"/>
                    </w:rPr>
                  </w:pPr>
                  <w:r>
                    <w:rPr>
                      <w:color w:val="auto"/>
                      <w:sz w:val="15"/>
                      <w:szCs w:val="15"/>
                    </w:rPr>
                    <w:t>危化车</w:t>
                  </w:r>
                </w:p>
              </w:tc>
              <w:tc>
                <w:tcPr>
                  <w:tcW w:w="237" w:type="pct"/>
                  <w:tcBorders>
                    <w:tl2br w:val="nil"/>
                    <w:tr2bl w:val="nil"/>
                  </w:tcBorders>
                  <w:noWrap w:val="0"/>
                  <w:tcMar>
                    <w:left w:w="28" w:type="dxa"/>
                    <w:right w:w="28" w:type="dxa"/>
                  </w:tcMar>
                  <w:vAlign w:val="center"/>
                </w:tcPr>
                <w:p w14:paraId="3142892C">
                  <w:pPr>
                    <w:pStyle w:val="3935"/>
                    <w:rPr>
                      <w:color w:val="auto"/>
                      <w:sz w:val="15"/>
                      <w:szCs w:val="15"/>
                    </w:rPr>
                  </w:pPr>
                  <w:r>
                    <w:rPr>
                      <w:color w:val="auto"/>
                      <w:sz w:val="15"/>
                      <w:szCs w:val="15"/>
                    </w:rPr>
                    <w:t>管道</w:t>
                  </w:r>
                </w:p>
              </w:tc>
              <w:tc>
                <w:tcPr>
                  <w:tcW w:w="435" w:type="pct"/>
                  <w:tcBorders>
                    <w:tl2br w:val="nil"/>
                    <w:tr2bl w:val="nil"/>
                  </w:tcBorders>
                  <w:noWrap w:val="0"/>
                  <w:tcMar>
                    <w:left w:w="28" w:type="dxa"/>
                    <w:right w:w="28" w:type="dxa"/>
                  </w:tcMar>
                  <w:vAlign w:val="center"/>
                </w:tcPr>
                <w:p w14:paraId="71708BB9">
                  <w:pPr>
                    <w:pStyle w:val="917"/>
                    <w:rPr>
                      <w:rFonts w:hint="default" w:eastAsia="宋体"/>
                      <w:color w:val="auto"/>
                      <w:sz w:val="15"/>
                      <w:szCs w:val="15"/>
                      <w:lang w:val="en-US" w:eastAsia="zh-CN"/>
                    </w:rPr>
                  </w:pPr>
                  <w:r>
                    <w:rPr>
                      <w:rFonts w:hint="eastAsia" w:ascii="Times New Roman"/>
                      <w:color w:val="auto"/>
                      <w:sz w:val="15"/>
                      <w:szCs w:val="15"/>
                      <w:lang w:val="en-US" w:eastAsia="zh-CN"/>
                    </w:rPr>
                    <w:t>设置门槛，与厂房形成围堰，门槛不低于300mm，面积160m²，有效容积265m</w:t>
                  </w:r>
                  <w:r>
                    <w:rPr>
                      <w:rFonts w:hint="eastAsia" w:ascii="Times New Roman"/>
                      <w:color w:val="auto"/>
                      <w:sz w:val="15"/>
                      <w:szCs w:val="15"/>
                      <w:vertAlign w:val="superscript"/>
                      <w:lang w:val="en-US" w:eastAsia="zh-CN"/>
                    </w:rPr>
                    <w:t>3</w:t>
                  </w:r>
                </w:p>
              </w:tc>
            </w:tr>
            <w:tr w14:paraId="435435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25" w:type="pct"/>
                  <w:tcBorders>
                    <w:tl2br w:val="nil"/>
                    <w:tr2bl w:val="nil"/>
                  </w:tcBorders>
                  <w:noWrap w:val="0"/>
                  <w:tcMar>
                    <w:left w:w="28" w:type="dxa"/>
                    <w:right w:w="28" w:type="dxa"/>
                  </w:tcMar>
                  <w:vAlign w:val="center"/>
                </w:tcPr>
                <w:p w14:paraId="2DBB5C89">
                  <w:pPr>
                    <w:pStyle w:val="3935"/>
                    <w:rPr>
                      <w:rFonts w:hint="eastAsia" w:eastAsia="宋体"/>
                      <w:color w:val="auto"/>
                      <w:sz w:val="15"/>
                      <w:szCs w:val="15"/>
                      <w:lang w:val="en-US" w:eastAsia="zh-CN"/>
                    </w:rPr>
                  </w:pPr>
                  <w:r>
                    <w:rPr>
                      <w:rFonts w:hint="eastAsia"/>
                      <w:color w:val="auto"/>
                      <w:sz w:val="15"/>
                      <w:szCs w:val="15"/>
                      <w:lang w:val="en-US" w:eastAsia="zh-CN"/>
                    </w:rPr>
                    <w:t>2</w:t>
                  </w:r>
                </w:p>
              </w:tc>
              <w:tc>
                <w:tcPr>
                  <w:tcW w:w="327" w:type="pct"/>
                  <w:tcBorders>
                    <w:tl2br w:val="nil"/>
                    <w:tr2bl w:val="nil"/>
                  </w:tcBorders>
                  <w:noWrap w:val="0"/>
                  <w:tcMar>
                    <w:left w:w="28" w:type="dxa"/>
                    <w:right w:w="28" w:type="dxa"/>
                  </w:tcMar>
                  <w:vAlign w:val="center"/>
                </w:tcPr>
                <w:p w14:paraId="0F4AD36E">
                  <w:pPr>
                    <w:pStyle w:val="3935"/>
                    <w:rPr>
                      <w:rFonts w:hint="eastAsia" w:eastAsia="宋体"/>
                      <w:color w:val="auto"/>
                      <w:sz w:val="15"/>
                      <w:szCs w:val="15"/>
                      <w:lang w:val="en-US" w:eastAsia="zh-CN"/>
                    </w:rPr>
                  </w:pPr>
                  <w:r>
                    <w:rPr>
                      <w:rFonts w:hint="eastAsia"/>
                      <w:color w:val="auto"/>
                      <w:sz w:val="15"/>
                      <w:szCs w:val="15"/>
                      <w:lang w:val="en-US" w:eastAsia="zh-CN"/>
                    </w:rPr>
                    <w:t>黄磷</w:t>
                  </w:r>
                </w:p>
              </w:tc>
              <w:tc>
                <w:tcPr>
                  <w:tcW w:w="267" w:type="pct"/>
                  <w:tcBorders>
                    <w:tl2br w:val="nil"/>
                    <w:tr2bl w:val="nil"/>
                  </w:tcBorders>
                  <w:noWrap w:val="0"/>
                  <w:tcMar>
                    <w:left w:w="28" w:type="dxa"/>
                    <w:right w:w="28" w:type="dxa"/>
                  </w:tcMar>
                  <w:vAlign w:val="center"/>
                </w:tcPr>
                <w:p w14:paraId="5357BDDA">
                  <w:pPr>
                    <w:pStyle w:val="3935"/>
                    <w:rPr>
                      <w:rFonts w:hint="eastAsia"/>
                      <w:color w:val="auto"/>
                      <w:sz w:val="15"/>
                      <w:szCs w:val="15"/>
                    </w:rPr>
                  </w:pPr>
                  <w:r>
                    <w:rPr>
                      <w:rFonts w:hint="default"/>
                      <w:color w:val="auto"/>
                      <w:sz w:val="15"/>
                      <w:szCs w:val="15"/>
                    </w:rPr>
                    <w:t>99.9</w:t>
                  </w:r>
                </w:p>
              </w:tc>
              <w:tc>
                <w:tcPr>
                  <w:tcW w:w="221" w:type="pct"/>
                  <w:tcBorders>
                    <w:tl2br w:val="nil"/>
                    <w:tr2bl w:val="nil"/>
                  </w:tcBorders>
                  <w:noWrap w:val="0"/>
                  <w:vAlign w:val="center"/>
                </w:tcPr>
                <w:p w14:paraId="79E7DDAD">
                  <w:pPr>
                    <w:pStyle w:val="3935"/>
                    <w:rPr>
                      <w:rFonts w:hint="eastAsia" w:eastAsia="宋体"/>
                      <w:color w:val="auto"/>
                      <w:sz w:val="15"/>
                      <w:szCs w:val="15"/>
                      <w:lang w:val="en-US" w:eastAsia="zh-CN"/>
                    </w:rPr>
                  </w:pPr>
                  <w:r>
                    <w:rPr>
                      <w:rFonts w:hint="eastAsia"/>
                      <w:color w:val="auto"/>
                      <w:sz w:val="15"/>
                      <w:szCs w:val="15"/>
                      <w:lang w:val="en-US" w:eastAsia="zh-CN"/>
                    </w:rPr>
                    <w:t>甲类</w:t>
                  </w:r>
                </w:p>
              </w:tc>
              <w:tc>
                <w:tcPr>
                  <w:tcW w:w="291" w:type="pct"/>
                  <w:tcBorders>
                    <w:tl2br w:val="nil"/>
                    <w:tr2bl w:val="nil"/>
                  </w:tcBorders>
                  <w:noWrap w:val="0"/>
                  <w:tcMar>
                    <w:left w:w="28" w:type="dxa"/>
                    <w:right w:w="28" w:type="dxa"/>
                  </w:tcMar>
                  <w:vAlign w:val="center"/>
                </w:tcPr>
                <w:p w14:paraId="72760A28">
                  <w:pPr>
                    <w:pStyle w:val="3935"/>
                    <w:rPr>
                      <w:rFonts w:hint="eastAsia" w:eastAsia="宋体"/>
                      <w:color w:val="auto"/>
                      <w:sz w:val="15"/>
                      <w:szCs w:val="15"/>
                      <w:lang w:val="en-US" w:eastAsia="zh-CN"/>
                    </w:rPr>
                  </w:pPr>
                  <w:r>
                    <w:rPr>
                      <w:rFonts w:hint="eastAsia"/>
                      <w:color w:val="auto"/>
                      <w:sz w:val="15"/>
                      <w:szCs w:val="15"/>
                      <w:lang w:val="en-US" w:eastAsia="zh-CN"/>
                    </w:rPr>
                    <w:t>液态</w:t>
                  </w:r>
                </w:p>
              </w:tc>
              <w:tc>
                <w:tcPr>
                  <w:tcW w:w="331" w:type="pct"/>
                  <w:tcBorders>
                    <w:tl2br w:val="nil"/>
                    <w:tr2bl w:val="nil"/>
                  </w:tcBorders>
                  <w:noWrap w:val="0"/>
                  <w:tcMar>
                    <w:left w:w="28" w:type="dxa"/>
                    <w:right w:w="28" w:type="dxa"/>
                  </w:tcMar>
                  <w:vAlign w:val="center"/>
                </w:tcPr>
                <w:p w14:paraId="345237EF">
                  <w:pPr>
                    <w:pStyle w:val="3935"/>
                    <w:rPr>
                      <w:rFonts w:hint="eastAsia" w:eastAsia="宋体"/>
                      <w:color w:val="auto"/>
                      <w:sz w:val="15"/>
                      <w:szCs w:val="15"/>
                      <w:lang w:val="en-US" w:eastAsia="zh-CN"/>
                    </w:rPr>
                  </w:pPr>
                  <w:r>
                    <w:rPr>
                      <w:rFonts w:hint="eastAsia"/>
                      <w:color w:val="auto"/>
                      <w:sz w:val="15"/>
                      <w:szCs w:val="15"/>
                      <w:lang w:val="en-US" w:eastAsia="zh-CN"/>
                    </w:rPr>
                    <w:t>黄磷池</w:t>
                  </w:r>
                </w:p>
              </w:tc>
              <w:tc>
                <w:tcPr>
                  <w:tcW w:w="372" w:type="pct"/>
                  <w:tcBorders>
                    <w:tl2br w:val="nil"/>
                    <w:tr2bl w:val="nil"/>
                  </w:tcBorders>
                  <w:noWrap w:val="0"/>
                  <w:tcMar>
                    <w:left w:w="28" w:type="dxa"/>
                    <w:right w:w="28" w:type="dxa"/>
                  </w:tcMar>
                  <w:vAlign w:val="center"/>
                </w:tcPr>
                <w:p w14:paraId="24F335D6">
                  <w:pPr>
                    <w:pStyle w:val="3935"/>
                    <w:rPr>
                      <w:rFonts w:hint="default" w:eastAsia="宋体"/>
                      <w:color w:val="auto"/>
                      <w:sz w:val="15"/>
                      <w:szCs w:val="15"/>
                      <w:lang w:val="en-US" w:eastAsia="zh-CN"/>
                    </w:rPr>
                  </w:pPr>
                  <w:r>
                    <w:rPr>
                      <w:rFonts w:hint="eastAsia"/>
                      <w:color w:val="auto"/>
                      <w:sz w:val="15"/>
                      <w:szCs w:val="15"/>
                      <w:lang w:val="en-US" w:eastAsia="zh-CN"/>
                    </w:rPr>
                    <w:t>852.6</w:t>
                  </w:r>
                </w:p>
              </w:tc>
              <w:tc>
                <w:tcPr>
                  <w:tcW w:w="453" w:type="pct"/>
                  <w:tcBorders>
                    <w:tl2br w:val="nil"/>
                    <w:tr2bl w:val="nil"/>
                  </w:tcBorders>
                  <w:noWrap w:val="0"/>
                  <w:tcMar>
                    <w:left w:w="28" w:type="dxa"/>
                    <w:right w:w="28" w:type="dxa"/>
                  </w:tcMar>
                  <w:vAlign w:val="center"/>
                </w:tcPr>
                <w:p w14:paraId="5A3CBA19">
                  <w:pPr>
                    <w:pStyle w:val="3935"/>
                    <w:rPr>
                      <w:rFonts w:hint="default"/>
                      <w:color w:val="auto"/>
                      <w:sz w:val="15"/>
                      <w:szCs w:val="15"/>
                      <w:lang w:val="en-US" w:eastAsia="zh-CN"/>
                    </w:rPr>
                  </w:pPr>
                  <w:r>
                    <w:rPr>
                      <w:rFonts w:hint="eastAsia"/>
                      <w:color w:val="auto"/>
                      <w:sz w:val="15"/>
                      <w:szCs w:val="15"/>
                      <w:lang w:val="en-US" w:eastAsia="zh-CN"/>
                    </w:rPr>
                    <w:t>1629.87</w:t>
                  </w:r>
                </w:p>
              </w:tc>
              <w:tc>
                <w:tcPr>
                  <w:tcW w:w="412" w:type="pct"/>
                  <w:tcBorders>
                    <w:tl2br w:val="nil"/>
                    <w:tr2bl w:val="nil"/>
                  </w:tcBorders>
                  <w:noWrap w:val="0"/>
                  <w:tcMar>
                    <w:left w:w="28" w:type="dxa"/>
                    <w:right w:w="28" w:type="dxa"/>
                  </w:tcMar>
                  <w:vAlign w:val="center"/>
                </w:tcPr>
                <w:p w14:paraId="0D18775D">
                  <w:pPr>
                    <w:pStyle w:val="3935"/>
                    <w:rPr>
                      <w:rFonts w:hint="default"/>
                      <w:color w:val="auto"/>
                      <w:sz w:val="15"/>
                      <w:szCs w:val="15"/>
                      <w:lang w:val="en-US" w:eastAsia="zh-CN"/>
                    </w:rPr>
                  </w:pPr>
                  <w:r>
                    <w:rPr>
                      <w:rFonts w:hint="eastAsia"/>
                      <w:color w:val="auto"/>
                      <w:sz w:val="15"/>
                      <w:szCs w:val="15"/>
                      <w:lang w:val="en-US" w:eastAsia="zh-CN"/>
                    </w:rPr>
                    <w:t>+777.27</w:t>
                  </w:r>
                </w:p>
              </w:tc>
              <w:tc>
                <w:tcPr>
                  <w:tcW w:w="388" w:type="pct"/>
                  <w:tcBorders>
                    <w:tl2br w:val="nil"/>
                    <w:tr2bl w:val="nil"/>
                  </w:tcBorders>
                  <w:noWrap w:val="0"/>
                  <w:tcMar>
                    <w:left w:w="28" w:type="dxa"/>
                    <w:right w:w="28" w:type="dxa"/>
                  </w:tcMar>
                  <w:vAlign w:val="center"/>
                </w:tcPr>
                <w:p w14:paraId="0DC41E78">
                  <w:pPr>
                    <w:pStyle w:val="3935"/>
                    <w:rPr>
                      <w:rFonts w:hint="eastAsia"/>
                      <w:color w:val="auto"/>
                      <w:sz w:val="15"/>
                      <w:szCs w:val="15"/>
                      <w:lang w:val="en-US" w:eastAsia="zh-CN"/>
                    </w:rPr>
                  </w:pPr>
                  <w:r>
                    <w:rPr>
                      <w:rFonts w:hint="eastAsia"/>
                      <w:color w:val="auto"/>
                      <w:sz w:val="15"/>
                      <w:szCs w:val="15"/>
                      <w:lang w:val="en-US" w:eastAsia="zh-CN"/>
                    </w:rPr>
                    <w:t>49169.224</w:t>
                  </w:r>
                </w:p>
              </w:tc>
              <w:tc>
                <w:tcPr>
                  <w:tcW w:w="304" w:type="pct"/>
                  <w:tcBorders>
                    <w:tl2br w:val="nil"/>
                    <w:tr2bl w:val="nil"/>
                  </w:tcBorders>
                  <w:noWrap w:val="0"/>
                  <w:tcMar>
                    <w:left w:w="28" w:type="dxa"/>
                    <w:right w:w="28" w:type="dxa"/>
                  </w:tcMar>
                  <w:vAlign w:val="center"/>
                </w:tcPr>
                <w:p w14:paraId="3C84D32B">
                  <w:pPr>
                    <w:pStyle w:val="3935"/>
                    <w:rPr>
                      <w:rFonts w:hint="eastAsia"/>
                      <w:color w:val="auto"/>
                      <w:sz w:val="15"/>
                      <w:szCs w:val="15"/>
                      <w:lang w:val="en-US" w:eastAsia="zh-CN"/>
                    </w:rPr>
                  </w:pPr>
                  <w:r>
                    <w:rPr>
                      <w:rFonts w:hint="eastAsia"/>
                      <w:color w:val="auto"/>
                      <w:sz w:val="15"/>
                      <w:szCs w:val="15"/>
                      <w:lang w:val="en-US" w:eastAsia="zh-CN"/>
                    </w:rPr>
                    <w:t>49169.224</w:t>
                  </w:r>
                </w:p>
              </w:tc>
              <w:tc>
                <w:tcPr>
                  <w:tcW w:w="305" w:type="pct"/>
                  <w:tcBorders>
                    <w:tl2br w:val="nil"/>
                    <w:tr2bl w:val="nil"/>
                  </w:tcBorders>
                  <w:noWrap w:val="0"/>
                  <w:tcMar>
                    <w:left w:w="28" w:type="dxa"/>
                    <w:right w:w="28" w:type="dxa"/>
                  </w:tcMar>
                  <w:vAlign w:val="center"/>
                </w:tcPr>
                <w:p w14:paraId="1EADC215">
                  <w:pPr>
                    <w:pStyle w:val="3935"/>
                    <w:rPr>
                      <w:rFonts w:hint="default"/>
                      <w:color w:val="auto"/>
                      <w:sz w:val="15"/>
                      <w:szCs w:val="15"/>
                      <w:lang w:val="en-US" w:eastAsia="zh-CN"/>
                    </w:rPr>
                  </w:pPr>
                  <w:r>
                    <w:rPr>
                      <w:rFonts w:hint="eastAsia"/>
                      <w:color w:val="auto"/>
                      <w:sz w:val="15"/>
                      <w:szCs w:val="15"/>
                      <w:lang w:val="en-US" w:eastAsia="zh-CN"/>
                    </w:rPr>
                    <w:t>0</w:t>
                  </w:r>
                </w:p>
              </w:tc>
              <w:tc>
                <w:tcPr>
                  <w:tcW w:w="304" w:type="pct"/>
                  <w:tcBorders>
                    <w:tl2br w:val="nil"/>
                    <w:tr2bl w:val="nil"/>
                  </w:tcBorders>
                  <w:noWrap w:val="0"/>
                  <w:tcMar>
                    <w:left w:w="28" w:type="dxa"/>
                    <w:right w:w="28" w:type="dxa"/>
                  </w:tcMar>
                  <w:vAlign w:val="center"/>
                </w:tcPr>
                <w:p w14:paraId="745B9E46">
                  <w:pPr>
                    <w:pStyle w:val="3935"/>
                    <w:rPr>
                      <w:rFonts w:hint="eastAsia" w:eastAsia="宋体"/>
                      <w:color w:val="auto"/>
                      <w:kern w:val="0"/>
                      <w:sz w:val="15"/>
                      <w:szCs w:val="15"/>
                      <w:lang w:val="en-US" w:eastAsia="zh-CN"/>
                    </w:rPr>
                  </w:pPr>
                  <w:r>
                    <w:rPr>
                      <w:rFonts w:hint="eastAsia"/>
                      <w:color w:val="auto"/>
                      <w:kern w:val="0"/>
                      <w:sz w:val="15"/>
                      <w:szCs w:val="15"/>
                      <w:lang w:val="en-US" w:eastAsia="zh-CN"/>
                    </w:rPr>
                    <w:t>黄磷池</w:t>
                  </w:r>
                </w:p>
              </w:tc>
              <w:tc>
                <w:tcPr>
                  <w:tcW w:w="220" w:type="pct"/>
                  <w:tcBorders>
                    <w:tl2br w:val="nil"/>
                    <w:tr2bl w:val="nil"/>
                  </w:tcBorders>
                  <w:noWrap w:val="0"/>
                  <w:tcMar>
                    <w:left w:w="28" w:type="dxa"/>
                    <w:right w:w="28" w:type="dxa"/>
                  </w:tcMar>
                  <w:vAlign w:val="center"/>
                </w:tcPr>
                <w:p w14:paraId="1A52C30A">
                  <w:pPr>
                    <w:pStyle w:val="3935"/>
                    <w:rPr>
                      <w:rFonts w:hint="default" w:eastAsia="宋体"/>
                      <w:color w:val="auto"/>
                      <w:sz w:val="15"/>
                      <w:szCs w:val="15"/>
                      <w:lang w:val="en-US" w:eastAsia="zh-CN"/>
                    </w:rPr>
                  </w:pPr>
                  <w:r>
                    <w:rPr>
                      <w:rFonts w:hint="eastAsia"/>
                      <w:color w:val="auto"/>
                      <w:sz w:val="15"/>
                      <w:szCs w:val="15"/>
                      <w:lang w:val="en-US" w:eastAsia="zh-CN"/>
                    </w:rPr>
                    <w:t>危化车</w:t>
                  </w:r>
                </w:p>
              </w:tc>
              <w:tc>
                <w:tcPr>
                  <w:tcW w:w="237" w:type="pct"/>
                  <w:tcBorders>
                    <w:tl2br w:val="nil"/>
                    <w:tr2bl w:val="nil"/>
                  </w:tcBorders>
                  <w:noWrap w:val="0"/>
                  <w:tcMar>
                    <w:left w:w="28" w:type="dxa"/>
                    <w:right w:w="28" w:type="dxa"/>
                  </w:tcMar>
                  <w:vAlign w:val="center"/>
                </w:tcPr>
                <w:p w14:paraId="25915391">
                  <w:pPr>
                    <w:pStyle w:val="3935"/>
                    <w:rPr>
                      <w:rFonts w:hint="eastAsia" w:eastAsia="宋体"/>
                      <w:color w:val="auto"/>
                      <w:sz w:val="15"/>
                      <w:szCs w:val="15"/>
                      <w:lang w:val="en-US" w:eastAsia="zh-CN"/>
                    </w:rPr>
                  </w:pPr>
                  <w:r>
                    <w:rPr>
                      <w:rFonts w:hint="eastAsia"/>
                      <w:color w:val="auto"/>
                      <w:sz w:val="15"/>
                      <w:szCs w:val="15"/>
                      <w:lang w:val="en-US" w:eastAsia="zh-CN"/>
                    </w:rPr>
                    <w:t>管道</w:t>
                  </w:r>
                </w:p>
              </w:tc>
              <w:tc>
                <w:tcPr>
                  <w:tcW w:w="435" w:type="pct"/>
                  <w:tcBorders>
                    <w:tl2br w:val="nil"/>
                    <w:tr2bl w:val="nil"/>
                  </w:tcBorders>
                  <w:noWrap w:val="0"/>
                  <w:tcMar>
                    <w:left w:w="28" w:type="dxa"/>
                    <w:right w:w="28" w:type="dxa"/>
                  </w:tcMar>
                  <w:vAlign w:val="center"/>
                </w:tcPr>
                <w:p w14:paraId="1A088E31">
                  <w:pPr>
                    <w:pStyle w:val="3935"/>
                    <w:rPr>
                      <w:rFonts w:hint="eastAsia"/>
                      <w:color w:val="auto"/>
                      <w:sz w:val="15"/>
                      <w:szCs w:val="15"/>
                      <w:lang w:val="en-US" w:eastAsia="zh-CN"/>
                    </w:rPr>
                  </w:pPr>
                  <w:r>
                    <w:rPr>
                      <w:rFonts w:hint="eastAsia"/>
                      <w:color w:val="auto"/>
                      <w:sz w:val="15"/>
                      <w:szCs w:val="15"/>
                      <w:lang w:val="en-US" w:eastAsia="zh-CN"/>
                    </w:rPr>
                    <w:t>/</w:t>
                  </w:r>
                </w:p>
              </w:tc>
            </w:tr>
            <w:tr w14:paraId="49B5F2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25" w:type="pct"/>
                  <w:tcBorders>
                    <w:tl2br w:val="nil"/>
                    <w:tr2bl w:val="nil"/>
                  </w:tcBorders>
                  <w:noWrap w:val="0"/>
                  <w:tcMar>
                    <w:left w:w="28" w:type="dxa"/>
                    <w:right w:w="28" w:type="dxa"/>
                  </w:tcMar>
                  <w:vAlign w:val="center"/>
                </w:tcPr>
                <w:p w14:paraId="18D765E9">
                  <w:pPr>
                    <w:pStyle w:val="3935"/>
                    <w:rPr>
                      <w:rFonts w:hint="default"/>
                      <w:color w:val="auto"/>
                      <w:sz w:val="15"/>
                      <w:szCs w:val="15"/>
                      <w:lang w:val="en-US" w:eastAsia="zh-CN"/>
                    </w:rPr>
                  </w:pPr>
                  <w:r>
                    <w:rPr>
                      <w:rFonts w:hint="eastAsia"/>
                      <w:color w:val="auto"/>
                      <w:sz w:val="15"/>
                      <w:szCs w:val="15"/>
                      <w:lang w:val="en-US" w:eastAsia="zh-CN"/>
                    </w:rPr>
                    <w:t>3</w:t>
                  </w:r>
                </w:p>
              </w:tc>
              <w:tc>
                <w:tcPr>
                  <w:tcW w:w="327" w:type="pct"/>
                  <w:tcBorders>
                    <w:tl2br w:val="nil"/>
                    <w:tr2bl w:val="nil"/>
                  </w:tcBorders>
                  <w:noWrap w:val="0"/>
                  <w:tcMar>
                    <w:left w:w="28" w:type="dxa"/>
                    <w:right w:w="28" w:type="dxa"/>
                  </w:tcMar>
                  <w:vAlign w:val="center"/>
                </w:tcPr>
                <w:p w14:paraId="6AB69025">
                  <w:pPr>
                    <w:pStyle w:val="3935"/>
                    <w:rPr>
                      <w:rFonts w:hint="eastAsia"/>
                      <w:color w:val="auto"/>
                      <w:sz w:val="15"/>
                      <w:szCs w:val="15"/>
                      <w:lang w:val="en-US" w:eastAsia="zh-CN"/>
                    </w:rPr>
                  </w:pPr>
                  <w:r>
                    <w:rPr>
                      <w:rFonts w:hint="eastAsia"/>
                      <w:color w:val="auto"/>
                      <w:sz w:val="15"/>
                      <w:szCs w:val="15"/>
                      <w:lang w:val="en-US" w:eastAsia="zh-CN"/>
                    </w:rPr>
                    <w:t>氮气</w:t>
                  </w:r>
                </w:p>
              </w:tc>
              <w:tc>
                <w:tcPr>
                  <w:tcW w:w="267" w:type="pct"/>
                  <w:tcBorders>
                    <w:tl2br w:val="nil"/>
                    <w:tr2bl w:val="nil"/>
                  </w:tcBorders>
                  <w:noWrap w:val="0"/>
                  <w:tcMar>
                    <w:left w:w="28" w:type="dxa"/>
                    <w:right w:w="28" w:type="dxa"/>
                  </w:tcMar>
                  <w:vAlign w:val="center"/>
                </w:tcPr>
                <w:p w14:paraId="62432F04">
                  <w:pPr>
                    <w:pStyle w:val="3935"/>
                    <w:rPr>
                      <w:rFonts w:hint="eastAsia" w:eastAsia="宋体"/>
                      <w:color w:val="auto"/>
                      <w:sz w:val="15"/>
                      <w:szCs w:val="15"/>
                      <w:lang w:eastAsia="zh-CN"/>
                    </w:rPr>
                  </w:pPr>
                  <w:r>
                    <w:rPr>
                      <w:rFonts w:ascii="Times New Roman" w:hAnsi="Times New Roman" w:cs="Times New Roman"/>
                      <w:color w:val="auto"/>
                      <w:sz w:val="15"/>
                      <w:szCs w:val="15"/>
                    </w:rPr>
                    <w:t>0.5MPa</w:t>
                  </w:r>
                  <w:r>
                    <w:rPr>
                      <w:rFonts w:hint="eastAsia" w:ascii="Times New Roman" w:hAnsi="Times New Roman" w:cs="Times New Roman"/>
                      <w:color w:val="auto"/>
                      <w:sz w:val="15"/>
                      <w:szCs w:val="15"/>
                      <w:lang w:eastAsia="zh-CN"/>
                    </w:rPr>
                    <w:t>（</w:t>
                  </w:r>
                  <w:r>
                    <w:rPr>
                      <w:rFonts w:ascii="Times New Roman" w:hAnsi="Times New Roman" w:cs="Times New Roman"/>
                      <w:color w:val="auto"/>
                      <w:sz w:val="15"/>
                      <w:szCs w:val="15"/>
                    </w:rPr>
                    <w:t>G</w:t>
                  </w:r>
                  <w:r>
                    <w:rPr>
                      <w:rFonts w:hint="eastAsia" w:ascii="Times New Roman" w:hAnsi="Times New Roman" w:cs="Times New Roman"/>
                      <w:color w:val="auto"/>
                      <w:sz w:val="15"/>
                      <w:szCs w:val="15"/>
                      <w:lang w:eastAsia="zh-CN"/>
                    </w:rPr>
                    <w:t>）</w:t>
                  </w:r>
                </w:p>
              </w:tc>
              <w:tc>
                <w:tcPr>
                  <w:tcW w:w="221" w:type="pct"/>
                  <w:tcBorders>
                    <w:tl2br w:val="nil"/>
                    <w:tr2bl w:val="nil"/>
                  </w:tcBorders>
                  <w:noWrap w:val="0"/>
                  <w:vAlign w:val="center"/>
                </w:tcPr>
                <w:p w14:paraId="36B7BAD6">
                  <w:pPr>
                    <w:pStyle w:val="3935"/>
                    <w:rPr>
                      <w:rFonts w:hint="default"/>
                      <w:color w:val="auto"/>
                      <w:sz w:val="15"/>
                      <w:szCs w:val="15"/>
                      <w:lang w:val="en-US" w:eastAsia="zh-CN"/>
                    </w:rPr>
                  </w:pPr>
                  <w:r>
                    <w:rPr>
                      <w:rFonts w:hint="eastAsia"/>
                      <w:color w:val="auto"/>
                      <w:spacing w:val="0"/>
                      <w:w w:val="100"/>
                      <w:position w:val="0"/>
                      <w:sz w:val="15"/>
                      <w:szCs w:val="15"/>
                      <w:lang w:val="en-US" w:eastAsia="zh-CN"/>
                    </w:rPr>
                    <w:t>戊类</w:t>
                  </w:r>
                </w:p>
              </w:tc>
              <w:tc>
                <w:tcPr>
                  <w:tcW w:w="291" w:type="pct"/>
                  <w:tcBorders>
                    <w:tl2br w:val="nil"/>
                    <w:tr2bl w:val="nil"/>
                  </w:tcBorders>
                  <w:noWrap w:val="0"/>
                  <w:tcMar>
                    <w:left w:w="28" w:type="dxa"/>
                    <w:right w:w="28" w:type="dxa"/>
                  </w:tcMar>
                  <w:vAlign w:val="center"/>
                </w:tcPr>
                <w:p w14:paraId="7F3D122B">
                  <w:pPr>
                    <w:pStyle w:val="3935"/>
                    <w:rPr>
                      <w:rFonts w:hint="eastAsia"/>
                      <w:color w:val="auto"/>
                      <w:sz w:val="15"/>
                      <w:szCs w:val="15"/>
                      <w:lang w:val="en-US" w:eastAsia="zh-CN"/>
                    </w:rPr>
                  </w:pPr>
                  <w:r>
                    <w:rPr>
                      <w:rFonts w:hint="eastAsia"/>
                      <w:color w:val="auto"/>
                      <w:sz w:val="15"/>
                      <w:szCs w:val="15"/>
                      <w:lang w:val="en-US" w:eastAsia="zh-CN"/>
                    </w:rPr>
                    <w:t>液态</w:t>
                  </w:r>
                </w:p>
              </w:tc>
              <w:tc>
                <w:tcPr>
                  <w:tcW w:w="331" w:type="pct"/>
                  <w:tcBorders>
                    <w:tl2br w:val="nil"/>
                    <w:tr2bl w:val="nil"/>
                  </w:tcBorders>
                  <w:noWrap w:val="0"/>
                  <w:tcMar>
                    <w:left w:w="28" w:type="dxa"/>
                    <w:right w:w="28" w:type="dxa"/>
                  </w:tcMar>
                  <w:vAlign w:val="center"/>
                </w:tcPr>
                <w:p w14:paraId="0864F887">
                  <w:pPr>
                    <w:pStyle w:val="3935"/>
                    <w:rPr>
                      <w:rFonts w:hint="eastAsia"/>
                      <w:color w:val="auto"/>
                      <w:sz w:val="15"/>
                      <w:szCs w:val="15"/>
                      <w:lang w:val="en-US" w:eastAsia="zh-CN"/>
                    </w:rPr>
                  </w:pPr>
                  <w:r>
                    <w:rPr>
                      <w:rFonts w:hint="eastAsia"/>
                      <w:color w:val="auto"/>
                      <w:sz w:val="15"/>
                      <w:szCs w:val="15"/>
                      <w:lang w:val="en-US" w:eastAsia="zh-CN"/>
                    </w:rPr>
                    <w:t>储罐</w:t>
                  </w:r>
                </w:p>
              </w:tc>
              <w:tc>
                <w:tcPr>
                  <w:tcW w:w="372" w:type="pct"/>
                  <w:tcBorders>
                    <w:tl2br w:val="nil"/>
                    <w:tr2bl w:val="nil"/>
                  </w:tcBorders>
                  <w:noWrap w:val="0"/>
                  <w:tcMar>
                    <w:left w:w="28" w:type="dxa"/>
                    <w:right w:w="28" w:type="dxa"/>
                  </w:tcMar>
                  <w:vAlign w:val="center"/>
                </w:tcPr>
                <w:p w14:paraId="3942B3FF">
                  <w:pPr>
                    <w:pStyle w:val="3935"/>
                    <w:rPr>
                      <w:rFonts w:hint="default"/>
                      <w:color w:val="auto"/>
                      <w:sz w:val="15"/>
                      <w:szCs w:val="15"/>
                      <w:lang w:val="en-US" w:eastAsia="zh-CN"/>
                    </w:rPr>
                  </w:pPr>
                  <w:r>
                    <w:rPr>
                      <w:rFonts w:hint="eastAsia"/>
                      <w:color w:val="auto"/>
                      <w:sz w:val="15"/>
                      <w:szCs w:val="15"/>
                      <w:lang w:val="en-US" w:eastAsia="zh-CN"/>
                    </w:rPr>
                    <w:t>32</w:t>
                  </w:r>
                </w:p>
              </w:tc>
              <w:tc>
                <w:tcPr>
                  <w:tcW w:w="453" w:type="pct"/>
                  <w:tcBorders>
                    <w:tl2br w:val="nil"/>
                    <w:tr2bl w:val="nil"/>
                  </w:tcBorders>
                  <w:noWrap w:val="0"/>
                  <w:tcMar>
                    <w:left w:w="28" w:type="dxa"/>
                    <w:right w:w="28" w:type="dxa"/>
                  </w:tcMar>
                  <w:vAlign w:val="center"/>
                </w:tcPr>
                <w:p w14:paraId="5C35E809">
                  <w:pPr>
                    <w:pStyle w:val="3935"/>
                    <w:rPr>
                      <w:rFonts w:hint="default"/>
                      <w:color w:val="auto"/>
                      <w:sz w:val="15"/>
                      <w:szCs w:val="15"/>
                      <w:lang w:val="en-US" w:eastAsia="zh-CN"/>
                    </w:rPr>
                  </w:pPr>
                  <w:r>
                    <w:rPr>
                      <w:rFonts w:hint="eastAsia"/>
                      <w:color w:val="auto"/>
                      <w:sz w:val="15"/>
                      <w:szCs w:val="15"/>
                      <w:lang w:val="en-US" w:eastAsia="zh-CN"/>
                    </w:rPr>
                    <w:t>32</w:t>
                  </w:r>
                </w:p>
              </w:tc>
              <w:tc>
                <w:tcPr>
                  <w:tcW w:w="412" w:type="pct"/>
                  <w:tcBorders>
                    <w:tl2br w:val="nil"/>
                    <w:tr2bl w:val="nil"/>
                  </w:tcBorders>
                  <w:noWrap w:val="0"/>
                  <w:tcMar>
                    <w:left w:w="28" w:type="dxa"/>
                    <w:right w:w="28" w:type="dxa"/>
                  </w:tcMar>
                  <w:vAlign w:val="center"/>
                </w:tcPr>
                <w:p w14:paraId="54CDA23D">
                  <w:pPr>
                    <w:pStyle w:val="3935"/>
                    <w:rPr>
                      <w:rFonts w:hint="default"/>
                      <w:color w:val="auto"/>
                      <w:sz w:val="15"/>
                      <w:szCs w:val="15"/>
                      <w:lang w:val="en-US" w:eastAsia="zh-CN"/>
                    </w:rPr>
                  </w:pPr>
                  <w:r>
                    <w:rPr>
                      <w:rFonts w:hint="eastAsia"/>
                      <w:color w:val="auto"/>
                      <w:sz w:val="15"/>
                      <w:szCs w:val="15"/>
                      <w:lang w:val="en-US" w:eastAsia="zh-CN"/>
                    </w:rPr>
                    <w:t>0</w:t>
                  </w:r>
                </w:p>
              </w:tc>
              <w:tc>
                <w:tcPr>
                  <w:tcW w:w="388" w:type="pct"/>
                  <w:tcBorders>
                    <w:tl2br w:val="nil"/>
                    <w:tr2bl w:val="nil"/>
                  </w:tcBorders>
                  <w:noWrap w:val="0"/>
                  <w:tcMar>
                    <w:left w:w="28" w:type="dxa"/>
                    <w:right w:w="28" w:type="dxa"/>
                  </w:tcMar>
                  <w:vAlign w:val="center"/>
                </w:tcPr>
                <w:p w14:paraId="573FC861">
                  <w:pPr>
                    <w:pStyle w:val="3935"/>
                    <w:rPr>
                      <w:rFonts w:hint="default"/>
                      <w:color w:val="auto"/>
                      <w:sz w:val="15"/>
                      <w:szCs w:val="15"/>
                      <w:lang w:val="en-US" w:eastAsia="zh-CN"/>
                    </w:rPr>
                  </w:pPr>
                  <w:r>
                    <w:rPr>
                      <w:rFonts w:hint="eastAsia"/>
                      <w:color w:val="auto"/>
                      <w:sz w:val="15"/>
                      <w:szCs w:val="15"/>
                      <w:lang w:val="en-US" w:eastAsia="zh-CN"/>
                    </w:rPr>
                    <w:t>330</w:t>
                  </w:r>
                </w:p>
              </w:tc>
              <w:tc>
                <w:tcPr>
                  <w:tcW w:w="304" w:type="pct"/>
                  <w:tcBorders>
                    <w:tl2br w:val="nil"/>
                    <w:tr2bl w:val="nil"/>
                  </w:tcBorders>
                  <w:noWrap w:val="0"/>
                  <w:tcMar>
                    <w:left w:w="28" w:type="dxa"/>
                    <w:right w:w="28" w:type="dxa"/>
                  </w:tcMar>
                  <w:vAlign w:val="center"/>
                </w:tcPr>
                <w:p w14:paraId="4156FA82">
                  <w:pPr>
                    <w:pStyle w:val="3935"/>
                    <w:rPr>
                      <w:rFonts w:hint="default"/>
                      <w:color w:val="auto"/>
                      <w:sz w:val="15"/>
                      <w:szCs w:val="15"/>
                      <w:lang w:val="en-US" w:eastAsia="zh-CN"/>
                    </w:rPr>
                  </w:pPr>
                  <w:r>
                    <w:rPr>
                      <w:rFonts w:hint="eastAsia"/>
                      <w:color w:val="auto"/>
                      <w:sz w:val="15"/>
                      <w:szCs w:val="15"/>
                      <w:lang w:val="en-US" w:eastAsia="zh-CN"/>
                    </w:rPr>
                    <w:t>348.8</w:t>
                  </w:r>
                </w:p>
              </w:tc>
              <w:tc>
                <w:tcPr>
                  <w:tcW w:w="305" w:type="pct"/>
                  <w:tcBorders>
                    <w:tl2br w:val="nil"/>
                    <w:tr2bl w:val="nil"/>
                  </w:tcBorders>
                  <w:noWrap w:val="0"/>
                  <w:tcMar>
                    <w:left w:w="28" w:type="dxa"/>
                    <w:right w:w="28" w:type="dxa"/>
                  </w:tcMar>
                  <w:vAlign w:val="center"/>
                </w:tcPr>
                <w:p w14:paraId="4B2D2BDB">
                  <w:pPr>
                    <w:pStyle w:val="3935"/>
                    <w:rPr>
                      <w:rFonts w:hint="default"/>
                      <w:color w:val="auto"/>
                      <w:sz w:val="15"/>
                      <w:szCs w:val="15"/>
                      <w:lang w:val="en-US" w:eastAsia="zh-CN"/>
                    </w:rPr>
                  </w:pPr>
                  <w:r>
                    <w:rPr>
                      <w:rFonts w:hint="eastAsia"/>
                      <w:color w:val="auto"/>
                      <w:sz w:val="15"/>
                      <w:szCs w:val="15"/>
                      <w:lang w:val="en-US" w:eastAsia="zh-CN"/>
                    </w:rPr>
                    <w:t>+18.8</w:t>
                  </w:r>
                </w:p>
              </w:tc>
              <w:tc>
                <w:tcPr>
                  <w:tcW w:w="304" w:type="pct"/>
                  <w:tcBorders>
                    <w:tl2br w:val="nil"/>
                    <w:tr2bl w:val="nil"/>
                  </w:tcBorders>
                  <w:noWrap w:val="0"/>
                  <w:tcMar>
                    <w:left w:w="28" w:type="dxa"/>
                    <w:right w:w="28" w:type="dxa"/>
                  </w:tcMar>
                  <w:vAlign w:val="center"/>
                </w:tcPr>
                <w:p w14:paraId="4DA2878C">
                  <w:pPr>
                    <w:pStyle w:val="3935"/>
                    <w:rPr>
                      <w:rFonts w:hint="eastAsia"/>
                      <w:color w:val="auto"/>
                      <w:kern w:val="0"/>
                      <w:sz w:val="15"/>
                      <w:szCs w:val="15"/>
                      <w:lang w:val="en-US" w:eastAsia="zh-CN"/>
                    </w:rPr>
                  </w:pPr>
                  <w:r>
                    <w:rPr>
                      <w:rFonts w:hint="eastAsia"/>
                      <w:color w:val="auto"/>
                      <w:kern w:val="0"/>
                      <w:sz w:val="15"/>
                      <w:szCs w:val="15"/>
                      <w:lang w:val="en-US" w:eastAsia="zh-CN"/>
                    </w:rPr>
                    <w:t>液氮储罐</w:t>
                  </w:r>
                </w:p>
              </w:tc>
              <w:tc>
                <w:tcPr>
                  <w:tcW w:w="220" w:type="pct"/>
                  <w:tcBorders>
                    <w:tl2br w:val="nil"/>
                    <w:tr2bl w:val="nil"/>
                  </w:tcBorders>
                  <w:noWrap w:val="0"/>
                  <w:tcMar>
                    <w:left w:w="28" w:type="dxa"/>
                    <w:right w:w="28" w:type="dxa"/>
                  </w:tcMar>
                  <w:vAlign w:val="center"/>
                </w:tcPr>
                <w:p w14:paraId="685E76C9">
                  <w:pPr>
                    <w:pStyle w:val="3935"/>
                    <w:rPr>
                      <w:rFonts w:hint="eastAsia"/>
                      <w:color w:val="auto"/>
                      <w:sz w:val="15"/>
                      <w:szCs w:val="15"/>
                      <w:lang w:val="en-US" w:eastAsia="zh-CN"/>
                    </w:rPr>
                  </w:pPr>
                  <w:r>
                    <w:rPr>
                      <w:rFonts w:hint="eastAsia"/>
                      <w:color w:val="auto"/>
                      <w:sz w:val="15"/>
                      <w:szCs w:val="15"/>
                      <w:lang w:val="en-US" w:eastAsia="zh-CN"/>
                    </w:rPr>
                    <w:t>罐车</w:t>
                  </w:r>
                </w:p>
              </w:tc>
              <w:tc>
                <w:tcPr>
                  <w:tcW w:w="237" w:type="pct"/>
                  <w:tcBorders>
                    <w:tl2br w:val="nil"/>
                    <w:tr2bl w:val="nil"/>
                  </w:tcBorders>
                  <w:noWrap w:val="0"/>
                  <w:tcMar>
                    <w:left w:w="28" w:type="dxa"/>
                    <w:right w:w="28" w:type="dxa"/>
                  </w:tcMar>
                  <w:vAlign w:val="center"/>
                </w:tcPr>
                <w:p w14:paraId="03FADFF1">
                  <w:pPr>
                    <w:pStyle w:val="3935"/>
                    <w:rPr>
                      <w:rFonts w:hint="eastAsia"/>
                      <w:color w:val="auto"/>
                      <w:sz w:val="15"/>
                      <w:szCs w:val="15"/>
                      <w:lang w:val="en-US" w:eastAsia="zh-CN"/>
                    </w:rPr>
                  </w:pPr>
                  <w:r>
                    <w:rPr>
                      <w:rFonts w:hint="eastAsia"/>
                      <w:color w:val="auto"/>
                      <w:sz w:val="15"/>
                      <w:szCs w:val="15"/>
                      <w:lang w:val="en-US" w:eastAsia="zh-CN"/>
                    </w:rPr>
                    <w:t>管道</w:t>
                  </w:r>
                </w:p>
              </w:tc>
              <w:tc>
                <w:tcPr>
                  <w:tcW w:w="435" w:type="pct"/>
                  <w:tcBorders>
                    <w:tl2br w:val="nil"/>
                    <w:tr2bl w:val="nil"/>
                  </w:tcBorders>
                  <w:noWrap w:val="0"/>
                  <w:tcMar>
                    <w:left w:w="28" w:type="dxa"/>
                    <w:right w:w="28" w:type="dxa"/>
                  </w:tcMar>
                  <w:vAlign w:val="center"/>
                </w:tcPr>
                <w:p w14:paraId="33E6B8E3">
                  <w:pPr>
                    <w:pStyle w:val="3935"/>
                    <w:rPr>
                      <w:rFonts w:hint="default"/>
                      <w:color w:val="auto"/>
                      <w:sz w:val="15"/>
                      <w:szCs w:val="15"/>
                      <w:lang w:val="en-US" w:eastAsia="zh-CN"/>
                    </w:rPr>
                  </w:pPr>
                  <w:r>
                    <w:rPr>
                      <w:rFonts w:hint="eastAsia"/>
                      <w:color w:val="auto"/>
                      <w:sz w:val="15"/>
                      <w:szCs w:val="15"/>
                      <w:lang w:val="en-US" w:eastAsia="zh-CN"/>
                    </w:rPr>
                    <w:t>/</w:t>
                  </w:r>
                </w:p>
              </w:tc>
            </w:tr>
            <w:tr w14:paraId="25EF59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25" w:type="pct"/>
                  <w:tcBorders>
                    <w:tl2br w:val="nil"/>
                    <w:tr2bl w:val="nil"/>
                  </w:tcBorders>
                  <w:noWrap w:val="0"/>
                  <w:tcMar>
                    <w:left w:w="28" w:type="dxa"/>
                    <w:right w:w="28" w:type="dxa"/>
                  </w:tcMar>
                  <w:vAlign w:val="center"/>
                </w:tcPr>
                <w:p w14:paraId="1873D535">
                  <w:pPr>
                    <w:pStyle w:val="3935"/>
                    <w:rPr>
                      <w:rFonts w:hint="default"/>
                      <w:color w:val="auto"/>
                      <w:sz w:val="15"/>
                      <w:szCs w:val="15"/>
                      <w:lang w:val="en-US" w:eastAsia="zh-CN"/>
                    </w:rPr>
                  </w:pPr>
                  <w:r>
                    <w:rPr>
                      <w:rFonts w:hint="eastAsia"/>
                      <w:color w:val="auto"/>
                      <w:sz w:val="15"/>
                      <w:szCs w:val="15"/>
                      <w:lang w:val="en-US" w:eastAsia="zh-CN"/>
                    </w:rPr>
                    <w:t>4</w:t>
                  </w:r>
                </w:p>
              </w:tc>
              <w:tc>
                <w:tcPr>
                  <w:tcW w:w="327" w:type="pct"/>
                  <w:tcBorders>
                    <w:tl2br w:val="nil"/>
                    <w:tr2bl w:val="nil"/>
                  </w:tcBorders>
                  <w:noWrap w:val="0"/>
                  <w:tcMar>
                    <w:left w:w="28" w:type="dxa"/>
                    <w:right w:w="28" w:type="dxa"/>
                  </w:tcMar>
                  <w:vAlign w:val="center"/>
                </w:tcPr>
                <w:p w14:paraId="331F57F4">
                  <w:pPr>
                    <w:pStyle w:val="3935"/>
                    <w:rPr>
                      <w:rFonts w:hint="eastAsia" w:eastAsia="宋体"/>
                      <w:b w:val="0"/>
                      <w:bCs/>
                      <w:color w:val="auto"/>
                      <w:spacing w:val="0"/>
                      <w:w w:val="100"/>
                      <w:kern w:val="28"/>
                      <w:position w:val="0"/>
                      <w:sz w:val="15"/>
                      <w:szCs w:val="15"/>
                      <w:lang w:val="en-US" w:eastAsia="zh-CN" w:bidi="ar-SA"/>
                    </w:rPr>
                  </w:pPr>
                  <w:r>
                    <w:rPr>
                      <w:rFonts w:hint="eastAsia"/>
                      <w:color w:val="auto"/>
                      <w:spacing w:val="0"/>
                      <w:w w:val="100"/>
                      <w:position w:val="0"/>
                      <w:sz w:val="15"/>
                      <w:szCs w:val="15"/>
                      <w:lang w:val="en-US" w:eastAsia="zh-CN"/>
                    </w:rPr>
                    <w:t>氢氧化钠溶液</w:t>
                  </w:r>
                </w:p>
              </w:tc>
              <w:tc>
                <w:tcPr>
                  <w:tcW w:w="267" w:type="pct"/>
                  <w:tcBorders>
                    <w:tl2br w:val="nil"/>
                    <w:tr2bl w:val="nil"/>
                  </w:tcBorders>
                  <w:noWrap w:val="0"/>
                  <w:tcMar>
                    <w:left w:w="28" w:type="dxa"/>
                    <w:right w:w="28" w:type="dxa"/>
                  </w:tcMar>
                  <w:vAlign w:val="center"/>
                </w:tcPr>
                <w:p w14:paraId="24430C44">
                  <w:pPr>
                    <w:pStyle w:val="3935"/>
                    <w:rPr>
                      <w:rFonts w:hint="default" w:eastAsia="宋体"/>
                      <w:b w:val="0"/>
                      <w:bCs/>
                      <w:color w:val="auto"/>
                      <w:spacing w:val="0"/>
                      <w:w w:val="100"/>
                      <w:kern w:val="28"/>
                      <w:position w:val="0"/>
                      <w:sz w:val="15"/>
                      <w:szCs w:val="15"/>
                      <w:lang w:val="en-US" w:eastAsia="zh-CN" w:bidi="ar-SA"/>
                    </w:rPr>
                  </w:pPr>
                  <w:r>
                    <w:rPr>
                      <w:rFonts w:hint="eastAsia"/>
                      <w:color w:val="auto"/>
                      <w:spacing w:val="0"/>
                      <w:w w:val="100"/>
                      <w:position w:val="0"/>
                      <w:sz w:val="15"/>
                      <w:szCs w:val="15"/>
                      <w:lang w:val="en-US" w:eastAsia="zh-CN"/>
                    </w:rPr>
                    <w:t>15~20</w:t>
                  </w:r>
                </w:p>
              </w:tc>
              <w:tc>
                <w:tcPr>
                  <w:tcW w:w="221" w:type="pct"/>
                  <w:tcBorders>
                    <w:tl2br w:val="nil"/>
                    <w:tr2bl w:val="nil"/>
                  </w:tcBorders>
                  <w:noWrap w:val="0"/>
                  <w:vAlign w:val="center"/>
                </w:tcPr>
                <w:p w14:paraId="2AFC1AE1">
                  <w:pPr>
                    <w:pStyle w:val="3935"/>
                    <w:rPr>
                      <w:rFonts w:hint="eastAsia" w:eastAsia="宋体"/>
                      <w:b w:val="0"/>
                      <w:bCs/>
                      <w:color w:val="auto"/>
                      <w:spacing w:val="0"/>
                      <w:w w:val="100"/>
                      <w:kern w:val="28"/>
                      <w:position w:val="0"/>
                      <w:sz w:val="15"/>
                      <w:szCs w:val="15"/>
                      <w:lang w:val="en-US" w:eastAsia="zh-CN" w:bidi="ar-SA"/>
                    </w:rPr>
                  </w:pPr>
                  <w:r>
                    <w:rPr>
                      <w:rFonts w:hint="eastAsia"/>
                      <w:color w:val="auto"/>
                      <w:spacing w:val="0"/>
                      <w:w w:val="100"/>
                      <w:position w:val="0"/>
                      <w:sz w:val="15"/>
                      <w:szCs w:val="15"/>
                      <w:lang w:val="en-US" w:eastAsia="zh-CN"/>
                    </w:rPr>
                    <w:t>戊类</w:t>
                  </w:r>
                </w:p>
              </w:tc>
              <w:tc>
                <w:tcPr>
                  <w:tcW w:w="291" w:type="pct"/>
                  <w:tcBorders>
                    <w:tl2br w:val="nil"/>
                    <w:tr2bl w:val="nil"/>
                  </w:tcBorders>
                  <w:noWrap w:val="0"/>
                  <w:tcMar>
                    <w:left w:w="28" w:type="dxa"/>
                    <w:right w:w="28" w:type="dxa"/>
                  </w:tcMar>
                  <w:vAlign w:val="center"/>
                </w:tcPr>
                <w:p w14:paraId="43ED61B4">
                  <w:pPr>
                    <w:pStyle w:val="3935"/>
                    <w:rPr>
                      <w:rFonts w:hint="eastAsia" w:eastAsia="宋体"/>
                      <w:b w:val="0"/>
                      <w:bCs/>
                      <w:color w:val="auto"/>
                      <w:spacing w:val="0"/>
                      <w:w w:val="100"/>
                      <w:kern w:val="28"/>
                      <w:position w:val="0"/>
                      <w:sz w:val="15"/>
                      <w:szCs w:val="15"/>
                      <w:lang w:val="en-US" w:eastAsia="zh-CN" w:bidi="ar-SA"/>
                    </w:rPr>
                  </w:pPr>
                  <w:r>
                    <w:rPr>
                      <w:rFonts w:hint="eastAsia"/>
                      <w:color w:val="auto"/>
                      <w:spacing w:val="0"/>
                      <w:w w:val="100"/>
                      <w:position w:val="0"/>
                      <w:sz w:val="15"/>
                      <w:szCs w:val="15"/>
                      <w:lang w:val="en-US" w:eastAsia="zh-CN"/>
                    </w:rPr>
                    <w:t>液态</w:t>
                  </w:r>
                </w:p>
              </w:tc>
              <w:tc>
                <w:tcPr>
                  <w:tcW w:w="331" w:type="pct"/>
                  <w:tcBorders>
                    <w:tl2br w:val="nil"/>
                    <w:tr2bl w:val="nil"/>
                  </w:tcBorders>
                  <w:noWrap w:val="0"/>
                  <w:tcMar>
                    <w:left w:w="28" w:type="dxa"/>
                    <w:right w:w="28" w:type="dxa"/>
                  </w:tcMar>
                  <w:vAlign w:val="center"/>
                </w:tcPr>
                <w:p w14:paraId="0D23DE11">
                  <w:pPr>
                    <w:pStyle w:val="3935"/>
                    <w:rPr>
                      <w:rFonts w:hint="eastAsia" w:eastAsia="宋体"/>
                      <w:b w:val="0"/>
                      <w:bCs/>
                      <w:color w:val="auto"/>
                      <w:spacing w:val="0"/>
                      <w:w w:val="100"/>
                      <w:kern w:val="28"/>
                      <w:position w:val="0"/>
                      <w:sz w:val="15"/>
                      <w:szCs w:val="15"/>
                      <w:lang w:val="en-US" w:eastAsia="zh-CN" w:bidi="ar-SA"/>
                    </w:rPr>
                  </w:pPr>
                  <w:r>
                    <w:rPr>
                      <w:rFonts w:hint="eastAsia"/>
                      <w:color w:val="auto"/>
                      <w:spacing w:val="0"/>
                      <w:w w:val="100"/>
                      <w:position w:val="0"/>
                      <w:sz w:val="15"/>
                      <w:szCs w:val="15"/>
                      <w:lang w:val="en-US" w:eastAsia="zh-CN"/>
                    </w:rPr>
                    <w:t>储罐</w:t>
                  </w:r>
                </w:p>
              </w:tc>
              <w:tc>
                <w:tcPr>
                  <w:tcW w:w="372" w:type="pct"/>
                  <w:tcBorders>
                    <w:tl2br w:val="nil"/>
                    <w:tr2bl w:val="nil"/>
                  </w:tcBorders>
                  <w:noWrap w:val="0"/>
                  <w:tcMar>
                    <w:left w:w="28" w:type="dxa"/>
                    <w:right w:w="28" w:type="dxa"/>
                  </w:tcMar>
                  <w:vAlign w:val="center"/>
                </w:tcPr>
                <w:p w14:paraId="5A03DFD3">
                  <w:pPr>
                    <w:pStyle w:val="3935"/>
                    <w:rPr>
                      <w:rFonts w:hint="default" w:eastAsia="宋体"/>
                      <w:b w:val="0"/>
                      <w:bCs/>
                      <w:color w:val="auto"/>
                      <w:spacing w:val="0"/>
                      <w:w w:val="100"/>
                      <w:kern w:val="28"/>
                      <w:position w:val="0"/>
                      <w:sz w:val="15"/>
                      <w:szCs w:val="15"/>
                      <w:lang w:val="en-US" w:eastAsia="zh-CN" w:bidi="ar-SA"/>
                    </w:rPr>
                  </w:pPr>
                  <w:r>
                    <w:rPr>
                      <w:rFonts w:hint="eastAsia"/>
                      <w:color w:val="auto"/>
                      <w:spacing w:val="0"/>
                      <w:w w:val="100"/>
                      <w:position w:val="0"/>
                      <w:sz w:val="15"/>
                      <w:szCs w:val="15"/>
                      <w:lang w:val="en-US" w:eastAsia="zh-CN"/>
                    </w:rPr>
                    <w:t>38.4</w:t>
                  </w:r>
                </w:p>
              </w:tc>
              <w:tc>
                <w:tcPr>
                  <w:tcW w:w="453" w:type="pct"/>
                  <w:tcBorders>
                    <w:tl2br w:val="nil"/>
                    <w:tr2bl w:val="nil"/>
                  </w:tcBorders>
                  <w:noWrap w:val="0"/>
                  <w:tcMar>
                    <w:left w:w="28" w:type="dxa"/>
                    <w:right w:w="28" w:type="dxa"/>
                  </w:tcMar>
                  <w:vAlign w:val="center"/>
                </w:tcPr>
                <w:p w14:paraId="37266E34">
                  <w:pPr>
                    <w:pStyle w:val="3935"/>
                    <w:rPr>
                      <w:rFonts w:hint="eastAsia"/>
                      <w:color w:val="auto"/>
                      <w:spacing w:val="0"/>
                      <w:w w:val="100"/>
                      <w:position w:val="0"/>
                      <w:sz w:val="15"/>
                      <w:szCs w:val="15"/>
                      <w:lang w:val="en-US" w:eastAsia="zh-CN"/>
                    </w:rPr>
                  </w:pPr>
                  <w:r>
                    <w:rPr>
                      <w:rFonts w:hint="eastAsia"/>
                      <w:color w:val="auto"/>
                      <w:spacing w:val="0"/>
                      <w:w w:val="100"/>
                      <w:position w:val="0"/>
                      <w:sz w:val="15"/>
                      <w:szCs w:val="15"/>
                      <w:lang w:val="en-US" w:eastAsia="zh-CN"/>
                    </w:rPr>
                    <w:t>38.4</w:t>
                  </w:r>
                </w:p>
              </w:tc>
              <w:tc>
                <w:tcPr>
                  <w:tcW w:w="412" w:type="pct"/>
                  <w:tcBorders>
                    <w:tl2br w:val="nil"/>
                    <w:tr2bl w:val="nil"/>
                  </w:tcBorders>
                  <w:noWrap w:val="0"/>
                  <w:tcMar>
                    <w:left w:w="28" w:type="dxa"/>
                    <w:right w:w="28" w:type="dxa"/>
                  </w:tcMar>
                  <w:vAlign w:val="center"/>
                </w:tcPr>
                <w:p w14:paraId="3FBE35D6">
                  <w:pPr>
                    <w:pStyle w:val="3935"/>
                    <w:rPr>
                      <w:rFonts w:hint="default"/>
                      <w:color w:val="auto"/>
                      <w:spacing w:val="0"/>
                      <w:w w:val="100"/>
                      <w:position w:val="0"/>
                      <w:sz w:val="15"/>
                      <w:szCs w:val="15"/>
                      <w:lang w:val="en-US" w:eastAsia="zh-CN"/>
                    </w:rPr>
                  </w:pPr>
                  <w:r>
                    <w:rPr>
                      <w:rFonts w:hint="eastAsia"/>
                      <w:color w:val="auto"/>
                      <w:spacing w:val="0"/>
                      <w:w w:val="100"/>
                      <w:position w:val="0"/>
                      <w:sz w:val="15"/>
                      <w:szCs w:val="15"/>
                      <w:lang w:val="en-US" w:eastAsia="zh-CN"/>
                    </w:rPr>
                    <w:t>0</w:t>
                  </w:r>
                </w:p>
              </w:tc>
              <w:tc>
                <w:tcPr>
                  <w:tcW w:w="388" w:type="pct"/>
                  <w:tcBorders>
                    <w:tl2br w:val="nil"/>
                    <w:tr2bl w:val="nil"/>
                  </w:tcBorders>
                  <w:noWrap w:val="0"/>
                  <w:tcMar>
                    <w:left w:w="28" w:type="dxa"/>
                    <w:right w:w="28" w:type="dxa"/>
                  </w:tcMar>
                  <w:vAlign w:val="center"/>
                </w:tcPr>
                <w:p w14:paraId="73BE0245">
                  <w:pPr>
                    <w:pStyle w:val="3935"/>
                    <w:rPr>
                      <w:rFonts w:hint="default"/>
                      <w:color w:val="auto"/>
                      <w:spacing w:val="0"/>
                      <w:w w:val="100"/>
                      <w:position w:val="0"/>
                      <w:sz w:val="15"/>
                      <w:szCs w:val="15"/>
                      <w:lang w:val="en-US" w:eastAsia="zh-CN"/>
                    </w:rPr>
                  </w:pPr>
                  <w:r>
                    <w:rPr>
                      <w:rFonts w:hint="eastAsia"/>
                      <w:color w:val="auto"/>
                      <w:spacing w:val="0"/>
                      <w:w w:val="100"/>
                      <w:position w:val="0"/>
                      <w:sz w:val="15"/>
                      <w:szCs w:val="15"/>
                      <w:lang w:val="en-US" w:eastAsia="zh-CN"/>
                    </w:rPr>
                    <w:t>/</w:t>
                  </w:r>
                </w:p>
              </w:tc>
              <w:tc>
                <w:tcPr>
                  <w:tcW w:w="304" w:type="pct"/>
                  <w:tcBorders>
                    <w:tl2br w:val="nil"/>
                    <w:tr2bl w:val="nil"/>
                  </w:tcBorders>
                  <w:noWrap w:val="0"/>
                  <w:tcMar>
                    <w:left w:w="28" w:type="dxa"/>
                    <w:right w:w="28" w:type="dxa"/>
                  </w:tcMar>
                  <w:vAlign w:val="center"/>
                </w:tcPr>
                <w:p w14:paraId="2189B241">
                  <w:pPr>
                    <w:pStyle w:val="3935"/>
                    <w:rPr>
                      <w:rFonts w:hint="default"/>
                      <w:color w:val="auto"/>
                      <w:spacing w:val="0"/>
                      <w:w w:val="100"/>
                      <w:position w:val="0"/>
                      <w:sz w:val="15"/>
                      <w:szCs w:val="15"/>
                      <w:lang w:val="en-US" w:eastAsia="zh-CN"/>
                    </w:rPr>
                  </w:pPr>
                  <w:r>
                    <w:rPr>
                      <w:rFonts w:hint="eastAsia"/>
                      <w:color w:val="auto"/>
                      <w:spacing w:val="0"/>
                      <w:w w:val="100"/>
                      <w:position w:val="0"/>
                      <w:sz w:val="15"/>
                      <w:szCs w:val="15"/>
                      <w:lang w:val="en-US" w:eastAsia="zh-CN"/>
                    </w:rPr>
                    <w:t>/</w:t>
                  </w:r>
                </w:p>
              </w:tc>
              <w:tc>
                <w:tcPr>
                  <w:tcW w:w="305" w:type="pct"/>
                  <w:tcBorders>
                    <w:tl2br w:val="nil"/>
                    <w:tr2bl w:val="nil"/>
                  </w:tcBorders>
                  <w:noWrap w:val="0"/>
                  <w:tcMar>
                    <w:left w:w="28" w:type="dxa"/>
                    <w:right w:w="28" w:type="dxa"/>
                  </w:tcMar>
                  <w:vAlign w:val="center"/>
                </w:tcPr>
                <w:p w14:paraId="3E501417">
                  <w:pPr>
                    <w:pStyle w:val="3935"/>
                    <w:rPr>
                      <w:rFonts w:hint="default"/>
                      <w:color w:val="auto"/>
                      <w:spacing w:val="0"/>
                      <w:w w:val="100"/>
                      <w:position w:val="0"/>
                      <w:sz w:val="15"/>
                      <w:szCs w:val="15"/>
                      <w:lang w:val="en-US" w:eastAsia="zh-CN"/>
                    </w:rPr>
                  </w:pPr>
                  <w:r>
                    <w:rPr>
                      <w:rFonts w:hint="eastAsia"/>
                      <w:color w:val="auto"/>
                      <w:spacing w:val="0"/>
                      <w:w w:val="100"/>
                      <w:position w:val="0"/>
                      <w:sz w:val="15"/>
                      <w:szCs w:val="15"/>
                      <w:lang w:val="en-US" w:eastAsia="zh-CN"/>
                    </w:rPr>
                    <w:t>/</w:t>
                  </w:r>
                </w:p>
              </w:tc>
              <w:tc>
                <w:tcPr>
                  <w:tcW w:w="304" w:type="pct"/>
                  <w:tcBorders>
                    <w:tl2br w:val="nil"/>
                    <w:tr2bl w:val="nil"/>
                  </w:tcBorders>
                  <w:noWrap w:val="0"/>
                  <w:tcMar>
                    <w:left w:w="28" w:type="dxa"/>
                    <w:right w:w="28" w:type="dxa"/>
                  </w:tcMar>
                  <w:vAlign w:val="center"/>
                </w:tcPr>
                <w:p w14:paraId="4617958C">
                  <w:pPr>
                    <w:pStyle w:val="3935"/>
                    <w:rPr>
                      <w:rFonts w:hint="eastAsia"/>
                      <w:b w:val="0"/>
                      <w:bCs/>
                      <w:color w:val="auto"/>
                      <w:spacing w:val="0"/>
                      <w:w w:val="100"/>
                      <w:kern w:val="28"/>
                      <w:position w:val="0"/>
                      <w:sz w:val="15"/>
                      <w:szCs w:val="15"/>
                      <w:lang w:val="en-US" w:eastAsia="zh-CN" w:bidi="ar-SA"/>
                    </w:rPr>
                  </w:pPr>
                  <w:r>
                    <w:rPr>
                      <w:rFonts w:hint="eastAsia" w:ascii="Times New Roman" w:hAnsi="Times New Roman" w:eastAsia="宋体" w:cs="Times New Roman"/>
                      <w:color w:val="auto"/>
                      <w:spacing w:val="0"/>
                      <w:w w:val="100"/>
                      <w:kern w:val="0"/>
                      <w:position w:val="0"/>
                      <w:sz w:val="15"/>
                      <w:szCs w:val="15"/>
                      <w:lang w:val="en-US" w:eastAsia="zh-CN"/>
                    </w:rPr>
                    <w:t>北侧氯气吸收区</w:t>
                  </w:r>
                </w:p>
              </w:tc>
              <w:tc>
                <w:tcPr>
                  <w:tcW w:w="220" w:type="pct"/>
                  <w:tcBorders>
                    <w:tl2br w:val="nil"/>
                    <w:tr2bl w:val="nil"/>
                  </w:tcBorders>
                  <w:noWrap w:val="0"/>
                  <w:tcMar>
                    <w:left w:w="28" w:type="dxa"/>
                    <w:right w:w="28" w:type="dxa"/>
                  </w:tcMar>
                  <w:vAlign w:val="center"/>
                </w:tcPr>
                <w:p w14:paraId="011B4861">
                  <w:pPr>
                    <w:pStyle w:val="3935"/>
                    <w:rPr>
                      <w:rFonts w:hint="eastAsia" w:eastAsia="宋体"/>
                      <w:b w:val="0"/>
                      <w:bCs/>
                      <w:color w:val="auto"/>
                      <w:spacing w:val="0"/>
                      <w:w w:val="100"/>
                      <w:kern w:val="28"/>
                      <w:position w:val="0"/>
                      <w:sz w:val="15"/>
                      <w:szCs w:val="15"/>
                      <w:lang w:val="en-US" w:eastAsia="zh-CN" w:bidi="ar-SA"/>
                    </w:rPr>
                  </w:pPr>
                  <w:r>
                    <w:rPr>
                      <w:rFonts w:hint="eastAsia"/>
                      <w:color w:val="auto"/>
                      <w:spacing w:val="0"/>
                      <w:w w:val="100"/>
                      <w:position w:val="0"/>
                      <w:sz w:val="15"/>
                      <w:szCs w:val="15"/>
                      <w:lang w:val="en-US" w:eastAsia="zh-CN"/>
                    </w:rPr>
                    <w:t>危化车</w:t>
                  </w:r>
                </w:p>
              </w:tc>
              <w:tc>
                <w:tcPr>
                  <w:tcW w:w="237" w:type="pct"/>
                  <w:tcBorders>
                    <w:tl2br w:val="nil"/>
                    <w:tr2bl w:val="nil"/>
                  </w:tcBorders>
                  <w:noWrap w:val="0"/>
                  <w:tcMar>
                    <w:left w:w="28" w:type="dxa"/>
                    <w:right w:w="28" w:type="dxa"/>
                  </w:tcMar>
                  <w:vAlign w:val="center"/>
                </w:tcPr>
                <w:p w14:paraId="009EB1ED">
                  <w:pPr>
                    <w:pStyle w:val="3935"/>
                    <w:rPr>
                      <w:rFonts w:hint="eastAsia" w:eastAsia="宋体"/>
                      <w:b w:val="0"/>
                      <w:bCs/>
                      <w:color w:val="auto"/>
                      <w:spacing w:val="0"/>
                      <w:w w:val="100"/>
                      <w:kern w:val="28"/>
                      <w:position w:val="0"/>
                      <w:sz w:val="15"/>
                      <w:szCs w:val="15"/>
                      <w:lang w:val="en-US" w:eastAsia="zh-CN" w:bidi="ar-SA"/>
                    </w:rPr>
                  </w:pPr>
                  <w:r>
                    <w:rPr>
                      <w:rFonts w:hint="eastAsia"/>
                      <w:color w:val="auto"/>
                      <w:spacing w:val="0"/>
                      <w:w w:val="100"/>
                      <w:position w:val="0"/>
                      <w:sz w:val="15"/>
                      <w:szCs w:val="15"/>
                      <w:lang w:val="en-US" w:eastAsia="zh-CN"/>
                    </w:rPr>
                    <w:t>管道</w:t>
                  </w:r>
                </w:p>
              </w:tc>
              <w:tc>
                <w:tcPr>
                  <w:tcW w:w="435" w:type="pct"/>
                  <w:vMerge w:val="restart"/>
                  <w:tcBorders>
                    <w:tl2br w:val="nil"/>
                    <w:tr2bl w:val="nil"/>
                  </w:tcBorders>
                  <w:noWrap w:val="0"/>
                  <w:tcMar>
                    <w:left w:w="28" w:type="dxa"/>
                    <w:right w:w="28" w:type="dxa"/>
                  </w:tcMar>
                  <w:vAlign w:val="center"/>
                </w:tcPr>
                <w:p w14:paraId="3A8997E0">
                  <w:pPr>
                    <w:pStyle w:val="3935"/>
                    <w:rPr>
                      <w:rFonts w:hint="eastAsia"/>
                      <w:color w:val="auto"/>
                      <w:spacing w:val="0"/>
                      <w:w w:val="100"/>
                      <w:position w:val="0"/>
                      <w:sz w:val="15"/>
                      <w:szCs w:val="15"/>
                      <w:lang w:val="en-US" w:eastAsia="zh-CN"/>
                    </w:rPr>
                  </w:pPr>
                  <w:r>
                    <w:rPr>
                      <w:rFonts w:hint="eastAsia"/>
                      <w:color w:val="auto"/>
                      <w:spacing w:val="0"/>
                      <w:w w:val="100"/>
                      <w:position w:val="0"/>
                      <w:sz w:val="15"/>
                      <w:szCs w:val="15"/>
                      <w:lang w:val="en-US" w:eastAsia="zh-CN"/>
                    </w:rPr>
                    <w:t>应急物资</w:t>
                  </w:r>
                </w:p>
              </w:tc>
            </w:tr>
            <w:tr w14:paraId="071747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125" w:type="pct"/>
                  <w:tcBorders>
                    <w:tl2br w:val="nil"/>
                    <w:tr2bl w:val="nil"/>
                  </w:tcBorders>
                  <w:noWrap w:val="0"/>
                  <w:tcMar>
                    <w:left w:w="28" w:type="dxa"/>
                    <w:right w:w="28" w:type="dxa"/>
                  </w:tcMar>
                  <w:vAlign w:val="center"/>
                </w:tcPr>
                <w:p w14:paraId="2184D31E">
                  <w:pPr>
                    <w:pStyle w:val="3935"/>
                    <w:rPr>
                      <w:rFonts w:hint="default"/>
                      <w:color w:val="auto"/>
                      <w:sz w:val="15"/>
                      <w:szCs w:val="15"/>
                      <w:lang w:val="en-US" w:eastAsia="zh-CN"/>
                    </w:rPr>
                  </w:pPr>
                  <w:r>
                    <w:rPr>
                      <w:rFonts w:hint="eastAsia"/>
                      <w:color w:val="auto"/>
                      <w:sz w:val="15"/>
                      <w:szCs w:val="15"/>
                      <w:lang w:val="en-US" w:eastAsia="zh-CN"/>
                    </w:rPr>
                    <w:t>5</w:t>
                  </w:r>
                </w:p>
              </w:tc>
              <w:tc>
                <w:tcPr>
                  <w:tcW w:w="327" w:type="pct"/>
                  <w:tcBorders>
                    <w:tl2br w:val="nil"/>
                    <w:tr2bl w:val="nil"/>
                  </w:tcBorders>
                  <w:noWrap w:val="0"/>
                  <w:tcMar>
                    <w:left w:w="28" w:type="dxa"/>
                    <w:right w:w="28" w:type="dxa"/>
                  </w:tcMar>
                  <w:vAlign w:val="center"/>
                </w:tcPr>
                <w:p w14:paraId="57D8498B">
                  <w:pPr>
                    <w:pStyle w:val="3935"/>
                    <w:rPr>
                      <w:rFonts w:hint="eastAsia"/>
                      <w:color w:val="auto"/>
                      <w:spacing w:val="0"/>
                      <w:w w:val="100"/>
                      <w:position w:val="0"/>
                      <w:sz w:val="15"/>
                      <w:szCs w:val="15"/>
                      <w:lang w:val="en-US" w:eastAsia="zh-CN"/>
                    </w:rPr>
                  </w:pPr>
                  <w:r>
                    <w:rPr>
                      <w:rFonts w:hint="eastAsia"/>
                      <w:color w:val="auto"/>
                      <w:spacing w:val="0"/>
                      <w:w w:val="100"/>
                      <w:position w:val="0"/>
                      <w:sz w:val="15"/>
                      <w:szCs w:val="15"/>
                      <w:lang w:val="en-US" w:eastAsia="zh-CN"/>
                    </w:rPr>
                    <w:t>氢氧化钠溶液</w:t>
                  </w:r>
                </w:p>
              </w:tc>
              <w:tc>
                <w:tcPr>
                  <w:tcW w:w="267" w:type="pct"/>
                  <w:tcBorders>
                    <w:tl2br w:val="nil"/>
                    <w:tr2bl w:val="nil"/>
                  </w:tcBorders>
                  <w:noWrap w:val="0"/>
                  <w:tcMar>
                    <w:left w:w="28" w:type="dxa"/>
                    <w:right w:w="28" w:type="dxa"/>
                  </w:tcMar>
                  <w:vAlign w:val="center"/>
                </w:tcPr>
                <w:p w14:paraId="71E57D15">
                  <w:pPr>
                    <w:pStyle w:val="3935"/>
                    <w:rPr>
                      <w:rFonts w:hint="default"/>
                      <w:color w:val="auto"/>
                      <w:spacing w:val="0"/>
                      <w:w w:val="100"/>
                      <w:position w:val="0"/>
                      <w:sz w:val="15"/>
                      <w:szCs w:val="15"/>
                      <w:lang w:val="en-US" w:eastAsia="zh-CN"/>
                    </w:rPr>
                  </w:pPr>
                  <w:r>
                    <w:rPr>
                      <w:rFonts w:hint="eastAsia"/>
                      <w:color w:val="auto"/>
                      <w:spacing w:val="0"/>
                      <w:w w:val="100"/>
                      <w:position w:val="0"/>
                      <w:sz w:val="15"/>
                      <w:szCs w:val="15"/>
                      <w:lang w:val="en-US" w:eastAsia="zh-CN"/>
                    </w:rPr>
                    <w:t>32</w:t>
                  </w:r>
                </w:p>
              </w:tc>
              <w:tc>
                <w:tcPr>
                  <w:tcW w:w="221" w:type="pct"/>
                  <w:tcBorders>
                    <w:tl2br w:val="nil"/>
                    <w:tr2bl w:val="nil"/>
                  </w:tcBorders>
                  <w:noWrap w:val="0"/>
                  <w:vAlign w:val="center"/>
                </w:tcPr>
                <w:p w14:paraId="7AE027BF">
                  <w:pPr>
                    <w:pStyle w:val="3935"/>
                    <w:rPr>
                      <w:rFonts w:hint="eastAsia" w:eastAsia="宋体"/>
                      <w:b w:val="0"/>
                      <w:bCs/>
                      <w:color w:val="auto"/>
                      <w:spacing w:val="0"/>
                      <w:w w:val="100"/>
                      <w:kern w:val="28"/>
                      <w:position w:val="0"/>
                      <w:sz w:val="15"/>
                      <w:szCs w:val="15"/>
                      <w:lang w:val="en-US" w:eastAsia="zh-CN" w:bidi="ar-SA"/>
                    </w:rPr>
                  </w:pPr>
                  <w:r>
                    <w:rPr>
                      <w:rFonts w:hint="eastAsia"/>
                      <w:color w:val="auto"/>
                      <w:spacing w:val="0"/>
                      <w:w w:val="100"/>
                      <w:position w:val="0"/>
                      <w:sz w:val="15"/>
                      <w:szCs w:val="15"/>
                      <w:lang w:val="en-US" w:eastAsia="zh-CN"/>
                    </w:rPr>
                    <w:t>戊类</w:t>
                  </w:r>
                </w:p>
              </w:tc>
              <w:tc>
                <w:tcPr>
                  <w:tcW w:w="291" w:type="pct"/>
                  <w:tcBorders>
                    <w:tl2br w:val="nil"/>
                    <w:tr2bl w:val="nil"/>
                  </w:tcBorders>
                  <w:noWrap w:val="0"/>
                  <w:tcMar>
                    <w:left w:w="28" w:type="dxa"/>
                    <w:right w:w="28" w:type="dxa"/>
                  </w:tcMar>
                  <w:vAlign w:val="center"/>
                </w:tcPr>
                <w:p w14:paraId="2DCA6AC9">
                  <w:pPr>
                    <w:pStyle w:val="3935"/>
                    <w:rPr>
                      <w:rFonts w:hint="eastAsia" w:eastAsia="宋体"/>
                      <w:b w:val="0"/>
                      <w:bCs/>
                      <w:color w:val="auto"/>
                      <w:spacing w:val="0"/>
                      <w:w w:val="100"/>
                      <w:kern w:val="28"/>
                      <w:position w:val="0"/>
                      <w:sz w:val="15"/>
                      <w:szCs w:val="15"/>
                      <w:lang w:val="en-US" w:eastAsia="zh-CN" w:bidi="ar-SA"/>
                    </w:rPr>
                  </w:pPr>
                  <w:r>
                    <w:rPr>
                      <w:rFonts w:hint="eastAsia"/>
                      <w:color w:val="auto"/>
                      <w:spacing w:val="0"/>
                      <w:w w:val="100"/>
                      <w:position w:val="0"/>
                      <w:sz w:val="15"/>
                      <w:szCs w:val="15"/>
                      <w:lang w:val="en-US" w:eastAsia="zh-CN"/>
                    </w:rPr>
                    <w:t>液态</w:t>
                  </w:r>
                </w:p>
              </w:tc>
              <w:tc>
                <w:tcPr>
                  <w:tcW w:w="331" w:type="pct"/>
                  <w:tcBorders>
                    <w:tl2br w:val="nil"/>
                    <w:tr2bl w:val="nil"/>
                  </w:tcBorders>
                  <w:noWrap w:val="0"/>
                  <w:tcMar>
                    <w:left w:w="28" w:type="dxa"/>
                    <w:right w:w="28" w:type="dxa"/>
                  </w:tcMar>
                  <w:vAlign w:val="center"/>
                </w:tcPr>
                <w:p w14:paraId="5AF27743">
                  <w:pPr>
                    <w:pStyle w:val="3935"/>
                    <w:rPr>
                      <w:rFonts w:hint="eastAsia" w:eastAsia="宋体"/>
                      <w:b w:val="0"/>
                      <w:bCs/>
                      <w:color w:val="auto"/>
                      <w:spacing w:val="0"/>
                      <w:w w:val="100"/>
                      <w:kern w:val="28"/>
                      <w:position w:val="0"/>
                      <w:sz w:val="15"/>
                      <w:szCs w:val="15"/>
                      <w:lang w:val="en-US" w:eastAsia="zh-CN" w:bidi="ar-SA"/>
                    </w:rPr>
                  </w:pPr>
                  <w:r>
                    <w:rPr>
                      <w:rFonts w:hint="eastAsia"/>
                      <w:color w:val="auto"/>
                      <w:spacing w:val="0"/>
                      <w:w w:val="100"/>
                      <w:position w:val="0"/>
                      <w:sz w:val="15"/>
                      <w:szCs w:val="15"/>
                      <w:lang w:val="en-US" w:eastAsia="zh-CN"/>
                    </w:rPr>
                    <w:t>储罐</w:t>
                  </w:r>
                </w:p>
              </w:tc>
              <w:tc>
                <w:tcPr>
                  <w:tcW w:w="372" w:type="pct"/>
                  <w:tcBorders>
                    <w:tl2br w:val="nil"/>
                    <w:tr2bl w:val="nil"/>
                  </w:tcBorders>
                  <w:noWrap w:val="0"/>
                  <w:tcMar>
                    <w:left w:w="28" w:type="dxa"/>
                    <w:right w:w="28" w:type="dxa"/>
                  </w:tcMar>
                  <w:vAlign w:val="center"/>
                </w:tcPr>
                <w:p w14:paraId="5659A7A0">
                  <w:pPr>
                    <w:pStyle w:val="3935"/>
                    <w:rPr>
                      <w:rFonts w:hint="eastAsia"/>
                      <w:color w:val="auto"/>
                      <w:spacing w:val="0"/>
                      <w:w w:val="100"/>
                      <w:position w:val="0"/>
                      <w:sz w:val="15"/>
                      <w:szCs w:val="15"/>
                      <w:lang w:val="en-US" w:eastAsia="zh-CN"/>
                    </w:rPr>
                  </w:pPr>
                  <w:r>
                    <w:rPr>
                      <w:rFonts w:hint="default"/>
                      <w:color w:val="auto"/>
                      <w:sz w:val="15"/>
                      <w:szCs w:val="15"/>
                    </w:rPr>
                    <w:t>58.1</w:t>
                  </w:r>
                </w:p>
              </w:tc>
              <w:tc>
                <w:tcPr>
                  <w:tcW w:w="453" w:type="pct"/>
                  <w:tcBorders>
                    <w:tl2br w:val="nil"/>
                    <w:tr2bl w:val="nil"/>
                  </w:tcBorders>
                  <w:noWrap w:val="0"/>
                  <w:tcMar>
                    <w:left w:w="28" w:type="dxa"/>
                    <w:right w:w="28" w:type="dxa"/>
                  </w:tcMar>
                  <w:vAlign w:val="center"/>
                </w:tcPr>
                <w:p w14:paraId="55F97C3C">
                  <w:pPr>
                    <w:pStyle w:val="3935"/>
                    <w:rPr>
                      <w:rFonts w:hint="default"/>
                      <w:color w:val="auto"/>
                      <w:sz w:val="15"/>
                      <w:szCs w:val="15"/>
                    </w:rPr>
                  </w:pPr>
                  <w:r>
                    <w:rPr>
                      <w:rFonts w:hint="default"/>
                      <w:color w:val="auto"/>
                      <w:sz w:val="15"/>
                      <w:szCs w:val="15"/>
                    </w:rPr>
                    <w:t>58.1</w:t>
                  </w:r>
                </w:p>
              </w:tc>
              <w:tc>
                <w:tcPr>
                  <w:tcW w:w="412" w:type="pct"/>
                  <w:tcBorders>
                    <w:tl2br w:val="nil"/>
                    <w:tr2bl w:val="nil"/>
                  </w:tcBorders>
                  <w:noWrap w:val="0"/>
                  <w:tcMar>
                    <w:left w:w="28" w:type="dxa"/>
                    <w:right w:w="28" w:type="dxa"/>
                  </w:tcMar>
                  <w:vAlign w:val="center"/>
                </w:tcPr>
                <w:p w14:paraId="0E7E7F94">
                  <w:pPr>
                    <w:pStyle w:val="3935"/>
                    <w:rPr>
                      <w:rFonts w:hint="eastAsia" w:eastAsia="宋体"/>
                      <w:color w:val="auto"/>
                      <w:sz w:val="15"/>
                      <w:szCs w:val="15"/>
                      <w:lang w:val="en-US" w:eastAsia="zh-CN"/>
                    </w:rPr>
                  </w:pPr>
                  <w:r>
                    <w:rPr>
                      <w:rFonts w:hint="eastAsia"/>
                      <w:color w:val="auto"/>
                      <w:sz w:val="15"/>
                      <w:szCs w:val="15"/>
                      <w:lang w:val="en-US" w:eastAsia="zh-CN"/>
                    </w:rPr>
                    <w:t>0</w:t>
                  </w:r>
                </w:p>
              </w:tc>
              <w:tc>
                <w:tcPr>
                  <w:tcW w:w="388" w:type="pct"/>
                  <w:tcBorders>
                    <w:tl2br w:val="nil"/>
                    <w:tr2bl w:val="nil"/>
                  </w:tcBorders>
                  <w:noWrap w:val="0"/>
                  <w:tcMar>
                    <w:left w:w="28" w:type="dxa"/>
                    <w:right w:w="28" w:type="dxa"/>
                  </w:tcMar>
                  <w:vAlign w:val="center"/>
                </w:tcPr>
                <w:p w14:paraId="1DCA8F70">
                  <w:pPr>
                    <w:pStyle w:val="3935"/>
                    <w:rPr>
                      <w:rFonts w:hint="default"/>
                      <w:color w:val="auto"/>
                      <w:sz w:val="15"/>
                      <w:szCs w:val="15"/>
                      <w:lang w:val="en-US" w:eastAsia="zh-CN"/>
                    </w:rPr>
                  </w:pPr>
                  <w:r>
                    <w:rPr>
                      <w:rFonts w:hint="eastAsia"/>
                      <w:color w:val="auto"/>
                      <w:sz w:val="15"/>
                      <w:szCs w:val="15"/>
                      <w:lang w:val="en-US" w:eastAsia="zh-CN"/>
                    </w:rPr>
                    <w:t>/</w:t>
                  </w:r>
                </w:p>
              </w:tc>
              <w:tc>
                <w:tcPr>
                  <w:tcW w:w="304" w:type="pct"/>
                  <w:tcBorders>
                    <w:tl2br w:val="nil"/>
                    <w:tr2bl w:val="nil"/>
                  </w:tcBorders>
                  <w:noWrap w:val="0"/>
                  <w:tcMar>
                    <w:left w:w="28" w:type="dxa"/>
                    <w:right w:w="28" w:type="dxa"/>
                  </w:tcMar>
                  <w:vAlign w:val="center"/>
                </w:tcPr>
                <w:p w14:paraId="2120E9AA">
                  <w:pPr>
                    <w:pStyle w:val="3935"/>
                    <w:rPr>
                      <w:rFonts w:hint="default"/>
                      <w:color w:val="auto"/>
                      <w:sz w:val="15"/>
                      <w:szCs w:val="15"/>
                      <w:lang w:val="en-US" w:eastAsia="zh-CN"/>
                    </w:rPr>
                  </w:pPr>
                  <w:r>
                    <w:rPr>
                      <w:rFonts w:hint="eastAsia"/>
                      <w:color w:val="auto"/>
                      <w:sz w:val="15"/>
                      <w:szCs w:val="15"/>
                      <w:lang w:val="en-US" w:eastAsia="zh-CN"/>
                    </w:rPr>
                    <w:t>/</w:t>
                  </w:r>
                </w:p>
              </w:tc>
              <w:tc>
                <w:tcPr>
                  <w:tcW w:w="305" w:type="pct"/>
                  <w:tcBorders>
                    <w:tl2br w:val="nil"/>
                    <w:tr2bl w:val="nil"/>
                  </w:tcBorders>
                  <w:noWrap w:val="0"/>
                  <w:tcMar>
                    <w:left w:w="28" w:type="dxa"/>
                    <w:right w:w="28" w:type="dxa"/>
                  </w:tcMar>
                  <w:vAlign w:val="center"/>
                </w:tcPr>
                <w:p w14:paraId="0A2EAB47">
                  <w:pPr>
                    <w:pStyle w:val="3935"/>
                    <w:rPr>
                      <w:rFonts w:hint="default"/>
                      <w:color w:val="auto"/>
                      <w:sz w:val="15"/>
                      <w:szCs w:val="15"/>
                      <w:lang w:val="en-US" w:eastAsia="zh-CN"/>
                    </w:rPr>
                  </w:pPr>
                  <w:r>
                    <w:rPr>
                      <w:rFonts w:hint="eastAsia"/>
                      <w:color w:val="auto"/>
                      <w:sz w:val="15"/>
                      <w:szCs w:val="15"/>
                      <w:lang w:val="en-US" w:eastAsia="zh-CN"/>
                    </w:rPr>
                    <w:t>/</w:t>
                  </w:r>
                </w:p>
              </w:tc>
              <w:tc>
                <w:tcPr>
                  <w:tcW w:w="304" w:type="pct"/>
                  <w:tcBorders>
                    <w:tl2br w:val="nil"/>
                    <w:tr2bl w:val="nil"/>
                  </w:tcBorders>
                  <w:noWrap w:val="0"/>
                  <w:tcMar>
                    <w:left w:w="28" w:type="dxa"/>
                    <w:right w:w="28" w:type="dxa"/>
                  </w:tcMar>
                  <w:vAlign w:val="center"/>
                </w:tcPr>
                <w:p w14:paraId="5FF71A43">
                  <w:pPr>
                    <w:pStyle w:val="3935"/>
                    <w:rPr>
                      <w:rFonts w:hint="eastAsia" w:ascii="Times New Roman" w:hAnsi="Times New Roman" w:eastAsia="宋体" w:cs="Times New Roman"/>
                      <w:color w:val="auto"/>
                      <w:spacing w:val="0"/>
                      <w:w w:val="100"/>
                      <w:kern w:val="0"/>
                      <w:position w:val="0"/>
                      <w:sz w:val="15"/>
                      <w:szCs w:val="15"/>
                      <w:lang w:val="en-US" w:eastAsia="zh-CN"/>
                    </w:rPr>
                  </w:pPr>
                  <w:r>
                    <w:rPr>
                      <w:rFonts w:hint="default"/>
                      <w:color w:val="auto"/>
                      <w:sz w:val="15"/>
                      <w:szCs w:val="15"/>
                    </w:rPr>
                    <w:t>罐区二</w:t>
                  </w:r>
                </w:p>
              </w:tc>
              <w:tc>
                <w:tcPr>
                  <w:tcW w:w="220" w:type="pct"/>
                  <w:tcBorders>
                    <w:tl2br w:val="nil"/>
                    <w:tr2bl w:val="nil"/>
                  </w:tcBorders>
                  <w:noWrap w:val="0"/>
                  <w:tcMar>
                    <w:left w:w="28" w:type="dxa"/>
                    <w:right w:w="28" w:type="dxa"/>
                  </w:tcMar>
                  <w:vAlign w:val="center"/>
                </w:tcPr>
                <w:p w14:paraId="56DE7CC1">
                  <w:pPr>
                    <w:pStyle w:val="3935"/>
                    <w:rPr>
                      <w:rFonts w:hint="eastAsia"/>
                      <w:color w:val="auto"/>
                      <w:spacing w:val="0"/>
                      <w:w w:val="100"/>
                      <w:position w:val="0"/>
                      <w:sz w:val="15"/>
                      <w:szCs w:val="15"/>
                      <w:lang w:val="en-US" w:eastAsia="zh-CN"/>
                    </w:rPr>
                  </w:pPr>
                  <w:r>
                    <w:rPr>
                      <w:rFonts w:hint="eastAsia"/>
                      <w:color w:val="auto"/>
                      <w:sz w:val="15"/>
                      <w:szCs w:val="15"/>
                      <w:lang w:val="en-US" w:eastAsia="zh-CN"/>
                    </w:rPr>
                    <w:t>危化车</w:t>
                  </w:r>
                </w:p>
              </w:tc>
              <w:tc>
                <w:tcPr>
                  <w:tcW w:w="237" w:type="pct"/>
                  <w:tcBorders>
                    <w:tl2br w:val="nil"/>
                    <w:tr2bl w:val="nil"/>
                  </w:tcBorders>
                  <w:noWrap w:val="0"/>
                  <w:tcMar>
                    <w:left w:w="28" w:type="dxa"/>
                    <w:right w:w="28" w:type="dxa"/>
                  </w:tcMar>
                  <w:vAlign w:val="center"/>
                </w:tcPr>
                <w:p w14:paraId="751971AC">
                  <w:pPr>
                    <w:pStyle w:val="3935"/>
                    <w:rPr>
                      <w:rFonts w:hint="eastAsia"/>
                      <w:color w:val="auto"/>
                      <w:spacing w:val="0"/>
                      <w:w w:val="100"/>
                      <w:position w:val="0"/>
                      <w:sz w:val="15"/>
                      <w:szCs w:val="15"/>
                      <w:lang w:val="en-US" w:eastAsia="zh-CN"/>
                    </w:rPr>
                  </w:pPr>
                  <w:r>
                    <w:rPr>
                      <w:rFonts w:hint="eastAsia"/>
                      <w:color w:val="auto"/>
                      <w:spacing w:val="0"/>
                      <w:w w:val="100"/>
                      <w:position w:val="0"/>
                      <w:sz w:val="15"/>
                      <w:szCs w:val="15"/>
                      <w:lang w:val="en-US" w:eastAsia="zh-CN"/>
                    </w:rPr>
                    <w:t>管道</w:t>
                  </w:r>
                </w:p>
              </w:tc>
              <w:tc>
                <w:tcPr>
                  <w:tcW w:w="435" w:type="pct"/>
                  <w:vMerge w:val="continue"/>
                  <w:tcBorders>
                    <w:tl2br w:val="nil"/>
                    <w:tr2bl w:val="nil"/>
                  </w:tcBorders>
                  <w:noWrap w:val="0"/>
                  <w:tcMar>
                    <w:left w:w="28" w:type="dxa"/>
                    <w:right w:w="28" w:type="dxa"/>
                  </w:tcMar>
                  <w:vAlign w:val="center"/>
                </w:tcPr>
                <w:p w14:paraId="5AB25DD4">
                  <w:pPr>
                    <w:pStyle w:val="3935"/>
                    <w:rPr>
                      <w:rFonts w:hint="eastAsia"/>
                      <w:color w:val="auto"/>
                      <w:spacing w:val="0"/>
                      <w:w w:val="100"/>
                      <w:position w:val="0"/>
                      <w:sz w:val="15"/>
                      <w:szCs w:val="15"/>
                      <w:lang w:val="en-US" w:eastAsia="zh-CN"/>
                    </w:rPr>
                  </w:pPr>
                </w:p>
              </w:tc>
            </w:tr>
            <w:bookmarkEnd w:id="21"/>
          </w:tbl>
          <w:p w14:paraId="1161549F">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color w:val="auto"/>
                <w:kern w:val="2"/>
                <w:sz w:val="21"/>
                <w:szCs w:val="21"/>
              </w:rPr>
            </w:pPr>
            <w:r>
              <w:rPr>
                <w:color w:val="auto"/>
                <w:kern w:val="2"/>
                <w:sz w:val="21"/>
                <w:szCs w:val="21"/>
              </w:rPr>
              <w:t>注：</w:t>
            </w:r>
            <w:r>
              <w:rPr>
                <w:rFonts w:hint="eastAsia"/>
                <w:color w:val="auto"/>
                <w:kern w:val="2"/>
                <w:sz w:val="21"/>
                <w:szCs w:val="21"/>
                <w:lang w:eastAsia="zh-CN"/>
              </w:rPr>
              <w:t>①</w:t>
            </w:r>
            <w:r>
              <w:rPr>
                <w:color w:val="auto"/>
                <w:kern w:val="2"/>
                <w:sz w:val="21"/>
                <w:szCs w:val="21"/>
              </w:rPr>
              <w:t>危化车：指具有危险化学品运输证的危险化学品运输车。</w:t>
            </w:r>
          </w:p>
          <w:p w14:paraId="32D865FF">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eastAsia="宋体"/>
                <w:color w:val="auto"/>
                <w:sz w:val="21"/>
                <w:szCs w:val="21"/>
                <w:lang w:eastAsia="zh-CN"/>
              </w:rPr>
            </w:pPr>
            <w:r>
              <w:rPr>
                <w:rFonts w:hint="eastAsia"/>
                <w:color w:val="auto"/>
                <w:kern w:val="2"/>
                <w:sz w:val="21"/>
                <w:szCs w:val="21"/>
                <w:lang w:eastAsia="zh-CN"/>
              </w:rPr>
              <w:t>②</w:t>
            </w:r>
            <w:r>
              <w:rPr>
                <w:rFonts w:hint="eastAsia"/>
                <w:color w:val="auto"/>
                <w:sz w:val="21"/>
                <w:szCs w:val="21"/>
                <w:lang w:eastAsia="zh-CN"/>
              </w:rPr>
              <w:t>液氯贮罐</w:t>
            </w:r>
            <w:r>
              <w:rPr>
                <w:color w:val="auto"/>
                <w:sz w:val="21"/>
                <w:szCs w:val="21"/>
              </w:rPr>
              <w:t>按</w:t>
            </w:r>
            <w:r>
              <w:rPr>
                <w:rFonts w:hint="eastAsia"/>
                <w:color w:val="auto"/>
                <w:sz w:val="21"/>
                <w:szCs w:val="21"/>
                <w:lang w:val="en-US" w:eastAsia="zh-CN"/>
              </w:rPr>
              <w:t>两用一应急</w:t>
            </w:r>
            <w:r>
              <w:rPr>
                <w:color w:val="auto"/>
                <w:sz w:val="21"/>
                <w:szCs w:val="21"/>
              </w:rPr>
              <w:t>来</w:t>
            </w:r>
            <w:r>
              <w:rPr>
                <w:rFonts w:hint="eastAsia"/>
                <w:color w:val="auto"/>
                <w:sz w:val="21"/>
                <w:szCs w:val="21"/>
                <w:lang w:val="en-US" w:eastAsia="zh-CN"/>
              </w:rPr>
              <w:t>计</w:t>
            </w:r>
            <w:r>
              <w:rPr>
                <w:color w:val="auto"/>
                <w:sz w:val="21"/>
                <w:szCs w:val="21"/>
              </w:rPr>
              <w:t>算最大存放量，</w:t>
            </w:r>
            <w:r>
              <w:rPr>
                <w:rFonts w:hint="eastAsia"/>
                <w:color w:val="auto"/>
                <w:sz w:val="21"/>
                <w:szCs w:val="21"/>
                <w:lang w:val="en-US" w:eastAsia="zh-CN"/>
              </w:rPr>
              <w:t>液氯贮罐量=体积×液氯比重×0.8（最大充装系数）=（79+57）×1.41×0.8=153.408</w:t>
            </w:r>
            <w:r>
              <w:rPr>
                <w:rFonts w:hint="eastAsia"/>
                <w:color w:val="auto"/>
                <w:sz w:val="21"/>
                <w:szCs w:val="21"/>
                <w:lang w:eastAsia="zh-CN"/>
              </w:rPr>
              <w:t>；</w:t>
            </w:r>
          </w:p>
          <w:p w14:paraId="1BD9A0C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color w:val="auto"/>
                <w:sz w:val="21"/>
                <w:szCs w:val="21"/>
                <w:lang w:val="en-US" w:eastAsia="zh-CN"/>
              </w:rPr>
            </w:pPr>
            <w:r>
              <w:rPr>
                <w:rFonts w:hint="eastAsia"/>
                <w:color w:val="auto"/>
                <w:sz w:val="21"/>
                <w:szCs w:val="21"/>
                <w:lang w:eastAsia="zh-CN"/>
              </w:rPr>
              <w:t>③</w:t>
            </w:r>
            <w:r>
              <w:rPr>
                <w:color w:val="auto"/>
                <w:sz w:val="21"/>
                <w:szCs w:val="21"/>
              </w:rPr>
              <w:t>黄磷池</w:t>
            </w:r>
            <w:r>
              <w:rPr>
                <w:rFonts w:hint="eastAsia"/>
                <w:color w:val="auto"/>
                <w:sz w:val="21"/>
                <w:szCs w:val="21"/>
                <w:lang w:val="en-US" w:eastAsia="zh-CN"/>
              </w:rPr>
              <w:t>四座（原有两只、新增两只）</w:t>
            </w:r>
            <w:r>
              <w:rPr>
                <w:rFonts w:hint="eastAsia"/>
                <w:color w:val="auto"/>
                <w:sz w:val="21"/>
                <w:szCs w:val="21"/>
              </w:rPr>
              <w:t>，</w:t>
            </w:r>
            <w:r>
              <w:rPr>
                <w:rFonts w:hint="eastAsia"/>
                <w:color w:val="auto"/>
                <w:sz w:val="21"/>
                <w:szCs w:val="21"/>
                <w:lang w:val="en-US" w:eastAsia="zh-CN"/>
              </w:rPr>
              <w:t>其中原有两只（黄磷池一）尺寸（</w:t>
            </w:r>
            <w:r>
              <w:rPr>
                <w:rFonts w:hint="eastAsia"/>
                <w:color w:val="auto"/>
                <w:sz w:val="21"/>
                <w:szCs w:val="21"/>
              </w:rPr>
              <w:t>长</w:t>
            </w:r>
            <w:r>
              <w:rPr>
                <w:rFonts w:hint="eastAsia"/>
                <w:color w:val="auto"/>
                <w:sz w:val="21"/>
                <w:szCs w:val="21"/>
                <w:lang w:val="en-US" w:eastAsia="zh-CN"/>
              </w:rPr>
              <w:t>×</w:t>
            </w:r>
            <w:r>
              <w:rPr>
                <w:rFonts w:hint="eastAsia"/>
                <w:color w:val="auto"/>
                <w:sz w:val="21"/>
                <w:szCs w:val="21"/>
              </w:rPr>
              <w:t>宽</w:t>
            </w:r>
            <w:r>
              <w:rPr>
                <w:rFonts w:hint="eastAsia"/>
                <w:color w:val="auto"/>
                <w:sz w:val="21"/>
                <w:szCs w:val="21"/>
                <w:lang w:val="en-US" w:eastAsia="zh-CN"/>
              </w:rPr>
              <w:t>×高=1</w:t>
            </w:r>
            <w:r>
              <w:rPr>
                <w:rFonts w:hint="eastAsia"/>
                <w:color w:val="auto"/>
                <w:sz w:val="21"/>
                <w:szCs w:val="21"/>
              </w:rPr>
              <w:t>3.1</w:t>
            </w:r>
            <w:r>
              <w:rPr>
                <w:rFonts w:hint="eastAsia"/>
                <w:color w:val="auto"/>
                <w:sz w:val="21"/>
                <w:szCs w:val="21"/>
                <w:lang w:val="en-US" w:eastAsia="zh-CN"/>
              </w:rPr>
              <w:t>m×</w:t>
            </w:r>
            <w:r>
              <w:rPr>
                <w:rFonts w:hint="eastAsia"/>
                <w:color w:val="auto"/>
                <w:sz w:val="21"/>
                <w:szCs w:val="21"/>
              </w:rPr>
              <w:t>5.5</w:t>
            </w:r>
            <w:r>
              <w:rPr>
                <w:rFonts w:hint="eastAsia"/>
                <w:color w:val="auto"/>
                <w:sz w:val="21"/>
                <w:szCs w:val="21"/>
                <w:lang w:val="en-US" w:eastAsia="zh-CN"/>
              </w:rPr>
              <w:t>m×</w:t>
            </w:r>
            <w:r>
              <w:rPr>
                <w:rFonts w:hint="eastAsia"/>
                <w:color w:val="auto"/>
                <w:sz w:val="21"/>
                <w:szCs w:val="21"/>
              </w:rPr>
              <w:t>4.1</w:t>
            </w:r>
            <w:r>
              <w:rPr>
                <w:rFonts w:hint="eastAsia"/>
                <w:color w:val="auto"/>
                <w:sz w:val="21"/>
                <w:szCs w:val="21"/>
                <w:lang w:val="en-US" w:eastAsia="zh-CN"/>
              </w:rPr>
              <w:t>m），新增两只（黄磷池二）尺寸（</w:t>
            </w:r>
            <w:r>
              <w:rPr>
                <w:rFonts w:hint="eastAsia"/>
                <w:color w:val="auto"/>
                <w:sz w:val="21"/>
                <w:szCs w:val="21"/>
              </w:rPr>
              <w:t>长</w:t>
            </w:r>
            <w:r>
              <w:rPr>
                <w:rFonts w:hint="eastAsia"/>
                <w:color w:val="auto"/>
                <w:sz w:val="21"/>
                <w:szCs w:val="21"/>
                <w:lang w:val="en-US" w:eastAsia="zh-CN"/>
              </w:rPr>
              <w:t>×</w:t>
            </w:r>
            <w:r>
              <w:rPr>
                <w:rFonts w:hint="eastAsia"/>
                <w:color w:val="auto"/>
                <w:sz w:val="21"/>
                <w:szCs w:val="21"/>
              </w:rPr>
              <w:t>宽</w:t>
            </w:r>
            <w:r>
              <w:rPr>
                <w:rFonts w:hint="eastAsia"/>
                <w:color w:val="auto"/>
                <w:sz w:val="21"/>
                <w:szCs w:val="21"/>
                <w:lang w:val="en-US" w:eastAsia="zh-CN"/>
              </w:rPr>
              <w:t>×高=12.5m×</w:t>
            </w:r>
            <w:r>
              <w:rPr>
                <w:rFonts w:hint="eastAsia"/>
                <w:color w:val="auto"/>
                <w:sz w:val="21"/>
                <w:szCs w:val="21"/>
              </w:rPr>
              <w:t>5.</w:t>
            </w:r>
            <w:r>
              <w:rPr>
                <w:rFonts w:hint="eastAsia"/>
                <w:color w:val="auto"/>
                <w:sz w:val="21"/>
                <w:szCs w:val="21"/>
                <w:lang w:val="en-US" w:eastAsia="zh-CN"/>
              </w:rPr>
              <w:t>6m×</w:t>
            </w:r>
            <w:r>
              <w:rPr>
                <w:rFonts w:hint="eastAsia"/>
                <w:color w:val="auto"/>
                <w:sz w:val="21"/>
                <w:szCs w:val="21"/>
              </w:rPr>
              <w:t>4.</w:t>
            </w:r>
            <w:r>
              <w:rPr>
                <w:rFonts w:hint="eastAsia"/>
                <w:color w:val="auto"/>
                <w:sz w:val="21"/>
                <w:szCs w:val="21"/>
                <w:lang w:val="en-US" w:eastAsia="zh-CN"/>
              </w:rPr>
              <w:t>5m）。</w:t>
            </w:r>
            <w:r>
              <w:rPr>
                <w:color w:val="auto"/>
                <w:sz w:val="21"/>
                <w:szCs w:val="21"/>
              </w:rPr>
              <w:t>根据《黄磷安全规程》（GB/Z24784-2009）第17.4条，“磷贮罐材质应为碳钢，设有保温层，罐内设有加热盘管，黄磷表面有约lm高的水封以隔绝空气，必要时以氮气封保护液封水，延缓液封水酸化的时间”要求，黄磷池</w:t>
            </w:r>
            <w:r>
              <w:rPr>
                <w:rFonts w:hint="eastAsia"/>
                <w:color w:val="auto"/>
                <w:sz w:val="21"/>
                <w:szCs w:val="21"/>
                <w:lang w:val="en-US" w:eastAsia="zh-CN"/>
              </w:rPr>
              <w:t>一</w:t>
            </w:r>
            <w:r>
              <w:rPr>
                <w:rFonts w:hint="eastAsia"/>
                <w:color w:val="auto"/>
                <w:sz w:val="21"/>
                <w:szCs w:val="21"/>
              </w:rPr>
              <w:t>实际储磷体积</w:t>
            </w:r>
            <w:r>
              <w:rPr>
                <w:color w:val="auto"/>
                <w:sz w:val="21"/>
                <w:szCs w:val="21"/>
              </w:rPr>
              <w:t>存放黄磷的最大</w:t>
            </w:r>
            <w:r>
              <w:rPr>
                <w:rFonts w:hint="eastAsia"/>
                <w:color w:val="auto"/>
                <w:sz w:val="21"/>
                <w:szCs w:val="21"/>
              </w:rPr>
              <w:t>数量</w:t>
            </w:r>
            <w:r>
              <w:rPr>
                <w:color w:val="auto"/>
                <w:sz w:val="21"/>
                <w:szCs w:val="21"/>
              </w:rPr>
              <w:t>为13.</w:t>
            </w:r>
            <w:r>
              <w:rPr>
                <w:rFonts w:hint="eastAsia"/>
                <w:color w:val="auto"/>
                <w:sz w:val="21"/>
                <w:szCs w:val="21"/>
              </w:rPr>
              <w:t>1</w:t>
            </w:r>
            <w:r>
              <w:rPr>
                <w:color w:val="auto"/>
                <w:sz w:val="21"/>
                <w:szCs w:val="21"/>
              </w:rPr>
              <w:t>×</w:t>
            </w:r>
            <w:r>
              <w:rPr>
                <w:rFonts w:hint="eastAsia"/>
                <w:color w:val="auto"/>
                <w:sz w:val="21"/>
                <w:szCs w:val="21"/>
              </w:rPr>
              <w:t>5.5</w:t>
            </w:r>
            <w:r>
              <w:rPr>
                <w:color w:val="auto"/>
                <w:sz w:val="21"/>
                <w:szCs w:val="21"/>
              </w:rPr>
              <w:t>×</w:t>
            </w:r>
            <w:r>
              <w:rPr>
                <w:rFonts w:hint="eastAsia"/>
                <w:color w:val="auto"/>
                <w:sz w:val="21"/>
                <w:szCs w:val="21"/>
              </w:rPr>
              <w:t>3</w:t>
            </w:r>
            <w:r>
              <w:rPr>
                <w:color w:val="auto"/>
                <w:sz w:val="21"/>
                <w:szCs w:val="21"/>
              </w:rPr>
              <w:t>.</w:t>
            </w:r>
            <w:r>
              <w:rPr>
                <w:rFonts w:hint="eastAsia"/>
                <w:color w:val="auto"/>
                <w:sz w:val="21"/>
                <w:szCs w:val="21"/>
              </w:rPr>
              <w:t>1</w:t>
            </w:r>
            <w:r>
              <w:rPr>
                <w:color w:val="auto"/>
                <w:sz w:val="21"/>
                <w:szCs w:val="21"/>
              </w:rPr>
              <w:t>×</w:t>
            </w:r>
            <w:r>
              <w:rPr>
                <w:rFonts w:hint="eastAsia"/>
                <w:color w:val="auto"/>
                <w:sz w:val="21"/>
                <w:szCs w:val="21"/>
              </w:rPr>
              <w:t>2</w:t>
            </w:r>
            <w:r>
              <w:rPr>
                <w:color w:val="auto"/>
                <w:sz w:val="21"/>
                <w:szCs w:val="21"/>
              </w:rPr>
              <w:t>×</w:t>
            </w:r>
            <w:r>
              <w:rPr>
                <w:rFonts w:hint="eastAsia"/>
                <w:color w:val="auto"/>
                <w:sz w:val="21"/>
                <w:szCs w:val="21"/>
              </w:rPr>
              <w:t>1.74</w:t>
            </w:r>
            <w:r>
              <w:rPr>
                <w:color w:val="auto"/>
                <w:sz w:val="21"/>
                <w:szCs w:val="21"/>
              </w:rPr>
              <w:t>=</w:t>
            </w:r>
            <w:r>
              <w:rPr>
                <w:rFonts w:hint="eastAsia"/>
                <w:color w:val="auto"/>
                <w:sz w:val="21"/>
                <w:szCs w:val="21"/>
              </w:rPr>
              <w:t>777</w:t>
            </w:r>
            <w:r>
              <w:rPr>
                <w:color w:val="auto"/>
                <w:sz w:val="21"/>
                <w:szCs w:val="21"/>
              </w:rPr>
              <w:t>.</w:t>
            </w:r>
            <w:r>
              <w:rPr>
                <w:rFonts w:hint="eastAsia"/>
                <w:color w:val="auto"/>
                <w:sz w:val="21"/>
                <w:szCs w:val="21"/>
              </w:rPr>
              <w:t>27</w:t>
            </w:r>
            <w:r>
              <w:rPr>
                <w:color w:val="auto"/>
                <w:sz w:val="21"/>
                <w:szCs w:val="21"/>
              </w:rPr>
              <w:t>（t）</w:t>
            </w:r>
            <w:r>
              <w:rPr>
                <w:rFonts w:hint="eastAsia"/>
                <w:color w:val="auto"/>
                <w:sz w:val="21"/>
                <w:szCs w:val="21"/>
              </w:rPr>
              <w:t>（液体</w:t>
            </w:r>
            <w:r>
              <w:rPr>
                <w:color w:val="auto"/>
                <w:sz w:val="21"/>
                <w:szCs w:val="21"/>
              </w:rPr>
              <w:t>黄磷密度1.</w:t>
            </w:r>
            <w:r>
              <w:rPr>
                <w:rFonts w:hint="eastAsia"/>
                <w:color w:val="auto"/>
                <w:sz w:val="21"/>
                <w:szCs w:val="21"/>
              </w:rPr>
              <w:t>74，</w:t>
            </w:r>
            <w:r>
              <w:rPr>
                <w:color w:val="auto"/>
                <w:sz w:val="21"/>
                <w:szCs w:val="21"/>
              </w:rPr>
              <w:t>相对于水）</w:t>
            </w:r>
            <w:r>
              <w:rPr>
                <w:rFonts w:hint="eastAsia"/>
                <w:color w:val="auto"/>
                <w:sz w:val="21"/>
                <w:szCs w:val="21"/>
                <w:lang w:eastAsia="zh-CN"/>
              </w:rPr>
              <w:t>，</w:t>
            </w:r>
            <w:r>
              <w:rPr>
                <w:rFonts w:hint="eastAsia"/>
                <w:color w:val="auto"/>
                <w:sz w:val="21"/>
                <w:szCs w:val="21"/>
                <w:lang w:val="en-US" w:eastAsia="zh-CN"/>
              </w:rPr>
              <w:t>黄磷池二实际储磷体积存放黄磷的最大数量为12.5×5.6×3.5×2×1.74=852.6（t）。黄磷总的最大储存量为：1629.87（t）。</w:t>
            </w:r>
          </w:p>
          <w:p w14:paraId="09C99F3F">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color w:val="auto"/>
                <w:sz w:val="21"/>
                <w:szCs w:val="21"/>
                <w:lang w:val="en-US" w:eastAsia="zh-CN"/>
              </w:rPr>
            </w:pPr>
            <w:r>
              <w:rPr>
                <w:rFonts w:hint="eastAsia"/>
                <w:color w:val="auto"/>
                <w:sz w:val="21"/>
                <w:szCs w:val="21"/>
                <w:lang w:val="en-US" w:eastAsia="zh-CN"/>
              </w:rPr>
              <w:t>④北侧氯气吸收区两只20m³碱循环罐存放15%～20%的氢氧化钠溶液，最大储存量=2×20×1.2×0.8=38.4（t）。</w:t>
            </w:r>
          </w:p>
          <w:p w14:paraId="43E95F4D">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color w:val="auto"/>
                <w:lang w:val="en-US" w:eastAsia="zh-CN"/>
              </w:rPr>
            </w:pPr>
            <w:r>
              <w:rPr>
                <w:rFonts w:hint="eastAsia"/>
                <w:color w:val="auto"/>
                <w:sz w:val="21"/>
                <w:szCs w:val="21"/>
                <w:lang w:val="en-US" w:eastAsia="zh-CN"/>
              </w:rPr>
              <w:t>⑤</w:t>
            </w:r>
            <w:r>
              <w:rPr>
                <w:rFonts w:hint="eastAsia"/>
                <w:color w:val="auto"/>
                <w:lang w:val="en-US" w:eastAsia="zh-CN"/>
              </w:rPr>
              <w:t>本次建成后全厂1只57m³液氯储罐、2只79m³液氯储罐（一用一备），原料液氯来自江苏富强新材料有限公司和安道麦安邦（江苏）有限公司，原料液氯均由本地采购汽运，本次项目建成后全厂液氯运转周期由15次/天变为5次/天；本次将厂区空置的循环水池改造为2个黄磷池，作为本次项目原料黄磷储存，运转周期由1次/5天变为1次/9天；</w:t>
            </w:r>
          </w:p>
          <w:p w14:paraId="09F34FEB">
            <w:pPr>
              <w:keepNext w:val="0"/>
              <w:keepLines w:val="0"/>
              <w:pageBreakBefore w:val="0"/>
              <w:widowControl w:val="0"/>
              <w:kinsoku/>
              <w:wordWrap/>
              <w:overflowPunct/>
              <w:topLinePunct w:val="0"/>
              <w:autoSpaceDE w:val="0"/>
              <w:autoSpaceDN w:val="0"/>
              <w:bidi w:val="0"/>
              <w:adjustRightInd w:val="0"/>
              <w:snapToGrid w:val="0"/>
              <w:spacing w:before="157" w:beforeLines="50"/>
              <w:jc w:val="center"/>
              <w:textAlignment w:val="auto"/>
              <w:rPr>
                <w:b/>
                <w:color w:val="auto"/>
                <w:sz w:val="24"/>
              </w:rPr>
            </w:pPr>
            <w:r>
              <w:rPr>
                <w:b/>
                <w:color w:val="auto"/>
                <w:sz w:val="24"/>
              </w:rPr>
              <w:t>表2-</w:t>
            </w:r>
            <w:r>
              <w:rPr>
                <w:rFonts w:hint="eastAsia"/>
                <w:b/>
                <w:color w:val="auto"/>
                <w:sz w:val="24"/>
                <w:lang w:val="en-US" w:eastAsia="zh-CN"/>
              </w:rPr>
              <w:t>4</w:t>
            </w:r>
            <w:r>
              <w:rPr>
                <w:rFonts w:hint="eastAsia"/>
                <w:b/>
                <w:color w:val="auto"/>
                <w:sz w:val="24"/>
              </w:rPr>
              <w:t xml:space="preserve">  </w:t>
            </w:r>
            <w:r>
              <w:rPr>
                <w:b/>
                <w:color w:val="auto"/>
                <w:sz w:val="24"/>
              </w:rPr>
              <w:t>原辅材料理化性质表</w:t>
            </w:r>
          </w:p>
          <w:tbl>
            <w:tblPr>
              <w:tblStyle w:val="88"/>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20"/>
              <w:gridCol w:w="2761"/>
              <w:gridCol w:w="2241"/>
              <w:gridCol w:w="1966"/>
            </w:tblGrid>
            <w:tr w14:paraId="408E7E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20" w:type="dxa"/>
                  <w:vAlign w:val="center"/>
                </w:tcPr>
                <w:p w14:paraId="04569716">
                  <w:pPr>
                    <w:jc w:val="center"/>
                    <w:rPr>
                      <w:color w:val="auto"/>
                      <w:szCs w:val="21"/>
                    </w:rPr>
                  </w:pPr>
                  <w:r>
                    <w:rPr>
                      <w:color w:val="auto"/>
                      <w:szCs w:val="21"/>
                    </w:rPr>
                    <w:t>名称、分子式</w:t>
                  </w:r>
                </w:p>
              </w:tc>
              <w:tc>
                <w:tcPr>
                  <w:tcW w:w="2761" w:type="dxa"/>
                  <w:vAlign w:val="center"/>
                </w:tcPr>
                <w:p w14:paraId="74C28C3F">
                  <w:pPr>
                    <w:jc w:val="center"/>
                    <w:rPr>
                      <w:color w:val="auto"/>
                      <w:szCs w:val="21"/>
                    </w:rPr>
                  </w:pPr>
                  <w:r>
                    <w:rPr>
                      <w:color w:val="auto"/>
                      <w:szCs w:val="21"/>
                    </w:rPr>
                    <w:t>理化特性</w:t>
                  </w:r>
                </w:p>
              </w:tc>
              <w:tc>
                <w:tcPr>
                  <w:tcW w:w="2241" w:type="dxa"/>
                  <w:vAlign w:val="center"/>
                </w:tcPr>
                <w:p w14:paraId="39CFB96F">
                  <w:pPr>
                    <w:jc w:val="center"/>
                    <w:rPr>
                      <w:color w:val="auto"/>
                      <w:szCs w:val="21"/>
                    </w:rPr>
                  </w:pPr>
                  <w:r>
                    <w:rPr>
                      <w:color w:val="auto"/>
                      <w:szCs w:val="21"/>
                    </w:rPr>
                    <w:t>燃烧爆炸性</w:t>
                  </w:r>
                </w:p>
              </w:tc>
              <w:tc>
                <w:tcPr>
                  <w:tcW w:w="1966" w:type="dxa"/>
                  <w:vAlign w:val="center"/>
                </w:tcPr>
                <w:p w14:paraId="1A0DB850">
                  <w:pPr>
                    <w:jc w:val="center"/>
                    <w:rPr>
                      <w:color w:val="auto"/>
                      <w:szCs w:val="21"/>
                    </w:rPr>
                  </w:pPr>
                  <w:r>
                    <w:rPr>
                      <w:color w:val="auto"/>
                      <w:szCs w:val="21"/>
                    </w:rPr>
                    <w:t>毒性毒理</w:t>
                  </w:r>
                </w:p>
              </w:tc>
            </w:tr>
            <w:tr w14:paraId="4B0277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20" w:type="dxa"/>
                  <w:vAlign w:val="center"/>
                </w:tcPr>
                <w:p w14:paraId="19C164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氯气</w:t>
                  </w:r>
                </w:p>
                <w:p w14:paraId="1BAF8349">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Cl</w:t>
                  </w:r>
                  <w:r>
                    <w:rPr>
                      <w:rFonts w:hint="eastAsia"/>
                      <w:color w:val="auto"/>
                      <w:sz w:val="21"/>
                      <w:szCs w:val="21"/>
                      <w:vertAlign w:val="subscript"/>
                      <w:lang w:val="en-US" w:eastAsia="zh-CN"/>
                    </w:rPr>
                    <w:t>2</w:t>
                  </w:r>
                </w:p>
                <w:p w14:paraId="15A199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rFonts w:hint="eastAsia"/>
                      <w:color w:val="auto"/>
                      <w:sz w:val="21"/>
                      <w:szCs w:val="21"/>
                    </w:rPr>
                    <w:t>7782-50-5</w:t>
                  </w:r>
                </w:p>
              </w:tc>
              <w:tc>
                <w:tcPr>
                  <w:tcW w:w="2761" w:type="dxa"/>
                  <w:vAlign w:val="center"/>
                </w:tcPr>
                <w:p w14:paraId="535A55EC">
                  <w:pPr>
                    <w:jc w:val="center"/>
                    <w:rPr>
                      <w:bCs/>
                      <w:color w:val="auto"/>
                      <w:szCs w:val="21"/>
                    </w:rPr>
                  </w:pPr>
                  <w:r>
                    <w:rPr>
                      <w:rFonts w:hint="default" w:ascii="Times New Roman" w:hAnsi="Times New Roman" w:eastAsia="宋体" w:cs="Times New Roman"/>
                      <w:color w:val="auto"/>
                      <w:sz w:val="21"/>
                      <w:szCs w:val="21"/>
                    </w:rPr>
                    <w:t>外观性状：黄绿色有刺激性气味的气体；</w:t>
                  </w:r>
                  <w:r>
                    <w:rPr>
                      <w:rFonts w:hint="default" w:ascii="Times New Roman" w:hAnsi="Times New Roman" w:eastAsia="宋体" w:cs="Times New Roman"/>
                      <w:bCs/>
                      <w:color w:val="auto"/>
                      <w:sz w:val="21"/>
                      <w:szCs w:val="21"/>
                    </w:rPr>
                    <w:t>分子量：</w:t>
                  </w:r>
                  <w:r>
                    <w:rPr>
                      <w:rFonts w:hint="default" w:ascii="Times New Roman" w:hAnsi="Times New Roman" w:eastAsia="宋体" w:cs="Times New Roman"/>
                      <w:color w:val="auto"/>
                      <w:sz w:val="21"/>
                      <w:szCs w:val="21"/>
                      <w:lang w:val="en-US" w:eastAsia="zh-CN"/>
                    </w:rPr>
                    <w:t>70.91</w:t>
                  </w:r>
                  <w:r>
                    <w:rPr>
                      <w:rFonts w:hint="default" w:ascii="Times New Roman" w:hAnsi="Times New Roman" w:eastAsia="宋体" w:cs="Times New Roman"/>
                      <w:color w:val="auto"/>
                      <w:sz w:val="21"/>
                      <w:szCs w:val="21"/>
                    </w:rPr>
                    <w:t>；相对密度</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水=1</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1.47；相对密度</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空气=1</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2.48；蒸气压：506.62kPa</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10.3℃</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bCs/>
                      <w:color w:val="auto"/>
                      <w:sz w:val="21"/>
                      <w:szCs w:val="21"/>
                    </w:rPr>
                    <w:t>熔点：</w:t>
                  </w:r>
                  <w:r>
                    <w:rPr>
                      <w:rFonts w:hint="default" w:ascii="Times New Roman" w:hAnsi="Times New Roman" w:eastAsia="宋体" w:cs="Times New Roman"/>
                      <w:color w:val="auto"/>
                      <w:sz w:val="21"/>
                      <w:szCs w:val="21"/>
                    </w:rPr>
                    <w:t>-101℃ 沸点：-34.5℃；</w:t>
                  </w:r>
                  <w:r>
                    <w:rPr>
                      <w:rFonts w:hint="default" w:ascii="Times New Roman" w:hAnsi="Times New Roman" w:eastAsia="宋体" w:cs="Times New Roman"/>
                      <w:bCs/>
                      <w:color w:val="auto"/>
                      <w:sz w:val="21"/>
                      <w:szCs w:val="21"/>
                    </w:rPr>
                    <w:t>溶解性：</w:t>
                  </w:r>
                  <w:r>
                    <w:rPr>
                      <w:rFonts w:hint="default" w:ascii="Times New Roman" w:hAnsi="Times New Roman" w:eastAsia="宋体" w:cs="Times New Roman"/>
                      <w:color w:val="auto"/>
                      <w:sz w:val="21"/>
                      <w:szCs w:val="21"/>
                    </w:rPr>
                    <w:t>易溶于水、碱液</w:t>
                  </w:r>
                </w:p>
              </w:tc>
              <w:tc>
                <w:tcPr>
                  <w:tcW w:w="2241" w:type="dxa"/>
                  <w:vAlign w:val="center"/>
                </w:tcPr>
                <w:p w14:paraId="5FF8B38D">
                  <w:pPr>
                    <w:jc w:val="center"/>
                    <w:rPr>
                      <w:color w:val="auto"/>
                      <w:szCs w:val="21"/>
                    </w:rPr>
                  </w:pPr>
                  <w:r>
                    <w:rPr>
                      <w:rFonts w:hint="eastAsia"/>
                      <w:color w:val="auto"/>
                      <w:szCs w:val="21"/>
                    </w:rPr>
                    <w:t>本品不会燃烧，但可助燃。一般可燃物大都能在氯气中燃烧，一般易燃气体或蒸气也都能与氯气形成爆炸性混合物</w:t>
                  </w:r>
                </w:p>
              </w:tc>
              <w:tc>
                <w:tcPr>
                  <w:tcW w:w="1966" w:type="dxa"/>
                  <w:vAlign w:val="center"/>
                </w:tcPr>
                <w:p w14:paraId="463F1475">
                  <w:pPr>
                    <w:jc w:val="center"/>
                    <w:rPr>
                      <w:color w:val="auto"/>
                      <w:szCs w:val="21"/>
                    </w:rPr>
                  </w:pPr>
                  <w:r>
                    <w:rPr>
                      <w:color w:val="auto"/>
                      <w:szCs w:val="21"/>
                    </w:rPr>
                    <w:t>毒性：</w:t>
                  </w:r>
                  <w:r>
                    <w:rPr>
                      <w:rFonts w:hint="eastAsia"/>
                      <w:color w:val="auto"/>
                      <w:szCs w:val="21"/>
                    </w:rPr>
                    <w:t>属</w:t>
                  </w:r>
                  <w:r>
                    <w:rPr>
                      <w:rFonts w:hint="eastAsia"/>
                      <w:color w:val="auto"/>
                      <w:szCs w:val="21"/>
                      <w:lang w:eastAsia="zh-CN"/>
                    </w:rPr>
                    <w:t>剧</w:t>
                  </w:r>
                  <w:r>
                    <w:rPr>
                      <w:rFonts w:hint="eastAsia"/>
                      <w:color w:val="auto"/>
                      <w:szCs w:val="21"/>
                    </w:rPr>
                    <w:t>毒类。是一种强烈的刺激性气体。急性毒性：LC</w:t>
                  </w:r>
                  <w:r>
                    <w:rPr>
                      <w:rFonts w:hint="eastAsia"/>
                      <w:color w:val="auto"/>
                      <w:szCs w:val="21"/>
                      <w:vertAlign w:val="subscript"/>
                    </w:rPr>
                    <w:t>50</w:t>
                  </w:r>
                  <w:r>
                    <w:rPr>
                      <w:rFonts w:hint="eastAsia"/>
                      <w:color w:val="auto"/>
                      <w:szCs w:val="21"/>
                    </w:rPr>
                    <w:t>850mg/m</w:t>
                  </w:r>
                  <w:r>
                    <w:rPr>
                      <w:rFonts w:hint="eastAsia"/>
                      <w:color w:val="auto"/>
                      <w:szCs w:val="21"/>
                      <w:vertAlign w:val="superscript"/>
                    </w:rPr>
                    <w:t>3</w:t>
                  </w:r>
                  <w:r>
                    <w:rPr>
                      <w:rFonts w:hint="eastAsia"/>
                      <w:color w:val="auto"/>
                      <w:szCs w:val="21"/>
                    </w:rPr>
                    <w:t>，1小时</w:t>
                  </w:r>
                  <w:r>
                    <w:rPr>
                      <w:rFonts w:hint="eastAsia"/>
                      <w:color w:val="auto"/>
                      <w:szCs w:val="21"/>
                      <w:lang w:eastAsia="zh-CN"/>
                    </w:rPr>
                    <w:t>（</w:t>
                  </w:r>
                  <w:r>
                    <w:rPr>
                      <w:rFonts w:hint="eastAsia"/>
                      <w:color w:val="auto"/>
                      <w:szCs w:val="21"/>
                    </w:rPr>
                    <w:t>大鼠吸入</w:t>
                  </w:r>
                  <w:r>
                    <w:rPr>
                      <w:rFonts w:hint="eastAsia"/>
                      <w:color w:val="auto"/>
                      <w:szCs w:val="21"/>
                      <w:lang w:eastAsia="zh-CN"/>
                    </w:rPr>
                    <w:t>）</w:t>
                  </w:r>
                  <w:r>
                    <w:rPr>
                      <w:color w:val="auto"/>
                      <w:szCs w:val="21"/>
                    </w:rPr>
                    <w:t>；</w:t>
                  </w:r>
                </w:p>
              </w:tc>
            </w:tr>
            <w:tr w14:paraId="6003C3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20" w:type="dxa"/>
                  <w:vAlign w:val="center"/>
                </w:tcPr>
                <w:p w14:paraId="3DCDE188">
                  <w:pPr>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黄磷</w:t>
                  </w:r>
                </w:p>
                <w:p w14:paraId="72348E04">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P</w:t>
                  </w:r>
                  <w:r>
                    <w:rPr>
                      <w:rFonts w:hint="default" w:ascii="Times New Roman" w:hAnsi="Times New Roman" w:eastAsia="宋体" w:cs="Times New Roman"/>
                      <w:bCs/>
                      <w:color w:val="auto"/>
                      <w:sz w:val="21"/>
                      <w:szCs w:val="21"/>
                      <w:vertAlign w:val="subscript"/>
                      <w:lang w:val="en-US" w:eastAsia="zh-CN"/>
                    </w:rPr>
                    <w:t>4</w:t>
                  </w:r>
                </w:p>
                <w:p w14:paraId="0686D11E">
                  <w:pPr>
                    <w:jc w:val="center"/>
                    <w:rPr>
                      <w:color w:val="auto"/>
                    </w:rPr>
                  </w:pPr>
                  <w:r>
                    <w:rPr>
                      <w:rFonts w:hint="default" w:ascii="Times New Roman" w:hAnsi="Times New Roman" w:eastAsia="宋体" w:cs="Times New Roman"/>
                      <w:color w:val="auto"/>
                      <w:sz w:val="21"/>
                      <w:szCs w:val="21"/>
                    </w:rPr>
                    <w:t>7723-14-0</w:t>
                  </w:r>
                </w:p>
              </w:tc>
              <w:tc>
                <w:tcPr>
                  <w:tcW w:w="2761" w:type="dxa"/>
                  <w:vAlign w:val="center"/>
                </w:tcPr>
                <w:p w14:paraId="71CFE2DC">
                  <w:pPr>
                    <w:jc w:val="center"/>
                    <w:rPr>
                      <w:color w:val="auto"/>
                      <w:szCs w:val="21"/>
                    </w:rPr>
                  </w:pPr>
                  <w:r>
                    <w:rPr>
                      <w:rFonts w:hint="default" w:ascii="Times New Roman" w:hAnsi="Times New Roman" w:eastAsia="宋体" w:cs="Times New Roman"/>
                      <w:color w:val="auto"/>
                      <w:sz w:val="21"/>
                      <w:szCs w:val="21"/>
                    </w:rPr>
                    <w:t>外观性状：</w:t>
                  </w:r>
                  <w:r>
                    <w:rPr>
                      <w:rFonts w:hint="default" w:ascii="Times New Roman" w:hAnsi="Times New Roman" w:eastAsia="宋体" w:cs="Times New Roman"/>
                      <w:bCs/>
                      <w:color w:val="auto"/>
                      <w:sz w:val="21"/>
                      <w:szCs w:val="21"/>
                    </w:rPr>
                    <w:t>无色至黄色蜡状固体，有蒜臭味，在暗处发淡绿色磷光，分子量</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123.9</w:t>
                  </w:r>
                  <w:r>
                    <w:rPr>
                      <w:rFonts w:hint="default" w:ascii="Times New Roman" w:hAnsi="Times New Roman" w:eastAsia="宋体" w:cs="Times New Roman"/>
                      <w:bCs/>
                      <w:color w:val="auto"/>
                      <w:sz w:val="21"/>
                      <w:szCs w:val="21"/>
                    </w:rPr>
                    <w:t>，蒸汽压</w:t>
                  </w:r>
                  <w:r>
                    <w:rPr>
                      <w:rFonts w:hint="default" w:ascii="Times New Roman" w:hAnsi="Times New Roman" w:eastAsia="宋体" w:cs="Times New Roman"/>
                      <w:color w:val="auto"/>
                      <w:sz w:val="21"/>
                      <w:szCs w:val="21"/>
                    </w:rPr>
                    <w:t>1.3kPa/20℃ 闪点：&lt;23℃</w:t>
                  </w:r>
                  <w:r>
                    <w:rPr>
                      <w:rFonts w:hint="default" w:ascii="Times New Roman" w:hAnsi="Times New Roman" w:eastAsia="宋体" w:cs="Times New Roman"/>
                      <w:bCs/>
                      <w:color w:val="auto"/>
                      <w:sz w:val="21"/>
                      <w:szCs w:val="21"/>
                    </w:rPr>
                    <w:t>，熔点</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sz w:val="21"/>
                      <w:szCs w:val="21"/>
                    </w:rPr>
                    <w:t>44.1℃ 沸点：280.5℃</w:t>
                  </w:r>
                  <w:r>
                    <w:rPr>
                      <w:rFonts w:hint="default" w:ascii="Times New Roman" w:hAnsi="Times New Roman" w:eastAsia="宋体" w:cs="Times New Roman"/>
                      <w:bCs/>
                      <w:color w:val="auto"/>
                      <w:sz w:val="21"/>
                      <w:szCs w:val="21"/>
                    </w:rPr>
                    <w:t>，相对密度</w:t>
                  </w:r>
                  <w:r>
                    <w:rPr>
                      <w:rFonts w:hint="eastAsia" w:cs="Times New Roman"/>
                      <w:bCs/>
                      <w:color w:val="auto"/>
                      <w:sz w:val="21"/>
                      <w:szCs w:val="21"/>
                      <w:lang w:eastAsia="zh-CN"/>
                    </w:rPr>
                    <w:t>（</w:t>
                  </w:r>
                  <w:r>
                    <w:rPr>
                      <w:rFonts w:hint="default" w:ascii="Times New Roman" w:hAnsi="Times New Roman" w:eastAsia="宋体" w:cs="Times New Roman"/>
                      <w:bCs/>
                      <w:color w:val="auto"/>
                      <w:sz w:val="21"/>
                      <w:szCs w:val="21"/>
                    </w:rPr>
                    <w:t>水=1</w:t>
                  </w:r>
                  <w:r>
                    <w:rPr>
                      <w:rFonts w:hint="eastAsia" w:cs="Times New Roman"/>
                      <w:bCs/>
                      <w:color w:val="auto"/>
                      <w:sz w:val="21"/>
                      <w:szCs w:val="21"/>
                      <w:lang w:eastAsia="zh-CN"/>
                    </w:rPr>
                    <w:t>）</w:t>
                  </w:r>
                  <w:r>
                    <w:rPr>
                      <w:rFonts w:hint="default" w:ascii="Times New Roman" w:hAnsi="Times New Roman" w:eastAsia="宋体" w:cs="Times New Roman"/>
                      <w:bCs/>
                      <w:color w:val="auto"/>
                      <w:sz w:val="21"/>
                      <w:szCs w:val="21"/>
                    </w:rPr>
                    <w:t>1.82；相对密度</w:t>
                  </w:r>
                  <w:r>
                    <w:rPr>
                      <w:rFonts w:hint="eastAsia" w:cs="Times New Roman"/>
                      <w:bCs/>
                      <w:color w:val="auto"/>
                      <w:sz w:val="21"/>
                      <w:szCs w:val="21"/>
                      <w:lang w:eastAsia="zh-CN"/>
                    </w:rPr>
                    <w:t>（</w:t>
                  </w:r>
                  <w:r>
                    <w:rPr>
                      <w:rFonts w:hint="default" w:ascii="Times New Roman" w:hAnsi="Times New Roman" w:eastAsia="宋体" w:cs="Times New Roman"/>
                      <w:bCs/>
                      <w:color w:val="auto"/>
                      <w:sz w:val="21"/>
                      <w:szCs w:val="21"/>
                    </w:rPr>
                    <w:t>空气=1</w:t>
                  </w:r>
                  <w:r>
                    <w:rPr>
                      <w:rFonts w:hint="eastAsia" w:cs="Times New Roman"/>
                      <w:bCs/>
                      <w:color w:val="auto"/>
                      <w:sz w:val="21"/>
                      <w:szCs w:val="21"/>
                      <w:lang w:eastAsia="zh-CN"/>
                    </w:rPr>
                    <w:t>）</w:t>
                  </w:r>
                  <w:r>
                    <w:rPr>
                      <w:rFonts w:hint="default" w:ascii="Times New Roman" w:hAnsi="Times New Roman" w:eastAsia="宋体" w:cs="Times New Roman"/>
                      <w:bCs/>
                      <w:color w:val="auto"/>
                      <w:sz w:val="21"/>
                      <w:szCs w:val="21"/>
                    </w:rPr>
                    <w:t>4.42</w:t>
                  </w:r>
                  <w:r>
                    <w:rPr>
                      <w:rFonts w:hint="default" w:ascii="Times New Roman" w:hAnsi="Times New Roman" w:eastAsia="宋体" w:cs="Times New Roman"/>
                      <w:bCs/>
                      <w:color w:val="auto"/>
                      <w:sz w:val="21"/>
                      <w:szCs w:val="21"/>
                      <w:lang w:eastAsia="zh-CN"/>
                    </w:rPr>
                    <w:t>；溶解性：</w:t>
                  </w:r>
                  <w:r>
                    <w:rPr>
                      <w:rFonts w:hint="default" w:ascii="Times New Roman" w:hAnsi="Times New Roman" w:eastAsia="宋体" w:cs="Times New Roman"/>
                      <w:bCs/>
                      <w:color w:val="auto"/>
                      <w:sz w:val="21"/>
                      <w:szCs w:val="21"/>
                    </w:rPr>
                    <w:t>不溶于水，微溶于苯、氯仿，易溶于二硫化碳，</w:t>
                  </w:r>
                  <w:r>
                    <w:rPr>
                      <w:rFonts w:hint="default" w:ascii="Times New Roman" w:hAnsi="Times New Roman" w:eastAsia="宋体" w:cs="Times New Roman"/>
                      <w:color w:val="auto"/>
                      <w:sz w:val="21"/>
                      <w:szCs w:val="21"/>
                    </w:rPr>
                    <w:t>在空气隔绝下稳定。在空气中易自燃，产生白色烟雾</w:t>
                  </w:r>
                </w:p>
              </w:tc>
              <w:tc>
                <w:tcPr>
                  <w:tcW w:w="2241" w:type="dxa"/>
                  <w:vAlign w:val="center"/>
                </w:tcPr>
                <w:p w14:paraId="45A305F3">
                  <w:pPr>
                    <w:autoSpaceDE w:val="0"/>
                    <w:autoSpaceDN w:val="0"/>
                    <w:adjustRightInd w:val="0"/>
                    <w:jc w:val="center"/>
                    <w:rPr>
                      <w:bCs/>
                      <w:color w:val="auto"/>
                      <w:szCs w:val="21"/>
                    </w:rPr>
                  </w:pPr>
                  <w:r>
                    <w:rPr>
                      <w:rFonts w:hint="eastAsia"/>
                      <w:bCs/>
                      <w:color w:val="auto"/>
                      <w:szCs w:val="21"/>
                      <w:lang w:eastAsia="zh-CN"/>
                    </w:rPr>
                    <w:t>黄</w:t>
                  </w:r>
                  <w:r>
                    <w:rPr>
                      <w:rFonts w:hint="eastAsia"/>
                      <w:bCs/>
                      <w:color w:val="auto"/>
                      <w:szCs w:val="21"/>
                    </w:rPr>
                    <w:t>磷接触空气能自燃并引起燃烧和爆炸。在潮湿空气中的自燃点低于在干燥空气中的自燃点。与氯酸盐等氧化剂混合发生爆炸。其碎片和碎屑接触皮肤干燥后即着火</w:t>
                  </w:r>
                  <w:r>
                    <w:rPr>
                      <w:rFonts w:hint="eastAsia"/>
                      <w:bCs/>
                      <w:color w:val="auto"/>
                      <w:szCs w:val="21"/>
                      <w:lang w:eastAsia="zh-CN"/>
                    </w:rPr>
                    <w:t>，</w:t>
                  </w:r>
                  <w:r>
                    <w:rPr>
                      <w:rFonts w:hint="eastAsia"/>
                      <w:bCs/>
                      <w:color w:val="auto"/>
                      <w:szCs w:val="21"/>
                    </w:rPr>
                    <w:t>可引起严重的皮肤灼伤。</w:t>
                  </w:r>
                </w:p>
              </w:tc>
              <w:tc>
                <w:tcPr>
                  <w:tcW w:w="1966" w:type="dxa"/>
                  <w:vAlign w:val="center"/>
                </w:tcPr>
                <w:p w14:paraId="389F214D">
                  <w:pPr>
                    <w:autoSpaceDE w:val="0"/>
                    <w:autoSpaceDN w:val="0"/>
                    <w:adjustRightInd w:val="0"/>
                    <w:jc w:val="center"/>
                    <w:rPr>
                      <w:rFonts w:hint="eastAsia"/>
                      <w:bCs/>
                      <w:color w:val="auto"/>
                      <w:szCs w:val="21"/>
                    </w:rPr>
                  </w:pPr>
                  <w:r>
                    <w:rPr>
                      <w:rFonts w:hint="eastAsia"/>
                      <w:bCs/>
                      <w:color w:val="auto"/>
                      <w:szCs w:val="21"/>
                    </w:rPr>
                    <w:t>属高毒类。</w:t>
                  </w:r>
                </w:p>
                <w:p w14:paraId="23161F9A">
                  <w:pPr>
                    <w:autoSpaceDE w:val="0"/>
                    <w:autoSpaceDN w:val="0"/>
                    <w:adjustRightInd w:val="0"/>
                    <w:jc w:val="center"/>
                    <w:rPr>
                      <w:bCs/>
                      <w:color w:val="auto"/>
                      <w:szCs w:val="21"/>
                    </w:rPr>
                  </w:pPr>
                  <w:r>
                    <w:rPr>
                      <w:rFonts w:hint="eastAsia"/>
                      <w:bCs/>
                      <w:color w:val="auto"/>
                      <w:szCs w:val="21"/>
                    </w:rPr>
                    <w:t>急性毒性：LD</w:t>
                  </w:r>
                  <w:r>
                    <w:rPr>
                      <w:rFonts w:hint="eastAsia"/>
                      <w:bCs/>
                      <w:color w:val="auto"/>
                      <w:szCs w:val="21"/>
                      <w:vertAlign w:val="subscript"/>
                    </w:rPr>
                    <w:t>50</w:t>
                  </w:r>
                  <w:r>
                    <w:rPr>
                      <w:rFonts w:hint="eastAsia"/>
                      <w:bCs/>
                      <w:color w:val="auto"/>
                      <w:szCs w:val="21"/>
                    </w:rPr>
                    <w:t>3.03mg/kg</w:t>
                  </w:r>
                  <w:r>
                    <w:rPr>
                      <w:rFonts w:hint="eastAsia"/>
                      <w:bCs/>
                      <w:color w:val="auto"/>
                      <w:szCs w:val="21"/>
                      <w:lang w:eastAsia="zh-CN"/>
                    </w:rPr>
                    <w:t>（</w:t>
                  </w:r>
                  <w:r>
                    <w:rPr>
                      <w:rFonts w:hint="eastAsia"/>
                      <w:bCs/>
                      <w:color w:val="auto"/>
                      <w:szCs w:val="21"/>
                    </w:rPr>
                    <w:t>大鼠经口</w:t>
                  </w:r>
                  <w:r>
                    <w:rPr>
                      <w:rFonts w:hint="eastAsia"/>
                      <w:bCs/>
                      <w:color w:val="auto"/>
                      <w:szCs w:val="21"/>
                      <w:lang w:eastAsia="zh-CN"/>
                    </w:rPr>
                    <w:t>）</w:t>
                  </w:r>
                </w:p>
              </w:tc>
            </w:tr>
          </w:tbl>
          <w:p w14:paraId="24AE23FF">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textAlignment w:val="auto"/>
              <w:rPr>
                <w:rFonts w:hint="default" w:eastAsia="宋体"/>
                <w:b/>
                <w:bCs/>
                <w:color w:val="auto"/>
                <w:sz w:val="24"/>
                <w:szCs w:val="24"/>
                <w:lang w:val="en-US" w:eastAsia="zh-CN"/>
              </w:rPr>
            </w:pPr>
            <w:r>
              <w:rPr>
                <w:rFonts w:hint="eastAsia"/>
                <w:b/>
                <w:bCs/>
                <w:color w:val="auto"/>
                <w:sz w:val="24"/>
                <w:szCs w:val="24"/>
                <w:lang w:val="en-US" w:eastAsia="zh-CN"/>
              </w:rPr>
              <w:t>2.主要设备</w:t>
            </w:r>
          </w:p>
          <w:p w14:paraId="6292BCB0">
            <w:pPr>
              <w:spacing w:line="360" w:lineRule="auto"/>
              <w:ind w:firstLine="560"/>
              <w:rPr>
                <w:b w:val="0"/>
                <w:bCs w:val="0"/>
                <w:color w:val="auto"/>
                <w:sz w:val="24"/>
                <w:szCs w:val="24"/>
              </w:rPr>
            </w:pPr>
            <w:r>
              <w:rPr>
                <w:rFonts w:hint="eastAsia"/>
                <w:b w:val="0"/>
                <w:bCs w:val="0"/>
                <w:color w:val="auto"/>
                <w:sz w:val="24"/>
                <w:szCs w:val="24"/>
                <w:lang w:eastAsia="zh-CN"/>
              </w:rPr>
              <w:t>建设</w:t>
            </w:r>
            <w:r>
              <w:rPr>
                <w:rFonts w:hint="eastAsia"/>
                <w:b w:val="0"/>
                <w:bCs w:val="0"/>
                <w:color w:val="auto"/>
                <w:sz w:val="24"/>
                <w:szCs w:val="24"/>
              </w:rPr>
              <w:t>项目涉及的</w:t>
            </w:r>
            <w:r>
              <w:rPr>
                <w:b w:val="0"/>
                <w:bCs w:val="0"/>
                <w:color w:val="auto"/>
                <w:sz w:val="24"/>
                <w:szCs w:val="24"/>
              </w:rPr>
              <w:t>主要设备设施见表2-5。</w:t>
            </w:r>
          </w:p>
          <w:p w14:paraId="6C788AD5">
            <w:pPr>
              <w:pStyle w:val="3934"/>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rPr>
            </w:pPr>
          </w:p>
          <w:p w14:paraId="61B0E109">
            <w:pPr>
              <w:pStyle w:val="3934"/>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rPr>
            </w:pPr>
          </w:p>
          <w:p w14:paraId="399B72FE">
            <w:pPr>
              <w:pStyle w:val="3934"/>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rPr>
            </w:pPr>
          </w:p>
          <w:p w14:paraId="76E4B614">
            <w:pPr>
              <w:pStyle w:val="3934"/>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rPr>
            </w:pPr>
          </w:p>
          <w:p w14:paraId="6F3A2181">
            <w:pPr>
              <w:pStyle w:val="3934"/>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rPr>
            </w:pPr>
          </w:p>
          <w:p w14:paraId="149A7890">
            <w:pPr>
              <w:pStyle w:val="3934"/>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rPr>
            </w:pPr>
          </w:p>
          <w:p w14:paraId="75AF6101">
            <w:pPr>
              <w:pStyle w:val="3934"/>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rPr>
            </w:pPr>
            <w:r>
              <w:rPr>
                <w:color w:val="auto"/>
              </w:rPr>
              <w:t xml:space="preserve">表2-5 </w:t>
            </w:r>
            <w:r>
              <w:rPr>
                <w:rFonts w:hint="eastAsia"/>
                <w:b/>
                <w:bCs/>
                <w:color w:val="auto"/>
                <w:sz w:val="24"/>
                <w:szCs w:val="24"/>
                <w:lang w:eastAsia="zh-CN"/>
              </w:rPr>
              <w:t>建设</w:t>
            </w:r>
            <w:r>
              <w:rPr>
                <w:rFonts w:hint="eastAsia"/>
                <w:b/>
                <w:bCs/>
                <w:color w:val="auto"/>
                <w:sz w:val="24"/>
                <w:szCs w:val="24"/>
              </w:rPr>
              <w:t>项目</w:t>
            </w:r>
            <w:r>
              <w:rPr>
                <w:color w:val="auto"/>
              </w:rPr>
              <w:t>主要设备设施一览表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7"/>
              <w:gridCol w:w="627"/>
              <w:gridCol w:w="797"/>
              <w:gridCol w:w="664"/>
              <w:gridCol w:w="677"/>
              <w:gridCol w:w="650"/>
              <w:gridCol w:w="574"/>
              <w:gridCol w:w="625"/>
              <w:gridCol w:w="650"/>
              <w:gridCol w:w="699"/>
              <w:gridCol w:w="512"/>
              <w:gridCol w:w="492"/>
              <w:gridCol w:w="510"/>
              <w:gridCol w:w="590"/>
            </w:tblGrid>
            <w:tr w14:paraId="470CC8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06" w:type="pct"/>
                  <w:vMerge w:val="restart"/>
                  <w:tcBorders>
                    <w:tl2br w:val="nil"/>
                    <w:tr2bl w:val="nil"/>
                  </w:tcBorders>
                  <w:vAlign w:val="center"/>
                </w:tcPr>
                <w:p w14:paraId="19FA73AC">
                  <w:pPr>
                    <w:widowControl/>
                    <w:spacing w:line="280" w:lineRule="exact"/>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序号</w:t>
                  </w:r>
                </w:p>
              </w:tc>
              <w:tc>
                <w:tcPr>
                  <w:tcW w:w="372" w:type="pct"/>
                  <w:vMerge w:val="restart"/>
                  <w:tcBorders>
                    <w:tl2br w:val="nil"/>
                    <w:tr2bl w:val="nil"/>
                  </w:tcBorders>
                  <w:vAlign w:val="center"/>
                </w:tcPr>
                <w:p w14:paraId="4E2DC7DC">
                  <w:pPr>
                    <w:widowControl/>
                    <w:spacing w:line="280" w:lineRule="exact"/>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设备名称</w:t>
                  </w:r>
                </w:p>
              </w:tc>
              <w:tc>
                <w:tcPr>
                  <w:tcW w:w="473" w:type="pct"/>
                  <w:vMerge w:val="restart"/>
                  <w:tcBorders>
                    <w:tl2br w:val="nil"/>
                    <w:tr2bl w:val="nil"/>
                  </w:tcBorders>
                  <w:vAlign w:val="center"/>
                </w:tcPr>
                <w:p w14:paraId="7C3BBDA5">
                  <w:pPr>
                    <w:widowControl/>
                    <w:spacing w:line="280" w:lineRule="exact"/>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位号</w:t>
                  </w:r>
                </w:p>
              </w:tc>
              <w:tc>
                <w:tcPr>
                  <w:tcW w:w="394" w:type="pct"/>
                  <w:vMerge w:val="restart"/>
                  <w:tcBorders>
                    <w:tl2br w:val="nil"/>
                    <w:tr2bl w:val="nil"/>
                  </w:tcBorders>
                  <w:vAlign w:val="center"/>
                </w:tcPr>
                <w:p w14:paraId="19EBDDAD">
                  <w:pPr>
                    <w:widowControl/>
                    <w:spacing w:line="280" w:lineRule="exact"/>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规格型号</w:t>
                  </w:r>
                </w:p>
              </w:tc>
              <w:tc>
                <w:tcPr>
                  <w:tcW w:w="402" w:type="pct"/>
                  <w:vMerge w:val="restart"/>
                  <w:tcBorders>
                    <w:tl2br w:val="nil"/>
                    <w:tr2bl w:val="nil"/>
                  </w:tcBorders>
                  <w:vAlign w:val="center"/>
                </w:tcPr>
                <w:p w14:paraId="200B9760">
                  <w:pPr>
                    <w:widowControl/>
                    <w:spacing w:line="280" w:lineRule="exact"/>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介质</w:t>
                  </w:r>
                </w:p>
              </w:tc>
              <w:tc>
                <w:tcPr>
                  <w:tcW w:w="727" w:type="pct"/>
                  <w:gridSpan w:val="2"/>
                  <w:tcBorders>
                    <w:tl2br w:val="nil"/>
                    <w:tr2bl w:val="nil"/>
                  </w:tcBorders>
                  <w:vAlign w:val="center"/>
                </w:tcPr>
                <w:p w14:paraId="518D3EF5">
                  <w:pPr>
                    <w:widowControl/>
                    <w:spacing w:line="280" w:lineRule="exact"/>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工艺参数</w:t>
                  </w:r>
                </w:p>
              </w:tc>
              <w:tc>
                <w:tcPr>
                  <w:tcW w:w="757" w:type="pct"/>
                  <w:gridSpan w:val="2"/>
                  <w:tcBorders>
                    <w:tl2br w:val="nil"/>
                    <w:tr2bl w:val="nil"/>
                  </w:tcBorders>
                  <w:vAlign w:val="center"/>
                </w:tcPr>
                <w:p w14:paraId="3BC5E1FF">
                  <w:pPr>
                    <w:widowControl/>
                    <w:spacing w:line="280" w:lineRule="exact"/>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设计参数</w:t>
                  </w:r>
                </w:p>
              </w:tc>
              <w:tc>
                <w:tcPr>
                  <w:tcW w:w="1011" w:type="pct"/>
                  <w:gridSpan w:val="3"/>
                  <w:tcBorders>
                    <w:tl2br w:val="nil"/>
                    <w:tr2bl w:val="nil"/>
                  </w:tcBorders>
                  <w:vAlign w:val="center"/>
                </w:tcPr>
                <w:p w14:paraId="76FB4A78">
                  <w:pPr>
                    <w:widowControl/>
                    <w:spacing w:line="280" w:lineRule="exact"/>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数量</w:t>
                  </w:r>
                  <w:r>
                    <w:rPr>
                      <w:rFonts w:hint="eastAsia" w:ascii="宋体" w:hAnsi="宋体" w:cs="宋体"/>
                      <w:b/>
                      <w:bCs/>
                      <w:color w:val="auto"/>
                      <w:kern w:val="0"/>
                      <w:sz w:val="18"/>
                      <w:szCs w:val="18"/>
                      <w:lang w:eastAsia="zh-CN"/>
                    </w:rPr>
                    <w:t>（</w:t>
                  </w:r>
                  <w:r>
                    <w:rPr>
                      <w:rFonts w:hint="eastAsia" w:ascii="宋体" w:hAnsi="宋体" w:eastAsia="宋体" w:cs="宋体"/>
                      <w:b/>
                      <w:bCs/>
                      <w:color w:val="auto"/>
                      <w:kern w:val="0"/>
                      <w:sz w:val="18"/>
                      <w:szCs w:val="18"/>
                    </w:rPr>
                    <w:t>只</w:t>
                  </w:r>
                  <w:r>
                    <w:rPr>
                      <w:rFonts w:hint="eastAsia" w:ascii="宋体" w:hAnsi="宋体" w:cs="宋体"/>
                      <w:b/>
                      <w:bCs/>
                      <w:color w:val="auto"/>
                      <w:kern w:val="0"/>
                      <w:sz w:val="18"/>
                      <w:szCs w:val="18"/>
                      <w:lang w:eastAsia="zh-CN"/>
                    </w:rPr>
                    <w:t>）</w:t>
                  </w:r>
                </w:p>
              </w:tc>
              <w:tc>
                <w:tcPr>
                  <w:tcW w:w="303" w:type="pct"/>
                  <w:vMerge w:val="restart"/>
                  <w:tcBorders>
                    <w:tl2br w:val="nil"/>
                    <w:tr2bl w:val="nil"/>
                  </w:tcBorders>
                  <w:vAlign w:val="center"/>
                </w:tcPr>
                <w:p w14:paraId="4FCADFAC">
                  <w:pPr>
                    <w:widowControl/>
                    <w:spacing w:line="280" w:lineRule="exact"/>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材质</w:t>
                  </w:r>
                </w:p>
              </w:tc>
              <w:tc>
                <w:tcPr>
                  <w:tcW w:w="350" w:type="pct"/>
                  <w:vMerge w:val="restart"/>
                  <w:tcBorders>
                    <w:tl2br w:val="nil"/>
                    <w:tr2bl w:val="nil"/>
                  </w:tcBorders>
                  <w:vAlign w:val="center"/>
                </w:tcPr>
                <w:p w14:paraId="32EA8A94">
                  <w:pPr>
                    <w:widowControl/>
                    <w:spacing w:line="280" w:lineRule="exact"/>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备注</w:t>
                  </w:r>
                </w:p>
              </w:tc>
            </w:tr>
            <w:tr w14:paraId="703FE7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06" w:type="pct"/>
                  <w:vMerge w:val="continue"/>
                  <w:tcBorders>
                    <w:tl2br w:val="nil"/>
                    <w:tr2bl w:val="nil"/>
                  </w:tcBorders>
                  <w:vAlign w:val="center"/>
                </w:tcPr>
                <w:p w14:paraId="3B7C16FE">
                  <w:pPr>
                    <w:widowControl/>
                    <w:spacing w:line="280" w:lineRule="exact"/>
                    <w:jc w:val="center"/>
                    <w:rPr>
                      <w:rFonts w:hint="eastAsia" w:ascii="宋体" w:hAnsi="宋体" w:eastAsia="宋体" w:cs="宋体"/>
                      <w:b w:val="0"/>
                      <w:bCs w:val="0"/>
                      <w:color w:val="auto"/>
                      <w:kern w:val="0"/>
                      <w:sz w:val="18"/>
                      <w:szCs w:val="18"/>
                    </w:rPr>
                  </w:pPr>
                </w:p>
              </w:tc>
              <w:tc>
                <w:tcPr>
                  <w:tcW w:w="372" w:type="pct"/>
                  <w:vMerge w:val="continue"/>
                  <w:tcBorders>
                    <w:tl2br w:val="nil"/>
                    <w:tr2bl w:val="nil"/>
                  </w:tcBorders>
                  <w:vAlign w:val="center"/>
                </w:tcPr>
                <w:p w14:paraId="2EF8DA41">
                  <w:pPr>
                    <w:widowControl/>
                    <w:spacing w:line="280" w:lineRule="exact"/>
                    <w:jc w:val="center"/>
                    <w:rPr>
                      <w:rFonts w:hint="eastAsia" w:ascii="宋体" w:hAnsi="宋体" w:eastAsia="宋体" w:cs="宋体"/>
                      <w:b w:val="0"/>
                      <w:bCs w:val="0"/>
                      <w:color w:val="auto"/>
                      <w:kern w:val="0"/>
                      <w:sz w:val="18"/>
                      <w:szCs w:val="18"/>
                    </w:rPr>
                  </w:pPr>
                </w:p>
              </w:tc>
              <w:tc>
                <w:tcPr>
                  <w:tcW w:w="473" w:type="pct"/>
                  <w:vMerge w:val="continue"/>
                  <w:tcBorders>
                    <w:tl2br w:val="nil"/>
                    <w:tr2bl w:val="nil"/>
                  </w:tcBorders>
                  <w:vAlign w:val="center"/>
                </w:tcPr>
                <w:p w14:paraId="02001063">
                  <w:pPr>
                    <w:widowControl/>
                    <w:spacing w:line="280" w:lineRule="exact"/>
                    <w:jc w:val="center"/>
                    <w:rPr>
                      <w:rFonts w:hint="eastAsia" w:ascii="宋体" w:hAnsi="宋体" w:eastAsia="宋体" w:cs="宋体"/>
                      <w:b w:val="0"/>
                      <w:bCs w:val="0"/>
                      <w:color w:val="auto"/>
                      <w:kern w:val="0"/>
                      <w:sz w:val="18"/>
                      <w:szCs w:val="18"/>
                    </w:rPr>
                  </w:pPr>
                </w:p>
              </w:tc>
              <w:tc>
                <w:tcPr>
                  <w:tcW w:w="394" w:type="pct"/>
                  <w:vMerge w:val="continue"/>
                  <w:tcBorders>
                    <w:tl2br w:val="nil"/>
                    <w:tr2bl w:val="nil"/>
                  </w:tcBorders>
                  <w:vAlign w:val="center"/>
                </w:tcPr>
                <w:p w14:paraId="2D6DFCF3">
                  <w:pPr>
                    <w:widowControl/>
                    <w:spacing w:line="280" w:lineRule="exact"/>
                    <w:jc w:val="center"/>
                    <w:rPr>
                      <w:rFonts w:hint="eastAsia" w:ascii="宋体" w:hAnsi="宋体" w:eastAsia="宋体" w:cs="宋体"/>
                      <w:b w:val="0"/>
                      <w:bCs w:val="0"/>
                      <w:color w:val="auto"/>
                      <w:kern w:val="0"/>
                      <w:sz w:val="18"/>
                      <w:szCs w:val="18"/>
                    </w:rPr>
                  </w:pPr>
                </w:p>
              </w:tc>
              <w:tc>
                <w:tcPr>
                  <w:tcW w:w="402" w:type="pct"/>
                  <w:vMerge w:val="continue"/>
                  <w:tcBorders>
                    <w:tl2br w:val="nil"/>
                    <w:tr2bl w:val="nil"/>
                  </w:tcBorders>
                  <w:vAlign w:val="center"/>
                </w:tcPr>
                <w:p w14:paraId="59BFDF35">
                  <w:pPr>
                    <w:widowControl/>
                    <w:spacing w:line="280" w:lineRule="exact"/>
                    <w:jc w:val="center"/>
                    <w:rPr>
                      <w:rFonts w:hint="eastAsia" w:ascii="宋体" w:hAnsi="宋体" w:eastAsia="宋体" w:cs="宋体"/>
                      <w:b w:val="0"/>
                      <w:bCs w:val="0"/>
                      <w:color w:val="auto"/>
                      <w:kern w:val="0"/>
                      <w:sz w:val="18"/>
                      <w:szCs w:val="18"/>
                    </w:rPr>
                  </w:pPr>
                </w:p>
              </w:tc>
              <w:tc>
                <w:tcPr>
                  <w:tcW w:w="386" w:type="pct"/>
                  <w:tcBorders>
                    <w:tl2br w:val="nil"/>
                    <w:tr2bl w:val="nil"/>
                  </w:tcBorders>
                  <w:vAlign w:val="center"/>
                </w:tcPr>
                <w:p w14:paraId="1696C95D">
                  <w:pPr>
                    <w:widowControl/>
                    <w:spacing w:line="280" w:lineRule="exact"/>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温度℃</w:t>
                  </w:r>
                </w:p>
              </w:tc>
              <w:tc>
                <w:tcPr>
                  <w:tcW w:w="341" w:type="pct"/>
                  <w:tcBorders>
                    <w:tl2br w:val="nil"/>
                    <w:tr2bl w:val="nil"/>
                  </w:tcBorders>
                  <w:vAlign w:val="center"/>
                </w:tcPr>
                <w:p w14:paraId="338B2509">
                  <w:pPr>
                    <w:widowControl/>
                    <w:spacing w:line="280" w:lineRule="exact"/>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压力MPa</w:t>
                  </w:r>
                </w:p>
              </w:tc>
              <w:tc>
                <w:tcPr>
                  <w:tcW w:w="371" w:type="pct"/>
                  <w:tcBorders>
                    <w:tl2br w:val="nil"/>
                    <w:tr2bl w:val="nil"/>
                  </w:tcBorders>
                  <w:vAlign w:val="center"/>
                </w:tcPr>
                <w:p w14:paraId="5215175D">
                  <w:pPr>
                    <w:widowControl/>
                    <w:spacing w:line="280" w:lineRule="exact"/>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温度℃</w:t>
                  </w:r>
                </w:p>
              </w:tc>
              <w:tc>
                <w:tcPr>
                  <w:tcW w:w="386" w:type="pct"/>
                  <w:tcBorders>
                    <w:tl2br w:val="nil"/>
                    <w:tr2bl w:val="nil"/>
                  </w:tcBorders>
                  <w:vAlign w:val="center"/>
                </w:tcPr>
                <w:p w14:paraId="4CF7D52C">
                  <w:pPr>
                    <w:widowControl/>
                    <w:spacing w:line="280" w:lineRule="exact"/>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压力MPa</w:t>
                  </w:r>
                </w:p>
              </w:tc>
              <w:tc>
                <w:tcPr>
                  <w:tcW w:w="415" w:type="pct"/>
                  <w:tcBorders>
                    <w:tl2br w:val="nil"/>
                    <w:tr2bl w:val="nil"/>
                  </w:tcBorders>
                  <w:vAlign w:val="center"/>
                </w:tcPr>
                <w:p w14:paraId="1665B111">
                  <w:pPr>
                    <w:widowControl/>
                    <w:spacing w:line="280" w:lineRule="exact"/>
                    <w:jc w:val="center"/>
                    <w:rPr>
                      <w:rFonts w:hint="eastAsia" w:ascii="宋体" w:hAnsi="宋体" w:eastAsia="宋体" w:cs="宋体"/>
                      <w:b/>
                      <w:bCs/>
                      <w:color w:val="auto"/>
                      <w:kern w:val="0"/>
                      <w:sz w:val="18"/>
                      <w:szCs w:val="18"/>
                      <w:lang w:eastAsia="zh-CN"/>
                    </w:rPr>
                  </w:pPr>
                  <w:r>
                    <w:rPr>
                      <w:rFonts w:hint="eastAsia" w:ascii="宋体" w:hAnsi="宋体" w:cs="宋体"/>
                      <w:b/>
                      <w:bCs/>
                      <w:color w:val="auto"/>
                      <w:kern w:val="0"/>
                      <w:sz w:val="18"/>
                      <w:szCs w:val="18"/>
                      <w:lang w:eastAsia="zh-CN"/>
                    </w:rPr>
                    <w:t>技改前</w:t>
                  </w:r>
                </w:p>
              </w:tc>
              <w:tc>
                <w:tcPr>
                  <w:tcW w:w="304" w:type="pct"/>
                  <w:tcBorders>
                    <w:tl2br w:val="nil"/>
                    <w:tr2bl w:val="nil"/>
                  </w:tcBorders>
                  <w:vAlign w:val="center"/>
                </w:tcPr>
                <w:p w14:paraId="29E9CB8C">
                  <w:pPr>
                    <w:widowControl/>
                    <w:spacing w:line="280" w:lineRule="exact"/>
                    <w:jc w:val="center"/>
                    <w:rPr>
                      <w:rFonts w:hint="eastAsia" w:ascii="宋体" w:hAnsi="宋体" w:eastAsia="宋体" w:cs="宋体"/>
                      <w:b/>
                      <w:bCs/>
                      <w:color w:val="auto"/>
                      <w:kern w:val="0"/>
                      <w:sz w:val="18"/>
                      <w:szCs w:val="18"/>
                      <w:lang w:eastAsia="zh-CN"/>
                    </w:rPr>
                  </w:pPr>
                  <w:r>
                    <w:rPr>
                      <w:rFonts w:hint="eastAsia" w:ascii="宋体" w:hAnsi="宋体" w:cs="宋体"/>
                      <w:b/>
                      <w:bCs/>
                      <w:color w:val="auto"/>
                      <w:kern w:val="0"/>
                      <w:sz w:val="18"/>
                      <w:szCs w:val="18"/>
                      <w:lang w:eastAsia="zh-CN"/>
                    </w:rPr>
                    <w:t>技改后</w:t>
                  </w:r>
                </w:p>
              </w:tc>
              <w:tc>
                <w:tcPr>
                  <w:tcW w:w="290" w:type="pct"/>
                  <w:tcBorders>
                    <w:tl2br w:val="nil"/>
                    <w:tr2bl w:val="nil"/>
                  </w:tcBorders>
                  <w:vAlign w:val="center"/>
                </w:tcPr>
                <w:p w14:paraId="0688C8F7">
                  <w:pPr>
                    <w:widowControl/>
                    <w:spacing w:line="280" w:lineRule="exact"/>
                    <w:jc w:val="center"/>
                    <w:rPr>
                      <w:rFonts w:hint="eastAsia" w:ascii="宋体" w:hAnsi="宋体" w:eastAsia="宋体" w:cs="宋体"/>
                      <w:b/>
                      <w:bCs/>
                      <w:color w:val="auto"/>
                      <w:kern w:val="0"/>
                      <w:sz w:val="18"/>
                      <w:szCs w:val="18"/>
                      <w:lang w:eastAsia="zh-CN"/>
                    </w:rPr>
                  </w:pPr>
                  <w:r>
                    <w:rPr>
                      <w:rFonts w:hint="eastAsia" w:ascii="宋体" w:hAnsi="宋体" w:cs="宋体"/>
                      <w:b/>
                      <w:bCs/>
                      <w:color w:val="auto"/>
                      <w:kern w:val="0"/>
                      <w:sz w:val="18"/>
                      <w:szCs w:val="18"/>
                      <w:lang w:eastAsia="zh-CN"/>
                    </w:rPr>
                    <w:t>增减量</w:t>
                  </w:r>
                </w:p>
              </w:tc>
              <w:tc>
                <w:tcPr>
                  <w:tcW w:w="303" w:type="pct"/>
                  <w:vMerge w:val="continue"/>
                  <w:tcBorders>
                    <w:tl2br w:val="nil"/>
                    <w:tr2bl w:val="nil"/>
                  </w:tcBorders>
                  <w:vAlign w:val="center"/>
                </w:tcPr>
                <w:p w14:paraId="302DDCB3">
                  <w:pPr>
                    <w:widowControl/>
                    <w:spacing w:line="280" w:lineRule="exact"/>
                    <w:jc w:val="center"/>
                    <w:rPr>
                      <w:rFonts w:hint="eastAsia" w:ascii="宋体" w:hAnsi="宋体" w:eastAsia="宋体" w:cs="宋体"/>
                      <w:b w:val="0"/>
                      <w:bCs w:val="0"/>
                      <w:color w:val="auto"/>
                      <w:kern w:val="0"/>
                      <w:sz w:val="18"/>
                      <w:szCs w:val="18"/>
                    </w:rPr>
                  </w:pPr>
                </w:p>
              </w:tc>
              <w:tc>
                <w:tcPr>
                  <w:tcW w:w="350" w:type="pct"/>
                  <w:vMerge w:val="continue"/>
                  <w:tcBorders>
                    <w:tl2br w:val="nil"/>
                    <w:tr2bl w:val="nil"/>
                  </w:tcBorders>
                  <w:vAlign w:val="center"/>
                </w:tcPr>
                <w:p w14:paraId="52E53F25">
                  <w:pPr>
                    <w:widowControl/>
                    <w:spacing w:line="280" w:lineRule="exact"/>
                    <w:jc w:val="center"/>
                    <w:rPr>
                      <w:rFonts w:hint="eastAsia" w:ascii="宋体" w:hAnsi="宋体" w:eastAsia="宋体" w:cs="宋体"/>
                      <w:b w:val="0"/>
                      <w:bCs w:val="0"/>
                      <w:color w:val="auto"/>
                      <w:kern w:val="0"/>
                      <w:sz w:val="18"/>
                      <w:szCs w:val="18"/>
                    </w:rPr>
                  </w:pPr>
                </w:p>
              </w:tc>
            </w:tr>
            <w:tr w14:paraId="494AF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06" w:type="pct"/>
                  <w:tcBorders>
                    <w:tl2br w:val="nil"/>
                    <w:tr2bl w:val="nil"/>
                  </w:tcBorders>
                  <w:vAlign w:val="center"/>
                </w:tcPr>
                <w:p w14:paraId="29078112">
                  <w:pPr>
                    <w:widowControl/>
                    <w:numPr>
                      <w:ilvl w:val="0"/>
                      <w:numId w:val="2"/>
                    </w:numPr>
                    <w:spacing w:line="280" w:lineRule="exact"/>
                    <w:jc w:val="center"/>
                    <w:rPr>
                      <w:rFonts w:hint="eastAsia" w:ascii="宋体" w:hAnsi="宋体" w:eastAsia="宋体" w:cs="宋体"/>
                      <w:b/>
                      <w:bCs/>
                      <w:color w:val="auto"/>
                      <w:kern w:val="0"/>
                      <w:sz w:val="18"/>
                      <w:szCs w:val="18"/>
                    </w:rPr>
                  </w:pPr>
                </w:p>
              </w:tc>
              <w:tc>
                <w:tcPr>
                  <w:tcW w:w="372" w:type="pct"/>
                  <w:tcBorders>
                    <w:tl2br w:val="nil"/>
                    <w:tr2bl w:val="nil"/>
                  </w:tcBorders>
                  <w:vAlign w:val="center"/>
                </w:tcPr>
                <w:p w14:paraId="50BBF7AE">
                  <w:pPr>
                    <w:widowControl/>
                    <w:spacing w:line="240" w:lineRule="exact"/>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液氯储罐</w:t>
                  </w:r>
                </w:p>
              </w:tc>
              <w:tc>
                <w:tcPr>
                  <w:tcW w:w="473" w:type="pct"/>
                  <w:tcBorders>
                    <w:tl2br w:val="nil"/>
                    <w:tr2bl w:val="nil"/>
                  </w:tcBorders>
                  <w:vAlign w:val="center"/>
                </w:tcPr>
                <w:p w14:paraId="43DBAABF">
                  <w:pPr>
                    <w:widowControl/>
                    <w:jc w:val="center"/>
                    <w:rPr>
                      <w:rFonts w:hint="eastAsia" w:ascii="宋体" w:hAnsi="宋体" w:eastAsia="宋体" w:cs="宋体"/>
                      <w:b/>
                      <w:bCs/>
                      <w:color w:val="auto"/>
                      <w:kern w:val="0"/>
                      <w:sz w:val="18"/>
                      <w:szCs w:val="18"/>
                      <w:lang w:val="en-US" w:eastAsia="zh-CN"/>
                    </w:rPr>
                  </w:pPr>
                  <w:r>
                    <w:rPr>
                      <w:rFonts w:hint="eastAsia" w:ascii="宋体" w:hAnsi="宋体" w:eastAsia="宋体" w:cs="宋体"/>
                      <w:b/>
                      <w:bCs/>
                      <w:color w:val="auto"/>
                      <w:kern w:val="0"/>
                      <w:sz w:val="18"/>
                      <w:szCs w:val="18"/>
                    </w:rPr>
                    <w:t>V1</w:t>
                  </w:r>
                  <w:r>
                    <w:rPr>
                      <w:rFonts w:hint="eastAsia" w:ascii="宋体" w:hAnsi="宋体" w:eastAsia="宋体" w:cs="宋体"/>
                      <w:b/>
                      <w:bCs/>
                      <w:color w:val="auto"/>
                      <w:kern w:val="0"/>
                      <w:sz w:val="18"/>
                      <w:szCs w:val="18"/>
                      <w:lang w:val="en-US" w:eastAsia="zh-CN"/>
                    </w:rPr>
                    <w:t>600a</w:t>
                  </w:r>
                </w:p>
              </w:tc>
              <w:tc>
                <w:tcPr>
                  <w:tcW w:w="394" w:type="pct"/>
                  <w:tcBorders>
                    <w:tl2br w:val="nil"/>
                    <w:tr2bl w:val="nil"/>
                  </w:tcBorders>
                  <w:vAlign w:val="center"/>
                </w:tcPr>
                <w:p w14:paraId="61D79597">
                  <w:pPr>
                    <w:pStyle w:val="3935"/>
                    <w:rPr>
                      <w:rFonts w:hint="eastAsia" w:ascii="宋体" w:hAnsi="宋体" w:eastAsia="宋体" w:cs="宋体"/>
                      <w:b/>
                      <w:bCs/>
                      <w:color w:val="auto"/>
                      <w:kern w:val="0"/>
                      <w:sz w:val="18"/>
                      <w:szCs w:val="18"/>
                      <w:vertAlign w:val="superscript"/>
                    </w:rPr>
                  </w:pPr>
                  <w:r>
                    <w:rPr>
                      <w:rFonts w:hint="eastAsia" w:ascii="宋体" w:hAnsi="宋体" w:eastAsia="宋体" w:cs="宋体"/>
                      <w:b/>
                      <w:bCs/>
                      <w:color w:val="auto"/>
                      <w:sz w:val="18"/>
                      <w:szCs w:val="18"/>
                      <w:lang w:val="en-US" w:eastAsia="zh-CN"/>
                    </w:rPr>
                    <w:t>79m³</w:t>
                  </w:r>
                </w:p>
              </w:tc>
              <w:tc>
                <w:tcPr>
                  <w:tcW w:w="402" w:type="pct"/>
                  <w:tcBorders>
                    <w:tl2br w:val="nil"/>
                    <w:tr2bl w:val="nil"/>
                  </w:tcBorders>
                  <w:vAlign w:val="center"/>
                </w:tcPr>
                <w:p w14:paraId="3B44EE34">
                  <w:pPr>
                    <w:widowControl/>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液氯</w:t>
                  </w:r>
                </w:p>
              </w:tc>
              <w:tc>
                <w:tcPr>
                  <w:tcW w:w="386" w:type="pct"/>
                  <w:tcBorders>
                    <w:tl2br w:val="nil"/>
                    <w:tr2bl w:val="nil"/>
                  </w:tcBorders>
                  <w:vAlign w:val="center"/>
                </w:tcPr>
                <w:p w14:paraId="22041D63">
                  <w:pPr>
                    <w:widowControl/>
                    <w:jc w:val="center"/>
                    <w:textAlignment w:val="center"/>
                    <w:rPr>
                      <w:rFonts w:hint="eastAsia"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val="en-US" w:eastAsia="zh-CN"/>
                    </w:rPr>
                    <w:t>-20~48</w:t>
                  </w:r>
                </w:p>
              </w:tc>
              <w:tc>
                <w:tcPr>
                  <w:tcW w:w="341" w:type="pct"/>
                  <w:tcBorders>
                    <w:tl2br w:val="nil"/>
                    <w:tr2bl w:val="nil"/>
                  </w:tcBorders>
                  <w:vAlign w:val="center"/>
                </w:tcPr>
                <w:p w14:paraId="01EDAB04">
                  <w:pPr>
                    <w:widowControl/>
                    <w:jc w:val="center"/>
                    <w:textAlignment w:val="center"/>
                    <w:rPr>
                      <w:rFonts w:hint="eastAsia"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val="en-US" w:eastAsia="zh-CN"/>
                    </w:rPr>
                    <w:t>1.25~-0.9</w:t>
                  </w:r>
                </w:p>
              </w:tc>
              <w:tc>
                <w:tcPr>
                  <w:tcW w:w="371" w:type="pct"/>
                  <w:tcBorders>
                    <w:tl2br w:val="nil"/>
                    <w:tr2bl w:val="nil"/>
                  </w:tcBorders>
                  <w:vAlign w:val="center"/>
                </w:tcPr>
                <w:p w14:paraId="279E4938">
                  <w:pPr>
                    <w:widowControl/>
                    <w:jc w:val="center"/>
                    <w:textAlignment w:val="center"/>
                    <w:rPr>
                      <w:rFonts w:hint="eastAsia"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val="en-US" w:eastAsia="zh-CN"/>
                    </w:rPr>
                    <w:t>-40~58</w:t>
                  </w:r>
                </w:p>
              </w:tc>
              <w:tc>
                <w:tcPr>
                  <w:tcW w:w="386" w:type="pct"/>
                  <w:tcBorders>
                    <w:tl2br w:val="nil"/>
                    <w:tr2bl w:val="nil"/>
                  </w:tcBorders>
                  <w:vAlign w:val="center"/>
                </w:tcPr>
                <w:p w14:paraId="347C7D5F">
                  <w:pPr>
                    <w:widowControl/>
                    <w:jc w:val="center"/>
                    <w:textAlignment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1.</w:t>
                  </w:r>
                  <w:r>
                    <w:rPr>
                      <w:rFonts w:hint="eastAsia" w:ascii="宋体" w:hAnsi="宋体" w:eastAsia="宋体" w:cs="宋体"/>
                      <w:b/>
                      <w:bCs/>
                      <w:color w:val="auto"/>
                      <w:kern w:val="0"/>
                      <w:sz w:val="18"/>
                      <w:szCs w:val="18"/>
                      <w:lang w:val="en-US" w:eastAsia="zh-CN"/>
                    </w:rPr>
                    <w:t>6</w:t>
                  </w:r>
                  <w:r>
                    <w:rPr>
                      <w:rFonts w:hint="eastAsia" w:ascii="宋体" w:hAnsi="宋体" w:eastAsia="宋体" w:cs="宋体"/>
                      <w:b/>
                      <w:bCs/>
                      <w:color w:val="auto"/>
                      <w:kern w:val="0"/>
                      <w:sz w:val="18"/>
                      <w:szCs w:val="18"/>
                    </w:rPr>
                    <w:t>2</w:t>
                  </w:r>
                  <w:r>
                    <w:rPr>
                      <w:rFonts w:hint="eastAsia" w:ascii="宋体" w:hAnsi="宋体" w:eastAsia="宋体" w:cs="宋体"/>
                      <w:b/>
                      <w:bCs/>
                      <w:color w:val="auto"/>
                      <w:kern w:val="0"/>
                      <w:sz w:val="18"/>
                      <w:szCs w:val="18"/>
                      <w:lang w:val="en-US" w:eastAsia="zh-CN"/>
                    </w:rPr>
                    <w:t>~-0.1</w:t>
                  </w:r>
                </w:p>
              </w:tc>
              <w:tc>
                <w:tcPr>
                  <w:tcW w:w="415" w:type="pct"/>
                  <w:tcBorders>
                    <w:tl2br w:val="nil"/>
                    <w:tr2bl w:val="nil"/>
                  </w:tcBorders>
                  <w:vAlign w:val="center"/>
                </w:tcPr>
                <w:p w14:paraId="048902C4">
                  <w:pPr>
                    <w:widowControl/>
                    <w:jc w:val="center"/>
                    <w:rPr>
                      <w:rFonts w:hint="eastAsia" w:ascii="宋体" w:hAnsi="宋体" w:eastAsia="宋体" w:cs="宋体"/>
                      <w:b/>
                      <w:bCs/>
                      <w:color w:val="auto"/>
                      <w:kern w:val="0"/>
                      <w:sz w:val="18"/>
                      <w:szCs w:val="18"/>
                      <w:lang w:eastAsia="zh-CN"/>
                    </w:rPr>
                  </w:pPr>
                  <w:r>
                    <w:rPr>
                      <w:rFonts w:hint="eastAsia" w:ascii="宋体" w:hAnsi="宋体" w:cs="宋体"/>
                      <w:b/>
                      <w:bCs/>
                      <w:color w:val="auto"/>
                      <w:kern w:val="0"/>
                      <w:sz w:val="18"/>
                      <w:szCs w:val="18"/>
                      <w:lang w:val="en-US" w:eastAsia="zh-CN"/>
                    </w:rPr>
                    <w:t>0</w:t>
                  </w:r>
                </w:p>
              </w:tc>
              <w:tc>
                <w:tcPr>
                  <w:tcW w:w="304" w:type="pct"/>
                  <w:tcBorders>
                    <w:tl2br w:val="nil"/>
                    <w:tr2bl w:val="nil"/>
                  </w:tcBorders>
                  <w:shd w:val="clear" w:color="auto" w:fill="auto"/>
                  <w:vAlign w:val="center"/>
                </w:tcPr>
                <w:p w14:paraId="00A02B15">
                  <w:pPr>
                    <w:widowControl/>
                    <w:jc w:val="center"/>
                    <w:rPr>
                      <w:rFonts w:hint="eastAsia" w:ascii="宋体" w:hAnsi="宋体" w:eastAsia="宋体" w:cs="宋体"/>
                      <w:b/>
                      <w:bCs/>
                      <w:color w:val="auto"/>
                      <w:kern w:val="0"/>
                      <w:sz w:val="18"/>
                      <w:szCs w:val="18"/>
                      <w:lang w:val="en-US" w:eastAsia="zh-CN" w:bidi="ar-SA"/>
                    </w:rPr>
                  </w:pPr>
                  <w:r>
                    <w:rPr>
                      <w:rFonts w:hint="eastAsia" w:ascii="宋体" w:hAnsi="宋体" w:eastAsia="宋体" w:cs="宋体"/>
                      <w:b/>
                      <w:bCs/>
                      <w:color w:val="auto"/>
                      <w:kern w:val="0"/>
                      <w:sz w:val="18"/>
                      <w:szCs w:val="18"/>
                      <w:lang w:val="en-US" w:eastAsia="zh-CN"/>
                    </w:rPr>
                    <w:t>1</w:t>
                  </w:r>
                </w:p>
              </w:tc>
              <w:tc>
                <w:tcPr>
                  <w:tcW w:w="290" w:type="pct"/>
                  <w:tcBorders>
                    <w:tl2br w:val="nil"/>
                    <w:tr2bl w:val="nil"/>
                  </w:tcBorders>
                  <w:shd w:val="clear" w:color="auto" w:fill="auto"/>
                  <w:vAlign w:val="center"/>
                </w:tcPr>
                <w:p w14:paraId="61BAA711">
                  <w:pPr>
                    <w:widowControl/>
                    <w:jc w:val="center"/>
                    <w:rPr>
                      <w:rFonts w:hint="eastAsia" w:ascii="宋体" w:hAnsi="宋体" w:eastAsia="宋体" w:cs="宋体"/>
                      <w:b/>
                      <w:bCs/>
                      <w:color w:val="auto"/>
                      <w:kern w:val="0"/>
                      <w:sz w:val="18"/>
                      <w:szCs w:val="18"/>
                      <w:lang w:val="en-US" w:eastAsia="zh-CN" w:bidi="ar-SA"/>
                    </w:rPr>
                  </w:pPr>
                  <w:r>
                    <w:rPr>
                      <w:rFonts w:hint="eastAsia" w:ascii="宋体" w:hAnsi="宋体" w:eastAsia="宋体" w:cs="宋体"/>
                      <w:b/>
                      <w:bCs/>
                      <w:color w:val="auto"/>
                      <w:kern w:val="0"/>
                      <w:sz w:val="18"/>
                      <w:szCs w:val="18"/>
                      <w:lang w:val="en-US" w:eastAsia="zh-CN"/>
                    </w:rPr>
                    <w:t>1</w:t>
                  </w:r>
                </w:p>
              </w:tc>
              <w:tc>
                <w:tcPr>
                  <w:tcW w:w="303" w:type="pct"/>
                  <w:tcBorders>
                    <w:tl2br w:val="nil"/>
                    <w:tr2bl w:val="nil"/>
                  </w:tcBorders>
                  <w:vAlign w:val="center"/>
                </w:tcPr>
                <w:p w14:paraId="06EF722E">
                  <w:pPr>
                    <w:widowControl/>
                    <w:jc w:val="center"/>
                    <w:rPr>
                      <w:rFonts w:hint="eastAsia"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val="en-US" w:eastAsia="zh-CN"/>
                    </w:rPr>
                    <w:t>16MmDR</w:t>
                  </w:r>
                </w:p>
              </w:tc>
              <w:tc>
                <w:tcPr>
                  <w:tcW w:w="350" w:type="pct"/>
                  <w:vMerge w:val="restart"/>
                  <w:tcBorders>
                    <w:tl2br w:val="nil"/>
                    <w:tr2bl w:val="nil"/>
                  </w:tcBorders>
                  <w:vAlign w:val="center"/>
                </w:tcPr>
                <w:p w14:paraId="55FD9C62">
                  <w:pPr>
                    <w:widowControl/>
                    <w:jc w:val="center"/>
                    <w:rPr>
                      <w:rFonts w:hint="eastAsia" w:ascii="宋体" w:hAnsi="宋体" w:eastAsia="宋体" w:cs="宋体"/>
                      <w:b/>
                      <w:bCs/>
                      <w:color w:val="auto"/>
                      <w:kern w:val="0"/>
                      <w:sz w:val="18"/>
                      <w:szCs w:val="18"/>
                      <w:lang w:val="en-US" w:eastAsia="zh-CN"/>
                    </w:rPr>
                  </w:pPr>
                  <w:r>
                    <w:rPr>
                      <w:rFonts w:hint="eastAsia" w:ascii="宋体" w:hAnsi="宋体" w:eastAsia="宋体" w:cs="宋体"/>
                      <w:b/>
                      <w:bCs/>
                      <w:color w:val="auto"/>
                      <w:kern w:val="0"/>
                      <w:sz w:val="18"/>
                      <w:szCs w:val="18"/>
                      <w:lang w:val="en-US" w:eastAsia="zh-CN"/>
                    </w:rPr>
                    <w:t>新增</w:t>
                  </w:r>
                  <w:r>
                    <w:rPr>
                      <w:rFonts w:hint="eastAsia" w:ascii="宋体" w:hAnsi="宋体" w:eastAsia="宋体" w:cs="宋体"/>
                      <w:b/>
                      <w:bCs/>
                      <w:color w:val="auto"/>
                      <w:kern w:val="0"/>
                      <w:sz w:val="18"/>
                      <w:szCs w:val="18"/>
                    </w:rPr>
                    <w:t>压力容器</w:t>
                  </w:r>
                  <w:r>
                    <w:rPr>
                      <w:rFonts w:hint="eastAsia" w:ascii="宋体" w:hAnsi="宋体" w:cs="宋体"/>
                      <w:b/>
                      <w:bCs/>
                      <w:color w:val="auto"/>
                      <w:kern w:val="0"/>
                      <w:sz w:val="18"/>
                      <w:szCs w:val="18"/>
                      <w:lang w:eastAsia="zh-CN"/>
                    </w:rPr>
                    <w:t>，</w:t>
                  </w:r>
                  <w:r>
                    <w:rPr>
                      <w:rFonts w:hint="eastAsia" w:ascii="宋体" w:hAnsi="宋体" w:cs="宋体"/>
                      <w:b/>
                      <w:bCs/>
                      <w:color w:val="auto"/>
                      <w:kern w:val="0"/>
                      <w:sz w:val="18"/>
                      <w:szCs w:val="18"/>
                      <w:lang w:val="en-US" w:eastAsia="zh-CN"/>
                    </w:rPr>
                    <w:t>厂区内不再采用液氯集装箱罐车暂存液氯</w:t>
                  </w:r>
                </w:p>
              </w:tc>
            </w:tr>
            <w:tr w14:paraId="4FDF26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06" w:type="pct"/>
                  <w:tcBorders>
                    <w:tl2br w:val="nil"/>
                    <w:tr2bl w:val="nil"/>
                  </w:tcBorders>
                  <w:vAlign w:val="center"/>
                </w:tcPr>
                <w:p w14:paraId="5D64374C">
                  <w:pPr>
                    <w:widowControl/>
                    <w:numPr>
                      <w:ilvl w:val="0"/>
                      <w:numId w:val="2"/>
                    </w:numPr>
                    <w:spacing w:line="280" w:lineRule="exact"/>
                    <w:jc w:val="center"/>
                    <w:rPr>
                      <w:rFonts w:hint="eastAsia" w:ascii="宋体" w:hAnsi="宋体" w:eastAsia="宋体" w:cs="宋体"/>
                      <w:b/>
                      <w:bCs/>
                      <w:color w:val="auto"/>
                      <w:kern w:val="0"/>
                      <w:sz w:val="18"/>
                      <w:szCs w:val="18"/>
                    </w:rPr>
                  </w:pPr>
                </w:p>
              </w:tc>
              <w:tc>
                <w:tcPr>
                  <w:tcW w:w="372" w:type="pct"/>
                  <w:tcBorders>
                    <w:tl2br w:val="nil"/>
                    <w:tr2bl w:val="nil"/>
                  </w:tcBorders>
                  <w:vAlign w:val="center"/>
                </w:tcPr>
                <w:p w14:paraId="7C7BA63C">
                  <w:pPr>
                    <w:widowControl/>
                    <w:spacing w:line="240" w:lineRule="exact"/>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液氯</w:t>
                  </w:r>
                  <w:r>
                    <w:rPr>
                      <w:rFonts w:hint="eastAsia" w:ascii="宋体" w:hAnsi="宋体" w:eastAsia="宋体" w:cs="宋体"/>
                      <w:b/>
                      <w:bCs/>
                      <w:color w:val="auto"/>
                      <w:kern w:val="0"/>
                      <w:sz w:val="18"/>
                      <w:szCs w:val="18"/>
                      <w:lang w:val="en-US" w:eastAsia="zh-CN"/>
                    </w:rPr>
                    <w:t>应急</w:t>
                  </w:r>
                  <w:r>
                    <w:rPr>
                      <w:rFonts w:hint="eastAsia" w:ascii="宋体" w:hAnsi="宋体" w:eastAsia="宋体" w:cs="宋体"/>
                      <w:b/>
                      <w:bCs/>
                      <w:color w:val="auto"/>
                      <w:kern w:val="0"/>
                      <w:sz w:val="18"/>
                      <w:szCs w:val="18"/>
                    </w:rPr>
                    <w:t>罐</w:t>
                  </w:r>
                </w:p>
              </w:tc>
              <w:tc>
                <w:tcPr>
                  <w:tcW w:w="473" w:type="pct"/>
                  <w:tcBorders>
                    <w:tl2br w:val="nil"/>
                    <w:tr2bl w:val="nil"/>
                  </w:tcBorders>
                  <w:vAlign w:val="center"/>
                </w:tcPr>
                <w:p w14:paraId="77A4BEE8">
                  <w:pPr>
                    <w:widowControl/>
                    <w:jc w:val="center"/>
                    <w:rPr>
                      <w:rFonts w:hint="eastAsia" w:ascii="宋体" w:hAnsi="宋体" w:eastAsia="宋体" w:cs="宋体"/>
                      <w:b/>
                      <w:bCs/>
                      <w:color w:val="auto"/>
                      <w:kern w:val="0"/>
                      <w:sz w:val="18"/>
                      <w:szCs w:val="18"/>
                      <w:lang w:val="en-US"/>
                    </w:rPr>
                  </w:pPr>
                  <w:r>
                    <w:rPr>
                      <w:rFonts w:hint="eastAsia" w:ascii="宋体" w:hAnsi="宋体" w:eastAsia="宋体" w:cs="宋体"/>
                      <w:b/>
                      <w:bCs/>
                      <w:color w:val="auto"/>
                      <w:kern w:val="0"/>
                      <w:sz w:val="18"/>
                      <w:szCs w:val="18"/>
                    </w:rPr>
                    <w:t>V1</w:t>
                  </w:r>
                  <w:r>
                    <w:rPr>
                      <w:rFonts w:hint="eastAsia" w:ascii="宋体" w:hAnsi="宋体" w:eastAsia="宋体" w:cs="宋体"/>
                      <w:b/>
                      <w:bCs/>
                      <w:color w:val="auto"/>
                      <w:kern w:val="0"/>
                      <w:sz w:val="18"/>
                      <w:szCs w:val="18"/>
                      <w:lang w:val="en-US" w:eastAsia="zh-CN"/>
                    </w:rPr>
                    <w:t>600b</w:t>
                  </w:r>
                </w:p>
              </w:tc>
              <w:tc>
                <w:tcPr>
                  <w:tcW w:w="394" w:type="pct"/>
                  <w:tcBorders>
                    <w:tl2br w:val="nil"/>
                    <w:tr2bl w:val="nil"/>
                  </w:tcBorders>
                  <w:vAlign w:val="center"/>
                </w:tcPr>
                <w:p w14:paraId="3855146E">
                  <w:pPr>
                    <w:pStyle w:val="3935"/>
                    <w:rPr>
                      <w:rFonts w:hint="eastAsia" w:ascii="宋体" w:hAnsi="宋体" w:eastAsia="宋体" w:cs="宋体"/>
                      <w:b/>
                      <w:bCs/>
                      <w:color w:val="auto"/>
                      <w:kern w:val="0"/>
                      <w:sz w:val="18"/>
                      <w:szCs w:val="18"/>
                    </w:rPr>
                  </w:pPr>
                  <w:r>
                    <w:rPr>
                      <w:rFonts w:hint="eastAsia" w:ascii="宋体" w:hAnsi="宋体" w:eastAsia="宋体" w:cs="宋体"/>
                      <w:b/>
                      <w:bCs/>
                      <w:color w:val="auto"/>
                      <w:sz w:val="18"/>
                      <w:szCs w:val="18"/>
                      <w:lang w:val="en-US" w:eastAsia="zh-CN"/>
                    </w:rPr>
                    <w:t>79</w:t>
                  </w:r>
                  <w:r>
                    <w:rPr>
                      <w:rFonts w:hint="eastAsia" w:ascii="宋体" w:hAnsi="宋体" w:eastAsia="宋体" w:cs="宋体"/>
                      <w:b/>
                      <w:bCs/>
                      <w:color w:val="auto"/>
                      <w:sz w:val="18"/>
                      <w:szCs w:val="18"/>
                    </w:rPr>
                    <w:t>m³</w:t>
                  </w:r>
                </w:p>
              </w:tc>
              <w:tc>
                <w:tcPr>
                  <w:tcW w:w="402" w:type="pct"/>
                  <w:tcBorders>
                    <w:tl2br w:val="nil"/>
                    <w:tr2bl w:val="nil"/>
                  </w:tcBorders>
                  <w:vAlign w:val="center"/>
                </w:tcPr>
                <w:p w14:paraId="37DB84AF">
                  <w:pPr>
                    <w:widowControl/>
                    <w:jc w:val="center"/>
                    <w:rPr>
                      <w:rFonts w:hint="eastAsia" w:ascii="宋体" w:hAnsi="宋体" w:eastAsia="宋体" w:cs="宋体"/>
                      <w:b/>
                      <w:bCs/>
                      <w:color w:val="auto"/>
                      <w:kern w:val="0"/>
                      <w:sz w:val="18"/>
                      <w:szCs w:val="18"/>
                      <w:lang w:val="en-US" w:eastAsia="zh-CN" w:bidi="ar-SA"/>
                    </w:rPr>
                  </w:pPr>
                  <w:r>
                    <w:rPr>
                      <w:rFonts w:hint="eastAsia" w:ascii="宋体" w:hAnsi="宋体" w:eastAsia="宋体" w:cs="宋体"/>
                      <w:b/>
                      <w:bCs/>
                      <w:color w:val="auto"/>
                      <w:kern w:val="0"/>
                      <w:sz w:val="18"/>
                      <w:szCs w:val="18"/>
                    </w:rPr>
                    <w:t>液氯</w:t>
                  </w:r>
                </w:p>
              </w:tc>
              <w:tc>
                <w:tcPr>
                  <w:tcW w:w="386" w:type="pct"/>
                  <w:tcBorders>
                    <w:tl2br w:val="nil"/>
                    <w:tr2bl w:val="nil"/>
                  </w:tcBorders>
                  <w:vAlign w:val="center"/>
                </w:tcPr>
                <w:p w14:paraId="3C18BB8F">
                  <w:pPr>
                    <w:widowControl/>
                    <w:jc w:val="center"/>
                    <w:textAlignment w:val="center"/>
                    <w:rPr>
                      <w:rFonts w:hint="eastAsia" w:ascii="宋体" w:hAnsi="宋体" w:eastAsia="宋体" w:cs="宋体"/>
                      <w:b/>
                      <w:bCs/>
                      <w:color w:val="auto"/>
                      <w:kern w:val="0"/>
                      <w:sz w:val="18"/>
                      <w:szCs w:val="18"/>
                      <w:lang w:val="en-US" w:eastAsia="zh-CN" w:bidi="ar-SA"/>
                    </w:rPr>
                  </w:pPr>
                  <w:r>
                    <w:rPr>
                      <w:rFonts w:hint="eastAsia" w:ascii="宋体" w:hAnsi="宋体" w:eastAsia="宋体" w:cs="宋体"/>
                      <w:b/>
                      <w:bCs/>
                      <w:color w:val="auto"/>
                      <w:kern w:val="0"/>
                      <w:sz w:val="18"/>
                      <w:szCs w:val="18"/>
                      <w:lang w:val="en-US" w:eastAsia="zh-CN"/>
                    </w:rPr>
                    <w:t>-20~48</w:t>
                  </w:r>
                </w:p>
              </w:tc>
              <w:tc>
                <w:tcPr>
                  <w:tcW w:w="341" w:type="pct"/>
                  <w:tcBorders>
                    <w:tl2br w:val="nil"/>
                    <w:tr2bl w:val="nil"/>
                  </w:tcBorders>
                  <w:vAlign w:val="center"/>
                </w:tcPr>
                <w:p w14:paraId="7F11D6FC">
                  <w:pPr>
                    <w:widowControl/>
                    <w:jc w:val="center"/>
                    <w:textAlignment w:val="center"/>
                    <w:rPr>
                      <w:rFonts w:hint="eastAsia" w:ascii="宋体" w:hAnsi="宋体" w:eastAsia="宋体" w:cs="宋体"/>
                      <w:b/>
                      <w:bCs/>
                      <w:color w:val="auto"/>
                      <w:kern w:val="0"/>
                      <w:sz w:val="18"/>
                      <w:szCs w:val="18"/>
                      <w:lang w:val="en-US" w:eastAsia="zh-CN" w:bidi="ar-SA"/>
                    </w:rPr>
                  </w:pPr>
                  <w:r>
                    <w:rPr>
                      <w:rFonts w:hint="eastAsia" w:ascii="宋体" w:hAnsi="宋体" w:eastAsia="宋体" w:cs="宋体"/>
                      <w:b/>
                      <w:bCs/>
                      <w:color w:val="auto"/>
                      <w:kern w:val="0"/>
                      <w:sz w:val="18"/>
                      <w:szCs w:val="18"/>
                      <w:lang w:val="en-US" w:eastAsia="zh-CN"/>
                    </w:rPr>
                    <w:t>1.25~-0.9</w:t>
                  </w:r>
                </w:p>
              </w:tc>
              <w:tc>
                <w:tcPr>
                  <w:tcW w:w="371" w:type="pct"/>
                  <w:tcBorders>
                    <w:tl2br w:val="nil"/>
                    <w:tr2bl w:val="nil"/>
                  </w:tcBorders>
                  <w:vAlign w:val="center"/>
                </w:tcPr>
                <w:p w14:paraId="1CEB368B">
                  <w:pPr>
                    <w:widowControl/>
                    <w:jc w:val="center"/>
                    <w:textAlignment w:val="center"/>
                    <w:rPr>
                      <w:rFonts w:hint="eastAsia" w:ascii="宋体" w:hAnsi="宋体" w:eastAsia="宋体" w:cs="宋体"/>
                      <w:b/>
                      <w:bCs/>
                      <w:color w:val="auto"/>
                      <w:kern w:val="0"/>
                      <w:sz w:val="18"/>
                      <w:szCs w:val="18"/>
                      <w:lang w:val="en-US" w:eastAsia="zh-CN" w:bidi="ar-SA"/>
                    </w:rPr>
                  </w:pPr>
                  <w:r>
                    <w:rPr>
                      <w:rFonts w:hint="eastAsia" w:ascii="宋体" w:hAnsi="宋体" w:eastAsia="宋体" w:cs="宋体"/>
                      <w:b/>
                      <w:bCs/>
                      <w:color w:val="auto"/>
                      <w:kern w:val="0"/>
                      <w:sz w:val="18"/>
                      <w:szCs w:val="18"/>
                      <w:lang w:val="en-US" w:eastAsia="zh-CN"/>
                    </w:rPr>
                    <w:t>-40~58</w:t>
                  </w:r>
                </w:p>
              </w:tc>
              <w:tc>
                <w:tcPr>
                  <w:tcW w:w="386" w:type="pct"/>
                  <w:tcBorders>
                    <w:tl2br w:val="nil"/>
                    <w:tr2bl w:val="nil"/>
                  </w:tcBorders>
                  <w:vAlign w:val="center"/>
                </w:tcPr>
                <w:p w14:paraId="511EFE84">
                  <w:pPr>
                    <w:widowControl/>
                    <w:jc w:val="center"/>
                    <w:textAlignment w:val="center"/>
                    <w:rPr>
                      <w:rFonts w:hint="eastAsia" w:ascii="宋体" w:hAnsi="宋体" w:eastAsia="宋体" w:cs="宋体"/>
                      <w:b/>
                      <w:bCs/>
                      <w:color w:val="auto"/>
                      <w:kern w:val="0"/>
                      <w:sz w:val="18"/>
                      <w:szCs w:val="18"/>
                      <w:lang w:val="en-US" w:eastAsia="zh-CN" w:bidi="ar-SA"/>
                    </w:rPr>
                  </w:pPr>
                  <w:r>
                    <w:rPr>
                      <w:rFonts w:hint="eastAsia" w:ascii="宋体" w:hAnsi="宋体" w:eastAsia="宋体" w:cs="宋体"/>
                      <w:b/>
                      <w:bCs/>
                      <w:color w:val="auto"/>
                      <w:kern w:val="0"/>
                      <w:sz w:val="18"/>
                      <w:szCs w:val="18"/>
                    </w:rPr>
                    <w:t>1.</w:t>
                  </w:r>
                  <w:r>
                    <w:rPr>
                      <w:rFonts w:hint="eastAsia" w:ascii="宋体" w:hAnsi="宋体" w:eastAsia="宋体" w:cs="宋体"/>
                      <w:b/>
                      <w:bCs/>
                      <w:color w:val="auto"/>
                      <w:kern w:val="0"/>
                      <w:sz w:val="18"/>
                      <w:szCs w:val="18"/>
                      <w:lang w:val="en-US" w:eastAsia="zh-CN"/>
                    </w:rPr>
                    <w:t>6</w:t>
                  </w:r>
                  <w:r>
                    <w:rPr>
                      <w:rFonts w:hint="eastAsia" w:ascii="宋体" w:hAnsi="宋体" w:eastAsia="宋体" w:cs="宋体"/>
                      <w:b/>
                      <w:bCs/>
                      <w:color w:val="auto"/>
                      <w:kern w:val="0"/>
                      <w:sz w:val="18"/>
                      <w:szCs w:val="18"/>
                    </w:rPr>
                    <w:t>2</w:t>
                  </w:r>
                  <w:r>
                    <w:rPr>
                      <w:rFonts w:hint="eastAsia" w:ascii="宋体" w:hAnsi="宋体" w:eastAsia="宋体" w:cs="宋体"/>
                      <w:b/>
                      <w:bCs/>
                      <w:color w:val="auto"/>
                      <w:kern w:val="0"/>
                      <w:sz w:val="18"/>
                      <w:szCs w:val="18"/>
                      <w:lang w:val="en-US" w:eastAsia="zh-CN"/>
                    </w:rPr>
                    <w:t>~-0.1</w:t>
                  </w:r>
                </w:p>
              </w:tc>
              <w:tc>
                <w:tcPr>
                  <w:tcW w:w="415" w:type="pct"/>
                  <w:tcBorders>
                    <w:tl2br w:val="nil"/>
                    <w:tr2bl w:val="nil"/>
                  </w:tcBorders>
                  <w:vAlign w:val="center"/>
                </w:tcPr>
                <w:p w14:paraId="735BCF7F">
                  <w:pPr>
                    <w:widowControl/>
                    <w:jc w:val="center"/>
                    <w:rPr>
                      <w:rFonts w:hint="eastAsia" w:ascii="宋体" w:hAnsi="宋体" w:eastAsia="宋体" w:cs="宋体"/>
                      <w:b/>
                      <w:bCs/>
                      <w:color w:val="auto"/>
                      <w:kern w:val="0"/>
                      <w:sz w:val="18"/>
                      <w:szCs w:val="18"/>
                      <w:lang w:val="en-US" w:eastAsia="zh-CN" w:bidi="ar-SA"/>
                    </w:rPr>
                  </w:pPr>
                  <w:r>
                    <w:rPr>
                      <w:rFonts w:hint="eastAsia" w:ascii="宋体" w:hAnsi="宋体" w:cs="宋体"/>
                      <w:b/>
                      <w:bCs/>
                      <w:color w:val="auto"/>
                      <w:kern w:val="0"/>
                      <w:sz w:val="18"/>
                      <w:szCs w:val="18"/>
                      <w:lang w:val="en-US" w:eastAsia="zh-CN"/>
                    </w:rPr>
                    <w:t>0</w:t>
                  </w:r>
                </w:p>
              </w:tc>
              <w:tc>
                <w:tcPr>
                  <w:tcW w:w="304" w:type="pct"/>
                  <w:tcBorders>
                    <w:tl2br w:val="nil"/>
                    <w:tr2bl w:val="nil"/>
                  </w:tcBorders>
                  <w:shd w:val="clear" w:color="auto" w:fill="auto"/>
                  <w:vAlign w:val="center"/>
                </w:tcPr>
                <w:p w14:paraId="632E8B62">
                  <w:pPr>
                    <w:widowControl/>
                    <w:jc w:val="center"/>
                    <w:rPr>
                      <w:rFonts w:hint="eastAsia" w:ascii="宋体" w:hAnsi="宋体" w:eastAsia="宋体" w:cs="宋体"/>
                      <w:b/>
                      <w:bCs/>
                      <w:color w:val="auto"/>
                      <w:kern w:val="0"/>
                      <w:sz w:val="18"/>
                      <w:szCs w:val="18"/>
                      <w:lang w:val="en-US" w:eastAsia="zh-CN" w:bidi="ar-SA"/>
                    </w:rPr>
                  </w:pPr>
                  <w:r>
                    <w:rPr>
                      <w:rFonts w:hint="eastAsia" w:ascii="宋体" w:hAnsi="宋体" w:eastAsia="宋体" w:cs="宋体"/>
                      <w:b/>
                      <w:bCs/>
                      <w:color w:val="auto"/>
                      <w:kern w:val="0"/>
                      <w:sz w:val="18"/>
                      <w:szCs w:val="18"/>
                      <w:lang w:val="en-US" w:eastAsia="zh-CN"/>
                    </w:rPr>
                    <w:t>1</w:t>
                  </w:r>
                </w:p>
              </w:tc>
              <w:tc>
                <w:tcPr>
                  <w:tcW w:w="290" w:type="pct"/>
                  <w:tcBorders>
                    <w:tl2br w:val="nil"/>
                    <w:tr2bl w:val="nil"/>
                  </w:tcBorders>
                  <w:shd w:val="clear" w:color="auto" w:fill="auto"/>
                  <w:vAlign w:val="center"/>
                </w:tcPr>
                <w:p w14:paraId="0694A4EC">
                  <w:pPr>
                    <w:widowControl/>
                    <w:jc w:val="center"/>
                    <w:rPr>
                      <w:rFonts w:hint="eastAsia" w:ascii="宋体" w:hAnsi="宋体" w:eastAsia="宋体" w:cs="宋体"/>
                      <w:b/>
                      <w:bCs/>
                      <w:color w:val="auto"/>
                      <w:kern w:val="0"/>
                      <w:sz w:val="18"/>
                      <w:szCs w:val="18"/>
                      <w:lang w:val="en-US" w:eastAsia="zh-CN" w:bidi="ar-SA"/>
                    </w:rPr>
                  </w:pPr>
                  <w:r>
                    <w:rPr>
                      <w:rFonts w:hint="eastAsia" w:ascii="宋体" w:hAnsi="宋体" w:eastAsia="宋体" w:cs="宋体"/>
                      <w:b/>
                      <w:bCs/>
                      <w:color w:val="auto"/>
                      <w:kern w:val="0"/>
                      <w:sz w:val="18"/>
                      <w:szCs w:val="18"/>
                      <w:lang w:val="en-US" w:eastAsia="zh-CN"/>
                    </w:rPr>
                    <w:t>1</w:t>
                  </w:r>
                </w:p>
              </w:tc>
              <w:tc>
                <w:tcPr>
                  <w:tcW w:w="303" w:type="pct"/>
                  <w:tcBorders>
                    <w:tl2br w:val="nil"/>
                    <w:tr2bl w:val="nil"/>
                  </w:tcBorders>
                  <w:vAlign w:val="center"/>
                </w:tcPr>
                <w:p w14:paraId="21DCE525">
                  <w:pPr>
                    <w:widowControl/>
                    <w:jc w:val="center"/>
                    <w:rPr>
                      <w:rFonts w:hint="eastAsia" w:ascii="宋体" w:hAnsi="宋体" w:eastAsia="宋体" w:cs="宋体"/>
                      <w:b/>
                      <w:bCs/>
                      <w:color w:val="auto"/>
                      <w:kern w:val="0"/>
                      <w:sz w:val="18"/>
                      <w:szCs w:val="18"/>
                      <w:lang w:val="en-US" w:eastAsia="zh-CN" w:bidi="ar-SA"/>
                    </w:rPr>
                  </w:pPr>
                  <w:r>
                    <w:rPr>
                      <w:rFonts w:hint="eastAsia" w:ascii="宋体" w:hAnsi="宋体" w:eastAsia="宋体" w:cs="宋体"/>
                      <w:b/>
                      <w:bCs/>
                      <w:color w:val="auto"/>
                      <w:kern w:val="0"/>
                      <w:sz w:val="18"/>
                      <w:szCs w:val="18"/>
                      <w:lang w:val="en-US" w:eastAsia="zh-CN"/>
                    </w:rPr>
                    <w:t>16MmDR</w:t>
                  </w:r>
                </w:p>
              </w:tc>
              <w:tc>
                <w:tcPr>
                  <w:tcW w:w="350" w:type="pct"/>
                  <w:vMerge w:val="continue"/>
                  <w:tcBorders>
                    <w:tl2br w:val="nil"/>
                    <w:tr2bl w:val="nil"/>
                  </w:tcBorders>
                  <w:vAlign w:val="center"/>
                </w:tcPr>
                <w:p w14:paraId="75A39FA5">
                  <w:pPr>
                    <w:widowControl/>
                    <w:jc w:val="center"/>
                    <w:rPr>
                      <w:rFonts w:hint="eastAsia" w:ascii="宋体" w:hAnsi="宋体" w:eastAsia="宋体" w:cs="宋体"/>
                      <w:b/>
                      <w:bCs/>
                      <w:color w:val="auto"/>
                      <w:kern w:val="0"/>
                      <w:sz w:val="18"/>
                      <w:szCs w:val="18"/>
                      <w:lang w:val="en-US" w:eastAsia="zh-CN" w:bidi="ar-SA"/>
                    </w:rPr>
                  </w:pPr>
                </w:p>
              </w:tc>
            </w:tr>
            <w:tr w14:paraId="4707AF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 w:type="pct"/>
                  <w:tcBorders>
                    <w:tl2br w:val="nil"/>
                    <w:tr2bl w:val="nil"/>
                  </w:tcBorders>
                  <w:vAlign w:val="center"/>
                </w:tcPr>
                <w:p w14:paraId="276EB3C2">
                  <w:pPr>
                    <w:widowControl/>
                    <w:numPr>
                      <w:ilvl w:val="0"/>
                      <w:numId w:val="2"/>
                    </w:numPr>
                    <w:spacing w:line="280" w:lineRule="exact"/>
                    <w:jc w:val="center"/>
                    <w:rPr>
                      <w:rFonts w:hint="eastAsia" w:ascii="宋体" w:hAnsi="宋体" w:eastAsia="宋体" w:cs="宋体"/>
                      <w:b/>
                      <w:bCs/>
                      <w:color w:val="auto"/>
                      <w:kern w:val="0"/>
                      <w:sz w:val="18"/>
                      <w:szCs w:val="18"/>
                    </w:rPr>
                  </w:pPr>
                </w:p>
              </w:tc>
              <w:tc>
                <w:tcPr>
                  <w:tcW w:w="372" w:type="pct"/>
                  <w:tcBorders>
                    <w:tl2br w:val="nil"/>
                    <w:tr2bl w:val="nil"/>
                  </w:tcBorders>
                  <w:vAlign w:val="center"/>
                </w:tcPr>
                <w:p w14:paraId="0E445B71">
                  <w:pPr>
                    <w:widowControl/>
                    <w:spacing w:line="240" w:lineRule="exact"/>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液氯</w:t>
                  </w:r>
                  <w:r>
                    <w:rPr>
                      <w:rFonts w:hint="eastAsia" w:ascii="宋体" w:hAnsi="宋体" w:eastAsia="宋体" w:cs="宋体"/>
                      <w:b/>
                      <w:bCs/>
                      <w:color w:val="auto"/>
                      <w:kern w:val="0"/>
                      <w:sz w:val="18"/>
                      <w:szCs w:val="18"/>
                      <w:lang w:val="en-US" w:eastAsia="zh-CN"/>
                    </w:rPr>
                    <w:t>储罐</w:t>
                  </w:r>
                </w:p>
              </w:tc>
              <w:tc>
                <w:tcPr>
                  <w:tcW w:w="473" w:type="pct"/>
                  <w:tcBorders>
                    <w:tl2br w:val="nil"/>
                    <w:tr2bl w:val="nil"/>
                  </w:tcBorders>
                  <w:vAlign w:val="center"/>
                </w:tcPr>
                <w:p w14:paraId="30F6493F">
                  <w:pPr>
                    <w:widowControl/>
                    <w:jc w:val="center"/>
                    <w:rPr>
                      <w:rFonts w:hint="eastAsia" w:ascii="宋体" w:hAnsi="宋体" w:eastAsia="宋体" w:cs="宋体"/>
                      <w:b/>
                      <w:bCs/>
                      <w:color w:val="auto"/>
                      <w:kern w:val="0"/>
                      <w:sz w:val="18"/>
                      <w:szCs w:val="18"/>
                      <w:lang w:val="en-US"/>
                    </w:rPr>
                  </w:pPr>
                  <w:r>
                    <w:rPr>
                      <w:rFonts w:hint="eastAsia" w:ascii="宋体" w:hAnsi="宋体" w:eastAsia="宋体" w:cs="宋体"/>
                      <w:b/>
                      <w:bCs/>
                      <w:color w:val="auto"/>
                      <w:kern w:val="0"/>
                      <w:sz w:val="18"/>
                      <w:szCs w:val="18"/>
                    </w:rPr>
                    <w:t>V1</w:t>
                  </w:r>
                  <w:r>
                    <w:rPr>
                      <w:rFonts w:hint="eastAsia" w:ascii="宋体" w:hAnsi="宋体" w:eastAsia="宋体" w:cs="宋体"/>
                      <w:b/>
                      <w:bCs/>
                      <w:color w:val="auto"/>
                      <w:kern w:val="0"/>
                      <w:sz w:val="18"/>
                      <w:szCs w:val="18"/>
                      <w:lang w:val="en-US" w:eastAsia="zh-CN"/>
                    </w:rPr>
                    <w:t>600c</w:t>
                  </w:r>
                </w:p>
              </w:tc>
              <w:tc>
                <w:tcPr>
                  <w:tcW w:w="394" w:type="pct"/>
                  <w:tcBorders>
                    <w:tl2br w:val="nil"/>
                    <w:tr2bl w:val="nil"/>
                  </w:tcBorders>
                  <w:vAlign w:val="center"/>
                </w:tcPr>
                <w:p w14:paraId="485F61B4">
                  <w:pPr>
                    <w:pStyle w:val="3935"/>
                    <w:rPr>
                      <w:rFonts w:hint="eastAsia" w:ascii="宋体" w:hAnsi="宋体" w:eastAsia="宋体" w:cs="宋体"/>
                      <w:b/>
                      <w:bCs/>
                      <w:color w:val="auto"/>
                      <w:kern w:val="0"/>
                      <w:sz w:val="18"/>
                      <w:szCs w:val="18"/>
                    </w:rPr>
                  </w:pPr>
                  <w:r>
                    <w:rPr>
                      <w:rFonts w:hint="eastAsia" w:ascii="宋体" w:hAnsi="宋体" w:eastAsia="宋体" w:cs="宋体"/>
                      <w:b/>
                      <w:bCs/>
                      <w:color w:val="auto"/>
                      <w:sz w:val="18"/>
                      <w:szCs w:val="18"/>
                      <w:lang w:val="en-US" w:eastAsia="zh-CN"/>
                    </w:rPr>
                    <w:t>57m³</w:t>
                  </w:r>
                </w:p>
              </w:tc>
              <w:tc>
                <w:tcPr>
                  <w:tcW w:w="402" w:type="pct"/>
                  <w:tcBorders>
                    <w:tl2br w:val="nil"/>
                    <w:tr2bl w:val="nil"/>
                  </w:tcBorders>
                  <w:vAlign w:val="center"/>
                </w:tcPr>
                <w:p w14:paraId="78536798">
                  <w:pPr>
                    <w:widowControl/>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液氯</w:t>
                  </w:r>
                </w:p>
              </w:tc>
              <w:tc>
                <w:tcPr>
                  <w:tcW w:w="386" w:type="pct"/>
                  <w:tcBorders>
                    <w:tl2br w:val="nil"/>
                    <w:tr2bl w:val="nil"/>
                  </w:tcBorders>
                  <w:vAlign w:val="center"/>
                </w:tcPr>
                <w:p w14:paraId="4FAF21D8">
                  <w:pPr>
                    <w:widowControl/>
                    <w:jc w:val="center"/>
                    <w:textAlignment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lang w:val="en-US" w:eastAsia="zh-CN"/>
                    </w:rPr>
                    <w:t>-20~48</w:t>
                  </w:r>
                </w:p>
              </w:tc>
              <w:tc>
                <w:tcPr>
                  <w:tcW w:w="341" w:type="pct"/>
                  <w:tcBorders>
                    <w:tl2br w:val="nil"/>
                    <w:tr2bl w:val="nil"/>
                  </w:tcBorders>
                  <w:vAlign w:val="center"/>
                </w:tcPr>
                <w:p w14:paraId="0A0E94B1">
                  <w:pPr>
                    <w:widowControl/>
                    <w:jc w:val="center"/>
                    <w:textAlignment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lang w:val="en-US" w:eastAsia="zh-CN"/>
                    </w:rPr>
                    <w:t>1.25~-0.9</w:t>
                  </w:r>
                </w:p>
              </w:tc>
              <w:tc>
                <w:tcPr>
                  <w:tcW w:w="371" w:type="pct"/>
                  <w:tcBorders>
                    <w:tl2br w:val="nil"/>
                    <w:tr2bl w:val="nil"/>
                  </w:tcBorders>
                  <w:vAlign w:val="center"/>
                </w:tcPr>
                <w:p w14:paraId="75172458">
                  <w:pPr>
                    <w:widowControl/>
                    <w:jc w:val="center"/>
                    <w:textAlignment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lang w:val="en-US" w:eastAsia="zh-CN"/>
                    </w:rPr>
                    <w:t>-40~58</w:t>
                  </w:r>
                </w:p>
              </w:tc>
              <w:tc>
                <w:tcPr>
                  <w:tcW w:w="386" w:type="pct"/>
                  <w:tcBorders>
                    <w:tl2br w:val="nil"/>
                    <w:tr2bl w:val="nil"/>
                  </w:tcBorders>
                  <w:vAlign w:val="center"/>
                </w:tcPr>
                <w:p w14:paraId="3702496F">
                  <w:pPr>
                    <w:widowControl/>
                    <w:jc w:val="center"/>
                    <w:textAlignment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1.</w:t>
                  </w:r>
                  <w:r>
                    <w:rPr>
                      <w:rFonts w:hint="eastAsia" w:ascii="宋体" w:hAnsi="宋体" w:eastAsia="宋体" w:cs="宋体"/>
                      <w:b/>
                      <w:bCs/>
                      <w:color w:val="auto"/>
                      <w:kern w:val="0"/>
                      <w:sz w:val="18"/>
                      <w:szCs w:val="18"/>
                      <w:lang w:val="en-US" w:eastAsia="zh-CN"/>
                    </w:rPr>
                    <w:t>6</w:t>
                  </w:r>
                  <w:r>
                    <w:rPr>
                      <w:rFonts w:hint="eastAsia" w:ascii="宋体" w:hAnsi="宋体" w:eastAsia="宋体" w:cs="宋体"/>
                      <w:b/>
                      <w:bCs/>
                      <w:color w:val="auto"/>
                      <w:kern w:val="0"/>
                      <w:sz w:val="18"/>
                      <w:szCs w:val="18"/>
                    </w:rPr>
                    <w:t>2</w:t>
                  </w:r>
                  <w:r>
                    <w:rPr>
                      <w:rFonts w:hint="eastAsia" w:ascii="宋体" w:hAnsi="宋体" w:eastAsia="宋体" w:cs="宋体"/>
                      <w:b/>
                      <w:bCs/>
                      <w:color w:val="auto"/>
                      <w:kern w:val="0"/>
                      <w:sz w:val="18"/>
                      <w:szCs w:val="18"/>
                      <w:lang w:val="en-US" w:eastAsia="zh-CN"/>
                    </w:rPr>
                    <w:t>~-0.1</w:t>
                  </w:r>
                </w:p>
              </w:tc>
              <w:tc>
                <w:tcPr>
                  <w:tcW w:w="415" w:type="pct"/>
                  <w:tcBorders>
                    <w:tl2br w:val="nil"/>
                    <w:tr2bl w:val="nil"/>
                  </w:tcBorders>
                  <w:vAlign w:val="center"/>
                </w:tcPr>
                <w:p w14:paraId="4CEA549C">
                  <w:pPr>
                    <w:widowControl/>
                    <w:jc w:val="center"/>
                    <w:rPr>
                      <w:rFonts w:hint="eastAsia" w:ascii="宋体" w:hAnsi="宋体" w:eastAsia="宋体" w:cs="宋体"/>
                      <w:b/>
                      <w:bCs/>
                      <w:color w:val="auto"/>
                      <w:kern w:val="0"/>
                      <w:sz w:val="18"/>
                      <w:szCs w:val="18"/>
                      <w:lang w:eastAsia="zh-CN"/>
                    </w:rPr>
                  </w:pPr>
                  <w:r>
                    <w:rPr>
                      <w:rFonts w:hint="eastAsia" w:ascii="宋体" w:hAnsi="宋体" w:cs="宋体"/>
                      <w:b/>
                      <w:bCs/>
                      <w:color w:val="auto"/>
                      <w:kern w:val="0"/>
                      <w:sz w:val="18"/>
                      <w:szCs w:val="18"/>
                      <w:lang w:val="en-US" w:eastAsia="zh-CN"/>
                    </w:rPr>
                    <w:t>0</w:t>
                  </w:r>
                </w:p>
              </w:tc>
              <w:tc>
                <w:tcPr>
                  <w:tcW w:w="304" w:type="pct"/>
                  <w:tcBorders>
                    <w:tl2br w:val="nil"/>
                    <w:tr2bl w:val="nil"/>
                  </w:tcBorders>
                  <w:shd w:val="clear" w:color="auto" w:fill="auto"/>
                  <w:vAlign w:val="center"/>
                </w:tcPr>
                <w:p w14:paraId="4790DBED">
                  <w:pPr>
                    <w:widowControl/>
                    <w:jc w:val="center"/>
                    <w:rPr>
                      <w:rFonts w:hint="eastAsia" w:ascii="宋体" w:hAnsi="宋体" w:eastAsia="宋体" w:cs="宋体"/>
                      <w:b/>
                      <w:bCs/>
                      <w:color w:val="auto"/>
                      <w:kern w:val="0"/>
                      <w:sz w:val="18"/>
                      <w:szCs w:val="18"/>
                      <w:lang w:val="en-US" w:eastAsia="zh-CN" w:bidi="ar-SA"/>
                    </w:rPr>
                  </w:pPr>
                  <w:r>
                    <w:rPr>
                      <w:rFonts w:hint="eastAsia" w:ascii="宋体" w:hAnsi="宋体" w:eastAsia="宋体" w:cs="宋体"/>
                      <w:b/>
                      <w:bCs/>
                      <w:color w:val="auto"/>
                      <w:kern w:val="0"/>
                      <w:sz w:val="18"/>
                      <w:szCs w:val="18"/>
                    </w:rPr>
                    <w:t>1</w:t>
                  </w:r>
                </w:p>
              </w:tc>
              <w:tc>
                <w:tcPr>
                  <w:tcW w:w="290" w:type="pct"/>
                  <w:tcBorders>
                    <w:tl2br w:val="nil"/>
                    <w:tr2bl w:val="nil"/>
                  </w:tcBorders>
                  <w:shd w:val="clear" w:color="auto" w:fill="auto"/>
                  <w:vAlign w:val="center"/>
                </w:tcPr>
                <w:p w14:paraId="57726706">
                  <w:pPr>
                    <w:widowControl/>
                    <w:jc w:val="center"/>
                    <w:rPr>
                      <w:rFonts w:hint="eastAsia" w:ascii="宋体" w:hAnsi="宋体" w:eastAsia="宋体" w:cs="宋体"/>
                      <w:b/>
                      <w:bCs/>
                      <w:color w:val="auto"/>
                      <w:kern w:val="0"/>
                      <w:sz w:val="18"/>
                      <w:szCs w:val="18"/>
                      <w:lang w:val="en-US" w:eastAsia="zh-CN" w:bidi="ar-SA"/>
                    </w:rPr>
                  </w:pPr>
                  <w:r>
                    <w:rPr>
                      <w:rFonts w:hint="eastAsia" w:ascii="宋体" w:hAnsi="宋体" w:eastAsia="宋体" w:cs="宋体"/>
                      <w:b/>
                      <w:bCs/>
                      <w:color w:val="auto"/>
                      <w:kern w:val="0"/>
                      <w:sz w:val="18"/>
                      <w:szCs w:val="18"/>
                    </w:rPr>
                    <w:t>1</w:t>
                  </w:r>
                </w:p>
              </w:tc>
              <w:tc>
                <w:tcPr>
                  <w:tcW w:w="303" w:type="pct"/>
                  <w:tcBorders>
                    <w:tl2br w:val="nil"/>
                    <w:tr2bl w:val="nil"/>
                  </w:tcBorders>
                  <w:vAlign w:val="center"/>
                </w:tcPr>
                <w:p w14:paraId="1DD7AC63">
                  <w:pPr>
                    <w:widowControl/>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lang w:val="en-US" w:eastAsia="zh-CN"/>
                    </w:rPr>
                    <w:t>16MmDR</w:t>
                  </w:r>
                </w:p>
              </w:tc>
              <w:tc>
                <w:tcPr>
                  <w:tcW w:w="350" w:type="pct"/>
                  <w:vMerge w:val="continue"/>
                  <w:tcBorders>
                    <w:tl2br w:val="nil"/>
                    <w:tr2bl w:val="nil"/>
                  </w:tcBorders>
                  <w:vAlign w:val="center"/>
                </w:tcPr>
                <w:p w14:paraId="7CAB65DD">
                  <w:pPr>
                    <w:widowControl/>
                    <w:jc w:val="center"/>
                    <w:rPr>
                      <w:rFonts w:hint="eastAsia" w:ascii="宋体" w:hAnsi="宋体" w:eastAsia="宋体" w:cs="宋体"/>
                      <w:b/>
                      <w:bCs/>
                      <w:color w:val="auto"/>
                      <w:kern w:val="0"/>
                      <w:sz w:val="18"/>
                      <w:szCs w:val="18"/>
                    </w:rPr>
                  </w:pPr>
                </w:p>
              </w:tc>
            </w:tr>
            <w:tr w14:paraId="0D8736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 w:type="pct"/>
                  <w:tcBorders>
                    <w:tl2br w:val="nil"/>
                    <w:tr2bl w:val="nil"/>
                  </w:tcBorders>
                  <w:vAlign w:val="center"/>
                </w:tcPr>
                <w:p w14:paraId="59D7EF9B">
                  <w:pPr>
                    <w:widowControl/>
                    <w:numPr>
                      <w:ilvl w:val="0"/>
                      <w:numId w:val="2"/>
                    </w:numPr>
                    <w:spacing w:line="280" w:lineRule="exact"/>
                    <w:jc w:val="center"/>
                    <w:rPr>
                      <w:rFonts w:hint="eastAsia" w:ascii="宋体" w:hAnsi="宋体" w:eastAsia="宋体" w:cs="宋体"/>
                      <w:b/>
                      <w:bCs/>
                      <w:color w:val="auto"/>
                      <w:kern w:val="0"/>
                      <w:sz w:val="18"/>
                      <w:szCs w:val="18"/>
                    </w:rPr>
                  </w:pPr>
                </w:p>
              </w:tc>
              <w:tc>
                <w:tcPr>
                  <w:tcW w:w="372" w:type="pct"/>
                  <w:tcBorders>
                    <w:tl2br w:val="nil"/>
                    <w:tr2bl w:val="nil"/>
                  </w:tcBorders>
                  <w:vAlign w:val="center"/>
                </w:tcPr>
                <w:p w14:paraId="4F8A9008">
                  <w:pPr>
                    <w:widowControl/>
                    <w:spacing w:line="240" w:lineRule="exact"/>
                    <w:jc w:val="center"/>
                    <w:rPr>
                      <w:rFonts w:hint="eastAsia" w:ascii="宋体" w:hAnsi="宋体" w:eastAsia="宋体" w:cs="宋体"/>
                      <w:b/>
                      <w:bCs/>
                      <w:color w:val="auto"/>
                      <w:kern w:val="0"/>
                      <w:sz w:val="18"/>
                      <w:szCs w:val="18"/>
                      <w:lang w:eastAsia="zh-CN"/>
                    </w:rPr>
                  </w:pPr>
                  <w:r>
                    <w:rPr>
                      <w:rFonts w:hint="eastAsia" w:ascii="宋体" w:hAnsi="宋体" w:cs="宋体"/>
                      <w:b/>
                      <w:bCs/>
                      <w:color w:val="auto"/>
                      <w:kern w:val="0"/>
                      <w:sz w:val="18"/>
                      <w:szCs w:val="18"/>
                      <w:lang w:eastAsia="zh-CN"/>
                    </w:rPr>
                    <w:t>液氯集装箱罐车</w:t>
                  </w:r>
                </w:p>
              </w:tc>
              <w:tc>
                <w:tcPr>
                  <w:tcW w:w="473" w:type="pct"/>
                  <w:tcBorders>
                    <w:tl2br w:val="nil"/>
                    <w:tr2bl w:val="nil"/>
                  </w:tcBorders>
                  <w:vAlign w:val="center"/>
                </w:tcPr>
                <w:p w14:paraId="5F46711D">
                  <w:pPr>
                    <w:widowControl/>
                    <w:jc w:val="center"/>
                    <w:rPr>
                      <w:rFonts w:hint="eastAsia" w:ascii="宋体" w:hAnsi="宋体" w:eastAsia="宋体" w:cs="宋体"/>
                      <w:b/>
                      <w:bCs/>
                      <w:color w:val="auto"/>
                      <w:kern w:val="0"/>
                      <w:sz w:val="18"/>
                      <w:szCs w:val="18"/>
                      <w:lang w:val="en-US" w:eastAsia="zh-CN"/>
                    </w:rPr>
                  </w:pPr>
                  <w:r>
                    <w:rPr>
                      <w:rFonts w:hint="eastAsia" w:ascii="宋体" w:hAnsi="宋体" w:cs="宋体"/>
                      <w:b/>
                      <w:bCs/>
                      <w:color w:val="auto"/>
                      <w:kern w:val="0"/>
                      <w:sz w:val="18"/>
                      <w:szCs w:val="18"/>
                      <w:lang w:val="en-US" w:eastAsia="zh-CN"/>
                    </w:rPr>
                    <w:t>/</w:t>
                  </w:r>
                </w:p>
              </w:tc>
              <w:tc>
                <w:tcPr>
                  <w:tcW w:w="394" w:type="pct"/>
                  <w:tcBorders>
                    <w:tl2br w:val="nil"/>
                    <w:tr2bl w:val="nil"/>
                  </w:tcBorders>
                  <w:vAlign w:val="center"/>
                </w:tcPr>
                <w:p w14:paraId="5C4824A0">
                  <w:pPr>
                    <w:pStyle w:val="3935"/>
                    <w:rPr>
                      <w:rFonts w:hint="default" w:ascii="宋体" w:hAnsi="宋体" w:eastAsia="宋体" w:cs="宋体"/>
                      <w:b/>
                      <w:bCs/>
                      <w:color w:val="auto"/>
                      <w:sz w:val="18"/>
                      <w:szCs w:val="18"/>
                      <w:lang w:val="en-US" w:eastAsia="zh-CN"/>
                    </w:rPr>
                  </w:pPr>
                  <w:r>
                    <w:rPr>
                      <w:rFonts w:hint="eastAsia" w:ascii="宋体" w:hAnsi="宋体" w:cs="宋体"/>
                      <w:b/>
                      <w:bCs/>
                      <w:color w:val="auto"/>
                      <w:sz w:val="18"/>
                      <w:szCs w:val="18"/>
                      <w:lang w:val="en-US" w:eastAsia="zh-CN"/>
                    </w:rPr>
                    <w:t>21.667m</w:t>
                  </w:r>
                  <w:r>
                    <w:rPr>
                      <w:rFonts w:hint="eastAsia" w:ascii="宋体" w:hAnsi="宋体" w:cs="宋体"/>
                      <w:b/>
                      <w:bCs/>
                      <w:color w:val="auto"/>
                      <w:sz w:val="18"/>
                      <w:szCs w:val="18"/>
                      <w:vertAlign w:val="superscript"/>
                      <w:lang w:val="en-US" w:eastAsia="zh-CN"/>
                    </w:rPr>
                    <w:t>3</w:t>
                  </w:r>
                </w:p>
              </w:tc>
              <w:tc>
                <w:tcPr>
                  <w:tcW w:w="402" w:type="pct"/>
                  <w:tcBorders>
                    <w:tl2br w:val="nil"/>
                    <w:tr2bl w:val="nil"/>
                  </w:tcBorders>
                  <w:vAlign w:val="center"/>
                </w:tcPr>
                <w:p w14:paraId="31AD778B">
                  <w:pPr>
                    <w:widowControl/>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液氯</w:t>
                  </w:r>
                </w:p>
              </w:tc>
              <w:tc>
                <w:tcPr>
                  <w:tcW w:w="386" w:type="pct"/>
                  <w:tcBorders>
                    <w:tl2br w:val="nil"/>
                    <w:tr2bl w:val="nil"/>
                  </w:tcBorders>
                  <w:shd w:val="clear" w:color="auto" w:fill="auto"/>
                  <w:vAlign w:val="center"/>
                </w:tcPr>
                <w:p w14:paraId="388923B0">
                  <w:pPr>
                    <w:widowControl/>
                    <w:jc w:val="center"/>
                    <w:textAlignment w:val="center"/>
                    <w:rPr>
                      <w:rFonts w:hint="eastAsia" w:ascii="宋体" w:hAnsi="宋体" w:eastAsia="宋体" w:cs="宋体"/>
                      <w:b/>
                      <w:bCs/>
                      <w:color w:val="auto"/>
                      <w:kern w:val="0"/>
                      <w:sz w:val="18"/>
                      <w:szCs w:val="18"/>
                      <w:lang w:val="en-US" w:eastAsia="zh-CN" w:bidi="ar-SA"/>
                    </w:rPr>
                  </w:pPr>
                  <w:r>
                    <w:rPr>
                      <w:rFonts w:hint="eastAsia" w:ascii="宋体" w:hAnsi="宋体" w:eastAsia="宋体" w:cs="宋体"/>
                      <w:b/>
                      <w:bCs/>
                      <w:color w:val="auto"/>
                      <w:kern w:val="0"/>
                      <w:sz w:val="18"/>
                      <w:szCs w:val="18"/>
                      <w:lang w:val="en-US" w:eastAsia="zh-CN"/>
                    </w:rPr>
                    <w:t>-20~48</w:t>
                  </w:r>
                </w:p>
              </w:tc>
              <w:tc>
                <w:tcPr>
                  <w:tcW w:w="341" w:type="pct"/>
                  <w:tcBorders>
                    <w:tl2br w:val="nil"/>
                    <w:tr2bl w:val="nil"/>
                  </w:tcBorders>
                  <w:shd w:val="clear" w:color="auto" w:fill="auto"/>
                  <w:vAlign w:val="center"/>
                </w:tcPr>
                <w:p w14:paraId="3BCAC2EC">
                  <w:pPr>
                    <w:widowControl/>
                    <w:jc w:val="center"/>
                    <w:textAlignment w:val="center"/>
                    <w:rPr>
                      <w:rFonts w:hint="eastAsia" w:ascii="宋体" w:hAnsi="宋体" w:eastAsia="宋体" w:cs="宋体"/>
                      <w:b/>
                      <w:bCs/>
                      <w:color w:val="auto"/>
                      <w:kern w:val="0"/>
                      <w:sz w:val="18"/>
                      <w:szCs w:val="18"/>
                      <w:lang w:val="en-US" w:eastAsia="zh-CN" w:bidi="ar-SA"/>
                    </w:rPr>
                  </w:pPr>
                  <w:r>
                    <w:rPr>
                      <w:rFonts w:hint="eastAsia" w:ascii="宋体" w:hAnsi="宋体" w:eastAsia="宋体" w:cs="宋体"/>
                      <w:b/>
                      <w:bCs/>
                      <w:color w:val="auto"/>
                      <w:kern w:val="0"/>
                      <w:sz w:val="18"/>
                      <w:szCs w:val="18"/>
                      <w:lang w:val="en-US" w:eastAsia="zh-CN"/>
                    </w:rPr>
                    <w:t>1.25~-0.9</w:t>
                  </w:r>
                </w:p>
              </w:tc>
              <w:tc>
                <w:tcPr>
                  <w:tcW w:w="371" w:type="pct"/>
                  <w:tcBorders>
                    <w:tl2br w:val="nil"/>
                    <w:tr2bl w:val="nil"/>
                  </w:tcBorders>
                  <w:shd w:val="clear" w:color="auto" w:fill="auto"/>
                  <w:vAlign w:val="center"/>
                </w:tcPr>
                <w:p w14:paraId="71B26486">
                  <w:pPr>
                    <w:widowControl/>
                    <w:jc w:val="center"/>
                    <w:textAlignment w:val="center"/>
                    <w:rPr>
                      <w:rFonts w:hint="eastAsia" w:ascii="宋体" w:hAnsi="宋体" w:eastAsia="宋体" w:cs="宋体"/>
                      <w:b/>
                      <w:bCs/>
                      <w:color w:val="auto"/>
                      <w:kern w:val="0"/>
                      <w:sz w:val="18"/>
                      <w:szCs w:val="18"/>
                      <w:lang w:val="en-US" w:eastAsia="zh-CN" w:bidi="ar-SA"/>
                    </w:rPr>
                  </w:pPr>
                  <w:r>
                    <w:rPr>
                      <w:rFonts w:hint="eastAsia" w:ascii="宋体" w:hAnsi="宋体" w:eastAsia="宋体" w:cs="宋体"/>
                      <w:b/>
                      <w:bCs/>
                      <w:color w:val="auto"/>
                      <w:kern w:val="0"/>
                      <w:sz w:val="18"/>
                      <w:szCs w:val="18"/>
                      <w:lang w:val="en-US" w:eastAsia="zh-CN"/>
                    </w:rPr>
                    <w:t>-40~58</w:t>
                  </w:r>
                </w:p>
              </w:tc>
              <w:tc>
                <w:tcPr>
                  <w:tcW w:w="386" w:type="pct"/>
                  <w:tcBorders>
                    <w:tl2br w:val="nil"/>
                    <w:tr2bl w:val="nil"/>
                  </w:tcBorders>
                  <w:shd w:val="clear" w:color="auto" w:fill="auto"/>
                  <w:vAlign w:val="center"/>
                </w:tcPr>
                <w:p w14:paraId="6B7C51F9">
                  <w:pPr>
                    <w:widowControl/>
                    <w:jc w:val="center"/>
                    <w:textAlignment w:val="center"/>
                    <w:rPr>
                      <w:rFonts w:hint="eastAsia" w:ascii="宋体" w:hAnsi="宋体" w:eastAsia="宋体" w:cs="宋体"/>
                      <w:b/>
                      <w:bCs/>
                      <w:color w:val="auto"/>
                      <w:kern w:val="0"/>
                      <w:sz w:val="18"/>
                      <w:szCs w:val="18"/>
                      <w:lang w:val="en-US" w:eastAsia="zh-CN" w:bidi="ar-SA"/>
                    </w:rPr>
                  </w:pPr>
                  <w:r>
                    <w:rPr>
                      <w:rFonts w:hint="eastAsia" w:ascii="宋体" w:hAnsi="宋体" w:eastAsia="宋体" w:cs="宋体"/>
                      <w:b/>
                      <w:bCs/>
                      <w:color w:val="auto"/>
                      <w:kern w:val="0"/>
                      <w:sz w:val="18"/>
                      <w:szCs w:val="18"/>
                    </w:rPr>
                    <w:t>1.</w:t>
                  </w:r>
                  <w:r>
                    <w:rPr>
                      <w:rFonts w:hint="eastAsia" w:ascii="宋体" w:hAnsi="宋体" w:eastAsia="宋体" w:cs="宋体"/>
                      <w:b/>
                      <w:bCs/>
                      <w:color w:val="auto"/>
                      <w:kern w:val="0"/>
                      <w:sz w:val="18"/>
                      <w:szCs w:val="18"/>
                      <w:lang w:val="en-US" w:eastAsia="zh-CN"/>
                    </w:rPr>
                    <w:t>6</w:t>
                  </w:r>
                  <w:r>
                    <w:rPr>
                      <w:rFonts w:hint="eastAsia" w:ascii="宋体" w:hAnsi="宋体" w:eastAsia="宋体" w:cs="宋体"/>
                      <w:b/>
                      <w:bCs/>
                      <w:color w:val="auto"/>
                      <w:kern w:val="0"/>
                      <w:sz w:val="18"/>
                      <w:szCs w:val="18"/>
                    </w:rPr>
                    <w:t>2</w:t>
                  </w:r>
                  <w:r>
                    <w:rPr>
                      <w:rFonts w:hint="eastAsia" w:ascii="宋体" w:hAnsi="宋体" w:eastAsia="宋体" w:cs="宋体"/>
                      <w:b/>
                      <w:bCs/>
                      <w:color w:val="auto"/>
                      <w:kern w:val="0"/>
                      <w:sz w:val="18"/>
                      <w:szCs w:val="18"/>
                      <w:lang w:val="en-US" w:eastAsia="zh-CN"/>
                    </w:rPr>
                    <w:t>~-0.1</w:t>
                  </w:r>
                </w:p>
              </w:tc>
              <w:tc>
                <w:tcPr>
                  <w:tcW w:w="415" w:type="pct"/>
                  <w:tcBorders>
                    <w:tl2br w:val="nil"/>
                    <w:tr2bl w:val="nil"/>
                  </w:tcBorders>
                  <w:shd w:val="clear" w:color="auto" w:fill="auto"/>
                  <w:vAlign w:val="center"/>
                </w:tcPr>
                <w:p w14:paraId="6FD2DCD9">
                  <w:pPr>
                    <w:widowControl/>
                    <w:jc w:val="center"/>
                    <w:rPr>
                      <w:rFonts w:hint="eastAsia" w:ascii="宋体" w:hAnsi="宋体" w:eastAsia="宋体" w:cs="宋体"/>
                      <w:b/>
                      <w:bCs/>
                      <w:color w:val="auto"/>
                      <w:kern w:val="0"/>
                      <w:sz w:val="18"/>
                      <w:szCs w:val="18"/>
                      <w:lang w:val="en-US" w:eastAsia="zh-CN" w:bidi="ar-SA"/>
                    </w:rPr>
                  </w:pPr>
                  <w:r>
                    <w:rPr>
                      <w:rFonts w:hint="eastAsia" w:ascii="宋体" w:hAnsi="宋体" w:cs="宋体"/>
                      <w:b/>
                      <w:bCs/>
                      <w:color w:val="auto"/>
                      <w:kern w:val="0"/>
                      <w:sz w:val="18"/>
                      <w:szCs w:val="18"/>
                      <w:lang w:val="en-US" w:eastAsia="zh-CN"/>
                    </w:rPr>
                    <w:t>3（两用一备）</w:t>
                  </w:r>
                </w:p>
              </w:tc>
              <w:tc>
                <w:tcPr>
                  <w:tcW w:w="304" w:type="pct"/>
                  <w:tcBorders>
                    <w:tl2br w:val="nil"/>
                    <w:tr2bl w:val="nil"/>
                  </w:tcBorders>
                  <w:shd w:val="clear" w:color="auto" w:fill="auto"/>
                  <w:vAlign w:val="center"/>
                </w:tcPr>
                <w:p w14:paraId="598FC8DB">
                  <w:pPr>
                    <w:widowControl/>
                    <w:jc w:val="center"/>
                    <w:rPr>
                      <w:rFonts w:hint="eastAsia" w:ascii="宋体" w:hAnsi="宋体" w:eastAsia="宋体" w:cs="宋体"/>
                      <w:b/>
                      <w:bCs/>
                      <w:color w:val="auto"/>
                      <w:kern w:val="0"/>
                      <w:sz w:val="18"/>
                      <w:szCs w:val="18"/>
                      <w:lang w:val="en-US" w:eastAsia="zh-CN" w:bidi="ar-SA"/>
                    </w:rPr>
                  </w:pPr>
                  <w:r>
                    <w:rPr>
                      <w:rFonts w:hint="eastAsia" w:ascii="宋体" w:hAnsi="宋体" w:cs="宋体"/>
                      <w:b/>
                      <w:bCs/>
                      <w:color w:val="auto"/>
                      <w:kern w:val="0"/>
                      <w:sz w:val="18"/>
                      <w:szCs w:val="18"/>
                      <w:lang w:val="en-US" w:eastAsia="zh-CN"/>
                    </w:rPr>
                    <w:t>0</w:t>
                  </w:r>
                </w:p>
              </w:tc>
              <w:tc>
                <w:tcPr>
                  <w:tcW w:w="290" w:type="pct"/>
                  <w:tcBorders>
                    <w:tl2br w:val="nil"/>
                    <w:tr2bl w:val="nil"/>
                  </w:tcBorders>
                  <w:shd w:val="clear" w:color="auto" w:fill="auto"/>
                  <w:vAlign w:val="center"/>
                </w:tcPr>
                <w:p w14:paraId="7E4E5029">
                  <w:pPr>
                    <w:widowControl/>
                    <w:jc w:val="center"/>
                    <w:rPr>
                      <w:rFonts w:hint="default" w:ascii="宋体" w:hAnsi="宋体" w:eastAsia="宋体" w:cs="宋体"/>
                      <w:b/>
                      <w:bCs/>
                      <w:color w:val="auto"/>
                      <w:kern w:val="0"/>
                      <w:sz w:val="18"/>
                      <w:szCs w:val="18"/>
                      <w:lang w:val="en-US" w:eastAsia="zh-CN" w:bidi="ar-SA"/>
                    </w:rPr>
                  </w:pPr>
                  <w:r>
                    <w:rPr>
                      <w:rFonts w:hint="eastAsia" w:ascii="宋体" w:hAnsi="宋体" w:cs="宋体"/>
                      <w:b/>
                      <w:bCs/>
                      <w:color w:val="auto"/>
                      <w:kern w:val="0"/>
                      <w:sz w:val="18"/>
                      <w:szCs w:val="18"/>
                      <w:lang w:val="en-US" w:eastAsia="zh-CN"/>
                    </w:rPr>
                    <w:t>-3</w:t>
                  </w:r>
                </w:p>
              </w:tc>
              <w:tc>
                <w:tcPr>
                  <w:tcW w:w="303" w:type="pct"/>
                  <w:tcBorders>
                    <w:tl2br w:val="nil"/>
                    <w:tr2bl w:val="nil"/>
                  </w:tcBorders>
                  <w:vAlign w:val="center"/>
                </w:tcPr>
                <w:p w14:paraId="29AA7339">
                  <w:pPr>
                    <w:widowControl/>
                    <w:jc w:val="center"/>
                    <w:rPr>
                      <w:rFonts w:hint="eastAsia" w:ascii="宋体" w:hAnsi="宋体" w:eastAsia="宋体" w:cs="宋体"/>
                      <w:b/>
                      <w:bCs/>
                      <w:color w:val="auto"/>
                      <w:kern w:val="0"/>
                      <w:sz w:val="18"/>
                      <w:szCs w:val="18"/>
                      <w:lang w:val="en-US" w:eastAsia="zh-CN"/>
                    </w:rPr>
                  </w:pPr>
                  <w:r>
                    <w:rPr>
                      <w:rFonts w:hint="eastAsia" w:ascii="宋体" w:hAnsi="宋体" w:cs="宋体"/>
                      <w:b/>
                      <w:bCs/>
                      <w:color w:val="auto"/>
                      <w:kern w:val="0"/>
                      <w:sz w:val="18"/>
                      <w:szCs w:val="18"/>
                      <w:lang w:val="en-US" w:eastAsia="zh-CN"/>
                    </w:rPr>
                    <w:t>罐车</w:t>
                  </w:r>
                </w:p>
              </w:tc>
              <w:tc>
                <w:tcPr>
                  <w:tcW w:w="350" w:type="pct"/>
                  <w:vMerge w:val="continue"/>
                  <w:tcBorders>
                    <w:tl2br w:val="nil"/>
                    <w:tr2bl w:val="nil"/>
                  </w:tcBorders>
                  <w:vAlign w:val="center"/>
                </w:tcPr>
                <w:p w14:paraId="40A6FC39">
                  <w:pPr>
                    <w:widowControl/>
                    <w:jc w:val="center"/>
                    <w:rPr>
                      <w:rFonts w:hint="eastAsia" w:ascii="宋体" w:hAnsi="宋体" w:eastAsia="宋体" w:cs="宋体"/>
                      <w:b/>
                      <w:bCs/>
                      <w:color w:val="auto"/>
                      <w:kern w:val="0"/>
                      <w:sz w:val="18"/>
                      <w:szCs w:val="18"/>
                    </w:rPr>
                  </w:pPr>
                </w:p>
              </w:tc>
            </w:tr>
            <w:tr w14:paraId="5AB13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tcBorders>
                    <w:tl2br w:val="nil"/>
                    <w:tr2bl w:val="nil"/>
                  </w:tcBorders>
                  <w:vAlign w:val="center"/>
                </w:tcPr>
                <w:p w14:paraId="66094957">
                  <w:pPr>
                    <w:widowControl/>
                    <w:numPr>
                      <w:ilvl w:val="0"/>
                      <w:numId w:val="2"/>
                    </w:numPr>
                    <w:spacing w:line="280" w:lineRule="exact"/>
                    <w:jc w:val="center"/>
                    <w:rPr>
                      <w:rFonts w:hint="eastAsia" w:ascii="宋体" w:hAnsi="宋体" w:eastAsia="宋体" w:cs="宋体"/>
                      <w:b w:val="0"/>
                      <w:bCs w:val="0"/>
                      <w:color w:val="auto"/>
                      <w:kern w:val="0"/>
                      <w:sz w:val="18"/>
                      <w:szCs w:val="18"/>
                    </w:rPr>
                  </w:pPr>
                </w:p>
              </w:tc>
              <w:tc>
                <w:tcPr>
                  <w:tcW w:w="372" w:type="pct"/>
                  <w:tcBorders>
                    <w:tl2br w:val="nil"/>
                    <w:tr2bl w:val="nil"/>
                  </w:tcBorders>
                  <w:vAlign w:val="center"/>
                </w:tcPr>
                <w:p w14:paraId="777277C4">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cs="宋体"/>
                      <w:b w:val="0"/>
                      <w:bCs w:val="0"/>
                      <w:color w:val="auto"/>
                      <w:kern w:val="0"/>
                      <w:sz w:val="18"/>
                      <w:szCs w:val="18"/>
                      <w:lang w:val="en-US" w:eastAsia="zh-CN"/>
                    </w:rPr>
                    <w:t>增压气化</w:t>
                  </w:r>
                  <w:r>
                    <w:rPr>
                      <w:rFonts w:hint="eastAsia" w:ascii="宋体" w:hAnsi="宋体" w:eastAsia="宋体" w:cs="宋体"/>
                      <w:b w:val="0"/>
                      <w:bCs w:val="0"/>
                      <w:color w:val="auto"/>
                      <w:kern w:val="0"/>
                      <w:sz w:val="18"/>
                      <w:szCs w:val="18"/>
                    </w:rPr>
                    <w:t>器</w:t>
                  </w:r>
                </w:p>
              </w:tc>
              <w:tc>
                <w:tcPr>
                  <w:tcW w:w="473" w:type="pct"/>
                  <w:tcBorders>
                    <w:tl2br w:val="nil"/>
                    <w:tr2bl w:val="nil"/>
                  </w:tcBorders>
                  <w:vAlign w:val="center"/>
                </w:tcPr>
                <w:p w14:paraId="02D1AF6A">
                  <w:pPr>
                    <w:widowControl/>
                    <w:spacing w:line="240" w:lineRule="exact"/>
                    <w:jc w:val="center"/>
                    <w:rPr>
                      <w:rFonts w:hint="eastAsia" w:ascii="宋体" w:hAnsi="宋体" w:eastAsia="宋体" w:cs="宋体"/>
                      <w:b w:val="0"/>
                      <w:bCs w:val="0"/>
                      <w:color w:val="auto"/>
                      <w:kern w:val="0"/>
                      <w:sz w:val="18"/>
                      <w:szCs w:val="18"/>
                      <w:lang w:val="en-US" w:eastAsia="zh-CN"/>
                    </w:rPr>
                  </w:pPr>
                  <w:r>
                    <w:rPr>
                      <w:rFonts w:hint="eastAsia" w:ascii="宋体" w:hAnsi="宋体" w:eastAsia="宋体" w:cs="宋体"/>
                      <w:b w:val="0"/>
                      <w:bCs w:val="0"/>
                      <w:color w:val="auto"/>
                      <w:kern w:val="0"/>
                      <w:sz w:val="18"/>
                      <w:szCs w:val="18"/>
                    </w:rPr>
                    <w:t>E</w:t>
                  </w:r>
                  <w:r>
                    <w:rPr>
                      <w:rFonts w:hint="eastAsia" w:ascii="宋体" w:hAnsi="宋体" w:eastAsia="宋体" w:cs="宋体"/>
                      <w:b w:val="0"/>
                      <w:bCs w:val="0"/>
                      <w:color w:val="auto"/>
                      <w:kern w:val="0"/>
                      <w:sz w:val="18"/>
                      <w:szCs w:val="18"/>
                      <w:lang w:val="en-US" w:eastAsia="zh-CN"/>
                    </w:rPr>
                    <w:t>1609</w:t>
                  </w:r>
                </w:p>
              </w:tc>
              <w:tc>
                <w:tcPr>
                  <w:tcW w:w="394" w:type="pct"/>
                  <w:tcBorders>
                    <w:tl2br w:val="nil"/>
                    <w:tr2bl w:val="nil"/>
                  </w:tcBorders>
                  <w:vAlign w:val="center"/>
                </w:tcPr>
                <w:p w14:paraId="3E3870BC">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sz w:val="18"/>
                      <w:szCs w:val="18"/>
                      <w:lang w:val="en-US" w:eastAsia="zh-CN"/>
                    </w:rPr>
                    <w:t>10</w:t>
                  </w:r>
                  <w:r>
                    <w:rPr>
                      <w:rFonts w:hint="eastAsia" w:ascii="宋体" w:hAnsi="宋体" w:eastAsia="宋体" w:cs="宋体"/>
                      <w:b w:val="0"/>
                      <w:bCs w:val="0"/>
                      <w:color w:val="auto"/>
                      <w:kern w:val="0"/>
                      <w:sz w:val="18"/>
                      <w:szCs w:val="18"/>
                    </w:rPr>
                    <w:t>m</w:t>
                  </w:r>
                  <w:r>
                    <w:rPr>
                      <w:rFonts w:hint="eastAsia" w:ascii="宋体" w:hAnsi="宋体" w:eastAsia="宋体" w:cs="宋体"/>
                      <w:b w:val="0"/>
                      <w:bCs w:val="0"/>
                      <w:color w:val="auto"/>
                      <w:kern w:val="0"/>
                      <w:sz w:val="18"/>
                      <w:szCs w:val="18"/>
                      <w:vertAlign w:val="superscript"/>
                    </w:rPr>
                    <w:t>2</w:t>
                  </w:r>
                </w:p>
              </w:tc>
              <w:tc>
                <w:tcPr>
                  <w:tcW w:w="402" w:type="pct"/>
                  <w:tcBorders>
                    <w:tl2br w:val="nil"/>
                    <w:tr2bl w:val="nil"/>
                  </w:tcBorders>
                  <w:vAlign w:val="center"/>
                </w:tcPr>
                <w:p w14:paraId="3F59592B">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液氯</w:t>
                  </w:r>
                </w:p>
              </w:tc>
              <w:tc>
                <w:tcPr>
                  <w:tcW w:w="386" w:type="pct"/>
                  <w:tcBorders>
                    <w:tl2br w:val="nil"/>
                    <w:tr2bl w:val="nil"/>
                  </w:tcBorders>
                  <w:vAlign w:val="center"/>
                </w:tcPr>
                <w:p w14:paraId="0768039D">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40</w:t>
                  </w:r>
                  <w:r>
                    <w:rPr>
                      <w:rFonts w:hint="eastAsia" w:ascii="宋体" w:hAnsi="宋体" w:eastAsia="宋体" w:cs="宋体"/>
                      <w:b w:val="0"/>
                      <w:bCs w:val="0"/>
                      <w:color w:val="auto"/>
                      <w:kern w:val="0"/>
                      <w:sz w:val="18"/>
                      <w:szCs w:val="18"/>
                      <w:lang w:val="en-US" w:eastAsia="zh-CN"/>
                    </w:rPr>
                    <w:t>~75</w:t>
                  </w:r>
                </w:p>
              </w:tc>
              <w:tc>
                <w:tcPr>
                  <w:tcW w:w="341" w:type="pct"/>
                  <w:tcBorders>
                    <w:tl2br w:val="nil"/>
                    <w:tr2bl w:val="nil"/>
                  </w:tcBorders>
                  <w:vAlign w:val="center"/>
                </w:tcPr>
                <w:p w14:paraId="6AE032FE">
                  <w:pPr>
                    <w:widowControl/>
                    <w:spacing w:line="240" w:lineRule="exact"/>
                    <w:jc w:val="center"/>
                    <w:rPr>
                      <w:rFonts w:hint="eastAsia" w:ascii="宋体" w:hAnsi="宋体" w:eastAsia="宋体" w:cs="宋体"/>
                      <w:b w:val="0"/>
                      <w:bCs w:val="0"/>
                      <w:color w:val="auto"/>
                      <w:kern w:val="0"/>
                      <w:sz w:val="18"/>
                      <w:szCs w:val="18"/>
                      <w:lang w:eastAsia="zh-CN"/>
                    </w:rPr>
                  </w:pPr>
                  <w:r>
                    <w:rPr>
                      <w:rFonts w:hint="eastAsia" w:ascii="宋体" w:hAnsi="宋体" w:eastAsia="宋体" w:cs="宋体"/>
                      <w:b w:val="0"/>
                      <w:bCs w:val="0"/>
                      <w:color w:val="auto"/>
                      <w:kern w:val="0"/>
                      <w:sz w:val="18"/>
                      <w:szCs w:val="18"/>
                      <w:lang w:val="en-US" w:eastAsia="zh-CN"/>
                    </w:rPr>
                    <w:t>1.0</w:t>
                  </w:r>
                </w:p>
              </w:tc>
              <w:tc>
                <w:tcPr>
                  <w:tcW w:w="371" w:type="pct"/>
                  <w:tcBorders>
                    <w:tl2br w:val="nil"/>
                    <w:tr2bl w:val="nil"/>
                  </w:tcBorders>
                  <w:vAlign w:val="center"/>
                </w:tcPr>
                <w:p w14:paraId="12FC8883">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lang w:val="en-US" w:eastAsia="zh-CN"/>
                    </w:rPr>
                    <w:t>-</w:t>
                  </w:r>
                  <w:r>
                    <w:rPr>
                      <w:rFonts w:hint="eastAsia" w:ascii="宋体" w:hAnsi="宋体" w:eastAsia="宋体" w:cs="宋体"/>
                      <w:b w:val="0"/>
                      <w:bCs w:val="0"/>
                      <w:color w:val="auto"/>
                      <w:kern w:val="0"/>
                      <w:sz w:val="18"/>
                      <w:szCs w:val="18"/>
                    </w:rPr>
                    <w:t>40</w:t>
                  </w:r>
                  <w:r>
                    <w:rPr>
                      <w:rFonts w:hint="eastAsia" w:ascii="宋体" w:hAnsi="宋体" w:eastAsia="宋体" w:cs="宋体"/>
                      <w:b w:val="0"/>
                      <w:bCs w:val="0"/>
                      <w:color w:val="auto"/>
                      <w:kern w:val="0"/>
                      <w:sz w:val="18"/>
                      <w:szCs w:val="18"/>
                      <w:lang w:val="en-US" w:eastAsia="zh-CN"/>
                    </w:rPr>
                    <w:t>~75</w:t>
                  </w:r>
                </w:p>
              </w:tc>
              <w:tc>
                <w:tcPr>
                  <w:tcW w:w="386" w:type="pct"/>
                  <w:tcBorders>
                    <w:tl2br w:val="nil"/>
                    <w:tr2bl w:val="nil"/>
                  </w:tcBorders>
                  <w:vAlign w:val="center"/>
                </w:tcPr>
                <w:p w14:paraId="71AD7E46">
                  <w:pPr>
                    <w:widowControl/>
                    <w:spacing w:line="240" w:lineRule="exact"/>
                    <w:jc w:val="center"/>
                    <w:rPr>
                      <w:rFonts w:hint="eastAsia" w:ascii="宋体" w:hAnsi="宋体" w:eastAsia="宋体" w:cs="宋体"/>
                      <w:b w:val="0"/>
                      <w:bCs w:val="0"/>
                      <w:color w:val="auto"/>
                      <w:kern w:val="0"/>
                      <w:sz w:val="18"/>
                      <w:szCs w:val="18"/>
                      <w:lang w:eastAsia="zh-CN"/>
                    </w:rPr>
                  </w:pPr>
                  <w:r>
                    <w:rPr>
                      <w:rFonts w:hint="eastAsia" w:ascii="宋体" w:hAnsi="宋体" w:eastAsia="宋体" w:cs="宋体"/>
                      <w:b w:val="0"/>
                      <w:bCs w:val="0"/>
                      <w:color w:val="auto"/>
                      <w:kern w:val="0"/>
                      <w:sz w:val="18"/>
                      <w:szCs w:val="18"/>
                      <w:lang w:val="en-US" w:eastAsia="zh-CN"/>
                    </w:rPr>
                    <w:t>2.5</w:t>
                  </w:r>
                </w:p>
              </w:tc>
              <w:tc>
                <w:tcPr>
                  <w:tcW w:w="415" w:type="pct"/>
                  <w:tcBorders>
                    <w:tl2br w:val="nil"/>
                    <w:tr2bl w:val="nil"/>
                  </w:tcBorders>
                  <w:vAlign w:val="center"/>
                </w:tcPr>
                <w:p w14:paraId="35C16A71">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1</w:t>
                  </w:r>
                </w:p>
              </w:tc>
              <w:tc>
                <w:tcPr>
                  <w:tcW w:w="304" w:type="pct"/>
                  <w:tcBorders>
                    <w:tl2br w:val="nil"/>
                    <w:tr2bl w:val="nil"/>
                  </w:tcBorders>
                  <w:shd w:val="clear" w:color="auto" w:fill="auto"/>
                  <w:vAlign w:val="center"/>
                </w:tcPr>
                <w:p w14:paraId="59DA7461">
                  <w:pPr>
                    <w:widowControl/>
                    <w:spacing w:line="240" w:lineRule="exac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1</w:t>
                  </w:r>
                </w:p>
              </w:tc>
              <w:tc>
                <w:tcPr>
                  <w:tcW w:w="290" w:type="pct"/>
                  <w:tcBorders>
                    <w:tl2br w:val="nil"/>
                    <w:tr2bl w:val="nil"/>
                  </w:tcBorders>
                  <w:vAlign w:val="center"/>
                </w:tcPr>
                <w:p w14:paraId="195672C1">
                  <w:pPr>
                    <w:widowControl/>
                    <w:spacing w:line="240" w:lineRule="exact"/>
                    <w:jc w:val="center"/>
                    <w:rPr>
                      <w:rFonts w:hint="default" w:ascii="宋体" w:hAnsi="宋体" w:eastAsia="宋体" w:cs="宋体"/>
                      <w:b w:val="0"/>
                      <w:bCs w:val="0"/>
                      <w:color w:val="auto"/>
                      <w:kern w:val="0"/>
                      <w:sz w:val="18"/>
                      <w:szCs w:val="18"/>
                      <w:lang w:val="en-US" w:eastAsia="zh-CN"/>
                    </w:rPr>
                  </w:pPr>
                  <w:r>
                    <w:rPr>
                      <w:rFonts w:hint="eastAsia" w:ascii="宋体" w:hAnsi="宋体" w:cs="宋体"/>
                      <w:b w:val="0"/>
                      <w:bCs w:val="0"/>
                      <w:color w:val="auto"/>
                      <w:kern w:val="0"/>
                      <w:sz w:val="18"/>
                      <w:szCs w:val="18"/>
                      <w:lang w:val="en-US" w:eastAsia="zh-CN"/>
                    </w:rPr>
                    <w:t>0</w:t>
                  </w:r>
                </w:p>
              </w:tc>
              <w:tc>
                <w:tcPr>
                  <w:tcW w:w="303" w:type="pct"/>
                  <w:tcBorders>
                    <w:tl2br w:val="nil"/>
                    <w:tr2bl w:val="nil"/>
                  </w:tcBorders>
                  <w:vAlign w:val="center"/>
                </w:tcPr>
                <w:p w14:paraId="746A244C">
                  <w:pPr>
                    <w:widowControl/>
                    <w:spacing w:line="240" w:lineRule="exac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Q235B</w:t>
                  </w:r>
                </w:p>
              </w:tc>
              <w:tc>
                <w:tcPr>
                  <w:tcW w:w="350" w:type="pct"/>
                  <w:tcBorders>
                    <w:tl2br w:val="nil"/>
                    <w:tr2bl w:val="nil"/>
                  </w:tcBorders>
                  <w:vAlign w:val="center"/>
                </w:tcPr>
                <w:p w14:paraId="00CE3C38">
                  <w:pPr>
                    <w:widowControl/>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lang w:val="en-US" w:eastAsia="zh-CN"/>
                    </w:rPr>
                    <w:t>利旧</w:t>
                  </w:r>
                </w:p>
              </w:tc>
            </w:tr>
            <w:tr w14:paraId="2F75CA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tcBorders>
                    <w:tl2br w:val="nil"/>
                    <w:tr2bl w:val="nil"/>
                  </w:tcBorders>
                  <w:vAlign w:val="center"/>
                </w:tcPr>
                <w:p w14:paraId="61ABD699">
                  <w:pPr>
                    <w:widowControl/>
                    <w:numPr>
                      <w:ilvl w:val="0"/>
                      <w:numId w:val="2"/>
                    </w:numPr>
                    <w:spacing w:line="280" w:lineRule="exact"/>
                    <w:jc w:val="center"/>
                    <w:rPr>
                      <w:rFonts w:hint="eastAsia" w:ascii="宋体" w:hAnsi="宋体" w:eastAsia="宋体" w:cs="宋体"/>
                      <w:b w:val="0"/>
                      <w:bCs w:val="0"/>
                      <w:color w:val="auto"/>
                      <w:kern w:val="0"/>
                      <w:sz w:val="18"/>
                      <w:szCs w:val="18"/>
                    </w:rPr>
                  </w:pPr>
                </w:p>
              </w:tc>
              <w:tc>
                <w:tcPr>
                  <w:tcW w:w="372" w:type="pct"/>
                  <w:tcBorders>
                    <w:tl2br w:val="nil"/>
                    <w:tr2bl w:val="nil"/>
                  </w:tcBorders>
                  <w:vAlign w:val="center"/>
                </w:tcPr>
                <w:p w14:paraId="4A19C847">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吸收循环罐</w:t>
                  </w:r>
                </w:p>
              </w:tc>
              <w:tc>
                <w:tcPr>
                  <w:tcW w:w="473" w:type="pct"/>
                  <w:tcBorders>
                    <w:tl2br w:val="nil"/>
                    <w:tr2bl w:val="nil"/>
                  </w:tcBorders>
                  <w:vAlign w:val="center"/>
                </w:tcPr>
                <w:p w14:paraId="1B955A6D">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V-1605</w:t>
                  </w:r>
                </w:p>
              </w:tc>
              <w:tc>
                <w:tcPr>
                  <w:tcW w:w="394" w:type="pct"/>
                  <w:tcBorders>
                    <w:tl2br w:val="nil"/>
                    <w:tr2bl w:val="nil"/>
                  </w:tcBorders>
                  <w:vAlign w:val="center"/>
                </w:tcPr>
                <w:p w14:paraId="69C19FA8">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Φ1200×1000</w:t>
                  </w:r>
                </w:p>
              </w:tc>
              <w:tc>
                <w:tcPr>
                  <w:tcW w:w="402" w:type="pct"/>
                  <w:tcBorders>
                    <w:tl2br w:val="nil"/>
                    <w:tr2bl w:val="nil"/>
                  </w:tcBorders>
                  <w:vAlign w:val="center"/>
                </w:tcPr>
                <w:p w14:paraId="514A1A38">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氯气、稀碱水</w:t>
                  </w:r>
                </w:p>
              </w:tc>
              <w:tc>
                <w:tcPr>
                  <w:tcW w:w="386" w:type="pct"/>
                  <w:tcBorders>
                    <w:tl2br w:val="nil"/>
                    <w:tr2bl w:val="nil"/>
                  </w:tcBorders>
                  <w:vAlign w:val="center"/>
                </w:tcPr>
                <w:p w14:paraId="37C490BD">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常温</w:t>
                  </w:r>
                </w:p>
              </w:tc>
              <w:tc>
                <w:tcPr>
                  <w:tcW w:w="341" w:type="pct"/>
                  <w:tcBorders>
                    <w:tl2br w:val="nil"/>
                    <w:tr2bl w:val="nil"/>
                  </w:tcBorders>
                  <w:vAlign w:val="center"/>
                </w:tcPr>
                <w:p w14:paraId="1AEA7981">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常压</w:t>
                  </w:r>
                </w:p>
              </w:tc>
              <w:tc>
                <w:tcPr>
                  <w:tcW w:w="371" w:type="pct"/>
                  <w:tcBorders>
                    <w:tl2br w:val="nil"/>
                    <w:tr2bl w:val="nil"/>
                  </w:tcBorders>
                  <w:vAlign w:val="center"/>
                </w:tcPr>
                <w:p w14:paraId="6A917FF0">
                  <w:pPr>
                    <w:widowControl/>
                    <w:spacing w:line="240" w:lineRule="exac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60</w:t>
                  </w:r>
                </w:p>
              </w:tc>
              <w:tc>
                <w:tcPr>
                  <w:tcW w:w="386" w:type="pct"/>
                  <w:tcBorders>
                    <w:tl2br w:val="nil"/>
                    <w:tr2bl w:val="nil"/>
                  </w:tcBorders>
                  <w:vAlign w:val="center"/>
                </w:tcPr>
                <w:p w14:paraId="2AF2DAD1">
                  <w:pPr>
                    <w:widowControl/>
                    <w:spacing w:line="240" w:lineRule="exac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lang w:val="en-US" w:eastAsia="zh-CN"/>
                    </w:rPr>
                    <w:t>0.05</w:t>
                  </w:r>
                </w:p>
              </w:tc>
              <w:tc>
                <w:tcPr>
                  <w:tcW w:w="415" w:type="pct"/>
                  <w:tcBorders>
                    <w:tl2br w:val="nil"/>
                    <w:tr2bl w:val="nil"/>
                  </w:tcBorders>
                  <w:vAlign w:val="center"/>
                </w:tcPr>
                <w:p w14:paraId="3ABD0B02">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2</w:t>
                  </w:r>
                </w:p>
              </w:tc>
              <w:tc>
                <w:tcPr>
                  <w:tcW w:w="304" w:type="pct"/>
                  <w:tcBorders>
                    <w:tl2br w:val="nil"/>
                    <w:tr2bl w:val="nil"/>
                  </w:tcBorders>
                  <w:shd w:val="clear" w:color="auto" w:fill="auto"/>
                  <w:vAlign w:val="center"/>
                </w:tcPr>
                <w:p w14:paraId="5E697E44">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2</w:t>
                  </w:r>
                </w:p>
              </w:tc>
              <w:tc>
                <w:tcPr>
                  <w:tcW w:w="290" w:type="pct"/>
                  <w:tcBorders>
                    <w:tl2br w:val="nil"/>
                    <w:tr2bl w:val="nil"/>
                  </w:tcBorders>
                  <w:vAlign w:val="center"/>
                </w:tcPr>
                <w:p w14:paraId="13B897E8">
                  <w:pPr>
                    <w:spacing w:line="240" w:lineRule="atLeast"/>
                    <w:jc w:val="center"/>
                    <w:rPr>
                      <w:rFonts w:hint="default" w:ascii="宋体" w:hAnsi="宋体" w:eastAsia="宋体" w:cs="宋体"/>
                      <w:b w:val="0"/>
                      <w:bCs w:val="0"/>
                      <w:color w:val="auto"/>
                      <w:kern w:val="0"/>
                      <w:sz w:val="18"/>
                      <w:szCs w:val="18"/>
                      <w:lang w:val="en-US" w:eastAsia="zh-CN"/>
                    </w:rPr>
                  </w:pPr>
                  <w:r>
                    <w:rPr>
                      <w:rFonts w:hint="eastAsia" w:ascii="宋体" w:hAnsi="宋体" w:cs="宋体"/>
                      <w:b w:val="0"/>
                      <w:bCs w:val="0"/>
                      <w:color w:val="auto"/>
                      <w:kern w:val="0"/>
                      <w:sz w:val="18"/>
                      <w:szCs w:val="18"/>
                      <w:lang w:val="en-US" w:eastAsia="zh-CN"/>
                    </w:rPr>
                    <w:t>0</w:t>
                  </w:r>
                </w:p>
              </w:tc>
              <w:tc>
                <w:tcPr>
                  <w:tcW w:w="303" w:type="pct"/>
                  <w:tcBorders>
                    <w:tl2br w:val="nil"/>
                    <w:tr2bl w:val="nil"/>
                  </w:tcBorders>
                  <w:vAlign w:val="center"/>
                </w:tcPr>
                <w:p w14:paraId="7D8FA1B0">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PP</w:t>
                  </w:r>
                </w:p>
              </w:tc>
              <w:tc>
                <w:tcPr>
                  <w:tcW w:w="350" w:type="pct"/>
                  <w:tcBorders>
                    <w:tl2br w:val="nil"/>
                    <w:tr2bl w:val="nil"/>
                  </w:tcBorders>
                  <w:vAlign w:val="center"/>
                </w:tcPr>
                <w:p w14:paraId="273EF6F8">
                  <w:pPr>
                    <w:widowControl/>
                    <w:jc w:val="center"/>
                    <w:rPr>
                      <w:rFonts w:hint="eastAsia" w:ascii="宋体" w:hAnsi="宋体" w:eastAsia="宋体" w:cs="宋体"/>
                      <w:b w:val="0"/>
                      <w:bCs w:val="0"/>
                      <w:color w:val="auto"/>
                      <w:kern w:val="0"/>
                      <w:sz w:val="18"/>
                      <w:szCs w:val="18"/>
                      <w:lang w:val="en-US" w:eastAsia="zh-CN"/>
                    </w:rPr>
                  </w:pPr>
                  <w:r>
                    <w:rPr>
                      <w:rFonts w:hint="eastAsia" w:ascii="宋体" w:hAnsi="宋体" w:eastAsia="宋体" w:cs="宋体"/>
                      <w:b w:val="0"/>
                      <w:bCs w:val="0"/>
                      <w:color w:val="auto"/>
                      <w:kern w:val="0"/>
                      <w:sz w:val="18"/>
                      <w:szCs w:val="18"/>
                      <w:lang w:val="en-US" w:eastAsia="zh-CN"/>
                    </w:rPr>
                    <w:t>利旧</w:t>
                  </w:r>
                </w:p>
              </w:tc>
            </w:tr>
            <w:tr w14:paraId="40E626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tcBorders>
                    <w:tl2br w:val="nil"/>
                    <w:tr2bl w:val="nil"/>
                  </w:tcBorders>
                  <w:vAlign w:val="center"/>
                </w:tcPr>
                <w:p w14:paraId="0DC13616">
                  <w:pPr>
                    <w:widowControl/>
                    <w:numPr>
                      <w:ilvl w:val="0"/>
                      <w:numId w:val="2"/>
                    </w:numPr>
                    <w:spacing w:line="280" w:lineRule="exact"/>
                    <w:jc w:val="center"/>
                    <w:rPr>
                      <w:rFonts w:hint="eastAsia" w:ascii="宋体" w:hAnsi="宋体" w:eastAsia="宋体" w:cs="宋体"/>
                      <w:b w:val="0"/>
                      <w:bCs w:val="0"/>
                      <w:color w:val="auto"/>
                      <w:kern w:val="0"/>
                      <w:sz w:val="18"/>
                      <w:szCs w:val="18"/>
                    </w:rPr>
                  </w:pPr>
                </w:p>
              </w:tc>
              <w:tc>
                <w:tcPr>
                  <w:tcW w:w="372" w:type="pct"/>
                  <w:tcBorders>
                    <w:tl2br w:val="nil"/>
                    <w:tr2bl w:val="nil"/>
                  </w:tcBorders>
                  <w:vAlign w:val="center"/>
                </w:tcPr>
                <w:p w14:paraId="270FE663">
                  <w:pPr>
                    <w:spacing w:line="240" w:lineRule="atLeas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吸收循环罐</w:t>
                  </w:r>
                </w:p>
              </w:tc>
              <w:tc>
                <w:tcPr>
                  <w:tcW w:w="473" w:type="pct"/>
                  <w:tcBorders>
                    <w:tl2br w:val="nil"/>
                    <w:tr2bl w:val="nil"/>
                  </w:tcBorders>
                  <w:vAlign w:val="center"/>
                </w:tcPr>
                <w:p w14:paraId="39B655B2">
                  <w:pPr>
                    <w:spacing w:line="240" w:lineRule="atLeas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V-1606</w:t>
                  </w:r>
                </w:p>
              </w:tc>
              <w:tc>
                <w:tcPr>
                  <w:tcW w:w="394" w:type="pct"/>
                  <w:tcBorders>
                    <w:tl2br w:val="nil"/>
                    <w:tr2bl w:val="nil"/>
                  </w:tcBorders>
                  <w:vAlign w:val="center"/>
                </w:tcPr>
                <w:p w14:paraId="4CDA2090">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Φ1200×1000</w:t>
                  </w:r>
                </w:p>
              </w:tc>
              <w:tc>
                <w:tcPr>
                  <w:tcW w:w="402" w:type="pct"/>
                  <w:tcBorders>
                    <w:tl2br w:val="nil"/>
                    <w:tr2bl w:val="nil"/>
                  </w:tcBorders>
                  <w:vAlign w:val="center"/>
                </w:tcPr>
                <w:p w14:paraId="63700793">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氯气、稀碱水</w:t>
                  </w:r>
                </w:p>
              </w:tc>
              <w:tc>
                <w:tcPr>
                  <w:tcW w:w="386" w:type="pct"/>
                  <w:tcBorders>
                    <w:tl2br w:val="nil"/>
                    <w:tr2bl w:val="nil"/>
                  </w:tcBorders>
                  <w:vAlign w:val="center"/>
                </w:tcPr>
                <w:p w14:paraId="0DB7E97C">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常温</w:t>
                  </w:r>
                </w:p>
              </w:tc>
              <w:tc>
                <w:tcPr>
                  <w:tcW w:w="341" w:type="pct"/>
                  <w:tcBorders>
                    <w:tl2br w:val="nil"/>
                    <w:tr2bl w:val="nil"/>
                  </w:tcBorders>
                  <w:vAlign w:val="center"/>
                </w:tcPr>
                <w:p w14:paraId="3B063159">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常压</w:t>
                  </w:r>
                </w:p>
              </w:tc>
              <w:tc>
                <w:tcPr>
                  <w:tcW w:w="371" w:type="pct"/>
                  <w:tcBorders>
                    <w:tl2br w:val="nil"/>
                    <w:tr2bl w:val="nil"/>
                  </w:tcBorders>
                  <w:vAlign w:val="center"/>
                </w:tcPr>
                <w:p w14:paraId="757BB323">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常温</w:t>
                  </w:r>
                </w:p>
              </w:tc>
              <w:tc>
                <w:tcPr>
                  <w:tcW w:w="386" w:type="pct"/>
                  <w:tcBorders>
                    <w:tl2br w:val="nil"/>
                    <w:tr2bl w:val="nil"/>
                  </w:tcBorders>
                  <w:vAlign w:val="center"/>
                </w:tcPr>
                <w:p w14:paraId="5D03E4E0">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常压</w:t>
                  </w:r>
                </w:p>
              </w:tc>
              <w:tc>
                <w:tcPr>
                  <w:tcW w:w="415" w:type="pct"/>
                  <w:tcBorders>
                    <w:tl2br w:val="nil"/>
                    <w:tr2bl w:val="nil"/>
                  </w:tcBorders>
                  <w:vAlign w:val="center"/>
                </w:tcPr>
                <w:p w14:paraId="39C2843C">
                  <w:pPr>
                    <w:spacing w:line="240" w:lineRule="atLeast"/>
                    <w:jc w:val="center"/>
                    <w:rPr>
                      <w:rFonts w:hint="eastAsia" w:ascii="宋体" w:hAnsi="宋体" w:eastAsia="宋体" w:cs="宋体"/>
                      <w:b w:val="0"/>
                      <w:bCs w:val="0"/>
                      <w:color w:val="auto"/>
                      <w:kern w:val="0"/>
                      <w:sz w:val="18"/>
                      <w:szCs w:val="18"/>
                      <w:lang w:val="en-US" w:eastAsia="zh-CN"/>
                    </w:rPr>
                  </w:pPr>
                  <w:r>
                    <w:rPr>
                      <w:rFonts w:hint="eastAsia" w:ascii="宋体" w:hAnsi="宋体" w:eastAsia="宋体" w:cs="宋体"/>
                      <w:b w:val="0"/>
                      <w:bCs w:val="0"/>
                      <w:color w:val="auto"/>
                      <w:kern w:val="0"/>
                      <w:sz w:val="18"/>
                      <w:szCs w:val="18"/>
                      <w:lang w:val="en-US" w:eastAsia="zh-CN"/>
                    </w:rPr>
                    <w:t>1</w:t>
                  </w:r>
                </w:p>
              </w:tc>
              <w:tc>
                <w:tcPr>
                  <w:tcW w:w="304" w:type="pct"/>
                  <w:tcBorders>
                    <w:tl2br w:val="nil"/>
                    <w:tr2bl w:val="nil"/>
                  </w:tcBorders>
                  <w:shd w:val="clear" w:color="auto" w:fill="auto"/>
                  <w:vAlign w:val="center"/>
                </w:tcPr>
                <w:p w14:paraId="42EFB2C3">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lang w:val="en-US" w:eastAsia="zh-CN"/>
                    </w:rPr>
                    <w:t>1</w:t>
                  </w:r>
                </w:p>
              </w:tc>
              <w:tc>
                <w:tcPr>
                  <w:tcW w:w="290" w:type="pct"/>
                  <w:tcBorders>
                    <w:tl2br w:val="nil"/>
                    <w:tr2bl w:val="nil"/>
                  </w:tcBorders>
                  <w:vAlign w:val="center"/>
                </w:tcPr>
                <w:p w14:paraId="4FE5C13B">
                  <w:pPr>
                    <w:spacing w:line="240" w:lineRule="atLeast"/>
                    <w:jc w:val="center"/>
                    <w:rPr>
                      <w:rFonts w:hint="default" w:ascii="宋体" w:hAnsi="宋体" w:eastAsia="宋体" w:cs="宋体"/>
                      <w:b w:val="0"/>
                      <w:bCs w:val="0"/>
                      <w:color w:val="auto"/>
                      <w:kern w:val="0"/>
                      <w:sz w:val="18"/>
                      <w:szCs w:val="18"/>
                      <w:lang w:val="en-US" w:eastAsia="zh-CN"/>
                    </w:rPr>
                  </w:pPr>
                  <w:r>
                    <w:rPr>
                      <w:rFonts w:hint="eastAsia" w:ascii="宋体" w:hAnsi="宋体" w:cs="宋体"/>
                      <w:b w:val="0"/>
                      <w:bCs w:val="0"/>
                      <w:color w:val="auto"/>
                      <w:kern w:val="0"/>
                      <w:sz w:val="18"/>
                      <w:szCs w:val="18"/>
                      <w:lang w:val="en-US" w:eastAsia="zh-CN"/>
                    </w:rPr>
                    <w:t>0</w:t>
                  </w:r>
                </w:p>
              </w:tc>
              <w:tc>
                <w:tcPr>
                  <w:tcW w:w="303" w:type="pct"/>
                  <w:tcBorders>
                    <w:tl2br w:val="nil"/>
                    <w:tr2bl w:val="nil"/>
                  </w:tcBorders>
                  <w:vAlign w:val="center"/>
                </w:tcPr>
                <w:p w14:paraId="29E754F3">
                  <w:pPr>
                    <w:spacing w:line="240" w:lineRule="atLeas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sz w:val="18"/>
                      <w:szCs w:val="18"/>
                    </w:rPr>
                    <w:t>PP</w:t>
                  </w:r>
                </w:p>
              </w:tc>
              <w:tc>
                <w:tcPr>
                  <w:tcW w:w="350" w:type="pct"/>
                  <w:tcBorders>
                    <w:tl2br w:val="nil"/>
                    <w:tr2bl w:val="nil"/>
                  </w:tcBorders>
                  <w:vAlign w:val="center"/>
                </w:tcPr>
                <w:p w14:paraId="42B2059C">
                  <w:pPr>
                    <w:widowControl/>
                    <w:jc w:val="center"/>
                    <w:rPr>
                      <w:rFonts w:hint="eastAsia" w:ascii="宋体" w:hAnsi="宋体" w:eastAsia="宋体" w:cs="宋体"/>
                      <w:b w:val="0"/>
                      <w:bCs w:val="0"/>
                      <w:color w:val="auto"/>
                      <w:kern w:val="0"/>
                      <w:sz w:val="18"/>
                      <w:szCs w:val="18"/>
                      <w:lang w:val="en-US" w:eastAsia="zh-CN"/>
                    </w:rPr>
                  </w:pPr>
                  <w:r>
                    <w:rPr>
                      <w:rFonts w:hint="eastAsia" w:ascii="宋体" w:hAnsi="宋体" w:eastAsia="宋体" w:cs="宋体"/>
                      <w:b w:val="0"/>
                      <w:bCs w:val="0"/>
                      <w:color w:val="auto"/>
                      <w:kern w:val="0"/>
                      <w:sz w:val="18"/>
                      <w:szCs w:val="18"/>
                      <w:lang w:val="en-US" w:eastAsia="zh-CN"/>
                    </w:rPr>
                    <w:t>利旧</w:t>
                  </w:r>
                </w:p>
              </w:tc>
            </w:tr>
            <w:tr w14:paraId="2BAFCD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tcBorders>
                    <w:tl2br w:val="nil"/>
                    <w:tr2bl w:val="nil"/>
                  </w:tcBorders>
                  <w:vAlign w:val="center"/>
                </w:tcPr>
                <w:p w14:paraId="4E6AFEDB">
                  <w:pPr>
                    <w:widowControl/>
                    <w:numPr>
                      <w:ilvl w:val="0"/>
                      <w:numId w:val="2"/>
                    </w:numPr>
                    <w:spacing w:line="280" w:lineRule="exact"/>
                    <w:jc w:val="center"/>
                    <w:rPr>
                      <w:rFonts w:hint="eastAsia" w:ascii="宋体" w:hAnsi="宋体" w:eastAsia="宋体" w:cs="宋体"/>
                      <w:b w:val="0"/>
                      <w:bCs w:val="0"/>
                      <w:color w:val="auto"/>
                      <w:kern w:val="0"/>
                      <w:sz w:val="18"/>
                      <w:szCs w:val="18"/>
                    </w:rPr>
                  </w:pPr>
                </w:p>
              </w:tc>
              <w:tc>
                <w:tcPr>
                  <w:tcW w:w="372" w:type="pct"/>
                  <w:tcBorders>
                    <w:tl2br w:val="nil"/>
                    <w:tr2bl w:val="nil"/>
                  </w:tcBorders>
                  <w:vAlign w:val="center"/>
                </w:tcPr>
                <w:p w14:paraId="21B5CCFC">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吸收塔</w:t>
                  </w:r>
                </w:p>
              </w:tc>
              <w:tc>
                <w:tcPr>
                  <w:tcW w:w="473" w:type="pct"/>
                  <w:tcBorders>
                    <w:tl2br w:val="nil"/>
                    <w:tr2bl w:val="nil"/>
                  </w:tcBorders>
                  <w:vAlign w:val="center"/>
                </w:tcPr>
                <w:p w14:paraId="3DDD6F1C">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kern w:val="28"/>
                      <w:sz w:val="18"/>
                      <w:szCs w:val="18"/>
                      <w:lang w:val="en-US" w:eastAsia="zh-CN" w:bidi="ar-SA"/>
                    </w:rPr>
                    <w:t>T-1601</w:t>
                  </w:r>
                </w:p>
              </w:tc>
              <w:tc>
                <w:tcPr>
                  <w:tcW w:w="394" w:type="pct"/>
                  <w:tcBorders>
                    <w:tl2br w:val="nil"/>
                    <w:tr2bl w:val="nil"/>
                  </w:tcBorders>
                  <w:vAlign w:val="center"/>
                </w:tcPr>
                <w:p w14:paraId="1C8F0B37">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Φ</w:t>
                  </w:r>
                  <w:r>
                    <w:rPr>
                      <w:rFonts w:hint="eastAsia" w:ascii="宋体" w:hAnsi="宋体" w:eastAsia="宋体" w:cs="宋体"/>
                      <w:b w:val="0"/>
                      <w:bCs w:val="0"/>
                      <w:color w:val="auto"/>
                      <w:sz w:val="18"/>
                      <w:szCs w:val="18"/>
                      <w:lang w:val="en-US" w:eastAsia="zh-CN"/>
                    </w:rPr>
                    <w:t>45</w:t>
                  </w:r>
                  <w:r>
                    <w:rPr>
                      <w:rFonts w:hint="eastAsia" w:ascii="宋体" w:hAnsi="宋体" w:eastAsia="宋体" w:cs="宋体"/>
                      <w:b w:val="0"/>
                      <w:bCs w:val="0"/>
                      <w:color w:val="auto"/>
                      <w:sz w:val="18"/>
                      <w:szCs w:val="18"/>
                    </w:rPr>
                    <w:t>0×</w:t>
                  </w:r>
                  <w:r>
                    <w:rPr>
                      <w:rFonts w:hint="eastAsia" w:ascii="宋体" w:hAnsi="宋体" w:eastAsia="宋体" w:cs="宋体"/>
                      <w:b w:val="0"/>
                      <w:bCs w:val="0"/>
                      <w:color w:val="auto"/>
                      <w:sz w:val="18"/>
                      <w:szCs w:val="18"/>
                      <w:lang w:val="en-US" w:eastAsia="zh-CN"/>
                    </w:rPr>
                    <w:t>30</w:t>
                  </w:r>
                  <w:r>
                    <w:rPr>
                      <w:rFonts w:hint="eastAsia" w:ascii="宋体" w:hAnsi="宋体" w:eastAsia="宋体" w:cs="宋体"/>
                      <w:b w:val="0"/>
                      <w:bCs w:val="0"/>
                      <w:color w:val="auto"/>
                      <w:sz w:val="18"/>
                      <w:szCs w:val="18"/>
                    </w:rPr>
                    <w:t>00</w:t>
                  </w:r>
                </w:p>
              </w:tc>
              <w:tc>
                <w:tcPr>
                  <w:tcW w:w="402" w:type="pct"/>
                  <w:tcBorders>
                    <w:tl2br w:val="nil"/>
                    <w:tr2bl w:val="nil"/>
                  </w:tcBorders>
                  <w:vAlign w:val="center"/>
                </w:tcPr>
                <w:p w14:paraId="08AED410">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氯气、稀碱水</w:t>
                  </w:r>
                </w:p>
              </w:tc>
              <w:tc>
                <w:tcPr>
                  <w:tcW w:w="386" w:type="pct"/>
                  <w:tcBorders>
                    <w:tl2br w:val="nil"/>
                    <w:tr2bl w:val="nil"/>
                  </w:tcBorders>
                  <w:vAlign w:val="center"/>
                </w:tcPr>
                <w:p w14:paraId="6A608DAD">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常温</w:t>
                  </w:r>
                </w:p>
              </w:tc>
              <w:tc>
                <w:tcPr>
                  <w:tcW w:w="341" w:type="pct"/>
                  <w:tcBorders>
                    <w:tl2br w:val="nil"/>
                    <w:tr2bl w:val="nil"/>
                  </w:tcBorders>
                  <w:vAlign w:val="center"/>
                </w:tcPr>
                <w:p w14:paraId="23619BC6">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常压</w:t>
                  </w:r>
                </w:p>
              </w:tc>
              <w:tc>
                <w:tcPr>
                  <w:tcW w:w="371" w:type="pct"/>
                  <w:tcBorders>
                    <w:tl2br w:val="nil"/>
                    <w:tr2bl w:val="nil"/>
                  </w:tcBorders>
                  <w:vAlign w:val="center"/>
                </w:tcPr>
                <w:p w14:paraId="1659DE61">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常温</w:t>
                  </w:r>
                </w:p>
              </w:tc>
              <w:tc>
                <w:tcPr>
                  <w:tcW w:w="386" w:type="pct"/>
                  <w:tcBorders>
                    <w:tl2br w:val="nil"/>
                    <w:tr2bl w:val="nil"/>
                  </w:tcBorders>
                  <w:vAlign w:val="center"/>
                </w:tcPr>
                <w:p w14:paraId="501BB3A6">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常压</w:t>
                  </w:r>
                </w:p>
              </w:tc>
              <w:tc>
                <w:tcPr>
                  <w:tcW w:w="415" w:type="pct"/>
                  <w:tcBorders>
                    <w:tl2br w:val="nil"/>
                    <w:tr2bl w:val="nil"/>
                  </w:tcBorders>
                  <w:vAlign w:val="center"/>
                </w:tcPr>
                <w:p w14:paraId="1D520ED8">
                  <w:pPr>
                    <w:spacing w:line="240" w:lineRule="atLeas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sz w:val="18"/>
                      <w:szCs w:val="18"/>
                    </w:rPr>
                    <w:t>1</w:t>
                  </w:r>
                </w:p>
              </w:tc>
              <w:tc>
                <w:tcPr>
                  <w:tcW w:w="304" w:type="pct"/>
                  <w:tcBorders>
                    <w:tl2br w:val="nil"/>
                    <w:tr2bl w:val="nil"/>
                  </w:tcBorders>
                  <w:shd w:val="clear" w:color="auto" w:fill="auto"/>
                  <w:vAlign w:val="center"/>
                </w:tcPr>
                <w:p w14:paraId="7E8F9EA2">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sz w:val="18"/>
                      <w:szCs w:val="18"/>
                    </w:rPr>
                    <w:t>1</w:t>
                  </w:r>
                </w:p>
              </w:tc>
              <w:tc>
                <w:tcPr>
                  <w:tcW w:w="290" w:type="pct"/>
                  <w:tcBorders>
                    <w:tl2br w:val="nil"/>
                    <w:tr2bl w:val="nil"/>
                  </w:tcBorders>
                  <w:vAlign w:val="center"/>
                </w:tcPr>
                <w:p w14:paraId="0577E3BA">
                  <w:pPr>
                    <w:spacing w:line="240" w:lineRule="atLeast"/>
                    <w:jc w:val="center"/>
                    <w:rPr>
                      <w:rFonts w:hint="eastAsia" w:ascii="宋体" w:hAnsi="宋体" w:eastAsia="宋体" w:cs="宋体"/>
                      <w:b w:val="0"/>
                      <w:bCs w:val="0"/>
                      <w:color w:val="auto"/>
                      <w:sz w:val="18"/>
                      <w:szCs w:val="18"/>
                      <w:lang w:val="en-US" w:eastAsia="zh-CN"/>
                    </w:rPr>
                  </w:pPr>
                  <w:r>
                    <w:rPr>
                      <w:rFonts w:hint="eastAsia" w:ascii="宋体" w:hAnsi="宋体" w:cs="宋体"/>
                      <w:b w:val="0"/>
                      <w:bCs w:val="0"/>
                      <w:color w:val="auto"/>
                      <w:sz w:val="18"/>
                      <w:szCs w:val="18"/>
                      <w:lang w:val="en-US" w:eastAsia="zh-CN"/>
                    </w:rPr>
                    <w:t>0</w:t>
                  </w:r>
                </w:p>
              </w:tc>
              <w:tc>
                <w:tcPr>
                  <w:tcW w:w="303" w:type="pct"/>
                  <w:tcBorders>
                    <w:tl2br w:val="nil"/>
                    <w:tr2bl w:val="nil"/>
                  </w:tcBorders>
                  <w:vAlign w:val="center"/>
                </w:tcPr>
                <w:p w14:paraId="21833219">
                  <w:pPr>
                    <w:spacing w:line="240" w:lineRule="atLeas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sz w:val="18"/>
                      <w:szCs w:val="18"/>
                    </w:rPr>
                    <w:t>PP</w:t>
                  </w:r>
                </w:p>
              </w:tc>
              <w:tc>
                <w:tcPr>
                  <w:tcW w:w="350" w:type="pct"/>
                  <w:tcBorders>
                    <w:tl2br w:val="nil"/>
                    <w:tr2bl w:val="nil"/>
                  </w:tcBorders>
                  <w:vAlign w:val="center"/>
                </w:tcPr>
                <w:p w14:paraId="3E737234">
                  <w:pPr>
                    <w:widowControl/>
                    <w:jc w:val="center"/>
                    <w:rPr>
                      <w:rFonts w:hint="eastAsia" w:ascii="宋体" w:hAnsi="宋体" w:eastAsia="宋体" w:cs="宋体"/>
                      <w:b w:val="0"/>
                      <w:bCs w:val="0"/>
                      <w:color w:val="auto"/>
                      <w:kern w:val="0"/>
                      <w:sz w:val="18"/>
                      <w:szCs w:val="18"/>
                      <w:lang w:val="en-US" w:eastAsia="zh-CN"/>
                    </w:rPr>
                  </w:pPr>
                  <w:r>
                    <w:rPr>
                      <w:rFonts w:hint="eastAsia" w:ascii="宋体" w:hAnsi="宋体" w:eastAsia="宋体" w:cs="宋体"/>
                      <w:b w:val="0"/>
                      <w:bCs w:val="0"/>
                      <w:color w:val="auto"/>
                      <w:kern w:val="0"/>
                      <w:sz w:val="18"/>
                      <w:szCs w:val="18"/>
                      <w:lang w:val="en-US" w:eastAsia="zh-CN"/>
                    </w:rPr>
                    <w:t>利旧</w:t>
                  </w:r>
                </w:p>
              </w:tc>
            </w:tr>
            <w:tr w14:paraId="60AFBB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tcBorders>
                    <w:tl2br w:val="nil"/>
                    <w:tr2bl w:val="nil"/>
                  </w:tcBorders>
                  <w:vAlign w:val="center"/>
                </w:tcPr>
                <w:p w14:paraId="03925056">
                  <w:pPr>
                    <w:widowControl/>
                    <w:numPr>
                      <w:ilvl w:val="0"/>
                      <w:numId w:val="2"/>
                    </w:numPr>
                    <w:spacing w:line="280" w:lineRule="exact"/>
                    <w:jc w:val="center"/>
                    <w:rPr>
                      <w:rFonts w:hint="eastAsia" w:ascii="宋体" w:hAnsi="宋体" w:eastAsia="宋体" w:cs="宋体"/>
                      <w:b w:val="0"/>
                      <w:bCs w:val="0"/>
                      <w:color w:val="auto"/>
                      <w:kern w:val="0"/>
                      <w:sz w:val="18"/>
                      <w:szCs w:val="18"/>
                    </w:rPr>
                  </w:pPr>
                </w:p>
              </w:tc>
              <w:tc>
                <w:tcPr>
                  <w:tcW w:w="372" w:type="pct"/>
                  <w:tcBorders>
                    <w:tl2br w:val="nil"/>
                    <w:tr2bl w:val="nil"/>
                  </w:tcBorders>
                  <w:vAlign w:val="center"/>
                </w:tcPr>
                <w:p w14:paraId="3920B9B3">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吸收循环泵</w:t>
                  </w:r>
                </w:p>
              </w:tc>
              <w:tc>
                <w:tcPr>
                  <w:tcW w:w="473" w:type="pct"/>
                  <w:tcBorders>
                    <w:tl2br w:val="nil"/>
                    <w:tr2bl w:val="nil"/>
                  </w:tcBorders>
                  <w:vAlign w:val="center"/>
                </w:tcPr>
                <w:p w14:paraId="56A7B0C9">
                  <w:pPr>
                    <w:spacing w:line="240" w:lineRule="atLeas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P-1601</w:t>
                  </w:r>
                </w:p>
                <w:p w14:paraId="45FF121C">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P-1602</w:t>
                  </w:r>
                </w:p>
              </w:tc>
              <w:tc>
                <w:tcPr>
                  <w:tcW w:w="394" w:type="pct"/>
                  <w:tcBorders>
                    <w:tl2br w:val="nil"/>
                    <w:tr2bl w:val="nil"/>
                  </w:tcBorders>
                  <w:vAlign w:val="center"/>
                </w:tcPr>
                <w:p w14:paraId="6D26049E">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Q=25m</w:t>
                  </w:r>
                  <w:r>
                    <w:rPr>
                      <w:rFonts w:hint="eastAsia" w:ascii="宋体" w:hAnsi="宋体" w:eastAsia="宋体" w:cs="宋体"/>
                      <w:b w:val="0"/>
                      <w:bCs w:val="0"/>
                      <w:color w:val="auto"/>
                      <w:kern w:val="0"/>
                      <w:sz w:val="18"/>
                      <w:szCs w:val="18"/>
                      <w:vertAlign w:val="superscript"/>
                    </w:rPr>
                    <w:t>3</w:t>
                  </w:r>
                  <w:r>
                    <w:rPr>
                      <w:rFonts w:hint="eastAsia" w:ascii="宋体" w:hAnsi="宋体" w:eastAsia="宋体" w:cs="宋体"/>
                      <w:b w:val="0"/>
                      <w:bCs w:val="0"/>
                      <w:color w:val="auto"/>
                      <w:kern w:val="0"/>
                      <w:sz w:val="18"/>
                      <w:szCs w:val="18"/>
                    </w:rPr>
                    <w:t>/h</w:t>
                  </w:r>
                  <w:r>
                    <w:rPr>
                      <w:rFonts w:hint="eastAsia" w:ascii="宋体" w:hAnsi="宋体" w:cs="宋体"/>
                      <w:b w:val="0"/>
                      <w:bCs w:val="0"/>
                      <w:color w:val="auto"/>
                      <w:kern w:val="0"/>
                      <w:sz w:val="18"/>
                      <w:szCs w:val="18"/>
                      <w:lang w:eastAsia="zh-CN"/>
                    </w:rPr>
                    <w:t xml:space="preserve">, </w:t>
                  </w:r>
                  <w:r>
                    <w:rPr>
                      <w:rFonts w:hint="eastAsia" w:ascii="宋体" w:hAnsi="宋体" w:eastAsia="宋体" w:cs="宋体"/>
                      <w:b w:val="0"/>
                      <w:bCs w:val="0"/>
                      <w:color w:val="auto"/>
                      <w:kern w:val="0"/>
                      <w:sz w:val="18"/>
                      <w:szCs w:val="18"/>
                    </w:rPr>
                    <w:t>H=32m</w:t>
                  </w:r>
                  <w:r>
                    <w:rPr>
                      <w:rFonts w:hint="eastAsia" w:ascii="宋体" w:hAnsi="宋体" w:cs="宋体"/>
                      <w:b w:val="0"/>
                      <w:bCs w:val="0"/>
                      <w:color w:val="auto"/>
                      <w:kern w:val="0"/>
                      <w:sz w:val="18"/>
                      <w:szCs w:val="18"/>
                      <w:lang w:eastAsia="zh-CN"/>
                    </w:rPr>
                    <w:t>,</w:t>
                  </w:r>
                  <w:r>
                    <w:rPr>
                      <w:rFonts w:hint="eastAsia" w:ascii="宋体" w:hAnsi="宋体" w:eastAsia="宋体" w:cs="宋体"/>
                      <w:b w:val="0"/>
                      <w:bCs w:val="0"/>
                      <w:color w:val="auto"/>
                      <w:kern w:val="0"/>
                      <w:sz w:val="18"/>
                      <w:szCs w:val="18"/>
                    </w:rPr>
                    <w:t>5.5</w:t>
                  </w:r>
                  <w:r>
                    <w:rPr>
                      <w:rFonts w:hint="eastAsia" w:ascii="宋体" w:hAnsi="宋体" w:cs="宋体"/>
                      <w:b w:val="0"/>
                      <w:bCs w:val="0"/>
                      <w:color w:val="auto"/>
                      <w:kern w:val="0"/>
                      <w:sz w:val="18"/>
                      <w:szCs w:val="18"/>
                      <w:lang w:eastAsia="zh-CN"/>
                    </w:rPr>
                    <w:t>kW</w:t>
                  </w:r>
                </w:p>
              </w:tc>
              <w:tc>
                <w:tcPr>
                  <w:tcW w:w="402" w:type="pct"/>
                  <w:tcBorders>
                    <w:tl2br w:val="nil"/>
                    <w:tr2bl w:val="nil"/>
                  </w:tcBorders>
                  <w:vAlign w:val="center"/>
                </w:tcPr>
                <w:p w14:paraId="4C4D0F01">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稀碱水</w:t>
                  </w:r>
                </w:p>
              </w:tc>
              <w:tc>
                <w:tcPr>
                  <w:tcW w:w="386" w:type="pct"/>
                  <w:tcBorders>
                    <w:tl2br w:val="nil"/>
                    <w:tr2bl w:val="nil"/>
                  </w:tcBorders>
                  <w:vAlign w:val="center"/>
                </w:tcPr>
                <w:p w14:paraId="132D3DEF">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常温</w:t>
                  </w:r>
                </w:p>
              </w:tc>
              <w:tc>
                <w:tcPr>
                  <w:tcW w:w="341" w:type="pct"/>
                  <w:tcBorders>
                    <w:tl2br w:val="nil"/>
                    <w:tr2bl w:val="nil"/>
                  </w:tcBorders>
                  <w:vAlign w:val="center"/>
                </w:tcPr>
                <w:p w14:paraId="4DB1F744">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0.3</w:t>
                  </w:r>
                </w:p>
              </w:tc>
              <w:tc>
                <w:tcPr>
                  <w:tcW w:w="371" w:type="pct"/>
                  <w:tcBorders>
                    <w:tl2br w:val="nil"/>
                    <w:tr2bl w:val="nil"/>
                  </w:tcBorders>
                  <w:vAlign w:val="center"/>
                </w:tcPr>
                <w:p w14:paraId="72AFCD7C">
                  <w:pPr>
                    <w:spacing w:line="240" w:lineRule="atLeast"/>
                    <w:jc w:val="center"/>
                    <w:rPr>
                      <w:rFonts w:hint="default" w:ascii="宋体" w:hAnsi="宋体" w:eastAsia="宋体" w:cs="宋体"/>
                      <w:b w:val="0"/>
                      <w:bCs w:val="0"/>
                      <w:color w:val="auto"/>
                      <w:kern w:val="0"/>
                      <w:sz w:val="18"/>
                      <w:szCs w:val="18"/>
                      <w:lang w:val="en-US" w:eastAsia="zh-CN" w:bidi="ar-SA"/>
                    </w:rPr>
                  </w:pPr>
                  <w:r>
                    <w:rPr>
                      <w:rFonts w:hint="eastAsia" w:ascii="宋体" w:hAnsi="宋体" w:cs="宋体"/>
                      <w:b w:val="0"/>
                      <w:bCs w:val="0"/>
                      <w:color w:val="auto"/>
                      <w:kern w:val="0"/>
                      <w:sz w:val="18"/>
                      <w:szCs w:val="18"/>
                      <w:lang w:val="en-US" w:eastAsia="zh-CN" w:bidi="ar-SA"/>
                    </w:rPr>
                    <w:t>/</w:t>
                  </w:r>
                </w:p>
              </w:tc>
              <w:tc>
                <w:tcPr>
                  <w:tcW w:w="386" w:type="pct"/>
                  <w:tcBorders>
                    <w:tl2br w:val="nil"/>
                    <w:tr2bl w:val="nil"/>
                  </w:tcBorders>
                  <w:vAlign w:val="center"/>
                </w:tcPr>
                <w:p w14:paraId="6DAB2A8F">
                  <w:pPr>
                    <w:spacing w:line="240" w:lineRule="atLeast"/>
                    <w:jc w:val="center"/>
                    <w:rPr>
                      <w:rFonts w:hint="default" w:ascii="宋体" w:hAnsi="宋体" w:eastAsia="宋体" w:cs="宋体"/>
                      <w:b w:val="0"/>
                      <w:bCs w:val="0"/>
                      <w:color w:val="auto"/>
                      <w:kern w:val="0"/>
                      <w:sz w:val="18"/>
                      <w:szCs w:val="18"/>
                      <w:lang w:val="en-US" w:eastAsia="zh-CN" w:bidi="ar-SA"/>
                    </w:rPr>
                  </w:pPr>
                  <w:r>
                    <w:rPr>
                      <w:rFonts w:hint="eastAsia" w:ascii="宋体" w:hAnsi="宋体" w:cs="宋体"/>
                      <w:b w:val="0"/>
                      <w:bCs w:val="0"/>
                      <w:color w:val="auto"/>
                      <w:kern w:val="0"/>
                      <w:sz w:val="18"/>
                      <w:szCs w:val="18"/>
                      <w:lang w:val="en-US" w:eastAsia="zh-CN" w:bidi="ar-SA"/>
                    </w:rPr>
                    <w:t>/</w:t>
                  </w:r>
                </w:p>
              </w:tc>
              <w:tc>
                <w:tcPr>
                  <w:tcW w:w="415" w:type="pct"/>
                  <w:tcBorders>
                    <w:tl2br w:val="nil"/>
                    <w:tr2bl w:val="nil"/>
                  </w:tcBorders>
                  <w:vAlign w:val="center"/>
                </w:tcPr>
                <w:p w14:paraId="76421A04">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2</w:t>
                  </w:r>
                </w:p>
              </w:tc>
              <w:tc>
                <w:tcPr>
                  <w:tcW w:w="304" w:type="pct"/>
                  <w:tcBorders>
                    <w:tl2br w:val="nil"/>
                    <w:tr2bl w:val="nil"/>
                  </w:tcBorders>
                  <w:shd w:val="clear" w:color="auto" w:fill="auto"/>
                  <w:vAlign w:val="center"/>
                </w:tcPr>
                <w:p w14:paraId="6513D31D">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2</w:t>
                  </w:r>
                </w:p>
              </w:tc>
              <w:tc>
                <w:tcPr>
                  <w:tcW w:w="290" w:type="pct"/>
                  <w:tcBorders>
                    <w:tl2br w:val="nil"/>
                    <w:tr2bl w:val="nil"/>
                  </w:tcBorders>
                  <w:vAlign w:val="center"/>
                </w:tcPr>
                <w:p w14:paraId="3B391AA0">
                  <w:pPr>
                    <w:spacing w:line="240" w:lineRule="atLeast"/>
                    <w:jc w:val="center"/>
                    <w:rPr>
                      <w:rFonts w:hint="eastAsia" w:ascii="宋体" w:hAnsi="宋体" w:eastAsia="宋体" w:cs="宋体"/>
                      <w:b w:val="0"/>
                      <w:bCs w:val="0"/>
                      <w:color w:val="auto"/>
                      <w:kern w:val="0"/>
                      <w:sz w:val="18"/>
                      <w:szCs w:val="18"/>
                      <w:lang w:val="en-US" w:eastAsia="zh-CN"/>
                    </w:rPr>
                  </w:pPr>
                  <w:r>
                    <w:rPr>
                      <w:rFonts w:hint="eastAsia" w:ascii="宋体" w:hAnsi="宋体" w:cs="宋体"/>
                      <w:b w:val="0"/>
                      <w:bCs w:val="0"/>
                      <w:color w:val="auto"/>
                      <w:kern w:val="0"/>
                      <w:sz w:val="18"/>
                      <w:szCs w:val="18"/>
                      <w:lang w:val="en-US" w:eastAsia="zh-CN"/>
                    </w:rPr>
                    <w:t>0</w:t>
                  </w:r>
                </w:p>
              </w:tc>
              <w:tc>
                <w:tcPr>
                  <w:tcW w:w="303" w:type="pct"/>
                  <w:tcBorders>
                    <w:tl2br w:val="nil"/>
                    <w:tr2bl w:val="nil"/>
                  </w:tcBorders>
                  <w:vAlign w:val="center"/>
                </w:tcPr>
                <w:p w14:paraId="196A344C">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PP</w:t>
                  </w:r>
                </w:p>
              </w:tc>
              <w:tc>
                <w:tcPr>
                  <w:tcW w:w="350" w:type="pct"/>
                  <w:tcBorders>
                    <w:tl2br w:val="nil"/>
                    <w:tr2bl w:val="nil"/>
                  </w:tcBorders>
                  <w:vAlign w:val="center"/>
                </w:tcPr>
                <w:p w14:paraId="70D89B75">
                  <w:pPr>
                    <w:widowControl/>
                    <w:jc w:val="center"/>
                    <w:rPr>
                      <w:rFonts w:hint="eastAsia" w:ascii="宋体" w:hAnsi="宋体" w:eastAsia="宋体" w:cs="宋体"/>
                      <w:b w:val="0"/>
                      <w:bCs w:val="0"/>
                      <w:color w:val="auto"/>
                      <w:kern w:val="0"/>
                      <w:sz w:val="18"/>
                      <w:szCs w:val="18"/>
                      <w:lang w:val="en-US" w:eastAsia="zh-CN"/>
                    </w:rPr>
                  </w:pPr>
                  <w:r>
                    <w:rPr>
                      <w:rFonts w:hint="eastAsia" w:ascii="宋体" w:hAnsi="宋体" w:eastAsia="宋体" w:cs="宋体"/>
                      <w:b w:val="0"/>
                      <w:bCs w:val="0"/>
                      <w:color w:val="auto"/>
                      <w:kern w:val="0"/>
                      <w:sz w:val="18"/>
                      <w:szCs w:val="18"/>
                      <w:lang w:val="en-US" w:eastAsia="zh-CN"/>
                    </w:rPr>
                    <w:t>利旧</w:t>
                  </w:r>
                </w:p>
              </w:tc>
            </w:tr>
            <w:tr w14:paraId="7D0A17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tcBorders>
                    <w:tl2br w:val="nil"/>
                    <w:tr2bl w:val="nil"/>
                  </w:tcBorders>
                  <w:vAlign w:val="center"/>
                </w:tcPr>
                <w:p w14:paraId="30536403">
                  <w:pPr>
                    <w:widowControl/>
                    <w:numPr>
                      <w:ilvl w:val="0"/>
                      <w:numId w:val="2"/>
                    </w:numPr>
                    <w:spacing w:line="280" w:lineRule="exact"/>
                    <w:jc w:val="center"/>
                    <w:rPr>
                      <w:rFonts w:hint="eastAsia" w:ascii="宋体" w:hAnsi="宋体" w:eastAsia="宋体" w:cs="宋体"/>
                      <w:b w:val="0"/>
                      <w:bCs w:val="0"/>
                      <w:color w:val="auto"/>
                      <w:kern w:val="0"/>
                      <w:sz w:val="18"/>
                      <w:szCs w:val="18"/>
                    </w:rPr>
                  </w:pPr>
                </w:p>
              </w:tc>
              <w:tc>
                <w:tcPr>
                  <w:tcW w:w="372" w:type="pct"/>
                  <w:tcBorders>
                    <w:tl2br w:val="nil"/>
                    <w:tr2bl w:val="nil"/>
                  </w:tcBorders>
                  <w:vAlign w:val="center"/>
                </w:tcPr>
                <w:p w14:paraId="67ADCA87">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液碱罐</w:t>
                  </w:r>
                </w:p>
              </w:tc>
              <w:tc>
                <w:tcPr>
                  <w:tcW w:w="473" w:type="pct"/>
                  <w:tcBorders>
                    <w:tl2br w:val="nil"/>
                    <w:tr2bl w:val="nil"/>
                  </w:tcBorders>
                  <w:vAlign w:val="center"/>
                </w:tcPr>
                <w:p w14:paraId="461DF317">
                  <w:pPr>
                    <w:pStyle w:val="3935"/>
                    <w:spacing w:before="0" w:beforeAutospacing="0" w:after="0" w:afterAutospacing="0"/>
                    <w:ind w:left="0" w:leftChars="0" w:right="0"/>
                    <w:rPr>
                      <w:rFonts w:hint="default" w:ascii="宋体" w:hAnsi="宋体" w:eastAsia="宋体" w:cs="宋体"/>
                      <w:b w:val="0"/>
                      <w:bCs w:val="0"/>
                      <w:color w:val="auto"/>
                      <w:kern w:val="28"/>
                      <w:sz w:val="18"/>
                      <w:szCs w:val="18"/>
                      <w:lang w:val="en-US" w:eastAsia="zh-CN" w:bidi="ar-SA"/>
                    </w:rPr>
                  </w:pPr>
                  <w:r>
                    <w:rPr>
                      <w:rFonts w:hint="eastAsia" w:ascii="宋体" w:hAnsi="宋体" w:cs="宋体"/>
                      <w:b w:val="0"/>
                      <w:bCs w:val="0"/>
                      <w:color w:val="auto"/>
                      <w:kern w:val="28"/>
                      <w:sz w:val="18"/>
                      <w:szCs w:val="18"/>
                      <w:lang w:val="en-US" w:eastAsia="zh-CN" w:bidi="ar-SA"/>
                    </w:rPr>
                    <w:t>/</w:t>
                  </w:r>
                </w:p>
              </w:tc>
              <w:tc>
                <w:tcPr>
                  <w:tcW w:w="394" w:type="pct"/>
                  <w:tcBorders>
                    <w:tl2br w:val="nil"/>
                    <w:tr2bl w:val="nil"/>
                  </w:tcBorders>
                  <w:vAlign w:val="center"/>
                </w:tcPr>
                <w:p w14:paraId="6CA01DBB">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Φ</w:t>
                  </w:r>
                  <w:r>
                    <w:rPr>
                      <w:rFonts w:hint="eastAsia" w:ascii="宋体" w:hAnsi="宋体" w:eastAsia="宋体" w:cs="宋体"/>
                      <w:b w:val="0"/>
                      <w:bCs w:val="0"/>
                      <w:color w:val="auto"/>
                      <w:sz w:val="18"/>
                      <w:szCs w:val="18"/>
                      <w:lang w:val="en-US" w:eastAsia="zh-CN"/>
                    </w:rPr>
                    <w:t>40</w:t>
                  </w:r>
                  <w:r>
                    <w:rPr>
                      <w:rFonts w:hint="eastAsia" w:ascii="宋体" w:hAnsi="宋体" w:eastAsia="宋体" w:cs="宋体"/>
                      <w:b w:val="0"/>
                      <w:bCs w:val="0"/>
                      <w:color w:val="auto"/>
                      <w:sz w:val="18"/>
                      <w:szCs w:val="18"/>
                    </w:rPr>
                    <w:t>0</w:t>
                  </w:r>
                  <w:r>
                    <w:rPr>
                      <w:rFonts w:hint="eastAsia" w:ascii="宋体" w:hAnsi="宋体" w:eastAsia="宋体" w:cs="宋体"/>
                      <w:b w:val="0"/>
                      <w:bCs w:val="0"/>
                      <w:color w:val="auto"/>
                      <w:sz w:val="18"/>
                      <w:szCs w:val="18"/>
                      <w:lang w:val="en-US" w:eastAsia="zh-CN"/>
                    </w:rPr>
                    <w:t>0</w:t>
                  </w:r>
                  <w:r>
                    <w:rPr>
                      <w:rFonts w:hint="eastAsia" w:ascii="宋体" w:hAnsi="宋体" w:eastAsia="宋体" w:cs="宋体"/>
                      <w:b w:val="0"/>
                      <w:bCs w:val="0"/>
                      <w:color w:val="auto"/>
                      <w:sz w:val="18"/>
                      <w:szCs w:val="18"/>
                    </w:rPr>
                    <w:t>×</w:t>
                  </w:r>
                  <w:r>
                    <w:rPr>
                      <w:rFonts w:hint="eastAsia" w:ascii="宋体" w:hAnsi="宋体" w:eastAsia="宋体" w:cs="宋体"/>
                      <w:b w:val="0"/>
                      <w:bCs w:val="0"/>
                      <w:color w:val="auto"/>
                      <w:sz w:val="18"/>
                      <w:szCs w:val="18"/>
                      <w:lang w:val="en-US" w:eastAsia="zh-CN"/>
                    </w:rPr>
                    <w:t>45</w:t>
                  </w:r>
                  <w:r>
                    <w:rPr>
                      <w:rFonts w:hint="eastAsia" w:ascii="宋体" w:hAnsi="宋体" w:eastAsia="宋体" w:cs="宋体"/>
                      <w:b w:val="0"/>
                      <w:bCs w:val="0"/>
                      <w:color w:val="auto"/>
                      <w:sz w:val="18"/>
                      <w:szCs w:val="18"/>
                    </w:rPr>
                    <w:t>00</w:t>
                  </w:r>
                </w:p>
              </w:tc>
              <w:tc>
                <w:tcPr>
                  <w:tcW w:w="402" w:type="pct"/>
                  <w:tcBorders>
                    <w:tl2br w:val="nil"/>
                    <w:tr2bl w:val="nil"/>
                  </w:tcBorders>
                  <w:vAlign w:val="center"/>
                </w:tcPr>
                <w:p w14:paraId="7C022EDC">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液碱</w:t>
                  </w:r>
                </w:p>
              </w:tc>
              <w:tc>
                <w:tcPr>
                  <w:tcW w:w="386" w:type="pct"/>
                  <w:tcBorders>
                    <w:tl2br w:val="nil"/>
                    <w:tr2bl w:val="nil"/>
                  </w:tcBorders>
                  <w:vAlign w:val="center"/>
                </w:tcPr>
                <w:p w14:paraId="06E595E9">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常温</w:t>
                  </w:r>
                </w:p>
              </w:tc>
              <w:tc>
                <w:tcPr>
                  <w:tcW w:w="341" w:type="pct"/>
                  <w:tcBorders>
                    <w:tl2br w:val="nil"/>
                    <w:tr2bl w:val="nil"/>
                  </w:tcBorders>
                  <w:vAlign w:val="center"/>
                </w:tcPr>
                <w:p w14:paraId="51086168">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常压</w:t>
                  </w:r>
                </w:p>
              </w:tc>
              <w:tc>
                <w:tcPr>
                  <w:tcW w:w="371" w:type="pct"/>
                  <w:tcBorders>
                    <w:tl2br w:val="nil"/>
                    <w:tr2bl w:val="nil"/>
                  </w:tcBorders>
                  <w:vAlign w:val="center"/>
                </w:tcPr>
                <w:p w14:paraId="78E80F95">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常温</w:t>
                  </w:r>
                </w:p>
              </w:tc>
              <w:tc>
                <w:tcPr>
                  <w:tcW w:w="386" w:type="pct"/>
                  <w:tcBorders>
                    <w:tl2br w:val="nil"/>
                    <w:tr2bl w:val="nil"/>
                  </w:tcBorders>
                  <w:vAlign w:val="center"/>
                </w:tcPr>
                <w:p w14:paraId="0B54A8CF">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常压</w:t>
                  </w:r>
                </w:p>
              </w:tc>
              <w:tc>
                <w:tcPr>
                  <w:tcW w:w="415" w:type="pct"/>
                  <w:tcBorders>
                    <w:tl2br w:val="nil"/>
                    <w:tr2bl w:val="nil"/>
                  </w:tcBorders>
                  <w:vAlign w:val="center"/>
                </w:tcPr>
                <w:p w14:paraId="6F5E2896">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1</w:t>
                  </w:r>
                </w:p>
              </w:tc>
              <w:tc>
                <w:tcPr>
                  <w:tcW w:w="304" w:type="pct"/>
                  <w:tcBorders>
                    <w:tl2br w:val="nil"/>
                    <w:tr2bl w:val="nil"/>
                  </w:tcBorders>
                  <w:shd w:val="clear" w:color="auto" w:fill="auto"/>
                  <w:vAlign w:val="center"/>
                </w:tcPr>
                <w:p w14:paraId="59E58EBB">
                  <w:pPr>
                    <w:pStyle w:val="3935"/>
                    <w:spacing w:before="0" w:beforeAutospacing="0" w:after="0" w:afterAutospacing="0"/>
                    <w:ind w:left="0" w:leftChars="0" w:right="0" w:rightChars="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1</w:t>
                  </w:r>
                </w:p>
              </w:tc>
              <w:tc>
                <w:tcPr>
                  <w:tcW w:w="290" w:type="pct"/>
                  <w:tcBorders>
                    <w:tl2br w:val="nil"/>
                    <w:tr2bl w:val="nil"/>
                  </w:tcBorders>
                  <w:vAlign w:val="center"/>
                </w:tcPr>
                <w:p w14:paraId="080280C0">
                  <w:pPr>
                    <w:pStyle w:val="3935"/>
                    <w:spacing w:before="0" w:beforeAutospacing="0" w:after="0" w:afterAutospacing="0"/>
                    <w:ind w:left="0" w:leftChars="0" w:right="0"/>
                    <w:rPr>
                      <w:rFonts w:hint="eastAsia" w:ascii="宋体" w:hAnsi="宋体" w:eastAsia="宋体" w:cs="宋体"/>
                      <w:b w:val="0"/>
                      <w:bCs w:val="0"/>
                      <w:color w:val="auto"/>
                      <w:sz w:val="18"/>
                      <w:szCs w:val="18"/>
                      <w:lang w:val="en-US" w:eastAsia="zh-CN"/>
                    </w:rPr>
                  </w:pPr>
                  <w:r>
                    <w:rPr>
                      <w:rFonts w:hint="eastAsia" w:ascii="宋体" w:hAnsi="宋体" w:cs="宋体"/>
                      <w:b w:val="0"/>
                      <w:bCs w:val="0"/>
                      <w:color w:val="auto"/>
                      <w:sz w:val="18"/>
                      <w:szCs w:val="18"/>
                      <w:lang w:val="en-US" w:eastAsia="zh-CN"/>
                    </w:rPr>
                    <w:t>0</w:t>
                  </w:r>
                </w:p>
              </w:tc>
              <w:tc>
                <w:tcPr>
                  <w:tcW w:w="303" w:type="pct"/>
                  <w:tcBorders>
                    <w:tl2br w:val="nil"/>
                    <w:tr2bl w:val="nil"/>
                  </w:tcBorders>
                  <w:vAlign w:val="center"/>
                </w:tcPr>
                <w:p w14:paraId="78C716AF">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Q235B</w:t>
                  </w:r>
                </w:p>
              </w:tc>
              <w:tc>
                <w:tcPr>
                  <w:tcW w:w="350" w:type="pct"/>
                  <w:tcBorders>
                    <w:tl2br w:val="nil"/>
                    <w:tr2bl w:val="nil"/>
                  </w:tcBorders>
                  <w:vAlign w:val="center"/>
                </w:tcPr>
                <w:p w14:paraId="23C1D12D">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val="en-US" w:eastAsia="zh-CN"/>
                    </w:rPr>
                    <w:t>利旧</w:t>
                  </w:r>
                </w:p>
              </w:tc>
            </w:tr>
            <w:tr w14:paraId="76392A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tcBorders>
                    <w:tl2br w:val="nil"/>
                    <w:tr2bl w:val="nil"/>
                  </w:tcBorders>
                  <w:vAlign w:val="center"/>
                </w:tcPr>
                <w:p w14:paraId="589EF4E0">
                  <w:pPr>
                    <w:widowControl/>
                    <w:numPr>
                      <w:ilvl w:val="0"/>
                      <w:numId w:val="2"/>
                    </w:numPr>
                    <w:spacing w:line="280" w:lineRule="exact"/>
                    <w:jc w:val="center"/>
                    <w:rPr>
                      <w:rFonts w:hint="eastAsia" w:ascii="宋体" w:hAnsi="宋体" w:eastAsia="宋体" w:cs="宋体"/>
                      <w:b w:val="0"/>
                      <w:bCs w:val="0"/>
                      <w:color w:val="auto"/>
                      <w:kern w:val="0"/>
                      <w:sz w:val="18"/>
                      <w:szCs w:val="18"/>
                    </w:rPr>
                  </w:pPr>
                </w:p>
              </w:tc>
              <w:tc>
                <w:tcPr>
                  <w:tcW w:w="372" w:type="pct"/>
                  <w:tcBorders>
                    <w:tl2br w:val="nil"/>
                    <w:tr2bl w:val="nil"/>
                  </w:tcBorders>
                  <w:vAlign w:val="center"/>
                </w:tcPr>
                <w:p w14:paraId="6360F7E8">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液碱泵</w:t>
                  </w:r>
                </w:p>
              </w:tc>
              <w:tc>
                <w:tcPr>
                  <w:tcW w:w="473" w:type="pct"/>
                  <w:tcBorders>
                    <w:tl2br w:val="nil"/>
                    <w:tr2bl w:val="nil"/>
                  </w:tcBorders>
                  <w:vAlign w:val="center"/>
                </w:tcPr>
                <w:p w14:paraId="3A151F11">
                  <w:pPr>
                    <w:pStyle w:val="3935"/>
                    <w:spacing w:before="0" w:beforeAutospacing="0" w:after="0" w:afterAutospacing="0"/>
                    <w:ind w:left="0" w:leftChars="0" w:right="0"/>
                    <w:rPr>
                      <w:rFonts w:hint="default" w:ascii="宋体" w:hAnsi="宋体" w:eastAsia="宋体" w:cs="宋体"/>
                      <w:b w:val="0"/>
                      <w:bCs w:val="0"/>
                      <w:color w:val="auto"/>
                      <w:kern w:val="28"/>
                      <w:sz w:val="18"/>
                      <w:szCs w:val="18"/>
                      <w:lang w:val="en-US" w:eastAsia="zh-CN" w:bidi="ar-SA"/>
                    </w:rPr>
                  </w:pPr>
                  <w:r>
                    <w:rPr>
                      <w:rFonts w:hint="eastAsia" w:ascii="宋体" w:hAnsi="宋体" w:cs="宋体"/>
                      <w:b w:val="0"/>
                      <w:bCs w:val="0"/>
                      <w:color w:val="auto"/>
                      <w:kern w:val="28"/>
                      <w:sz w:val="18"/>
                      <w:szCs w:val="18"/>
                      <w:lang w:val="en-US" w:eastAsia="zh-CN" w:bidi="ar-SA"/>
                    </w:rPr>
                    <w:t>/</w:t>
                  </w:r>
                </w:p>
              </w:tc>
              <w:tc>
                <w:tcPr>
                  <w:tcW w:w="394" w:type="pct"/>
                  <w:tcBorders>
                    <w:tl2br w:val="nil"/>
                    <w:tr2bl w:val="nil"/>
                  </w:tcBorders>
                  <w:vAlign w:val="center"/>
                </w:tcPr>
                <w:p w14:paraId="65E25835">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val="en-US" w:eastAsia="zh-CN"/>
                    </w:rPr>
                    <w:t>25m</w:t>
                  </w:r>
                  <w:r>
                    <w:rPr>
                      <w:rFonts w:hint="eastAsia" w:ascii="宋体" w:hAnsi="宋体" w:eastAsia="宋体" w:cs="宋体"/>
                      <w:b w:val="0"/>
                      <w:bCs w:val="0"/>
                      <w:color w:val="auto"/>
                      <w:sz w:val="18"/>
                      <w:szCs w:val="18"/>
                      <w:vertAlign w:val="superscript"/>
                      <w:lang w:val="en-US" w:eastAsia="zh-CN"/>
                    </w:rPr>
                    <w:t>3</w:t>
                  </w:r>
                  <w:r>
                    <w:rPr>
                      <w:rFonts w:hint="eastAsia" w:ascii="宋体" w:hAnsi="宋体" w:eastAsia="宋体" w:cs="宋体"/>
                      <w:b w:val="0"/>
                      <w:bCs w:val="0"/>
                      <w:color w:val="auto"/>
                      <w:sz w:val="18"/>
                      <w:szCs w:val="18"/>
                      <w:lang w:val="en-US" w:eastAsia="zh-CN"/>
                    </w:rPr>
                    <w:t>/h</w:t>
                  </w:r>
                </w:p>
              </w:tc>
              <w:tc>
                <w:tcPr>
                  <w:tcW w:w="402" w:type="pct"/>
                  <w:tcBorders>
                    <w:tl2br w:val="nil"/>
                    <w:tr2bl w:val="nil"/>
                  </w:tcBorders>
                  <w:vAlign w:val="center"/>
                </w:tcPr>
                <w:p w14:paraId="354C7751">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液碱</w:t>
                  </w:r>
                </w:p>
              </w:tc>
              <w:tc>
                <w:tcPr>
                  <w:tcW w:w="386" w:type="pct"/>
                  <w:tcBorders>
                    <w:tl2br w:val="nil"/>
                    <w:tr2bl w:val="nil"/>
                  </w:tcBorders>
                  <w:vAlign w:val="center"/>
                </w:tcPr>
                <w:p w14:paraId="28FB9849">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常温</w:t>
                  </w:r>
                </w:p>
              </w:tc>
              <w:tc>
                <w:tcPr>
                  <w:tcW w:w="341" w:type="pct"/>
                  <w:tcBorders>
                    <w:tl2br w:val="nil"/>
                    <w:tr2bl w:val="nil"/>
                  </w:tcBorders>
                  <w:vAlign w:val="center"/>
                </w:tcPr>
                <w:p w14:paraId="33A4018B">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0.3</w:t>
                  </w:r>
                </w:p>
              </w:tc>
              <w:tc>
                <w:tcPr>
                  <w:tcW w:w="371" w:type="pct"/>
                  <w:tcBorders>
                    <w:tl2br w:val="nil"/>
                    <w:tr2bl w:val="nil"/>
                  </w:tcBorders>
                  <w:vAlign w:val="center"/>
                </w:tcPr>
                <w:p w14:paraId="5794D773">
                  <w:pPr>
                    <w:pStyle w:val="3935"/>
                    <w:spacing w:before="0" w:beforeAutospacing="0" w:after="0" w:afterAutospacing="0"/>
                    <w:ind w:left="0" w:leftChars="0" w:right="0"/>
                    <w:rPr>
                      <w:rFonts w:hint="default" w:ascii="宋体" w:hAnsi="宋体" w:eastAsia="宋体" w:cs="宋体"/>
                      <w:b w:val="0"/>
                      <w:bCs w:val="0"/>
                      <w:color w:val="auto"/>
                      <w:kern w:val="28"/>
                      <w:sz w:val="18"/>
                      <w:szCs w:val="18"/>
                      <w:lang w:val="en-US" w:eastAsia="zh-CN" w:bidi="ar-SA"/>
                    </w:rPr>
                  </w:pPr>
                  <w:r>
                    <w:rPr>
                      <w:rFonts w:hint="eastAsia" w:ascii="宋体" w:hAnsi="宋体" w:cs="宋体"/>
                      <w:b w:val="0"/>
                      <w:bCs w:val="0"/>
                      <w:color w:val="auto"/>
                      <w:kern w:val="28"/>
                      <w:sz w:val="18"/>
                      <w:szCs w:val="18"/>
                      <w:lang w:val="en-US" w:eastAsia="zh-CN" w:bidi="ar-SA"/>
                    </w:rPr>
                    <w:t>/</w:t>
                  </w:r>
                </w:p>
              </w:tc>
              <w:tc>
                <w:tcPr>
                  <w:tcW w:w="386" w:type="pct"/>
                  <w:tcBorders>
                    <w:tl2br w:val="nil"/>
                    <w:tr2bl w:val="nil"/>
                  </w:tcBorders>
                  <w:vAlign w:val="center"/>
                </w:tcPr>
                <w:p w14:paraId="099DC815">
                  <w:pPr>
                    <w:pStyle w:val="3935"/>
                    <w:spacing w:before="0" w:beforeAutospacing="0" w:after="0" w:afterAutospacing="0"/>
                    <w:ind w:left="0" w:leftChars="0" w:right="0"/>
                    <w:rPr>
                      <w:rFonts w:hint="default" w:ascii="宋体" w:hAnsi="宋体" w:eastAsia="宋体" w:cs="宋体"/>
                      <w:b w:val="0"/>
                      <w:bCs w:val="0"/>
                      <w:color w:val="auto"/>
                      <w:kern w:val="28"/>
                      <w:sz w:val="18"/>
                      <w:szCs w:val="18"/>
                      <w:lang w:val="en-US" w:eastAsia="zh-CN" w:bidi="ar-SA"/>
                    </w:rPr>
                  </w:pPr>
                  <w:r>
                    <w:rPr>
                      <w:rFonts w:hint="eastAsia" w:ascii="宋体" w:hAnsi="宋体" w:cs="宋体"/>
                      <w:b w:val="0"/>
                      <w:bCs w:val="0"/>
                      <w:color w:val="auto"/>
                      <w:kern w:val="28"/>
                      <w:sz w:val="18"/>
                      <w:szCs w:val="18"/>
                      <w:lang w:val="en-US" w:eastAsia="zh-CN" w:bidi="ar-SA"/>
                    </w:rPr>
                    <w:t>/</w:t>
                  </w:r>
                </w:p>
              </w:tc>
              <w:tc>
                <w:tcPr>
                  <w:tcW w:w="415" w:type="pct"/>
                  <w:tcBorders>
                    <w:tl2br w:val="nil"/>
                    <w:tr2bl w:val="nil"/>
                  </w:tcBorders>
                  <w:vAlign w:val="center"/>
                </w:tcPr>
                <w:p w14:paraId="038C4B06">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val="en-US" w:eastAsia="zh-CN"/>
                    </w:rPr>
                    <w:t>2</w:t>
                  </w:r>
                </w:p>
              </w:tc>
              <w:tc>
                <w:tcPr>
                  <w:tcW w:w="304" w:type="pct"/>
                  <w:tcBorders>
                    <w:tl2br w:val="nil"/>
                    <w:tr2bl w:val="nil"/>
                  </w:tcBorders>
                  <w:shd w:val="clear" w:color="auto" w:fill="auto"/>
                  <w:vAlign w:val="center"/>
                </w:tcPr>
                <w:p w14:paraId="657C4C9A">
                  <w:pPr>
                    <w:pStyle w:val="3935"/>
                    <w:spacing w:before="0" w:beforeAutospacing="0" w:after="0" w:afterAutospacing="0"/>
                    <w:ind w:left="0" w:leftChars="0" w:right="0" w:rightChars="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val="en-US" w:eastAsia="zh-CN"/>
                    </w:rPr>
                    <w:t>2</w:t>
                  </w:r>
                </w:p>
              </w:tc>
              <w:tc>
                <w:tcPr>
                  <w:tcW w:w="290" w:type="pct"/>
                  <w:tcBorders>
                    <w:tl2br w:val="nil"/>
                    <w:tr2bl w:val="nil"/>
                  </w:tcBorders>
                  <w:vAlign w:val="center"/>
                </w:tcPr>
                <w:p w14:paraId="6690F073">
                  <w:pPr>
                    <w:pStyle w:val="3935"/>
                    <w:spacing w:before="0" w:beforeAutospacing="0" w:after="0" w:afterAutospacing="0"/>
                    <w:ind w:left="0" w:leftChars="0" w:right="0"/>
                    <w:rPr>
                      <w:rFonts w:hint="default" w:ascii="宋体" w:hAnsi="宋体" w:eastAsia="宋体" w:cs="宋体"/>
                      <w:b w:val="0"/>
                      <w:bCs w:val="0"/>
                      <w:color w:val="auto"/>
                      <w:sz w:val="18"/>
                      <w:szCs w:val="18"/>
                      <w:lang w:val="en-US" w:eastAsia="zh-CN"/>
                    </w:rPr>
                  </w:pPr>
                  <w:r>
                    <w:rPr>
                      <w:rFonts w:hint="eastAsia" w:ascii="宋体" w:hAnsi="宋体" w:cs="宋体"/>
                      <w:b w:val="0"/>
                      <w:bCs w:val="0"/>
                      <w:color w:val="auto"/>
                      <w:sz w:val="18"/>
                      <w:szCs w:val="18"/>
                      <w:lang w:val="en-US" w:eastAsia="zh-CN"/>
                    </w:rPr>
                    <w:t>0</w:t>
                  </w:r>
                </w:p>
              </w:tc>
              <w:tc>
                <w:tcPr>
                  <w:tcW w:w="303" w:type="pct"/>
                  <w:tcBorders>
                    <w:tl2br w:val="nil"/>
                    <w:tr2bl w:val="nil"/>
                  </w:tcBorders>
                  <w:vAlign w:val="center"/>
                </w:tcPr>
                <w:p w14:paraId="47CC51EC">
                  <w:pPr>
                    <w:pStyle w:val="3935"/>
                    <w:spacing w:before="0" w:beforeAutospacing="0" w:after="0" w:afterAutospacing="0"/>
                    <w:ind w:left="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val="en-US" w:eastAsia="zh-CN"/>
                    </w:rPr>
                    <w:t>钢衬四氟/PP</w:t>
                  </w:r>
                </w:p>
              </w:tc>
              <w:tc>
                <w:tcPr>
                  <w:tcW w:w="350" w:type="pct"/>
                  <w:tcBorders>
                    <w:tl2br w:val="nil"/>
                    <w:tr2bl w:val="nil"/>
                  </w:tcBorders>
                  <w:vAlign w:val="center"/>
                </w:tcPr>
                <w:p w14:paraId="2983210B">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val="en-US" w:eastAsia="zh-CN"/>
                    </w:rPr>
                    <w:t>利旧</w:t>
                  </w:r>
                </w:p>
              </w:tc>
            </w:tr>
            <w:tr w14:paraId="2AFDB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tcBorders>
                    <w:tl2br w:val="nil"/>
                    <w:tr2bl w:val="nil"/>
                  </w:tcBorders>
                  <w:vAlign w:val="center"/>
                </w:tcPr>
                <w:p w14:paraId="3145C89D">
                  <w:pPr>
                    <w:widowControl/>
                    <w:numPr>
                      <w:ilvl w:val="0"/>
                      <w:numId w:val="2"/>
                    </w:numPr>
                    <w:spacing w:line="280" w:lineRule="exact"/>
                    <w:jc w:val="center"/>
                    <w:rPr>
                      <w:rFonts w:hint="eastAsia" w:ascii="宋体" w:hAnsi="宋体" w:eastAsia="宋体" w:cs="宋体"/>
                      <w:b w:val="0"/>
                      <w:bCs w:val="0"/>
                      <w:color w:val="auto"/>
                      <w:kern w:val="0"/>
                      <w:sz w:val="18"/>
                      <w:szCs w:val="18"/>
                    </w:rPr>
                  </w:pPr>
                </w:p>
              </w:tc>
              <w:tc>
                <w:tcPr>
                  <w:tcW w:w="372" w:type="pct"/>
                  <w:tcBorders>
                    <w:tl2br w:val="nil"/>
                    <w:tr2bl w:val="nil"/>
                  </w:tcBorders>
                  <w:vAlign w:val="center"/>
                </w:tcPr>
                <w:p w14:paraId="66BF52DC">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一</w:t>
                  </w:r>
                  <w:r>
                    <w:rPr>
                      <w:rFonts w:hint="eastAsia" w:ascii="宋体" w:hAnsi="宋体" w:eastAsia="宋体" w:cs="宋体"/>
                      <w:b w:val="0"/>
                      <w:bCs w:val="0"/>
                      <w:color w:val="auto"/>
                      <w:sz w:val="18"/>
                      <w:szCs w:val="18"/>
                      <w:lang w:eastAsia="zh-CN"/>
                    </w:rPr>
                    <w:t>、</w:t>
                  </w:r>
                  <w:r>
                    <w:rPr>
                      <w:rFonts w:hint="eastAsia" w:ascii="宋体" w:hAnsi="宋体" w:eastAsia="宋体" w:cs="宋体"/>
                      <w:b w:val="0"/>
                      <w:bCs w:val="0"/>
                      <w:color w:val="auto"/>
                      <w:sz w:val="18"/>
                      <w:szCs w:val="18"/>
                      <w:lang w:val="en-US" w:eastAsia="zh-CN"/>
                    </w:rPr>
                    <w:t>二</w:t>
                  </w:r>
                  <w:r>
                    <w:rPr>
                      <w:rFonts w:hint="eastAsia" w:ascii="宋体" w:hAnsi="宋体" w:eastAsia="宋体" w:cs="宋体"/>
                      <w:b w:val="0"/>
                      <w:bCs w:val="0"/>
                      <w:color w:val="auto"/>
                      <w:sz w:val="18"/>
                      <w:szCs w:val="18"/>
                    </w:rPr>
                    <w:t>级吸收塔</w:t>
                  </w:r>
                </w:p>
              </w:tc>
              <w:tc>
                <w:tcPr>
                  <w:tcW w:w="473" w:type="pct"/>
                  <w:tcBorders>
                    <w:tl2br w:val="nil"/>
                    <w:tr2bl w:val="nil"/>
                  </w:tcBorders>
                  <w:vAlign w:val="center"/>
                </w:tcPr>
                <w:p w14:paraId="6BC8177D">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lang w:val="en-US" w:eastAsia="zh-CN" w:bidi="ar-SA"/>
                    </w:rPr>
                    <w:t>T1602/1603</w:t>
                  </w:r>
                </w:p>
              </w:tc>
              <w:tc>
                <w:tcPr>
                  <w:tcW w:w="394" w:type="pct"/>
                  <w:tcBorders>
                    <w:tl2br w:val="nil"/>
                    <w:tr2bl w:val="nil"/>
                  </w:tcBorders>
                  <w:vAlign w:val="center"/>
                </w:tcPr>
                <w:p w14:paraId="685E5997">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Φ</w:t>
                  </w:r>
                  <w:r>
                    <w:rPr>
                      <w:rFonts w:hint="eastAsia" w:ascii="宋体" w:hAnsi="宋体" w:eastAsia="宋体" w:cs="宋体"/>
                      <w:b w:val="0"/>
                      <w:bCs w:val="0"/>
                      <w:color w:val="auto"/>
                      <w:sz w:val="18"/>
                      <w:szCs w:val="18"/>
                      <w:lang w:val="en-US" w:eastAsia="zh-CN"/>
                    </w:rPr>
                    <w:t>2</w:t>
                  </w:r>
                  <w:r>
                    <w:rPr>
                      <w:rFonts w:hint="eastAsia" w:ascii="宋体" w:hAnsi="宋体" w:eastAsia="宋体" w:cs="宋体"/>
                      <w:b w:val="0"/>
                      <w:bCs w:val="0"/>
                      <w:color w:val="auto"/>
                      <w:sz w:val="18"/>
                      <w:szCs w:val="18"/>
                    </w:rPr>
                    <w:t>00</w:t>
                  </w:r>
                  <w:r>
                    <w:rPr>
                      <w:rFonts w:hint="eastAsia" w:ascii="宋体" w:hAnsi="宋体" w:eastAsia="宋体" w:cs="宋体"/>
                      <w:b w:val="0"/>
                      <w:bCs w:val="0"/>
                      <w:color w:val="auto"/>
                      <w:sz w:val="18"/>
                      <w:szCs w:val="18"/>
                      <w:lang w:val="en-US" w:eastAsia="zh-CN"/>
                    </w:rPr>
                    <w:t>0</w:t>
                  </w:r>
                  <w:r>
                    <w:rPr>
                      <w:rFonts w:hint="eastAsia" w:ascii="宋体" w:hAnsi="宋体" w:eastAsia="宋体" w:cs="宋体"/>
                      <w:b w:val="0"/>
                      <w:bCs w:val="0"/>
                      <w:color w:val="auto"/>
                      <w:sz w:val="18"/>
                      <w:szCs w:val="18"/>
                    </w:rPr>
                    <w:t>×</w:t>
                  </w:r>
                  <w:r>
                    <w:rPr>
                      <w:rFonts w:hint="eastAsia" w:ascii="宋体" w:hAnsi="宋体" w:eastAsia="宋体" w:cs="宋体"/>
                      <w:b w:val="0"/>
                      <w:bCs w:val="0"/>
                      <w:color w:val="auto"/>
                      <w:sz w:val="18"/>
                      <w:szCs w:val="18"/>
                      <w:lang w:val="en-US" w:eastAsia="zh-CN"/>
                    </w:rPr>
                    <w:t>40</w:t>
                  </w:r>
                  <w:r>
                    <w:rPr>
                      <w:rFonts w:hint="eastAsia" w:ascii="宋体" w:hAnsi="宋体" w:eastAsia="宋体" w:cs="宋体"/>
                      <w:b w:val="0"/>
                      <w:bCs w:val="0"/>
                      <w:color w:val="auto"/>
                      <w:sz w:val="18"/>
                      <w:szCs w:val="18"/>
                    </w:rPr>
                    <w:t>00</w:t>
                  </w:r>
                </w:p>
              </w:tc>
              <w:tc>
                <w:tcPr>
                  <w:tcW w:w="402" w:type="pct"/>
                  <w:tcBorders>
                    <w:tl2br w:val="nil"/>
                    <w:tr2bl w:val="nil"/>
                  </w:tcBorders>
                  <w:vAlign w:val="center"/>
                </w:tcPr>
                <w:p w14:paraId="3FC2D08E">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液碱、水、氯气</w:t>
                  </w:r>
                </w:p>
              </w:tc>
              <w:tc>
                <w:tcPr>
                  <w:tcW w:w="386" w:type="pct"/>
                  <w:tcBorders>
                    <w:tl2br w:val="nil"/>
                    <w:tr2bl w:val="nil"/>
                  </w:tcBorders>
                  <w:vAlign w:val="center"/>
                </w:tcPr>
                <w:p w14:paraId="579601C4">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常温</w:t>
                  </w:r>
                </w:p>
              </w:tc>
              <w:tc>
                <w:tcPr>
                  <w:tcW w:w="341" w:type="pct"/>
                  <w:tcBorders>
                    <w:tl2br w:val="nil"/>
                    <w:tr2bl w:val="nil"/>
                  </w:tcBorders>
                  <w:vAlign w:val="center"/>
                </w:tcPr>
                <w:p w14:paraId="32AC5AED">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常压</w:t>
                  </w:r>
                </w:p>
              </w:tc>
              <w:tc>
                <w:tcPr>
                  <w:tcW w:w="371" w:type="pct"/>
                  <w:tcBorders>
                    <w:tl2br w:val="nil"/>
                    <w:tr2bl w:val="nil"/>
                  </w:tcBorders>
                  <w:vAlign w:val="center"/>
                </w:tcPr>
                <w:p w14:paraId="4077EEA0">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常温</w:t>
                  </w:r>
                </w:p>
              </w:tc>
              <w:tc>
                <w:tcPr>
                  <w:tcW w:w="386" w:type="pct"/>
                  <w:tcBorders>
                    <w:tl2br w:val="nil"/>
                    <w:tr2bl w:val="nil"/>
                  </w:tcBorders>
                  <w:vAlign w:val="center"/>
                </w:tcPr>
                <w:p w14:paraId="3AEE9CA5">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常压</w:t>
                  </w:r>
                </w:p>
              </w:tc>
              <w:tc>
                <w:tcPr>
                  <w:tcW w:w="415" w:type="pct"/>
                  <w:tcBorders>
                    <w:tl2br w:val="nil"/>
                    <w:tr2bl w:val="nil"/>
                  </w:tcBorders>
                  <w:vAlign w:val="center"/>
                </w:tcPr>
                <w:p w14:paraId="589BB75E">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val="en-US" w:eastAsia="zh-CN"/>
                    </w:rPr>
                    <w:t>2</w:t>
                  </w:r>
                </w:p>
              </w:tc>
              <w:tc>
                <w:tcPr>
                  <w:tcW w:w="304" w:type="pct"/>
                  <w:tcBorders>
                    <w:tl2br w:val="nil"/>
                    <w:tr2bl w:val="nil"/>
                  </w:tcBorders>
                  <w:shd w:val="clear" w:color="auto" w:fill="auto"/>
                  <w:vAlign w:val="center"/>
                </w:tcPr>
                <w:p w14:paraId="6129EDA9">
                  <w:pPr>
                    <w:pStyle w:val="3935"/>
                    <w:spacing w:before="0" w:beforeAutospacing="0" w:after="0" w:afterAutospacing="0"/>
                    <w:ind w:left="0" w:leftChars="0" w:right="0" w:rightChars="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val="en-US" w:eastAsia="zh-CN"/>
                    </w:rPr>
                    <w:t>2</w:t>
                  </w:r>
                </w:p>
              </w:tc>
              <w:tc>
                <w:tcPr>
                  <w:tcW w:w="290" w:type="pct"/>
                  <w:tcBorders>
                    <w:tl2br w:val="nil"/>
                    <w:tr2bl w:val="nil"/>
                  </w:tcBorders>
                  <w:vAlign w:val="center"/>
                </w:tcPr>
                <w:p w14:paraId="1C23431C">
                  <w:pPr>
                    <w:pStyle w:val="3935"/>
                    <w:spacing w:before="0" w:beforeAutospacing="0" w:after="0" w:afterAutospacing="0"/>
                    <w:ind w:left="0" w:leftChars="0" w:right="0"/>
                    <w:rPr>
                      <w:rFonts w:hint="default" w:ascii="宋体" w:hAnsi="宋体" w:eastAsia="宋体" w:cs="宋体"/>
                      <w:b w:val="0"/>
                      <w:bCs w:val="0"/>
                      <w:color w:val="auto"/>
                      <w:sz w:val="18"/>
                      <w:szCs w:val="18"/>
                      <w:lang w:val="en-US" w:eastAsia="zh-CN"/>
                    </w:rPr>
                  </w:pPr>
                  <w:r>
                    <w:rPr>
                      <w:rFonts w:hint="eastAsia" w:ascii="宋体" w:hAnsi="宋体" w:cs="宋体"/>
                      <w:b w:val="0"/>
                      <w:bCs w:val="0"/>
                      <w:color w:val="auto"/>
                      <w:sz w:val="18"/>
                      <w:szCs w:val="18"/>
                      <w:lang w:val="en-US" w:eastAsia="zh-CN"/>
                    </w:rPr>
                    <w:t>0</w:t>
                  </w:r>
                </w:p>
              </w:tc>
              <w:tc>
                <w:tcPr>
                  <w:tcW w:w="303" w:type="pct"/>
                  <w:tcBorders>
                    <w:tl2br w:val="nil"/>
                    <w:tr2bl w:val="nil"/>
                  </w:tcBorders>
                  <w:vAlign w:val="center"/>
                </w:tcPr>
                <w:p w14:paraId="4F5436B3">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PP</w:t>
                  </w:r>
                </w:p>
              </w:tc>
              <w:tc>
                <w:tcPr>
                  <w:tcW w:w="350" w:type="pct"/>
                  <w:tcBorders>
                    <w:tl2br w:val="nil"/>
                    <w:tr2bl w:val="nil"/>
                  </w:tcBorders>
                  <w:vAlign w:val="center"/>
                </w:tcPr>
                <w:p w14:paraId="43E63CAE">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val="en-US" w:eastAsia="zh-CN"/>
                    </w:rPr>
                    <w:t>利旧</w:t>
                  </w:r>
                </w:p>
              </w:tc>
            </w:tr>
            <w:tr w14:paraId="0953FD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tcBorders>
                    <w:tl2br w:val="nil"/>
                    <w:tr2bl w:val="nil"/>
                  </w:tcBorders>
                  <w:vAlign w:val="center"/>
                </w:tcPr>
                <w:p w14:paraId="7CCF5206">
                  <w:pPr>
                    <w:widowControl/>
                    <w:numPr>
                      <w:ilvl w:val="0"/>
                      <w:numId w:val="2"/>
                    </w:numPr>
                    <w:spacing w:line="280" w:lineRule="exact"/>
                    <w:jc w:val="center"/>
                    <w:rPr>
                      <w:rFonts w:hint="eastAsia" w:ascii="宋体" w:hAnsi="宋体" w:eastAsia="宋体" w:cs="宋体"/>
                      <w:b w:val="0"/>
                      <w:bCs w:val="0"/>
                      <w:color w:val="auto"/>
                      <w:kern w:val="0"/>
                      <w:sz w:val="18"/>
                      <w:szCs w:val="18"/>
                    </w:rPr>
                  </w:pPr>
                </w:p>
              </w:tc>
              <w:tc>
                <w:tcPr>
                  <w:tcW w:w="372" w:type="pct"/>
                  <w:tcBorders>
                    <w:tl2br w:val="nil"/>
                    <w:tr2bl w:val="nil"/>
                  </w:tcBorders>
                  <w:vAlign w:val="center"/>
                </w:tcPr>
                <w:p w14:paraId="7108AC18">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一</w:t>
                  </w:r>
                  <w:r>
                    <w:rPr>
                      <w:rFonts w:hint="eastAsia" w:ascii="宋体" w:hAnsi="宋体" w:eastAsia="宋体" w:cs="宋体"/>
                      <w:b w:val="0"/>
                      <w:bCs w:val="0"/>
                      <w:color w:val="auto"/>
                      <w:sz w:val="18"/>
                      <w:szCs w:val="18"/>
                      <w:lang w:eastAsia="zh-CN"/>
                    </w:rPr>
                    <w:t>、</w:t>
                  </w:r>
                  <w:r>
                    <w:rPr>
                      <w:rFonts w:hint="eastAsia" w:ascii="宋体" w:hAnsi="宋体" w:eastAsia="宋体" w:cs="宋体"/>
                      <w:b w:val="0"/>
                      <w:bCs w:val="0"/>
                      <w:color w:val="auto"/>
                      <w:sz w:val="18"/>
                      <w:szCs w:val="18"/>
                      <w:lang w:val="en-US" w:eastAsia="zh-CN"/>
                    </w:rPr>
                    <w:t>二</w:t>
                  </w:r>
                  <w:r>
                    <w:rPr>
                      <w:rFonts w:hint="eastAsia" w:ascii="宋体" w:hAnsi="宋体" w:eastAsia="宋体" w:cs="宋体"/>
                      <w:b w:val="0"/>
                      <w:bCs w:val="0"/>
                      <w:color w:val="auto"/>
                      <w:sz w:val="18"/>
                      <w:szCs w:val="18"/>
                    </w:rPr>
                    <w:t>级碱循环罐</w:t>
                  </w:r>
                </w:p>
              </w:tc>
              <w:tc>
                <w:tcPr>
                  <w:tcW w:w="473" w:type="pct"/>
                  <w:tcBorders>
                    <w:tl2br w:val="nil"/>
                    <w:tr2bl w:val="nil"/>
                  </w:tcBorders>
                  <w:vAlign w:val="center"/>
                </w:tcPr>
                <w:p w14:paraId="78CFB0D9">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V-1609</w:t>
                  </w:r>
                  <w:r>
                    <w:rPr>
                      <w:rFonts w:hint="eastAsia" w:ascii="宋体" w:hAnsi="宋体" w:eastAsia="宋体" w:cs="宋体"/>
                      <w:b w:val="0"/>
                      <w:bCs w:val="0"/>
                      <w:color w:val="auto"/>
                      <w:kern w:val="0"/>
                      <w:sz w:val="18"/>
                      <w:szCs w:val="18"/>
                      <w:lang w:val="en-US" w:eastAsia="zh-CN"/>
                    </w:rPr>
                    <w:t>/</w:t>
                  </w:r>
                  <w:r>
                    <w:rPr>
                      <w:rFonts w:hint="eastAsia" w:ascii="宋体" w:hAnsi="宋体" w:eastAsia="宋体" w:cs="宋体"/>
                      <w:b w:val="0"/>
                      <w:bCs w:val="0"/>
                      <w:color w:val="auto"/>
                      <w:kern w:val="0"/>
                      <w:sz w:val="18"/>
                      <w:szCs w:val="18"/>
                    </w:rPr>
                    <w:t>1610</w:t>
                  </w:r>
                </w:p>
              </w:tc>
              <w:tc>
                <w:tcPr>
                  <w:tcW w:w="394" w:type="pct"/>
                  <w:tcBorders>
                    <w:tl2br w:val="nil"/>
                    <w:tr2bl w:val="nil"/>
                  </w:tcBorders>
                  <w:vAlign w:val="center"/>
                </w:tcPr>
                <w:p w14:paraId="74C79573">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Φ</w:t>
                  </w:r>
                  <w:r>
                    <w:rPr>
                      <w:rFonts w:hint="eastAsia" w:ascii="宋体" w:hAnsi="宋体" w:eastAsia="宋体" w:cs="宋体"/>
                      <w:b w:val="0"/>
                      <w:bCs w:val="0"/>
                      <w:color w:val="auto"/>
                      <w:sz w:val="18"/>
                      <w:szCs w:val="18"/>
                      <w:lang w:val="en-US" w:eastAsia="zh-CN"/>
                    </w:rPr>
                    <w:t>27</w:t>
                  </w:r>
                  <w:r>
                    <w:rPr>
                      <w:rFonts w:hint="eastAsia" w:ascii="宋体" w:hAnsi="宋体" w:eastAsia="宋体" w:cs="宋体"/>
                      <w:b w:val="0"/>
                      <w:bCs w:val="0"/>
                      <w:color w:val="auto"/>
                      <w:sz w:val="18"/>
                      <w:szCs w:val="18"/>
                    </w:rPr>
                    <w:t>0</w:t>
                  </w:r>
                  <w:r>
                    <w:rPr>
                      <w:rFonts w:hint="eastAsia" w:ascii="宋体" w:hAnsi="宋体" w:eastAsia="宋体" w:cs="宋体"/>
                      <w:b w:val="0"/>
                      <w:bCs w:val="0"/>
                      <w:color w:val="auto"/>
                      <w:sz w:val="18"/>
                      <w:szCs w:val="18"/>
                      <w:lang w:val="en-US" w:eastAsia="zh-CN"/>
                    </w:rPr>
                    <w:t>0</w:t>
                  </w:r>
                  <w:r>
                    <w:rPr>
                      <w:rFonts w:hint="eastAsia" w:ascii="宋体" w:hAnsi="宋体" w:eastAsia="宋体" w:cs="宋体"/>
                      <w:b w:val="0"/>
                      <w:bCs w:val="0"/>
                      <w:color w:val="auto"/>
                      <w:sz w:val="18"/>
                      <w:szCs w:val="18"/>
                    </w:rPr>
                    <w:t>×</w:t>
                  </w:r>
                  <w:r>
                    <w:rPr>
                      <w:rFonts w:hint="eastAsia" w:ascii="宋体" w:hAnsi="宋体" w:eastAsia="宋体" w:cs="宋体"/>
                      <w:b w:val="0"/>
                      <w:bCs w:val="0"/>
                      <w:color w:val="auto"/>
                      <w:sz w:val="18"/>
                      <w:szCs w:val="18"/>
                      <w:lang w:val="en-US" w:eastAsia="zh-CN"/>
                    </w:rPr>
                    <w:t>35</w:t>
                  </w:r>
                  <w:r>
                    <w:rPr>
                      <w:rFonts w:hint="eastAsia" w:ascii="宋体" w:hAnsi="宋体" w:eastAsia="宋体" w:cs="宋体"/>
                      <w:b w:val="0"/>
                      <w:bCs w:val="0"/>
                      <w:color w:val="auto"/>
                      <w:sz w:val="18"/>
                      <w:szCs w:val="18"/>
                    </w:rPr>
                    <w:t>00</w:t>
                  </w:r>
                </w:p>
              </w:tc>
              <w:tc>
                <w:tcPr>
                  <w:tcW w:w="402" w:type="pct"/>
                  <w:tcBorders>
                    <w:tl2br w:val="nil"/>
                    <w:tr2bl w:val="nil"/>
                  </w:tcBorders>
                  <w:vAlign w:val="center"/>
                </w:tcPr>
                <w:p w14:paraId="3B426D2D">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液碱、水、氯气</w:t>
                  </w:r>
                </w:p>
              </w:tc>
              <w:tc>
                <w:tcPr>
                  <w:tcW w:w="386" w:type="pct"/>
                  <w:tcBorders>
                    <w:tl2br w:val="nil"/>
                    <w:tr2bl w:val="nil"/>
                  </w:tcBorders>
                  <w:vAlign w:val="center"/>
                </w:tcPr>
                <w:p w14:paraId="496519A2">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常温</w:t>
                  </w:r>
                </w:p>
              </w:tc>
              <w:tc>
                <w:tcPr>
                  <w:tcW w:w="341" w:type="pct"/>
                  <w:tcBorders>
                    <w:tl2br w:val="nil"/>
                    <w:tr2bl w:val="nil"/>
                  </w:tcBorders>
                  <w:vAlign w:val="center"/>
                </w:tcPr>
                <w:p w14:paraId="62BB7E7A">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常压</w:t>
                  </w:r>
                </w:p>
              </w:tc>
              <w:tc>
                <w:tcPr>
                  <w:tcW w:w="371" w:type="pct"/>
                  <w:tcBorders>
                    <w:tl2br w:val="nil"/>
                    <w:tr2bl w:val="nil"/>
                  </w:tcBorders>
                  <w:vAlign w:val="center"/>
                </w:tcPr>
                <w:p w14:paraId="37C8D361">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常温</w:t>
                  </w:r>
                </w:p>
              </w:tc>
              <w:tc>
                <w:tcPr>
                  <w:tcW w:w="386" w:type="pct"/>
                  <w:tcBorders>
                    <w:tl2br w:val="nil"/>
                    <w:tr2bl w:val="nil"/>
                  </w:tcBorders>
                  <w:vAlign w:val="center"/>
                </w:tcPr>
                <w:p w14:paraId="1EC09563">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常压</w:t>
                  </w:r>
                </w:p>
              </w:tc>
              <w:tc>
                <w:tcPr>
                  <w:tcW w:w="415" w:type="pct"/>
                  <w:tcBorders>
                    <w:tl2br w:val="nil"/>
                    <w:tr2bl w:val="nil"/>
                  </w:tcBorders>
                  <w:vAlign w:val="center"/>
                </w:tcPr>
                <w:p w14:paraId="64E2A8B2">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val="en-US" w:eastAsia="zh-CN"/>
                    </w:rPr>
                    <w:t>2</w:t>
                  </w:r>
                </w:p>
              </w:tc>
              <w:tc>
                <w:tcPr>
                  <w:tcW w:w="304" w:type="pct"/>
                  <w:tcBorders>
                    <w:tl2br w:val="nil"/>
                    <w:tr2bl w:val="nil"/>
                  </w:tcBorders>
                  <w:shd w:val="clear" w:color="auto" w:fill="auto"/>
                  <w:vAlign w:val="center"/>
                </w:tcPr>
                <w:p w14:paraId="56226F74">
                  <w:pPr>
                    <w:pStyle w:val="3935"/>
                    <w:spacing w:before="0" w:beforeAutospacing="0" w:after="0" w:afterAutospacing="0"/>
                    <w:ind w:left="0" w:leftChars="0" w:right="0" w:rightChars="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val="en-US" w:eastAsia="zh-CN"/>
                    </w:rPr>
                    <w:t>2</w:t>
                  </w:r>
                </w:p>
              </w:tc>
              <w:tc>
                <w:tcPr>
                  <w:tcW w:w="290" w:type="pct"/>
                  <w:tcBorders>
                    <w:tl2br w:val="nil"/>
                    <w:tr2bl w:val="nil"/>
                  </w:tcBorders>
                  <w:vAlign w:val="center"/>
                </w:tcPr>
                <w:p w14:paraId="4DF854EC">
                  <w:pPr>
                    <w:pStyle w:val="3935"/>
                    <w:spacing w:before="0" w:beforeAutospacing="0" w:after="0" w:afterAutospacing="0"/>
                    <w:ind w:left="0" w:leftChars="0" w:right="0"/>
                    <w:rPr>
                      <w:rFonts w:hint="default" w:ascii="宋体" w:hAnsi="宋体" w:eastAsia="宋体" w:cs="宋体"/>
                      <w:b w:val="0"/>
                      <w:bCs w:val="0"/>
                      <w:color w:val="auto"/>
                      <w:sz w:val="18"/>
                      <w:szCs w:val="18"/>
                      <w:lang w:val="en-US" w:eastAsia="zh-CN"/>
                    </w:rPr>
                  </w:pPr>
                  <w:r>
                    <w:rPr>
                      <w:rFonts w:hint="eastAsia" w:ascii="宋体" w:hAnsi="宋体" w:cs="宋体"/>
                      <w:b w:val="0"/>
                      <w:bCs w:val="0"/>
                      <w:color w:val="auto"/>
                      <w:sz w:val="18"/>
                      <w:szCs w:val="18"/>
                      <w:lang w:val="en-US" w:eastAsia="zh-CN"/>
                    </w:rPr>
                    <w:t>0</w:t>
                  </w:r>
                </w:p>
              </w:tc>
              <w:tc>
                <w:tcPr>
                  <w:tcW w:w="303" w:type="pct"/>
                  <w:tcBorders>
                    <w:tl2br w:val="nil"/>
                    <w:tr2bl w:val="nil"/>
                  </w:tcBorders>
                  <w:vAlign w:val="center"/>
                </w:tcPr>
                <w:p w14:paraId="659E2057">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玻璃钢</w:t>
                  </w:r>
                </w:p>
              </w:tc>
              <w:tc>
                <w:tcPr>
                  <w:tcW w:w="350" w:type="pct"/>
                  <w:tcBorders>
                    <w:tl2br w:val="nil"/>
                    <w:tr2bl w:val="nil"/>
                  </w:tcBorders>
                  <w:vAlign w:val="center"/>
                </w:tcPr>
                <w:p w14:paraId="6E0F4C16">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val="en-US" w:eastAsia="zh-CN"/>
                    </w:rPr>
                    <w:t>利旧</w:t>
                  </w:r>
                </w:p>
              </w:tc>
            </w:tr>
            <w:tr w14:paraId="38CA36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tcBorders>
                    <w:tl2br w:val="nil"/>
                    <w:tr2bl w:val="nil"/>
                  </w:tcBorders>
                  <w:vAlign w:val="center"/>
                </w:tcPr>
                <w:p w14:paraId="47E8660E">
                  <w:pPr>
                    <w:widowControl/>
                    <w:numPr>
                      <w:ilvl w:val="0"/>
                      <w:numId w:val="2"/>
                    </w:numPr>
                    <w:spacing w:line="280" w:lineRule="exact"/>
                    <w:jc w:val="center"/>
                    <w:rPr>
                      <w:rFonts w:hint="eastAsia" w:ascii="宋体" w:hAnsi="宋体" w:eastAsia="宋体" w:cs="宋体"/>
                      <w:b w:val="0"/>
                      <w:bCs w:val="0"/>
                      <w:color w:val="auto"/>
                      <w:kern w:val="0"/>
                      <w:sz w:val="18"/>
                      <w:szCs w:val="18"/>
                    </w:rPr>
                  </w:pPr>
                </w:p>
              </w:tc>
              <w:tc>
                <w:tcPr>
                  <w:tcW w:w="372" w:type="pct"/>
                  <w:tcBorders>
                    <w:tl2br w:val="nil"/>
                    <w:tr2bl w:val="nil"/>
                  </w:tcBorders>
                  <w:vAlign w:val="center"/>
                </w:tcPr>
                <w:p w14:paraId="20D32A67">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一</w:t>
                  </w:r>
                  <w:r>
                    <w:rPr>
                      <w:rFonts w:hint="eastAsia" w:ascii="宋体" w:hAnsi="宋体" w:eastAsia="宋体" w:cs="宋体"/>
                      <w:b w:val="0"/>
                      <w:bCs w:val="0"/>
                      <w:color w:val="auto"/>
                      <w:sz w:val="18"/>
                      <w:szCs w:val="18"/>
                      <w:lang w:val="en-US" w:eastAsia="zh-CN"/>
                    </w:rPr>
                    <w:t>、二</w:t>
                  </w:r>
                  <w:r>
                    <w:rPr>
                      <w:rFonts w:hint="eastAsia" w:ascii="宋体" w:hAnsi="宋体" w:eastAsia="宋体" w:cs="宋体"/>
                      <w:b w:val="0"/>
                      <w:bCs w:val="0"/>
                      <w:color w:val="auto"/>
                      <w:sz w:val="18"/>
                      <w:szCs w:val="18"/>
                    </w:rPr>
                    <w:t>级碱循环</w:t>
                  </w:r>
                  <w:r>
                    <w:rPr>
                      <w:rFonts w:hint="eastAsia" w:ascii="宋体" w:hAnsi="宋体" w:eastAsia="宋体" w:cs="宋体"/>
                      <w:b w:val="0"/>
                      <w:bCs w:val="0"/>
                      <w:color w:val="auto"/>
                      <w:sz w:val="18"/>
                      <w:szCs w:val="18"/>
                      <w:lang w:val="en-US" w:eastAsia="zh-CN"/>
                    </w:rPr>
                    <w:t>液下</w:t>
                  </w:r>
                  <w:r>
                    <w:rPr>
                      <w:rFonts w:hint="eastAsia" w:ascii="宋体" w:hAnsi="宋体" w:eastAsia="宋体" w:cs="宋体"/>
                      <w:b w:val="0"/>
                      <w:bCs w:val="0"/>
                      <w:color w:val="auto"/>
                      <w:sz w:val="18"/>
                      <w:szCs w:val="18"/>
                    </w:rPr>
                    <w:t>泵</w:t>
                  </w:r>
                </w:p>
              </w:tc>
              <w:tc>
                <w:tcPr>
                  <w:tcW w:w="473" w:type="pct"/>
                  <w:tcBorders>
                    <w:tl2br w:val="nil"/>
                    <w:tr2bl w:val="nil"/>
                  </w:tcBorders>
                  <w:vAlign w:val="center"/>
                </w:tcPr>
                <w:p w14:paraId="20A171B2">
                  <w:pPr>
                    <w:spacing w:line="240" w:lineRule="atLeast"/>
                    <w:jc w:val="center"/>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rPr>
                    <w:t>P-1604a/b</w:t>
                  </w:r>
                </w:p>
                <w:p w14:paraId="7C5C2DD9">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P-1605a/b</w:t>
                  </w:r>
                </w:p>
              </w:tc>
              <w:tc>
                <w:tcPr>
                  <w:tcW w:w="394" w:type="pct"/>
                  <w:tcBorders>
                    <w:tl2br w:val="nil"/>
                    <w:tr2bl w:val="nil"/>
                  </w:tcBorders>
                  <w:vAlign w:val="center"/>
                </w:tcPr>
                <w:p w14:paraId="65B124A9">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val="en-US" w:eastAsia="zh-CN"/>
                    </w:rPr>
                    <w:t>25m</w:t>
                  </w:r>
                  <w:r>
                    <w:rPr>
                      <w:rFonts w:hint="eastAsia" w:ascii="宋体" w:hAnsi="宋体" w:eastAsia="宋体" w:cs="宋体"/>
                      <w:b w:val="0"/>
                      <w:bCs w:val="0"/>
                      <w:color w:val="auto"/>
                      <w:sz w:val="18"/>
                      <w:szCs w:val="18"/>
                      <w:vertAlign w:val="superscript"/>
                      <w:lang w:val="en-US" w:eastAsia="zh-CN"/>
                    </w:rPr>
                    <w:t>3</w:t>
                  </w:r>
                  <w:r>
                    <w:rPr>
                      <w:rFonts w:hint="eastAsia" w:ascii="宋体" w:hAnsi="宋体" w:eastAsia="宋体" w:cs="宋体"/>
                      <w:b w:val="0"/>
                      <w:bCs w:val="0"/>
                      <w:color w:val="auto"/>
                      <w:sz w:val="18"/>
                      <w:szCs w:val="18"/>
                      <w:lang w:val="en-US" w:eastAsia="zh-CN"/>
                    </w:rPr>
                    <w:t>/h</w:t>
                  </w:r>
                </w:p>
              </w:tc>
              <w:tc>
                <w:tcPr>
                  <w:tcW w:w="402" w:type="pct"/>
                  <w:tcBorders>
                    <w:tl2br w:val="nil"/>
                    <w:tr2bl w:val="nil"/>
                  </w:tcBorders>
                  <w:vAlign w:val="center"/>
                </w:tcPr>
                <w:p w14:paraId="0E1BAF07">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液碱、水</w:t>
                  </w:r>
                </w:p>
              </w:tc>
              <w:tc>
                <w:tcPr>
                  <w:tcW w:w="386" w:type="pct"/>
                  <w:tcBorders>
                    <w:tl2br w:val="nil"/>
                    <w:tr2bl w:val="nil"/>
                  </w:tcBorders>
                  <w:vAlign w:val="center"/>
                </w:tcPr>
                <w:p w14:paraId="3159E535">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常温</w:t>
                  </w:r>
                </w:p>
              </w:tc>
              <w:tc>
                <w:tcPr>
                  <w:tcW w:w="341" w:type="pct"/>
                  <w:tcBorders>
                    <w:tl2br w:val="nil"/>
                    <w:tr2bl w:val="nil"/>
                  </w:tcBorders>
                  <w:vAlign w:val="center"/>
                </w:tcPr>
                <w:p w14:paraId="3EF43304">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0.3</w:t>
                  </w:r>
                </w:p>
              </w:tc>
              <w:tc>
                <w:tcPr>
                  <w:tcW w:w="371" w:type="pct"/>
                  <w:tcBorders>
                    <w:tl2br w:val="nil"/>
                    <w:tr2bl w:val="nil"/>
                  </w:tcBorders>
                  <w:vAlign w:val="center"/>
                </w:tcPr>
                <w:p w14:paraId="0799EDF7">
                  <w:pPr>
                    <w:pStyle w:val="3935"/>
                    <w:spacing w:before="0" w:beforeAutospacing="0" w:after="0" w:afterAutospacing="0"/>
                    <w:ind w:left="0" w:leftChars="0" w:right="0"/>
                    <w:rPr>
                      <w:rFonts w:hint="default" w:ascii="宋体" w:hAnsi="宋体" w:eastAsia="宋体" w:cs="宋体"/>
                      <w:b w:val="0"/>
                      <w:bCs w:val="0"/>
                      <w:color w:val="auto"/>
                      <w:kern w:val="28"/>
                      <w:sz w:val="18"/>
                      <w:szCs w:val="18"/>
                      <w:lang w:val="en-US" w:eastAsia="zh-CN" w:bidi="ar-SA"/>
                    </w:rPr>
                  </w:pPr>
                  <w:r>
                    <w:rPr>
                      <w:rFonts w:hint="eastAsia" w:ascii="宋体" w:hAnsi="宋体" w:cs="宋体"/>
                      <w:b w:val="0"/>
                      <w:bCs w:val="0"/>
                      <w:color w:val="auto"/>
                      <w:kern w:val="28"/>
                      <w:sz w:val="18"/>
                      <w:szCs w:val="18"/>
                      <w:lang w:val="en-US" w:eastAsia="zh-CN" w:bidi="ar-SA"/>
                    </w:rPr>
                    <w:t>/</w:t>
                  </w:r>
                </w:p>
              </w:tc>
              <w:tc>
                <w:tcPr>
                  <w:tcW w:w="386" w:type="pct"/>
                  <w:tcBorders>
                    <w:tl2br w:val="nil"/>
                    <w:tr2bl w:val="nil"/>
                  </w:tcBorders>
                  <w:vAlign w:val="center"/>
                </w:tcPr>
                <w:p w14:paraId="271D1E1B">
                  <w:pPr>
                    <w:pStyle w:val="3935"/>
                    <w:spacing w:before="0" w:beforeAutospacing="0" w:after="0" w:afterAutospacing="0"/>
                    <w:ind w:left="0" w:leftChars="0" w:right="0"/>
                    <w:rPr>
                      <w:rFonts w:hint="default" w:ascii="宋体" w:hAnsi="宋体" w:eastAsia="宋体" w:cs="宋体"/>
                      <w:b w:val="0"/>
                      <w:bCs w:val="0"/>
                      <w:color w:val="auto"/>
                      <w:kern w:val="28"/>
                      <w:sz w:val="18"/>
                      <w:szCs w:val="18"/>
                      <w:lang w:val="en-US" w:eastAsia="zh-CN" w:bidi="ar-SA"/>
                    </w:rPr>
                  </w:pPr>
                  <w:r>
                    <w:rPr>
                      <w:rFonts w:hint="eastAsia" w:ascii="宋体" w:hAnsi="宋体" w:cs="宋体"/>
                      <w:b w:val="0"/>
                      <w:bCs w:val="0"/>
                      <w:color w:val="auto"/>
                      <w:kern w:val="28"/>
                      <w:sz w:val="18"/>
                      <w:szCs w:val="18"/>
                      <w:lang w:val="en-US" w:eastAsia="zh-CN" w:bidi="ar-SA"/>
                    </w:rPr>
                    <w:t>/</w:t>
                  </w:r>
                </w:p>
              </w:tc>
              <w:tc>
                <w:tcPr>
                  <w:tcW w:w="415" w:type="pct"/>
                  <w:tcBorders>
                    <w:tl2br w:val="nil"/>
                    <w:tr2bl w:val="nil"/>
                  </w:tcBorders>
                  <w:vAlign w:val="center"/>
                </w:tcPr>
                <w:p w14:paraId="1D4E1A5E">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val="en-US" w:eastAsia="zh-CN"/>
                    </w:rPr>
                    <w:t>4</w:t>
                  </w:r>
                </w:p>
              </w:tc>
              <w:tc>
                <w:tcPr>
                  <w:tcW w:w="304" w:type="pct"/>
                  <w:tcBorders>
                    <w:tl2br w:val="nil"/>
                    <w:tr2bl w:val="nil"/>
                  </w:tcBorders>
                  <w:shd w:val="clear" w:color="auto" w:fill="auto"/>
                  <w:vAlign w:val="center"/>
                </w:tcPr>
                <w:p w14:paraId="31D2CD1F">
                  <w:pPr>
                    <w:pStyle w:val="3935"/>
                    <w:spacing w:before="0" w:beforeAutospacing="0" w:after="0" w:afterAutospacing="0"/>
                    <w:ind w:left="0" w:leftChars="0" w:right="0" w:rightChars="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val="en-US" w:eastAsia="zh-CN"/>
                    </w:rPr>
                    <w:t>4</w:t>
                  </w:r>
                </w:p>
              </w:tc>
              <w:tc>
                <w:tcPr>
                  <w:tcW w:w="290" w:type="pct"/>
                  <w:tcBorders>
                    <w:tl2br w:val="nil"/>
                    <w:tr2bl w:val="nil"/>
                  </w:tcBorders>
                  <w:vAlign w:val="center"/>
                </w:tcPr>
                <w:p w14:paraId="61AE4D3B">
                  <w:pPr>
                    <w:pStyle w:val="3935"/>
                    <w:spacing w:before="0" w:beforeAutospacing="0" w:after="0" w:afterAutospacing="0"/>
                    <w:ind w:left="0" w:leftChars="0" w:right="0"/>
                    <w:rPr>
                      <w:rFonts w:hint="default" w:ascii="宋体" w:hAnsi="宋体" w:eastAsia="宋体" w:cs="宋体"/>
                      <w:b w:val="0"/>
                      <w:bCs w:val="0"/>
                      <w:color w:val="auto"/>
                      <w:sz w:val="18"/>
                      <w:szCs w:val="18"/>
                      <w:lang w:val="en-US" w:eastAsia="zh-CN"/>
                    </w:rPr>
                  </w:pPr>
                  <w:r>
                    <w:rPr>
                      <w:rFonts w:hint="eastAsia" w:ascii="宋体" w:hAnsi="宋体" w:cs="宋体"/>
                      <w:b w:val="0"/>
                      <w:bCs w:val="0"/>
                      <w:color w:val="auto"/>
                      <w:sz w:val="18"/>
                      <w:szCs w:val="18"/>
                      <w:lang w:val="en-US" w:eastAsia="zh-CN"/>
                    </w:rPr>
                    <w:t>0</w:t>
                  </w:r>
                </w:p>
              </w:tc>
              <w:tc>
                <w:tcPr>
                  <w:tcW w:w="303" w:type="pct"/>
                  <w:tcBorders>
                    <w:tl2br w:val="nil"/>
                    <w:tr2bl w:val="nil"/>
                  </w:tcBorders>
                  <w:vAlign w:val="center"/>
                </w:tcPr>
                <w:p w14:paraId="492F8B56">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val="en-US" w:eastAsia="zh-CN"/>
                    </w:rPr>
                    <w:t>不锈钢液下泵</w:t>
                  </w:r>
                </w:p>
              </w:tc>
              <w:tc>
                <w:tcPr>
                  <w:tcW w:w="350" w:type="pct"/>
                  <w:tcBorders>
                    <w:tl2br w:val="nil"/>
                    <w:tr2bl w:val="nil"/>
                  </w:tcBorders>
                  <w:vAlign w:val="center"/>
                </w:tcPr>
                <w:p w14:paraId="2A9E8F42">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val="en-US" w:eastAsia="zh-CN"/>
                    </w:rPr>
                    <w:t>利旧</w:t>
                  </w:r>
                </w:p>
              </w:tc>
            </w:tr>
            <w:tr w14:paraId="42E49E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tcBorders>
                    <w:tl2br w:val="nil"/>
                    <w:tr2bl w:val="nil"/>
                  </w:tcBorders>
                  <w:vAlign w:val="center"/>
                </w:tcPr>
                <w:p w14:paraId="1E60A413">
                  <w:pPr>
                    <w:widowControl/>
                    <w:numPr>
                      <w:ilvl w:val="0"/>
                      <w:numId w:val="2"/>
                    </w:numPr>
                    <w:spacing w:line="280" w:lineRule="exact"/>
                    <w:jc w:val="center"/>
                    <w:rPr>
                      <w:rFonts w:hint="eastAsia" w:ascii="宋体" w:hAnsi="宋体" w:eastAsia="宋体" w:cs="宋体"/>
                      <w:b w:val="0"/>
                      <w:bCs w:val="0"/>
                      <w:color w:val="auto"/>
                      <w:kern w:val="0"/>
                      <w:sz w:val="18"/>
                      <w:szCs w:val="18"/>
                    </w:rPr>
                  </w:pPr>
                </w:p>
              </w:tc>
              <w:tc>
                <w:tcPr>
                  <w:tcW w:w="372" w:type="pct"/>
                  <w:tcBorders>
                    <w:tl2br w:val="nil"/>
                    <w:tr2bl w:val="nil"/>
                  </w:tcBorders>
                  <w:vAlign w:val="center"/>
                </w:tcPr>
                <w:p w14:paraId="7F6D5695">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一</w:t>
                  </w:r>
                  <w:r>
                    <w:rPr>
                      <w:rFonts w:hint="eastAsia" w:ascii="宋体" w:hAnsi="宋体" w:eastAsia="宋体" w:cs="宋体"/>
                      <w:b w:val="0"/>
                      <w:bCs w:val="0"/>
                      <w:color w:val="auto"/>
                      <w:sz w:val="18"/>
                      <w:szCs w:val="18"/>
                      <w:lang w:eastAsia="zh-CN"/>
                    </w:rPr>
                    <w:t>、</w:t>
                  </w:r>
                  <w:r>
                    <w:rPr>
                      <w:rFonts w:hint="eastAsia" w:ascii="宋体" w:hAnsi="宋体" w:eastAsia="宋体" w:cs="宋体"/>
                      <w:b w:val="0"/>
                      <w:bCs w:val="0"/>
                      <w:color w:val="auto"/>
                      <w:sz w:val="18"/>
                      <w:szCs w:val="18"/>
                      <w:lang w:val="en-US" w:eastAsia="zh-CN"/>
                    </w:rPr>
                    <w:t>二</w:t>
                  </w:r>
                  <w:r>
                    <w:rPr>
                      <w:rFonts w:hint="eastAsia" w:ascii="宋体" w:hAnsi="宋体" w:eastAsia="宋体" w:cs="宋体"/>
                      <w:b w:val="0"/>
                      <w:bCs w:val="0"/>
                      <w:color w:val="auto"/>
                      <w:sz w:val="18"/>
                      <w:szCs w:val="18"/>
                    </w:rPr>
                    <w:t>级循环</w:t>
                  </w:r>
                  <w:r>
                    <w:rPr>
                      <w:rFonts w:hint="eastAsia" w:ascii="宋体" w:hAnsi="宋体" w:eastAsia="宋体" w:cs="宋体"/>
                      <w:b w:val="0"/>
                      <w:bCs w:val="0"/>
                      <w:color w:val="auto"/>
                      <w:sz w:val="18"/>
                      <w:szCs w:val="18"/>
                      <w:lang w:val="en-US" w:eastAsia="zh-CN"/>
                    </w:rPr>
                    <w:t>冷凝器</w:t>
                  </w:r>
                </w:p>
              </w:tc>
              <w:tc>
                <w:tcPr>
                  <w:tcW w:w="473" w:type="pct"/>
                  <w:tcBorders>
                    <w:tl2br w:val="nil"/>
                    <w:tr2bl w:val="nil"/>
                  </w:tcBorders>
                  <w:vAlign w:val="center"/>
                </w:tcPr>
                <w:p w14:paraId="1C5C7D52">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E-1605</w:t>
                  </w:r>
                  <w:r>
                    <w:rPr>
                      <w:rFonts w:hint="eastAsia" w:ascii="宋体" w:hAnsi="宋体" w:eastAsia="宋体" w:cs="宋体"/>
                      <w:b w:val="0"/>
                      <w:bCs w:val="0"/>
                      <w:color w:val="auto"/>
                      <w:kern w:val="0"/>
                      <w:sz w:val="18"/>
                      <w:szCs w:val="18"/>
                      <w:lang w:val="en-US" w:eastAsia="zh-CN"/>
                    </w:rPr>
                    <w:t>/</w:t>
                  </w:r>
                  <w:r>
                    <w:rPr>
                      <w:rFonts w:hint="eastAsia" w:ascii="宋体" w:hAnsi="宋体" w:eastAsia="宋体" w:cs="宋体"/>
                      <w:b w:val="0"/>
                      <w:bCs w:val="0"/>
                      <w:color w:val="auto"/>
                      <w:kern w:val="0"/>
                      <w:sz w:val="18"/>
                      <w:szCs w:val="18"/>
                    </w:rPr>
                    <w:t>1606</w:t>
                  </w:r>
                </w:p>
              </w:tc>
              <w:tc>
                <w:tcPr>
                  <w:tcW w:w="394" w:type="pct"/>
                  <w:tcBorders>
                    <w:tl2br w:val="nil"/>
                    <w:tr2bl w:val="nil"/>
                  </w:tcBorders>
                  <w:vAlign w:val="center"/>
                </w:tcPr>
                <w:p w14:paraId="0DDFFB90">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Φ</w:t>
                  </w:r>
                  <w:r>
                    <w:rPr>
                      <w:rFonts w:hint="eastAsia" w:ascii="宋体" w:hAnsi="宋体" w:eastAsia="宋体" w:cs="宋体"/>
                      <w:b w:val="0"/>
                      <w:bCs w:val="0"/>
                      <w:color w:val="auto"/>
                      <w:sz w:val="18"/>
                      <w:szCs w:val="18"/>
                      <w:lang w:val="en-US" w:eastAsia="zh-CN"/>
                    </w:rPr>
                    <w:t>5</w:t>
                  </w:r>
                  <w:r>
                    <w:rPr>
                      <w:rFonts w:hint="eastAsia" w:ascii="宋体" w:hAnsi="宋体" w:eastAsia="宋体" w:cs="宋体"/>
                      <w:b w:val="0"/>
                      <w:bCs w:val="0"/>
                      <w:color w:val="auto"/>
                      <w:sz w:val="18"/>
                      <w:szCs w:val="18"/>
                    </w:rPr>
                    <w:t>0</w:t>
                  </w:r>
                  <w:r>
                    <w:rPr>
                      <w:rFonts w:hint="eastAsia" w:ascii="宋体" w:hAnsi="宋体" w:eastAsia="宋体" w:cs="宋体"/>
                      <w:b w:val="0"/>
                      <w:bCs w:val="0"/>
                      <w:color w:val="auto"/>
                      <w:sz w:val="18"/>
                      <w:szCs w:val="18"/>
                      <w:lang w:val="en-US" w:eastAsia="zh-CN"/>
                    </w:rPr>
                    <w:t>0</w:t>
                  </w:r>
                  <w:r>
                    <w:rPr>
                      <w:rFonts w:hint="eastAsia" w:ascii="宋体" w:hAnsi="宋体" w:eastAsia="宋体" w:cs="宋体"/>
                      <w:b w:val="0"/>
                      <w:bCs w:val="0"/>
                      <w:color w:val="auto"/>
                      <w:sz w:val="18"/>
                      <w:szCs w:val="18"/>
                    </w:rPr>
                    <w:t>×</w:t>
                  </w:r>
                  <w:r>
                    <w:rPr>
                      <w:rFonts w:hint="eastAsia" w:ascii="宋体" w:hAnsi="宋体" w:eastAsia="宋体" w:cs="宋体"/>
                      <w:b w:val="0"/>
                      <w:bCs w:val="0"/>
                      <w:color w:val="auto"/>
                      <w:sz w:val="18"/>
                      <w:szCs w:val="18"/>
                      <w:lang w:val="en-US" w:eastAsia="zh-CN"/>
                    </w:rPr>
                    <w:t>25</w:t>
                  </w:r>
                  <w:r>
                    <w:rPr>
                      <w:rFonts w:hint="eastAsia" w:ascii="宋体" w:hAnsi="宋体" w:eastAsia="宋体" w:cs="宋体"/>
                      <w:b w:val="0"/>
                      <w:bCs w:val="0"/>
                      <w:color w:val="auto"/>
                      <w:sz w:val="18"/>
                      <w:szCs w:val="18"/>
                    </w:rPr>
                    <w:t>00</w:t>
                  </w:r>
                </w:p>
              </w:tc>
              <w:tc>
                <w:tcPr>
                  <w:tcW w:w="402" w:type="pct"/>
                  <w:tcBorders>
                    <w:tl2br w:val="nil"/>
                    <w:tr2bl w:val="nil"/>
                  </w:tcBorders>
                  <w:vAlign w:val="center"/>
                </w:tcPr>
                <w:p w14:paraId="53D93CC0">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液碱、水、氯气</w:t>
                  </w:r>
                </w:p>
              </w:tc>
              <w:tc>
                <w:tcPr>
                  <w:tcW w:w="386" w:type="pct"/>
                  <w:tcBorders>
                    <w:tl2br w:val="nil"/>
                    <w:tr2bl w:val="nil"/>
                  </w:tcBorders>
                  <w:vAlign w:val="center"/>
                </w:tcPr>
                <w:p w14:paraId="788A06BF">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常温</w:t>
                  </w:r>
                </w:p>
              </w:tc>
              <w:tc>
                <w:tcPr>
                  <w:tcW w:w="341" w:type="pct"/>
                  <w:tcBorders>
                    <w:tl2br w:val="nil"/>
                    <w:tr2bl w:val="nil"/>
                  </w:tcBorders>
                  <w:vAlign w:val="center"/>
                </w:tcPr>
                <w:p w14:paraId="19AD40BC">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常压</w:t>
                  </w:r>
                </w:p>
              </w:tc>
              <w:tc>
                <w:tcPr>
                  <w:tcW w:w="371" w:type="pct"/>
                  <w:tcBorders>
                    <w:tl2br w:val="nil"/>
                    <w:tr2bl w:val="nil"/>
                  </w:tcBorders>
                  <w:vAlign w:val="center"/>
                </w:tcPr>
                <w:p w14:paraId="2138B58D">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常温</w:t>
                  </w:r>
                </w:p>
              </w:tc>
              <w:tc>
                <w:tcPr>
                  <w:tcW w:w="386" w:type="pct"/>
                  <w:tcBorders>
                    <w:tl2br w:val="nil"/>
                    <w:tr2bl w:val="nil"/>
                  </w:tcBorders>
                  <w:vAlign w:val="center"/>
                </w:tcPr>
                <w:p w14:paraId="44EF4FBE">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常压</w:t>
                  </w:r>
                </w:p>
              </w:tc>
              <w:tc>
                <w:tcPr>
                  <w:tcW w:w="415" w:type="pct"/>
                  <w:tcBorders>
                    <w:tl2br w:val="nil"/>
                    <w:tr2bl w:val="nil"/>
                  </w:tcBorders>
                  <w:vAlign w:val="center"/>
                </w:tcPr>
                <w:p w14:paraId="1E46F63D">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val="en-US" w:eastAsia="zh-CN"/>
                    </w:rPr>
                    <w:t>2</w:t>
                  </w:r>
                </w:p>
              </w:tc>
              <w:tc>
                <w:tcPr>
                  <w:tcW w:w="304" w:type="pct"/>
                  <w:tcBorders>
                    <w:tl2br w:val="nil"/>
                    <w:tr2bl w:val="nil"/>
                  </w:tcBorders>
                  <w:shd w:val="clear" w:color="auto" w:fill="auto"/>
                  <w:vAlign w:val="center"/>
                </w:tcPr>
                <w:p w14:paraId="74383E63">
                  <w:pPr>
                    <w:pStyle w:val="3935"/>
                    <w:spacing w:before="0" w:beforeAutospacing="0" w:after="0" w:afterAutospacing="0"/>
                    <w:ind w:left="0" w:leftChars="0" w:right="0" w:rightChars="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val="en-US" w:eastAsia="zh-CN"/>
                    </w:rPr>
                    <w:t>2</w:t>
                  </w:r>
                </w:p>
              </w:tc>
              <w:tc>
                <w:tcPr>
                  <w:tcW w:w="290" w:type="pct"/>
                  <w:tcBorders>
                    <w:tl2br w:val="nil"/>
                    <w:tr2bl w:val="nil"/>
                  </w:tcBorders>
                  <w:vAlign w:val="center"/>
                </w:tcPr>
                <w:p w14:paraId="2E9EDA3E">
                  <w:pPr>
                    <w:pStyle w:val="3935"/>
                    <w:spacing w:before="0" w:beforeAutospacing="0" w:after="0" w:afterAutospacing="0"/>
                    <w:ind w:left="0" w:leftChars="0" w:right="0"/>
                    <w:rPr>
                      <w:rFonts w:hint="default" w:ascii="宋体" w:hAnsi="宋体" w:eastAsia="宋体" w:cs="宋体"/>
                      <w:b w:val="0"/>
                      <w:bCs w:val="0"/>
                      <w:color w:val="auto"/>
                      <w:sz w:val="18"/>
                      <w:szCs w:val="18"/>
                      <w:lang w:val="en-US" w:eastAsia="zh-CN"/>
                    </w:rPr>
                  </w:pPr>
                  <w:r>
                    <w:rPr>
                      <w:rFonts w:hint="eastAsia" w:ascii="宋体" w:hAnsi="宋体" w:cs="宋体"/>
                      <w:b w:val="0"/>
                      <w:bCs w:val="0"/>
                      <w:color w:val="auto"/>
                      <w:sz w:val="18"/>
                      <w:szCs w:val="18"/>
                      <w:lang w:val="en-US" w:eastAsia="zh-CN"/>
                    </w:rPr>
                    <w:t>0</w:t>
                  </w:r>
                </w:p>
              </w:tc>
              <w:tc>
                <w:tcPr>
                  <w:tcW w:w="303" w:type="pct"/>
                  <w:tcBorders>
                    <w:tl2br w:val="nil"/>
                    <w:tr2bl w:val="nil"/>
                  </w:tcBorders>
                  <w:vAlign w:val="center"/>
                </w:tcPr>
                <w:p w14:paraId="01CB0FD4">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val="en-US" w:eastAsia="zh-CN"/>
                    </w:rPr>
                    <w:t>石墨</w:t>
                  </w:r>
                </w:p>
              </w:tc>
              <w:tc>
                <w:tcPr>
                  <w:tcW w:w="350" w:type="pct"/>
                  <w:tcBorders>
                    <w:tl2br w:val="nil"/>
                    <w:tr2bl w:val="nil"/>
                  </w:tcBorders>
                  <w:vAlign w:val="center"/>
                </w:tcPr>
                <w:p w14:paraId="018D5129">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val="en-US" w:eastAsia="zh-CN"/>
                    </w:rPr>
                    <w:t>利旧</w:t>
                  </w:r>
                </w:p>
              </w:tc>
            </w:tr>
            <w:tr w14:paraId="1925A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tcBorders>
                    <w:tl2br w:val="nil"/>
                    <w:tr2bl w:val="nil"/>
                  </w:tcBorders>
                  <w:vAlign w:val="center"/>
                </w:tcPr>
                <w:p w14:paraId="60A20F60">
                  <w:pPr>
                    <w:widowControl/>
                    <w:numPr>
                      <w:ilvl w:val="0"/>
                      <w:numId w:val="2"/>
                    </w:numPr>
                    <w:spacing w:line="280" w:lineRule="exact"/>
                    <w:jc w:val="center"/>
                    <w:rPr>
                      <w:rFonts w:hint="eastAsia" w:ascii="宋体" w:hAnsi="宋体" w:eastAsia="宋体" w:cs="宋体"/>
                      <w:b w:val="0"/>
                      <w:bCs w:val="0"/>
                      <w:color w:val="auto"/>
                      <w:kern w:val="0"/>
                      <w:sz w:val="18"/>
                      <w:szCs w:val="18"/>
                    </w:rPr>
                  </w:pPr>
                </w:p>
              </w:tc>
              <w:tc>
                <w:tcPr>
                  <w:tcW w:w="372" w:type="pct"/>
                  <w:tcBorders>
                    <w:tl2br w:val="nil"/>
                    <w:tr2bl w:val="nil"/>
                  </w:tcBorders>
                  <w:vAlign w:val="center"/>
                </w:tcPr>
                <w:p w14:paraId="7C05DC9B">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引风机</w:t>
                  </w:r>
                </w:p>
              </w:tc>
              <w:tc>
                <w:tcPr>
                  <w:tcW w:w="473" w:type="pct"/>
                  <w:tcBorders>
                    <w:tl2br w:val="nil"/>
                    <w:tr2bl w:val="nil"/>
                  </w:tcBorders>
                  <w:vAlign w:val="center"/>
                </w:tcPr>
                <w:p w14:paraId="1EC33413">
                  <w:pPr>
                    <w:spacing w:line="240" w:lineRule="atLeast"/>
                    <w:jc w:val="center"/>
                    <w:rPr>
                      <w:rFonts w:hint="eastAsia" w:ascii="宋体" w:hAnsi="宋体" w:eastAsia="宋体" w:cs="宋体"/>
                      <w:b w:val="0"/>
                      <w:bCs w:val="0"/>
                      <w:color w:val="auto"/>
                      <w:kern w:val="0"/>
                      <w:sz w:val="18"/>
                      <w:szCs w:val="18"/>
                      <w:lang w:val="en-US" w:eastAsia="zh-CN" w:bidi="ar-SA"/>
                    </w:rPr>
                  </w:pPr>
                  <w:r>
                    <w:rPr>
                      <w:rFonts w:hint="eastAsia" w:ascii="宋体" w:hAnsi="宋体" w:eastAsia="宋体" w:cs="宋体"/>
                      <w:b w:val="0"/>
                      <w:bCs w:val="0"/>
                      <w:color w:val="auto"/>
                      <w:kern w:val="0"/>
                      <w:sz w:val="18"/>
                      <w:szCs w:val="18"/>
                    </w:rPr>
                    <w:t>C-1601</w:t>
                  </w:r>
                  <w:r>
                    <w:rPr>
                      <w:rFonts w:hint="eastAsia" w:ascii="宋体" w:hAnsi="宋体" w:eastAsia="宋体" w:cs="宋体"/>
                      <w:b w:val="0"/>
                      <w:bCs w:val="0"/>
                      <w:color w:val="auto"/>
                      <w:kern w:val="0"/>
                      <w:sz w:val="18"/>
                      <w:szCs w:val="18"/>
                      <w:lang w:val="en-US" w:eastAsia="zh-CN"/>
                    </w:rPr>
                    <w:t>ab</w:t>
                  </w:r>
                </w:p>
              </w:tc>
              <w:tc>
                <w:tcPr>
                  <w:tcW w:w="394" w:type="pct"/>
                  <w:tcBorders>
                    <w:tl2br w:val="nil"/>
                    <w:tr2bl w:val="nil"/>
                  </w:tcBorders>
                  <w:vAlign w:val="center"/>
                </w:tcPr>
                <w:p w14:paraId="45C588EB">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val="en-US" w:eastAsia="zh-CN"/>
                    </w:rPr>
                    <w:t>18400Nm</w:t>
                  </w:r>
                  <w:r>
                    <w:rPr>
                      <w:rFonts w:hint="eastAsia" w:ascii="宋体" w:hAnsi="宋体" w:eastAsia="宋体" w:cs="宋体"/>
                      <w:b w:val="0"/>
                      <w:bCs w:val="0"/>
                      <w:color w:val="auto"/>
                      <w:sz w:val="18"/>
                      <w:szCs w:val="18"/>
                      <w:vertAlign w:val="superscript"/>
                      <w:lang w:val="en-US" w:eastAsia="zh-CN"/>
                    </w:rPr>
                    <w:t>3</w:t>
                  </w:r>
                  <w:r>
                    <w:rPr>
                      <w:rFonts w:hint="eastAsia" w:ascii="宋体" w:hAnsi="宋体" w:eastAsia="宋体" w:cs="宋体"/>
                      <w:b w:val="0"/>
                      <w:bCs w:val="0"/>
                      <w:color w:val="auto"/>
                      <w:sz w:val="18"/>
                      <w:szCs w:val="18"/>
                      <w:lang w:val="en-US" w:eastAsia="zh-CN"/>
                    </w:rPr>
                    <w:t>/h</w:t>
                  </w:r>
                </w:p>
              </w:tc>
              <w:tc>
                <w:tcPr>
                  <w:tcW w:w="402" w:type="pct"/>
                  <w:tcBorders>
                    <w:tl2br w:val="nil"/>
                    <w:tr2bl w:val="nil"/>
                  </w:tcBorders>
                  <w:vAlign w:val="center"/>
                </w:tcPr>
                <w:p w14:paraId="6DC1F568">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p>
              </w:tc>
              <w:tc>
                <w:tcPr>
                  <w:tcW w:w="386" w:type="pct"/>
                  <w:tcBorders>
                    <w:tl2br w:val="nil"/>
                    <w:tr2bl w:val="nil"/>
                  </w:tcBorders>
                  <w:vAlign w:val="center"/>
                </w:tcPr>
                <w:p w14:paraId="1627DD76">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常温</w:t>
                  </w:r>
                </w:p>
              </w:tc>
              <w:tc>
                <w:tcPr>
                  <w:tcW w:w="341" w:type="pct"/>
                  <w:tcBorders>
                    <w:tl2br w:val="nil"/>
                    <w:tr2bl w:val="nil"/>
                  </w:tcBorders>
                  <w:vAlign w:val="center"/>
                </w:tcPr>
                <w:p w14:paraId="15572233">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常压</w:t>
                  </w:r>
                </w:p>
              </w:tc>
              <w:tc>
                <w:tcPr>
                  <w:tcW w:w="371" w:type="pct"/>
                  <w:tcBorders>
                    <w:tl2br w:val="nil"/>
                    <w:tr2bl w:val="nil"/>
                  </w:tcBorders>
                  <w:vAlign w:val="center"/>
                </w:tcPr>
                <w:p w14:paraId="569E3A1A">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常温</w:t>
                  </w:r>
                </w:p>
              </w:tc>
              <w:tc>
                <w:tcPr>
                  <w:tcW w:w="386" w:type="pct"/>
                  <w:tcBorders>
                    <w:tl2br w:val="nil"/>
                    <w:tr2bl w:val="nil"/>
                  </w:tcBorders>
                  <w:vAlign w:val="center"/>
                </w:tcPr>
                <w:p w14:paraId="5DC65F98">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rPr>
                    <w:t>常压</w:t>
                  </w:r>
                </w:p>
              </w:tc>
              <w:tc>
                <w:tcPr>
                  <w:tcW w:w="415" w:type="pct"/>
                  <w:tcBorders>
                    <w:tl2br w:val="nil"/>
                    <w:tr2bl w:val="nil"/>
                  </w:tcBorders>
                  <w:vAlign w:val="center"/>
                </w:tcPr>
                <w:p w14:paraId="0D878098">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val="en-US" w:eastAsia="zh-CN"/>
                    </w:rPr>
                    <w:t>2</w:t>
                  </w:r>
                </w:p>
              </w:tc>
              <w:tc>
                <w:tcPr>
                  <w:tcW w:w="304" w:type="pct"/>
                  <w:tcBorders>
                    <w:tl2br w:val="nil"/>
                    <w:tr2bl w:val="nil"/>
                  </w:tcBorders>
                  <w:shd w:val="clear" w:color="auto" w:fill="auto"/>
                  <w:vAlign w:val="center"/>
                </w:tcPr>
                <w:p w14:paraId="7104FB42">
                  <w:pPr>
                    <w:pStyle w:val="3935"/>
                    <w:spacing w:before="0" w:beforeAutospacing="0" w:after="0" w:afterAutospacing="0"/>
                    <w:ind w:left="0" w:leftChars="0" w:right="0" w:rightChars="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val="en-US" w:eastAsia="zh-CN"/>
                    </w:rPr>
                    <w:t>2</w:t>
                  </w:r>
                </w:p>
              </w:tc>
              <w:tc>
                <w:tcPr>
                  <w:tcW w:w="290" w:type="pct"/>
                  <w:tcBorders>
                    <w:tl2br w:val="nil"/>
                    <w:tr2bl w:val="nil"/>
                  </w:tcBorders>
                  <w:vAlign w:val="center"/>
                </w:tcPr>
                <w:p w14:paraId="7B978864">
                  <w:pPr>
                    <w:pStyle w:val="3935"/>
                    <w:spacing w:before="0" w:beforeAutospacing="0" w:after="0" w:afterAutospacing="0"/>
                    <w:ind w:left="0" w:leftChars="0" w:right="0"/>
                    <w:rPr>
                      <w:rFonts w:hint="default" w:ascii="宋体" w:hAnsi="宋体" w:eastAsia="宋体" w:cs="宋体"/>
                      <w:b w:val="0"/>
                      <w:bCs w:val="0"/>
                      <w:color w:val="auto"/>
                      <w:sz w:val="18"/>
                      <w:szCs w:val="18"/>
                      <w:lang w:val="en-US" w:eastAsia="zh-CN"/>
                    </w:rPr>
                  </w:pPr>
                  <w:r>
                    <w:rPr>
                      <w:rFonts w:hint="eastAsia" w:ascii="宋体" w:hAnsi="宋体" w:cs="宋体"/>
                      <w:b w:val="0"/>
                      <w:bCs w:val="0"/>
                      <w:color w:val="auto"/>
                      <w:sz w:val="18"/>
                      <w:szCs w:val="18"/>
                      <w:lang w:val="en-US" w:eastAsia="zh-CN"/>
                    </w:rPr>
                    <w:t>0</w:t>
                  </w:r>
                </w:p>
              </w:tc>
              <w:tc>
                <w:tcPr>
                  <w:tcW w:w="303" w:type="pct"/>
                  <w:tcBorders>
                    <w:tl2br w:val="nil"/>
                    <w:tr2bl w:val="nil"/>
                  </w:tcBorders>
                  <w:vAlign w:val="center"/>
                </w:tcPr>
                <w:p w14:paraId="18DF4745">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eastAsia="zh-CN"/>
                    </w:rPr>
                    <w:t>玻璃钢</w:t>
                  </w:r>
                </w:p>
              </w:tc>
              <w:tc>
                <w:tcPr>
                  <w:tcW w:w="350" w:type="pct"/>
                  <w:tcBorders>
                    <w:tl2br w:val="nil"/>
                    <w:tr2bl w:val="nil"/>
                  </w:tcBorders>
                  <w:vAlign w:val="center"/>
                </w:tcPr>
                <w:p w14:paraId="1130A955">
                  <w:pPr>
                    <w:pStyle w:val="3935"/>
                    <w:spacing w:before="0" w:beforeAutospacing="0" w:after="0" w:afterAutospacing="0"/>
                    <w:ind w:left="0" w:leftChars="0" w:right="0"/>
                    <w:rPr>
                      <w:rFonts w:hint="eastAsia" w:ascii="宋体" w:hAnsi="宋体" w:eastAsia="宋体" w:cs="宋体"/>
                      <w:b w:val="0"/>
                      <w:bCs w:val="0"/>
                      <w:color w:val="auto"/>
                      <w:kern w:val="28"/>
                      <w:sz w:val="18"/>
                      <w:szCs w:val="18"/>
                      <w:lang w:val="en-US" w:eastAsia="zh-CN" w:bidi="ar-SA"/>
                    </w:rPr>
                  </w:pPr>
                  <w:r>
                    <w:rPr>
                      <w:rFonts w:hint="eastAsia" w:ascii="宋体" w:hAnsi="宋体" w:eastAsia="宋体" w:cs="宋体"/>
                      <w:b w:val="0"/>
                      <w:bCs w:val="0"/>
                      <w:color w:val="auto"/>
                      <w:sz w:val="18"/>
                      <w:szCs w:val="18"/>
                      <w:lang w:val="en-US" w:eastAsia="zh-CN"/>
                    </w:rPr>
                    <w:t>利旧</w:t>
                  </w:r>
                </w:p>
              </w:tc>
            </w:tr>
            <w:tr w14:paraId="33FA60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tcBorders>
                    <w:tl2br w:val="nil"/>
                    <w:tr2bl w:val="nil"/>
                  </w:tcBorders>
                  <w:vAlign w:val="center"/>
                </w:tcPr>
                <w:p w14:paraId="45D66A94">
                  <w:pPr>
                    <w:widowControl/>
                    <w:numPr>
                      <w:ilvl w:val="0"/>
                      <w:numId w:val="2"/>
                    </w:numPr>
                    <w:spacing w:line="280" w:lineRule="exact"/>
                    <w:jc w:val="center"/>
                    <w:rPr>
                      <w:rFonts w:hint="eastAsia" w:ascii="宋体" w:hAnsi="宋体" w:eastAsia="宋体" w:cs="宋体"/>
                      <w:b/>
                      <w:bCs/>
                      <w:color w:val="auto"/>
                      <w:kern w:val="0"/>
                      <w:sz w:val="18"/>
                      <w:szCs w:val="18"/>
                    </w:rPr>
                  </w:pPr>
                </w:p>
              </w:tc>
              <w:tc>
                <w:tcPr>
                  <w:tcW w:w="372" w:type="pct"/>
                  <w:tcBorders>
                    <w:tl2br w:val="nil"/>
                    <w:tr2bl w:val="nil"/>
                  </w:tcBorders>
                  <w:vAlign w:val="center"/>
                </w:tcPr>
                <w:p w14:paraId="2490D76E">
                  <w:pPr>
                    <w:pStyle w:val="3935"/>
                    <w:spacing w:before="0" w:beforeAutospacing="0" w:after="0" w:afterAutospacing="0"/>
                    <w:ind w:left="0" w:leftChars="0" w:right="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sz w:val="18"/>
                      <w:szCs w:val="18"/>
                      <w:lang w:val="en-US" w:eastAsia="zh-CN"/>
                    </w:rPr>
                    <w:t>黄</w:t>
                  </w:r>
                  <w:r>
                    <w:rPr>
                      <w:rFonts w:hint="eastAsia" w:ascii="宋体" w:hAnsi="宋体" w:eastAsia="宋体" w:cs="宋体"/>
                      <w:b/>
                      <w:bCs/>
                      <w:color w:val="auto"/>
                      <w:sz w:val="18"/>
                      <w:szCs w:val="18"/>
                    </w:rPr>
                    <w:t>磷池</w:t>
                  </w:r>
                </w:p>
              </w:tc>
              <w:tc>
                <w:tcPr>
                  <w:tcW w:w="473" w:type="pct"/>
                  <w:tcBorders>
                    <w:tl2br w:val="nil"/>
                    <w:tr2bl w:val="nil"/>
                  </w:tcBorders>
                  <w:vAlign w:val="center"/>
                </w:tcPr>
                <w:p w14:paraId="4F1D7AFA">
                  <w:pPr>
                    <w:pStyle w:val="3935"/>
                    <w:spacing w:before="0" w:beforeAutospacing="0" w:after="0" w:afterAutospacing="0"/>
                    <w:ind w:left="0" w:leftChars="0" w:right="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kern w:val="28"/>
                      <w:sz w:val="18"/>
                      <w:szCs w:val="18"/>
                      <w:lang w:val="en-US" w:eastAsia="zh-CN" w:bidi="ar-SA"/>
                    </w:rPr>
                    <w:t>V-101cd</w:t>
                  </w:r>
                </w:p>
              </w:tc>
              <w:tc>
                <w:tcPr>
                  <w:tcW w:w="394" w:type="pct"/>
                  <w:tcBorders>
                    <w:tl2br w:val="nil"/>
                    <w:tr2bl w:val="nil"/>
                  </w:tcBorders>
                  <w:vAlign w:val="center"/>
                </w:tcPr>
                <w:p w14:paraId="1DFA3D73">
                  <w:pPr>
                    <w:pStyle w:val="3935"/>
                    <w:spacing w:before="0" w:beforeAutospacing="0" w:after="0" w:afterAutospacing="0"/>
                    <w:ind w:left="0" w:leftChars="0" w:right="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sz w:val="18"/>
                      <w:szCs w:val="18"/>
                    </w:rPr>
                    <w:t>1</w:t>
                  </w:r>
                  <w:r>
                    <w:rPr>
                      <w:rFonts w:hint="eastAsia" w:ascii="宋体" w:hAnsi="宋体" w:eastAsia="宋体" w:cs="宋体"/>
                      <w:b/>
                      <w:bCs/>
                      <w:color w:val="auto"/>
                      <w:sz w:val="18"/>
                      <w:szCs w:val="18"/>
                      <w:lang w:val="en-US" w:eastAsia="zh-CN"/>
                    </w:rPr>
                    <w:t>2.5×5.6×4.5</w:t>
                  </w:r>
                </w:p>
              </w:tc>
              <w:tc>
                <w:tcPr>
                  <w:tcW w:w="402" w:type="pct"/>
                  <w:tcBorders>
                    <w:tl2br w:val="nil"/>
                    <w:tr2bl w:val="nil"/>
                  </w:tcBorders>
                  <w:vAlign w:val="center"/>
                </w:tcPr>
                <w:p w14:paraId="41D71225">
                  <w:pPr>
                    <w:pStyle w:val="3935"/>
                    <w:spacing w:before="0" w:beforeAutospacing="0" w:after="0" w:afterAutospacing="0"/>
                    <w:ind w:left="0" w:leftChars="0" w:right="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sz w:val="18"/>
                      <w:szCs w:val="18"/>
                    </w:rPr>
                    <w:t>水、黄磷</w:t>
                  </w:r>
                </w:p>
              </w:tc>
              <w:tc>
                <w:tcPr>
                  <w:tcW w:w="386" w:type="pct"/>
                  <w:tcBorders>
                    <w:tl2br w:val="nil"/>
                    <w:tr2bl w:val="nil"/>
                  </w:tcBorders>
                  <w:vAlign w:val="center"/>
                </w:tcPr>
                <w:p w14:paraId="58ECE69F">
                  <w:pPr>
                    <w:pStyle w:val="3935"/>
                    <w:spacing w:before="0" w:beforeAutospacing="0" w:after="0" w:afterAutospacing="0"/>
                    <w:ind w:left="0" w:leftChars="0" w:right="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sz w:val="18"/>
                      <w:szCs w:val="18"/>
                    </w:rPr>
                    <w:t>50~70</w:t>
                  </w:r>
                </w:p>
              </w:tc>
              <w:tc>
                <w:tcPr>
                  <w:tcW w:w="341" w:type="pct"/>
                  <w:tcBorders>
                    <w:tl2br w:val="nil"/>
                    <w:tr2bl w:val="nil"/>
                  </w:tcBorders>
                  <w:vAlign w:val="center"/>
                </w:tcPr>
                <w:p w14:paraId="3E1B5720">
                  <w:pPr>
                    <w:pStyle w:val="3935"/>
                    <w:spacing w:before="0" w:beforeAutospacing="0" w:after="0" w:afterAutospacing="0"/>
                    <w:ind w:left="0" w:leftChars="0" w:right="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sz w:val="18"/>
                      <w:szCs w:val="18"/>
                    </w:rPr>
                    <w:t>常压</w:t>
                  </w:r>
                </w:p>
              </w:tc>
              <w:tc>
                <w:tcPr>
                  <w:tcW w:w="371" w:type="pct"/>
                  <w:tcBorders>
                    <w:tl2br w:val="nil"/>
                    <w:tr2bl w:val="nil"/>
                  </w:tcBorders>
                  <w:vAlign w:val="center"/>
                </w:tcPr>
                <w:p w14:paraId="26BC43CD">
                  <w:pPr>
                    <w:pStyle w:val="3935"/>
                    <w:spacing w:before="0" w:beforeAutospacing="0" w:after="0" w:afterAutospacing="0"/>
                    <w:ind w:left="0" w:leftChars="0" w:right="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kern w:val="28"/>
                      <w:sz w:val="18"/>
                      <w:szCs w:val="18"/>
                      <w:lang w:val="en-US" w:eastAsia="zh-CN" w:bidi="ar-SA"/>
                    </w:rPr>
                    <w:t>90</w:t>
                  </w:r>
                </w:p>
              </w:tc>
              <w:tc>
                <w:tcPr>
                  <w:tcW w:w="386" w:type="pct"/>
                  <w:tcBorders>
                    <w:tl2br w:val="nil"/>
                    <w:tr2bl w:val="nil"/>
                  </w:tcBorders>
                  <w:vAlign w:val="center"/>
                </w:tcPr>
                <w:p w14:paraId="7179939B">
                  <w:pPr>
                    <w:pStyle w:val="3935"/>
                    <w:spacing w:before="0" w:beforeAutospacing="0" w:after="0" w:afterAutospacing="0"/>
                    <w:ind w:left="0" w:leftChars="0" w:right="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kern w:val="28"/>
                      <w:sz w:val="18"/>
                      <w:szCs w:val="18"/>
                      <w:lang w:val="en-US" w:eastAsia="zh-CN" w:bidi="ar-SA"/>
                    </w:rPr>
                    <w:t>常压</w:t>
                  </w:r>
                </w:p>
              </w:tc>
              <w:tc>
                <w:tcPr>
                  <w:tcW w:w="415" w:type="pct"/>
                  <w:tcBorders>
                    <w:tl2br w:val="nil"/>
                    <w:tr2bl w:val="nil"/>
                  </w:tcBorders>
                  <w:vAlign w:val="center"/>
                </w:tcPr>
                <w:p w14:paraId="03F35EE1">
                  <w:pPr>
                    <w:pStyle w:val="3935"/>
                    <w:spacing w:before="0" w:beforeAutospacing="0" w:after="0" w:afterAutospacing="0"/>
                    <w:ind w:left="0" w:leftChars="0" w:right="0"/>
                    <w:rPr>
                      <w:rFonts w:hint="eastAsia" w:ascii="宋体" w:hAnsi="宋体" w:eastAsia="宋体" w:cs="宋体"/>
                      <w:b/>
                      <w:bCs/>
                      <w:color w:val="auto"/>
                      <w:kern w:val="28"/>
                      <w:sz w:val="18"/>
                      <w:szCs w:val="18"/>
                      <w:lang w:val="en-US" w:eastAsia="zh-CN" w:bidi="ar-SA"/>
                    </w:rPr>
                  </w:pPr>
                  <w:r>
                    <w:rPr>
                      <w:rFonts w:hint="eastAsia" w:ascii="宋体" w:hAnsi="宋体" w:cs="宋体"/>
                      <w:b/>
                      <w:bCs/>
                      <w:color w:val="auto"/>
                      <w:sz w:val="18"/>
                      <w:szCs w:val="18"/>
                      <w:lang w:val="en-US" w:eastAsia="zh-CN"/>
                    </w:rPr>
                    <w:t>0</w:t>
                  </w:r>
                </w:p>
              </w:tc>
              <w:tc>
                <w:tcPr>
                  <w:tcW w:w="304" w:type="pct"/>
                  <w:tcBorders>
                    <w:tl2br w:val="nil"/>
                    <w:tr2bl w:val="nil"/>
                  </w:tcBorders>
                  <w:shd w:val="clear" w:color="auto" w:fill="auto"/>
                  <w:vAlign w:val="center"/>
                </w:tcPr>
                <w:p w14:paraId="26B3DFF0">
                  <w:pPr>
                    <w:pStyle w:val="3935"/>
                    <w:spacing w:before="0" w:beforeAutospacing="0" w:after="0" w:afterAutospacing="0"/>
                    <w:ind w:left="0" w:leftChars="0" w:right="0" w:rightChars="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sz w:val="18"/>
                      <w:szCs w:val="18"/>
                      <w:lang w:val="en-US" w:eastAsia="zh-CN"/>
                    </w:rPr>
                    <w:t>2</w:t>
                  </w:r>
                </w:p>
              </w:tc>
              <w:tc>
                <w:tcPr>
                  <w:tcW w:w="290" w:type="pct"/>
                  <w:tcBorders>
                    <w:tl2br w:val="nil"/>
                    <w:tr2bl w:val="nil"/>
                  </w:tcBorders>
                  <w:vAlign w:val="center"/>
                </w:tcPr>
                <w:p w14:paraId="5A760EE7">
                  <w:pPr>
                    <w:pStyle w:val="3935"/>
                    <w:spacing w:before="0" w:beforeAutospacing="0" w:after="0" w:afterAutospacing="0"/>
                    <w:ind w:left="0" w:leftChars="0" w:right="0"/>
                    <w:rPr>
                      <w:rFonts w:hint="default" w:ascii="宋体" w:hAnsi="宋体" w:eastAsia="宋体" w:cs="宋体"/>
                      <w:b/>
                      <w:bCs/>
                      <w:color w:val="auto"/>
                      <w:sz w:val="18"/>
                      <w:szCs w:val="18"/>
                      <w:lang w:val="en-US" w:eastAsia="zh-CN"/>
                    </w:rPr>
                  </w:pPr>
                  <w:r>
                    <w:rPr>
                      <w:rFonts w:hint="eastAsia" w:ascii="宋体" w:hAnsi="宋体" w:cs="宋体"/>
                      <w:b/>
                      <w:bCs/>
                      <w:color w:val="auto"/>
                      <w:sz w:val="18"/>
                      <w:szCs w:val="18"/>
                      <w:lang w:val="en-US" w:eastAsia="zh-CN"/>
                    </w:rPr>
                    <w:t>+2</w:t>
                  </w:r>
                </w:p>
              </w:tc>
              <w:tc>
                <w:tcPr>
                  <w:tcW w:w="303" w:type="pct"/>
                  <w:tcBorders>
                    <w:tl2br w:val="nil"/>
                    <w:tr2bl w:val="nil"/>
                  </w:tcBorders>
                  <w:vAlign w:val="center"/>
                </w:tcPr>
                <w:p w14:paraId="184D12A7">
                  <w:pPr>
                    <w:pStyle w:val="3935"/>
                    <w:spacing w:before="0" w:beforeAutospacing="0" w:after="0" w:afterAutospacing="0"/>
                    <w:ind w:left="0" w:leftChars="0" w:right="0"/>
                    <w:rPr>
                      <w:rFonts w:hint="default" w:ascii="宋体" w:hAnsi="宋体" w:eastAsia="宋体" w:cs="宋体"/>
                      <w:b/>
                      <w:bCs/>
                      <w:color w:val="auto"/>
                      <w:kern w:val="28"/>
                      <w:sz w:val="18"/>
                      <w:szCs w:val="18"/>
                      <w:lang w:val="en-US" w:eastAsia="zh-CN" w:bidi="ar-SA"/>
                    </w:rPr>
                  </w:pPr>
                  <w:r>
                    <w:rPr>
                      <w:rFonts w:hint="eastAsia" w:ascii="宋体" w:hAnsi="宋体" w:cs="宋体"/>
                      <w:b/>
                      <w:bCs/>
                      <w:color w:val="auto"/>
                      <w:sz w:val="18"/>
                      <w:szCs w:val="18"/>
                      <w:lang w:val="en-US" w:eastAsia="zh-CN"/>
                    </w:rPr>
                    <w:t>316L</w:t>
                  </w:r>
                </w:p>
              </w:tc>
              <w:tc>
                <w:tcPr>
                  <w:tcW w:w="350" w:type="pct"/>
                  <w:tcBorders>
                    <w:tl2br w:val="nil"/>
                    <w:tr2bl w:val="nil"/>
                  </w:tcBorders>
                  <w:vAlign w:val="center"/>
                </w:tcPr>
                <w:p w14:paraId="0E89104A">
                  <w:pPr>
                    <w:pStyle w:val="3935"/>
                    <w:spacing w:before="0" w:beforeAutospacing="0" w:after="0" w:afterAutospacing="0"/>
                    <w:ind w:left="0" w:leftChars="0" w:right="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sz w:val="18"/>
                      <w:szCs w:val="18"/>
                      <w:lang w:val="en-US" w:eastAsia="zh-CN"/>
                    </w:rPr>
                    <w:t>新增</w:t>
                  </w:r>
                </w:p>
              </w:tc>
            </w:tr>
            <w:tr w14:paraId="332A7A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tcBorders>
                    <w:tl2br w:val="nil"/>
                    <w:tr2bl w:val="nil"/>
                  </w:tcBorders>
                  <w:vAlign w:val="center"/>
                </w:tcPr>
                <w:p w14:paraId="255ACEB7">
                  <w:pPr>
                    <w:widowControl/>
                    <w:numPr>
                      <w:ilvl w:val="0"/>
                      <w:numId w:val="2"/>
                    </w:numPr>
                    <w:spacing w:line="280" w:lineRule="exact"/>
                    <w:jc w:val="center"/>
                    <w:rPr>
                      <w:rFonts w:hint="eastAsia" w:ascii="宋体" w:hAnsi="宋体" w:eastAsia="宋体" w:cs="宋体"/>
                      <w:b/>
                      <w:bCs/>
                      <w:color w:val="auto"/>
                      <w:kern w:val="0"/>
                      <w:sz w:val="18"/>
                      <w:szCs w:val="18"/>
                    </w:rPr>
                  </w:pPr>
                </w:p>
              </w:tc>
              <w:tc>
                <w:tcPr>
                  <w:tcW w:w="372" w:type="pct"/>
                  <w:tcBorders>
                    <w:tl2br w:val="nil"/>
                    <w:tr2bl w:val="nil"/>
                  </w:tcBorders>
                  <w:vAlign w:val="center"/>
                </w:tcPr>
                <w:p w14:paraId="48D354E0">
                  <w:pPr>
                    <w:pStyle w:val="3935"/>
                    <w:spacing w:before="0" w:beforeAutospacing="0" w:after="0" w:afterAutospacing="0"/>
                    <w:ind w:left="0" w:leftChars="0" w:right="0" w:rightChars="0"/>
                    <w:rPr>
                      <w:rFonts w:hint="eastAsia" w:ascii="宋体" w:hAnsi="宋体" w:eastAsia="宋体" w:cs="宋体"/>
                      <w:b/>
                      <w:bCs/>
                      <w:color w:val="auto"/>
                      <w:sz w:val="18"/>
                      <w:szCs w:val="18"/>
                      <w:lang w:val="en-US" w:eastAsia="zh-CN"/>
                    </w:rPr>
                  </w:pPr>
                  <w:r>
                    <w:rPr>
                      <w:rFonts w:hint="eastAsia" w:ascii="宋体" w:hAnsi="宋体" w:eastAsia="宋体" w:cs="宋体"/>
                      <w:b/>
                      <w:bCs/>
                      <w:color w:val="auto"/>
                      <w:sz w:val="18"/>
                      <w:szCs w:val="18"/>
                      <w:lang w:val="en-US" w:eastAsia="zh-CN"/>
                    </w:rPr>
                    <w:t>黄</w:t>
                  </w:r>
                  <w:r>
                    <w:rPr>
                      <w:rFonts w:hint="eastAsia" w:ascii="宋体" w:hAnsi="宋体" w:eastAsia="宋体" w:cs="宋体"/>
                      <w:b/>
                      <w:bCs/>
                      <w:color w:val="auto"/>
                      <w:sz w:val="18"/>
                      <w:szCs w:val="18"/>
                    </w:rPr>
                    <w:t>磷池</w:t>
                  </w:r>
                </w:p>
              </w:tc>
              <w:tc>
                <w:tcPr>
                  <w:tcW w:w="473" w:type="pct"/>
                  <w:tcBorders>
                    <w:tl2br w:val="nil"/>
                    <w:tr2bl w:val="nil"/>
                  </w:tcBorders>
                  <w:vAlign w:val="center"/>
                </w:tcPr>
                <w:p w14:paraId="0DE960D8">
                  <w:pPr>
                    <w:pStyle w:val="3935"/>
                    <w:spacing w:before="0" w:beforeAutospacing="0" w:after="0" w:afterAutospacing="0"/>
                    <w:ind w:left="0" w:leftChars="0" w:right="0" w:rightChars="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kern w:val="28"/>
                      <w:sz w:val="18"/>
                      <w:szCs w:val="18"/>
                      <w:lang w:val="en-US" w:eastAsia="zh-CN" w:bidi="ar-SA"/>
                    </w:rPr>
                    <w:t>V-101cd</w:t>
                  </w:r>
                </w:p>
              </w:tc>
              <w:tc>
                <w:tcPr>
                  <w:tcW w:w="394" w:type="pct"/>
                  <w:tcBorders>
                    <w:tl2br w:val="nil"/>
                    <w:tr2bl w:val="nil"/>
                  </w:tcBorders>
                  <w:vAlign w:val="center"/>
                </w:tcPr>
                <w:p w14:paraId="01CEA074">
                  <w:pPr>
                    <w:pStyle w:val="3935"/>
                    <w:spacing w:before="0" w:beforeAutospacing="0" w:after="0" w:afterAutospacing="0"/>
                    <w:ind w:left="0" w:leftChars="0" w:right="0"/>
                    <w:rPr>
                      <w:rFonts w:hint="eastAsia" w:ascii="宋体" w:hAnsi="宋体" w:eastAsia="宋体" w:cs="宋体"/>
                      <w:b/>
                      <w:bCs/>
                      <w:color w:val="auto"/>
                      <w:sz w:val="18"/>
                      <w:szCs w:val="18"/>
                    </w:rPr>
                  </w:pPr>
                  <w:r>
                    <w:rPr>
                      <w:rFonts w:hint="eastAsia" w:ascii="宋体" w:hAnsi="宋体" w:eastAsia="宋体" w:cs="宋体"/>
                      <w:b/>
                      <w:bCs/>
                      <w:color w:val="auto"/>
                      <w:sz w:val="18"/>
                      <w:szCs w:val="18"/>
                    </w:rPr>
                    <w:t>13.1m×5.5m×4.1m</w:t>
                  </w:r>
                </w:p>
              </w:tc>
              <w:tc>
                <w:tcPr>
                  <w:tcW w:w="402" w:type="pct"/>
                  <w:tcBorders>
                    <w:tl2br w:val="nil"/>
                    <w:tr2bl w:val="nil"/>
                  </w:tcBorders>
                  <w:shd w:val="clear" w:color="auto" w:fill="auto"/>
                  <w:vAlign w:val="center"/>
                </w:tcPr>
                <w:p w14:paraId="617EF8FC">
                  <w:pPr>
                    <w:pStyle w:val="3935"/>
                    <w:spacing w:before="0" w:beforeAutospacing="0" w:after="0" w:afterAutospacing="0"/>
                    <w:ind w:left="0" w:leftChars="0" w:right="0" w:rightChars="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sz w:val="18"/>
                      <w:szCs w:val="18"/>
                    </w:rPr>
                    <w:t>水、黄磷</w:t>
                  </w:r>
                </w:p>
              </w:tc>
              <w:tc>
                <w:tcPr>
                  <w:tcW w:w="386" w:type="pct"/>
                  <w:tcBorders>
                    <w:tl2br w:val="nil"/>
                    <w:tr2bl w:val="nil"/>
                  </w:tcBorders>
                  <w:shd w:val="clear" w:color="auto" w:fill="auto"/>
                  <w:vAlign w:val="center"/>
                </w:tcPr>
                <w:p w14:paraId="3B3001DF">
                  <w:pPr>
                    <w:pStyle w:val="3935"/>
                    <w:spacing w:before="0" w:beforeAutospacing="0" w:after="0" w:afterAutospacing="0"/>
                    <w:ind w:left="0" w:leftChars="0" w:right="0" w:rightChars="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sz w:val="18"/>
                      <w:szCs w:val="18"/>
                    </w:rPr>
                    <w:t>50~70</w:t>
                  </w:r>
                </w:p>
              </w:tc>
              <w:tc>
                <w:tcPr>
                  <w:tcW w:w="341" w:type="pct"/>
                  <w:tcBorders>
                    <w:tl2br w:val="nil"/>
                    <w:tr2bl w:val="nil"/>
                  </w:tcBorders>
                  <w:shd w:val="clear" w:color="auto" w:fill="auto"/>
                  <w:vAlign w:val="center"/>
                </w:tcPr>
                <w:p w14:paraId="128ABBF5">
                  <w:pPr>
                    <w:pStyle w:val="3935"/>
                    <w:spacing w:before="0" w:beforeAutospacing="0" w:after="0" w:afterAutospacing="0"/>
                    <w:ind w:left="0" w:leftChars="0" w:right="0" w:rightChars="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sz w:val="18"/>
                      <w:szCs w:val="18"/>
                    </w:rPr>
                    <w:t>常压</w:t>
                  </w:r>
                </w:p>
              </w:tc>
              <w:tc>
                <w:tcPr>
                  <w:tcW w:w="371" w:type="pct"/>
                  <w:tcBorders>
                    <w:tl2br w:val="nil"/>
                    <w:tr2bl w:val="nil"/>
                  </w:tcBorders>
                  <w:shd w:val="clear" w:color="auto" w:fill="auto"/>
                  <w:vAlign w:val="center"/>
                </w:tcPr>
                <w:p w14:paraId="64DB0E88">
                  <w:pPr>
                    <w:pStyle w:val="3935"/>
                    <w:spacing w:before="0" w:beforeAutospacing="0" w:after="0" w:afterAutospacing="0"/>
                    <w:ind w:left="0" w:leftChars="0" w:right="0" w:rightChars="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kern w:val="28"/>
                      <w:sz w:val="18"/>
                      <w:szCs w:val="18"/>
                      <w:lang w:val="en-US" w:eastAsia="zh-CN" w:bidi="ar-SA"/>
                    </w:rPr>
                    <w:t>90</w:t>
                  </w:r>
                </w:p>
              </w:tc>
              <w:tc>
                <w:tcPr>
                  <w:tcW w:w="386" w:type="pct"/>
                  <w:tcBorders>
                    <w:tl2br w:val="nil"/>
                    <w:tr2bl w:val="nil"/>
                  </w:tcBorders>
                  <w:shd w:val="clear" w:color="auto" w:fill="auto"/>
                  <w:vAlign w:val="center"/>
                </w:tcPr>
                <w:p w14:paraId="15E7DA73">
                  <w:pPr>
                    <w:pStyle w:val="3935"/>
                    <w:spacing w:before="0" w:beforeAutospacing="0" w:after="0" w:afterAutospacing="0"/>
                    <w:ind w:left="0" w:leftChars="0" w:right="0" w:rightChars="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kern w:val="28"/>
                      <w:sz w:val="18"/>
                      <w:szCs w:val="18"/>
                      <w:lang w:val="en-US" w:eastAsia="zh-CN" w:bidi="ar-SA"/>
                    </w:rPr>
                    <w:t>常压</w:t>
                  </w:r>
                </w:p>
              </w:tc>
              <w:tc>
                <w:tcPr>
                  <w:tcW w:w="415" w:type="pct"/>
                  <w:tcBorders>
                    <w:tl2br w:val="nil"/>
                    <w:tr2bl w:val="nil"/>
                  </w:tcBorders>
                  <w:shd w:val="clear" w:color="auto" w:fill="auto"/>
                  <w:vAlign w:val="center"/>
                </w:tcPr>
                <w:p w14:paraId="6C705157">
                  <w:pPr>
                    <w:pStyle w:val="3935"/>
                    <w:spacing w:before="0" w:beforeAutospacing="0" w:after="0" w:afterAutospacing="0"/>
                    <w:ind w:left="0" w:leftChars="0" w:right="0" w:rightChars="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sz w:val="18"/>
                      <w:szCs w:val="18"/>
                      <w:lang w:val="en-US" w:eastAsia="zh-CN"/>
                    </w:rPr>
                    <w:t>2</w:t>
                  </w:r>
                </w:p>
              </w:tc>
              <w:tc>
                <w:tcPr>
                  <w:tcW w:w="304" w:type="pct"/>
                  <w:tcBorders>
                    <w:tl2br w:val="nil"/>
                    <w:tr2bl w:val="nil"/>
                  </w:tcBorders>
                  <w:shd w:val="clear" w:color="auto" w:fill="auto"/>
                  <w:vAlign w:val="center"/>
                </w:tcPr>
                <w:p w14:paraId="245DB4B6">
                  <w:pPr>
                    <w:pStyle w:val="3935"/>
                    <w:spacing w:before="0" w:beforeAutospacing="0" w:after="0" w:afterAutospacing="0"/>
                    <w:ind w:left="0" w:leftChars="0" w:right="0" w:rightChars="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sz w:val="18"/>
                      <w:szCs w:val="18"/>
                      <w:lang w:val="en-US" w:eastAsia="zh-CN"/>
                    </w:rPr>
                    <w:t>2</w:t>
                  </w:r>
                </w:p>
              </w:tc>
              <w:tc>
                <w:tcPr>
                  <w:tcW w:w="290" w:type="pct"/>
                  <w:tcBorders>
                    <w:tl2br w:val="nil"/>
                    <w:tr2bl w:val="nil"/>
                  </w:tcBorders>
                  <w:shd w:val="clear" w:color="auto" w:fill="auto"/>
                  <w:vAlign w:val="center"/>
                </w:tcPr>
                <w:p w14:paraId="6B1B7665">
                  <w:pPr>
                    <w:pStyle w:val="3935"/>
                    <w:spacing w:before="0" w:beforeAutospacing="0" w:after="0" w:afterAutospacing="0"/>
                    <w:ind w:left="0" w:leftChars="0" w:right="0" w:rightChars="0"/>
                    <w:rPr>
                      <w:rFonts w:hint="default" w:ascii="宋体" w:hAnsi="宋体" w:eastAsia="宋体" w:cs="宋体"/>
                      <w:b/>
                      <w:bCs/>
                      <w:color w:val="auto"/>
                      <w:kern w:val="28"/>
                      <w:sz w:val="18"/>
                      <w:szCs w:val="18"/>
                      <w:lang w:val="en-US" w:eastAsia="zh-CN" w:bidi="ar-SA"/>
                    </w:rPr>
                  </w:pPr>
                  <w:r>
                    <w:rPr>
                      <w:rFonts w:hint="eastAsia" w:ascii="宋体" w:hAnsi="宋体" w:cs="宋体"/>
                      <w:b/>
                      <w:bCs/>
                      <w:color w:val="auto"/>
                      <w:kern w:val="28"/>
                      <w:sz w:val="18"/>
                      <w:szCs w:val="18"/>
                      <w:lang w:val="en-US" w:eastAsia="zh-CN" w:bidi="ar-SA"/>
                    </w:rPr>
                    <w:t>0</w:t>
                  </w:r>
                </w:p>
              </w:tc>
              <w:tc>
                <w:tcPr>
                  <w:tcW w:w="303" w:type="pct"/>
                  <w:tcBorders>
                    <w:tl2br w:val="nil"/>
                    <w:tr2bl w:val="nil"/>
                  </w:tcBorders>
                  <w:shd w:val="clear" w:color="auto" w:fill="auto"/>
                  <w:vAlign w:val="center"/>
                </w:tcPr>
                <w:p w14:paraId="49517725">
                  <w:pPr>
                    <w:pStyle w:val="3935"/>
                    <w:spacing w:before="0" w:beforeAutospacing="0" w:after="0" w:afterAutospacing="0"/>
                    <w:ind w:left="0" w:leftChars="0" w:right="0" w:rightChars="0"/>
                    <w:rPr>
                      <w:rFonts w:hint="eastAsia" w:ascii="宋体" w:hAnsi="宋体" w:eastAsia="宋体" w:cs="宋体"/>
                      <w:b/>
                      <w:bCs/>
                      <w:color w:val="auto"/>
                      <w:kern w:val="28"/>
                      <w:sz w:val="18"/>
                      <w:szCs w:val="18"/>
                      <w:lang w:val="en-US" w:eastAsia="zh-CN" w:bidi="ar-SA"/>
                    </w:rPr>
                  </w:pPr>
                  <w:r>
                    <w:rPr>
                      <w:rFonts w:hint="eastAsia" w:ascii="宋体" w:hAnsi="宋体" w:cs="宋体"/>
                      <w:b/>
                      <w:bCs/>
                      <w:color w:val="auto"/>
                      <w:sz w:val="18"/>
                      <w:szCs w:val="18"/>
                      <w:lang w:val="en-US" w:eastAsia="zh-CN"/>
                    </w:rPr>
                    <w:t>316L</w:t>
                  </w:r>
                </w:p>
              </w:tc>
              <w:tc>
                <w:tcPr>
                  <w:tcW w:w="350" w:type="pct"/>
                  <w:tcBorders>
                    <w:tl2br w:val="nil"/>
                    <w:tr2bl w:val="nil"/>
                  </w:tcBorders>
                  <w:shd w:val="clear" w:color="auto" w:fill="auto"/>
                  <w:vAlign w:val="center"/>
                </w:tcPr>
                <w:p w14:paraId="1DB5ED83">
                  <w:pPr>
                    <w:pStyle w:val="3935"/>
                    <w:spacing w:before="0" w:beforeAutospacing="0" w:after="0" w:afterAutospacing="0"/>
                    <w:ind w:left="0" w:leftChars="0" w:right="0" w:rightChars="0"/>
                    <w:rPr>
                      <w:rFonts w:hint="eastAsia" w:ascii="宋体" w:hAnsi="宋体" w:eastAsia="宋体" w:cs="宋体"/>
                      <w:b/>
                      <w:bCs/>
                      <w:color w:val="auto"/>
                      <w:kern w:val="28"/>
                      <w:sz w:val="18"/>
                      <w:szCs w:val="18"/>
                      <w:lang w:val="en-US" w:eastAsia="zh-CN" w:bidi="ar-SA"/>
                    </w:rPr>
                  </w:pPr>
                  <w:r>
                    <w:rPr>
                      <w:rFonts w:hint="eastAsia" w:ascii="宋体" w:hAnsi="宋体" w:cs="宋体"/>
                      <w:b/>
                      <w:bCs/>
                      <w:color w:val="auto"/>
                      <w:sz w:val="18"/>
                      <w:szCs w:val="18"/>
                      <w:lang w:val="en-US" w:eastAsia="zh-CN"/>
                    </w:rPr>
                    <w:t>原有</w:t>
                  </w:r>
                </w:p>
              </w:tc>
            </w:tr>
            <w:tr w14:paraId="1E11E6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tcBorders>
                    <w:tl2br w:val="nil"/>
                    <w:tr2bl w:val="nil"/>
                  </w:tcBorders>
                  <w:vAlign w:val="center"/>
                </w:tcPr>
                <w:p w14:paraId="7E66BAE0">
                  <w:pPr>
                    <w:widowControl/>
                    <w:numPr>
                      <w:ilvl w:val="0"/>
                      <w:numId w:val="2"/>
                    </w:numPr>
                    <w:spacing w:line="280" w:lineRule="exact"/>
                    <w:jc w:val="center"/>
                    <w:rPr>
                      <w:rFonts w:hint="eastAsia" w:ascii="宋体" w:hAnsi="宋体" w:eastAsia="宋体" w:cs="宋体"/>
                      <w:b/>
                      <w:bCs/>
                      <w:color w:val="auto"/>
                      <w:kern w:val="0"/>
                      <w:sz w:val="18"/>
                      <w:szCs w:val="18"/>
                    </w:rPr>
                  </w:pPr>
                </w:p>
              </w:tc>
              <w:tc>
                <w:tcPr>
                  <w:tcW w:w="372" w:type="pct"/>
                  <w:tcBorders>
                    <w:tl2br w:val="nil"/>
                    <w:tr2bl w:val="nil"/>
                  </w:tcBorders>
                  <w:vAlign w:val="center"/>
                </w:tcPr>
                <w:p w14:paraId="4A9BB909">
                  <w:pPr>
                    <w:pStyle w:val="3935"/>
                    <w:spacing w:before="0" w:beforeAutospacing="0" w:after="0" w:afterAutospacing="0"/>
                    <w:ind w:left="0" w:leftChars="0" w:right="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sz w:val="18"/>
                      <w:szCs w:val="18"/>
                    </w:rPr>
                    <w:t>黄磷泵</w:t>
                  </w:r>
                </w:p>
              </w:tc>
              <w:tc>
                <w:tcPr>
                  <w:tcW w:w="473" w:type="pct"/>
                  <w:tcBorders>
                    <w:tl2br w:val="nil"/>
                    <w:tr2bl w:val="nil"/>
                  </w:tcBorders>
                  <w:vAlign w:val="center"/>
                </w:tcPr>
                <w:p w14:paraId="254DA587">
                  <w:pPr>
                    <w:pStyle w:val="3935"/>
                    <w:spacing w:before="0" w:beforeAutospacing="0" w:after="0" w:afterAutospacing="0"/>
                    <w:ind w:left="0" w:leftChars="0" w:right="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kern w:val="28"/>
                      <w:sz w:val="18"/>
                      <w:szCs w:val="18"/>
                      <w:lang w:val="en-US" w:eastAsia="zh-CN" w:bidi="ar-SA"/>
                    </w:rPr>
                    <w:t>P-101cd</w:t>
                  </w:r>
                </w:p>
              </w:tc>
              <w:tc>
                <w:tcPr>
                  <w:tcW w:w="394" w:type="pct"/>
                  <w:tcBorders>
                    <w:tl2br w:val="nil"/>
                    <w:tr2bl w:val="nil"/>
                  </w:tcBorders>
                  <w:vAlign w:val="center"/>
                </w:tcPr>
                <w:p w14:paraId="0582159C">
                  <w:pPr>
                    <w:pStyle w:val="3935"/>
                    <w:spacing w:before="0" w:beforeAutospacing="0" w:after="0" w:afterAutospacing="0"/>
                    <w:ind w:left="0" w:leftChars="0" w:right="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sz w:val="18"/>
                      <w:szCs w:val="18"/>
                    </w:rPr>
                    <w:t>7.5</w:t>
                  </w:r>
                  <w:r>
                    <w:rPr>
                      <w:rFonts w:hint="eastAsia" w:ascii="宋体" w:hAnsi="宋体" w:cs="宋体"/>
                      <w:b/>
                      <w:bCs/>
                      <w:color w:val="auto"/>
                      <w:sz w:val="18"/>
                      <w:szCs w:val="18"/>
                      <w:lang w:eastAsia="zh-CN"/>
                    </w:rPr>
                    <w:t>kW</w:t>
                  </w:r>
                  <w:r>
                    <w:rPr>
                      <w:rFonts w:hint="eastAsia" w:ascii="宋体" w:hAnsi="宋体" w:eastAsia="宋体" w:cs="宋体"/>
                      <w:b/>
                      <w:bCs/>
                      <w:color w:val="auto"/>
                      <w:sz w:val="18"/>
                      <w:szCs w:val="18"/>
                      <w:lang w:val="en-US" w:eastAsia="zh-CN"/>
                    </w:rPr>
                    <w:t>液下泵</w:t>
                  </w:r>
                </w:p>
              </w:tc>
              <w:tc>
                <w:tcPr>
                  <w:tcW w:w="402" w:type="pct"/>
                  <w:tcBorders>
                    <w:tl2br w:val="nil"/>
                    <w:tr2bl w:val="nil"/>
                  </w:tcBorders>
                  <w:vAlign w:val="center"/>
                </w:tcPr>
                <w:p w14:paraId="46606520">
                  <w:pPr>
                    <w:pStyle w:val="3935"/>
                    <w:spacing w:before="0" w:beforeAutospacing="0" w:after="0" w:afterAutospacing="0"/>
                    <w:ind w:left="0" w:leftChars="0" w:right="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sz w:val="18"/>
                      <w:szCs w:val="18"/>
                    </w:rPr>
                    <w:t>黄磷</w:t>
                  </w:r>
                </w:p>
              </w:tc>
              <w:tc>
                <w:tcPr>
                  <w:tcW w:w="386" w:type="pct"/>
                  <w:tcBorders>
                    <w:tl2br w:val="nil"/>
                    <w:tr2bl w:val="nil"/>
                  </w:tcBorders>
                  <w:vAlign w:val="center"/>
                </w:tcPr>
                <w:p w14:paraId="40F4EB3E">
                  <w:pPr>
                    <w:pStyle w:val="3935"/>
                    <w:spacing w:before="0" w:beforeAutospacing="0" w:after="0" w:afterAutospacing="0"/>
                    <w:ind w:left="0" w:leftChars="0" w:right="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sz w:val="18"/>
                      <w:szCs w:val="18"/>
                    </w:rPr>
                    <w:t>50~70</w:t>
                  </w:r>
                </w:p>
              </w:tc>
              <w:tc>
                <w:tcPr>
                  <w:tcW w:w="341" w:type="pct"/>
                  <w:tcBorders>
                    <w:tl2br w:val="nil"/>
                    <w:tr2bl w:val="nil"/>
                  </w:tcBorders>
                  <w:vAlign w:val="center"/>
                </w:tcPr>
                <w:p w14:paraId="436F6361">
                  <w:pPr>
                    <w:pStyle w:val="3935"/>
                    <w:spacing w:before="0" w:beforeAutospacing="0" w:after="0" w:afterAutospacing="0"/>
                    <w:ind w:left="0" w:leftChars="0" w:right="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sz w:val="18"/>
                      <w:szCs w:val="18"/>
                    </w:rPr>
                    <w:t>0.3</w:t>
                  </w:r>
                </w:p>
              </w:tc>
              <w:tc>
                <w:tcPr>
                  <w:tcW w:w="371" w:type="pct"/>
                  <w:tcBorders>
                    <w:tl2br w:val="nil"/>
                    <w:tr2bl w:val="nil"/>
                  </w:tcBorders>
                  <w:vAlign w:val="center"/>
                </w:tcPr>
                <w:p w14:paraId="5AB486DD">
                  <w:pPr>
                    <w:pStyle w:val="3935"/>
                    <w:spacing w:before="0" w:beforeAutospacing="0" w:after="0" w:afterAutospacing="0"/>
                    <w:ind w:left="0" w:leftChars="0" w:right="0"/>
                    <w:rPr>
                      <w:rFonts w:hint="default" w:ascii="宋体" w:hAnsi="宋体" w:eastAsia="宋体" w:cs="宋体"/>
                      <w:b/>
                      <w:bCs/>
                      <w:color w:val="auto"/>
                      <w:kern w:val="28"/>
                      <w:sz w:val="18"/>
                      <w:szCs w:val="18"/>
                      <w:lang w:val="en-US" w:eastAsia="zh-CN" w:bidi="ar-SA"/>
                    </w:rPr>
                  </w:pPr>
                  <w:r>
                    <w:rPr>
                      <w:rFonts w:hint="eastAsia" w:ascii="宋体" w:hAnsi="宋体" w:cs="宋体"/>
                      <w:b/>
                      <w:bCs/>
                      <w:color w:val="auto"/>
                      <w:kern w:val="28"/>
                      <w:sz w:val="18"/>
                      <w:szCs w:val="18"/>
                      <w:lang w:val="en-US" w:eastAsia="zh-CN" w:bidi="ar-SA"/>
                    </w:rPr>
                    <w:t>/</w:t>
                  </w:r>
                </w:p>
              </w:tc>
              <w:tc>
                <w:tcPr>
                  <w:tcW w:w="386" w:type="pct"/>
                  <w:tcBorders>
                    <w:tl2br w:val="nil"/>
                    <w:tr2bl w:val="nil"/>
                  </w:tcBorders>
                  <w:vAlign w:val="center"/>
                </w:tcPr>
                <w:p w14:paraId="4DDDE350">
                  <w:pPr>
                    <w:pStyle w:val="3935"/>
                    <w:spacing w:before="0" w:beforeAutospacing="0" w:after="0" w:afterAutospacing="0"/>
                    <w:ind w:left="0" w:leftChars="0" w:right="0"/>
                    <w:rPr>
                      <w:rFonts w:hint="default" w:ascii="宋体" w:hAnsi="宋体" w:eastAsia="宋体" w:cs="宋体"/>
                      <w:b/>
                      <w:bCs/>
                      <w:color w:val="auto"/>
                      <w:kern w:val="28"/>
                      <w:sz w:val="18"/>
                      <w:szCs w:val="18"/>
                      <w:lang w:val="en-US" w:eastAsia="zh-CN" w:bidi="ar-SA"/>
                    </w:rPr>
                  </w:pPr>
                  <w:r>
                    <w:rPr>
                      <w:rFonts w:hint="eastAsia" w:ascii="宋体" w:hAnsi="宋体" w:cs="宋体"/>
                      <w:b/>
                      <w:bCs/>
                      <w:color w:val="auto"/>
                      <w:kern w:val="28"/>
                      <w:sz w:val="18"/>
                      <w:szCs w:val="18"/>
                      <w:lang w:val="en-US" w:eastAsia="zh-CN" w:bidi="ar-SA"/>
                    </w:rPr>
                    <w:t>/</w:t>
                  </w:r>
                </w:p>
              </w:tc>
              <w:tc>
                <w:tcPr>
                  <w:tcW w:w="415" w:type="pct"/>
                  <w:tcBorders>
                    <w:tl2br w:val="nil"/>
                    <w:tr2bl w:val="nil"/>
                  </w:tcBorders>
                  <w:vAlign w:val="center"/>
                </w:tcPr>
                <w:p w14:paraId="633F036C">
                  <w:pPr>
                    <w:pStyle w:val="3935"/>
                    <w:spacing w:before="0" w:beforeAutospacing="0" w:after="0" w:afterAutospacing="0"/>
                    <w:ind w:left="0" w:leftChars="0" w:right="0"/>
                    <w:rPr>
                      <w:rFonts w:hint="eastAsia" w:ascii="宋体" w:hAnsi="宋体" w:eastAsia="宋体" w:cs="宋体"/>
                      <w:b/>
                      <w:bCs/>
                      <w:color w:val="auto"/>
                      <w:kern w:val="28"/>
                      <w:sz w:val="18"/>
                      <w:szCs w:val="18"/>
                      <w:lang w:val="en-US" w:eastAsia="zh-CN" w:bidi="ar-SA"/>
                    </w:rPr>
                  </w:pPr>
                  <w:r>
                    <w:rPr>
                      <w:rFonts w:hint="eastAsia" w:ascii="宋体" w:hAnsi="宋体" w:cs="宋体"/>
                      <w:b/>
                      <w:bCs/>
                      <w:color w:val="auto"/>
                      <w:sz w:val="18"/>
                      <w:szCs w:val="18"/>
                      <w:lang w:val="en-US" w:eastAsia="zh-CN"/>
                    </w:rPr>
                    <w:t>0</w:t>
                  </w:r>
                </w:p>
              </w:tc>
              <w:tc>
                <w:tcPr>
                  <w:tcW w:w="304" w:type="pct"/>
                  <w:tcBorders>
                    <w:tl2br w:val="nil"/>
                    <w:tr2bl w:val="nil"/>
                  </w:tcBorders>
                  <w:shd w:val="clear" w:color="auto" w:fill="auto"/>
                  <w:vAlign w:val="center"/>
                </w:tcPr>
                <w:p w14:paraId="4C1B0271">
                  <w:pPr>
                    <w:pStyle w:val="3935"/>
                    <w:spacing w:before="0" w:beforeAutospacing="0" w:after="0" w:afterAutospacing="0"/>
                    <w:ind w:left="0" w:leftChars="0" w:right="0" w:rightChars="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sz w:val="18"/>
                      <w:szCs w:val="18"/>
                    </w:rPr>
                    <w:t>2</w:t>
                  </w:r>
                </w:p>
              </w:tc>
              <w:tc>
                <w:tcPr>
                  <w:tcW w:w="290" w:type="pct"/>
                  <w:tcBorders>
                    <w:tl2br w:val="nil"/>
                    <w:tr2bl w:val="nil"/>
                  </w:tcBorders>
                  <w:vAlign w:val="center"/>
                </w:tcPr>
                <w:p w14:paraId="780A4CAF">
                  <w:pPr>
                    <w:pStyle w:val="3935"/>
                    <w:spacing w:before="0" w:beforeAutospacing="0" w:after="0" w:afterAutospacing="0"/>
                    <w:ind w:left="0" w:leftChars="0" w:right="0"/>
                    <w:rPr>
                      <w:rFonts w:hint="default" w:ascii="宋体" w:hAnsi="宋体" w:eastAsia="宋体" w:cs="宋体"/>
                      <w:b/>
                      <w:bCs/>
                      <w:color w:val="auto"/>
                      <w:sz w:val="18"/>
                      <w:szCs w:val="18"/>
                      <w:lang w:val="en-US" w:eastAsia="zh-CN"/>
                    </w:rPr>
                  </w:pPr>
                  <w:r>
                    <w:rPr>
                      <w:rFonts w:hint="eastAsia" w:ascii="宋体" w:hAnsi="宋体" w:cs="宋体"/>
                      <w:b/>
                      <w:bCs/>
                      <w:color w:val="auto"/>
                      <w:sz w:val="18"/>
                      <w:szCs w:val="18"/>
                      <w:lang w:val="en-US" w:eastAsia="zh-CN"/>
                    </w:rPr>
                    <w:t>+2</w:t>
                  </w:r>
                </w:p>
              </w:tc>
              <w:tc>
                <w:tcPr>
                  <w:tcW w:w="303" w:type="pct"/>
                  <w:tcBorders>
                    <w:tl2br w:val="nil"/>
                    <w:tr2bl w:val="nil"/>
                  </w:tcBorders>
                  <w:vAlign w:val="center"/>
                </w:tcPr>
                <w:p w14:paraId="2165AFF6">
                  <w:pPr>
                    <w:pStyle w:val="3935"/>
                    <w:spacing w:before="0" w:beforeAutospacing="0" w:after="0" w:afterAutospacing="0"/>
                    <w:ind w:left="0" w:leftChars="0" w:right="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sz w:val="18"/>
                      <w:szCs w:val="18"/>
                      <w:lang w:val="en-US" w:eastAsia="zh-CN"/>
                    </w:rPr>
                    <w:t>316L</w:t>
                  </w:r>
                </w:p>
              </w:tc>
              <w:tc>
                <w:tcPr>
                  <w:tcW w:w="350" w:type="pct"/>
                  <w:tcBorders>
                    <w:tl2br w:val="nil"/>
                    <w:tr2bl w:val="nil"/>
                  </w:tcBorders>
                  <w:vAlign w:val="center"/>
                </w:tcPr>
                <w:p w14:paraId="6C92AE8E">
                  <w:pPr>
                    <w:pStyle w:val="3935"/>
                    <w:spacing w:before="0" w:beforeAutospacing="0" w:after="0" w:afterAutospacing="0"/>
                    <w:ind w:left="0" w:leftChars="0" w:right="0"/>
                    <w:rPr>
                      <w:rFonts w:hint="eastAsia" w:ascii="宋体" w:hAnsi="宋体" w:eastAsia="宋体" w:cs="宋体"/>
                      <w:b/>
                      <w:bCs/>
                      <w:color w:val="auto"/>
                      <w:kern w:val="28"/>
                      <w:sz w:val="18"/>
                      <w:szCs w:val="18"/>
                      <w:lang w:val="en-US" w:eastAsia="zh-CN" w:bidi="ar-SA"/>
                    </w:rPr>
                  </w:pPr>
                  <w:r>
                    <w:rPr>
                      <w:rFonts w:hint="eastAsia" w:ascii="宋体" w:hAnsi="宋体" w:eastAsia="宋体" w:cs="宋体"/>
                      <w:b/>
                      <w:bCs/>
                      <w:color w:val="auto"/>
                      <w:sz w:val="18"/>
                      <w:szCs w:val="18"/>
                      <w:lang w:val="en-US" w:eastAsia="zh-CN"/>
                    </w:rPr>
                    <w:t>新增</w:t>
                  </w:r>
                </w:p>
              </w:tc>
            </w:tr>
          </w:tbl>
          <w:p w14:paraId="540CE1D8">
            <w:pPr>
              <w:adjustRightInd w:val="0"/>
              <w:snapToGrid w:val="0"/>
              <w:spacing w:beforeLines="50" w:line="360" w:lineRule="auto"/>
              <w:ind w:firstLine="482" w:firstLineChars="200"/>
              <w:rPr>
                <w:rFonts w:eastAsiaTheme="minorEastAsia"/>
                <w:b/>
                <w:color w:val="auto"/>
                <w:kern w:val="0"/>
                <w:sz w:val="24"/>
                <w:lang w:val="zh-CN"/>
              </w:rPr>
            </w:pPr>
            <w:r>
              <w:rPr>
                <w:rFonts w:hint="eastAsia" w:eastAsiaTheme="minorEastAsia"/>
                <w:b/>
                <w:color w:val="auto"/>
                <w:kern w:val="0"/>
                <w:sz w:val="24"/>
                <w:lang w:val="en-US" w:eastAsia="zh-CN"/>
              </w:rPr>
              <w:t>3</w:t>
            </w:r>
            <w:r>
              <w:rPr>
                <w:rFonts w:eastAsiaTheme="minorEastAsia"/>
                <w:b/>
                <w:color w:val="auto"/>
                <w:kern w:val="0"/>
                <w:sz w:val="24"/>
                <w:lang w:val="zh-CN"/>
              </w:rPr>
              <w:t>.工程建设内容</w:t>
            </w:r>
          </w:p>
          <w:p w14:paraId="410C7BE7">
            <w:pPr>
              <w:wordWrap w:val="0"/>
              <w:adjustRightInd w:val="0"/>
              <w:snapToGrid w:val="0"/>
              <w:jc w:val="center"/>
              <w:rPr>
                <w:b/>
                <w:color w:val="auto"/>
                <w:sz w:val="24"/>
              </w:rPr>
            </w:pPr>
            <w:r>
              <w:rPr>
                <w:b/>
                <w:color w:val="auto"/>
                <w:sz w:val="24"/>
              </w:rPr>
              <w:t>表2-</w:t>
            </w:r>
            <w:r>
              <w:rPr>
                <w:rFonts w:hint="eastAsia"/>
                <w:b/>
                <w:color w:val="auto"/>
                <w:sz w:val="24"/>
                <w:lang w:val="en-US" w:eastAsia="zh-CN"/>
              </w:rPr>
              <w:t>6</w:t>
            </w:r>
            <w:r>
              <w:rPr>
                <w:b/>
                <w:color w:val="auto"/>
                <w:sz w:val="24"/>
              </w:rPr>
              <w:t xml:space="preserve">  </w:t>
            </w:r>
            <w:r>
              <w:rPr>
                <w:rFonts w:hint="eastAsia"/>
                <w:b/>
                <w:color w:val="auto"/>
                <w:sz w:val="24"/>
                <w:lang w:eastAsia="zh-CN"/>
              </w:rPr>
              <w:t>建设项目建成后厂区</w:t>
            </w:r>
            <w:r>
              <w:rPr>
                <w:b/>
                <w:color w:val="auto"/>
                <w:sz w:val="24"/>
              </w:rPr>
              <w:t>公用及辅助工程一览表</w:t>
            </w:r>
          </w:p>
          <w:tbl>
            <w:tblPr>
              <w:tblStyle w:val="88"/>
              <w:tblW w:w="863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16"/>
              <w:gridCol w:w="418"/>
              <w:gridCol w:w="673"/>
              <w:gridCol w:w="1057"/>
              <w:gridCol w:w="300"/>
              <w:gridCol w:w="757"/>
              <w:gridCol w:w="855"/>
              <w:gridCol w:w="738"/>
              <w:gridCol w:w="1043"/>
              <w:gridCol w:w="1331"/>
              <w:gridCol w:w="847"/>
            </w:tblGrid>
            <w:tr w14:paraId="732E7D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6" w:type="dxa"/>
                  <w:vMerge w:val="restart"/>
                  <w:vAlign w:val="center"/>
                </w:tcPr>
                <w:p w14:paraId="62EBAB9A">
                  <w:pPr>
                    <w:pStyle w:val="173"/>
                    <w:rPr>
                      <w:rFonts w:ascii="Times New Roman" w:hAnsi="Times New Roman" w:cs="Times New Roman"/>
                      <w:b/>
                      <w:bCs/>
                      <w:color w:val="auto"/>
                      <w:sz w:val="21"/>
                      <w:szCs w:val="21"/>
                    </w:rPr>
                  </w:pPr>
                  <w:r>
                    <w:rPr>
                      <w:rFonts w:ascii="Times New Roman" w:hAnsi="Times New Roman" w:cs="Times New Roman"/>
                      <w:b/>
                      <w:bCs/>
                      <w:color w:val="auto"/>
                      <w:sz w:val="21"/>
                      <w:szCs w:val="21"/>
                    </w:rPr>
                    <w:t>类别</w:t>
                  </w:r>
                </w:p>
              </w:tc>
              <w:tc>
                <w:tcPr>
                  <w:tcW w:w="1091" w:type="dxa"/>
                  <w:gridSpan w:val="2"/>
                  <w:vMerge w:val="restart"/>
                  <w:vAlign w:val="center"/>
                </w:tcPr>
                <w:p w14:paraId="746AA8EC">
                  <w:pPr>
                    <w:pStyle w:val="173"/>
                    <w:rPr>
                      <w:rFonts w:ascii="Times New Roman" w:hAnsi="Times New Roman" w:cs="Times New Roman"/>
                      <w:b/>
                      <w:bCs/>
                      <w:color w:val="auto"/>
                      <w:sz w:val="21"/>
                      <w:szCs w:val="21"/>
                    </w:rPr>
                  </w:pPr>
                  <w:r>
                    <w:rPr>
                      <w:rFonts w:ascii="Times New Roman" w:hAnsi="Times New Roman" w:cs="Times New Roman"/>
                      <w:b/>
                      <w:bCs/>
                      <w:color w:val="auto"/>
                      <w:sz w:val="21"/>
                      <w:szCs w:val="21"/>
                    </w:rPr>
                    <w:t>建设名称</w:t>
                  </w:r>
                </w:p>
              </w:tc>
              <w:tc>
                <w:tcPr>
                  <w:tcW w:w="2114" w:type="dxa"/>
                  <w:gridSpan w:val="3"/>
                  <w:vAlign w:val="center"/>
                </w:tcPr>
                <w:p w14:paraId="23EFA65E">
                  <w:pPr>
                    <w:pStyle w:val="173"/>
                    <w:rPr>
                      <w:rFonts w:ascii="Times New Roman" w:hAnsi="Times New Roman" w:cs="Times New Roman"/>
                      <w:b/>
                      <w:bCs/>
                      <w:color w:val="auto"/>
                      <w:sz w:val="21"/>
                      <w:szCs w:val="21"/>
                    </w:rPr>
                  </w:pPr>
                  <w:r>
                    <w:rPr>
                      <w:rFonts w:ascii="Times New Roman" w:hAnsi="Times New Roman" w:cs="Times New Roman"/>
                      <w:b/>
                      <w:bCs/>
                      <w:color w:val="auto"/>
                      <w:sz w:val="21"/>
                      <w:szCs w:val="21"/>
                    </w:rPr>
                    <w:t>现有项目</w:t>
                  </w:r>
                </w:p>
              </w:tc>
              <w:tc>
                <w:tcPr>
                  <w:tcW w:w="1593" w:type="dxa"/>
                  <w:gridSpan w:val="2"/>
                  <w:vAlign w:val="center"/>
                </w:tcPr>
                <w:p w14:paraId="60BF900E">
                  <w:pPr>
                    <w:pStyle w:val="173"/>
                    <w:rPr>
                      <w:rFonts w:ascii="Times New Roman" w:hAnsi="Times New Roman" w:cs="Times New Roman"/>
                      <w:b/>
                      <w:bCs/>
                      <w:color w:val="auto"/>
                      <w:sz w:val="21"/>
                      <w:szCs w:val="21"/>
                    </w:rPr>
                  </w:pPr>
                  <w:r>
                    <w:rPr>
                      <w:rFonts w:ascii="Times New Roman" w:hAnsi="Times New Roman" w:cs="Times New Roman"/>
                      <w:b/>
                      <w:bCs/>
                      <w:color w:val="auto"/>
                      <w:sz w:val="21"/>
                      <w:szCs w:val="21"/>
                    </w:rPr>
                    <w:t>本项目</w:t>
                  </w:r>
                </w:p>
              </w:tc>
              <w:tc>
                <w:tcPr>
                  <w:tcW w:w="1043" w:type="dxa"/>
                  <w:vMerge w:val="restart"/>
                  <w:vAlign w:val="center"/>
                </w:tcPr>
                <w:p w14:paraId="6FE38699">
                  <w:pPr>
                    <w:pStyle w:val="173"/>
                    <w:rPr>
                      <w:rFonts w:ascii="Times New Roman" w:hAnsi="Times New Roman" w:cs="Times New Roman"/>
                      <w:b/>
                      <w:bCs/>
                      <w:color w:val="auto"/>
                      <w:sz w:val="21"/>
                      <w:szCs w:val="21"/>
                    </w:rPr>
                  </w:pPr>
                  <w:r>
                    <w:rPr>
                      <w:rFonts w:ascii="Times New Roman" w:hAnsi="Times New Roman" w:cs="Times New Roman"/>
                      <w:b/>
                      <w:bCs/>
                      <w:color w:val="auto"/>
                      <w:sz w:val="21"/>
                      <w:szCs w:val="21"/>
                    </w:rPr>
                    <w:t>以新带老</w:t>
                  </w:r>
                </w:p>
              </w:tc>
              <w:tc>
                <w:tcPr>
                  <w:tcW w:w="1331" w:type="dxa"/>
                  <w:vMerge w:val="restart"/>
                  <w:vAlign w:val="center"/>
                </w:tcPr>
                <w:p w14:paraId="2E616219">
                  <w:pPr>
                    <w:pStyle w:val="173"/>
                    <w:rPr>
                      <w:rFonts w:ascii="Times New Roman" w:hAnsi="Times New Roman" w:cs="Times New Roman"/>
                      <w:b/>
                      <w:bCs/>
                      <w:color w:val="auto"/>
                      <w:sz w:val="21"/>
                      <w:szCs w:val="21"/>
                    </w:rPr>
                  </w:pPr>
                  <w:r>
                    <w:rPr>
                      <w:rFonts w:ascii="Times New Roman" w:hAnsi="Times New Roman" w:cs="Times New Roman"/>
                      <w:b/>
                      <w:bCs/>
                      <w:color w:val="auto"/>
                      <w:sz w:val="21"/>
                      <w:szCs w:val="21"/>
                    </w:rPr>
                    <w:t>合计</w:t>
                  </w:r>
                </w:p>
              </w:tc>
              <w:tc>
                <w:tcPr>
                  <w:tcW w:w="847" w:type="dxa"/>
                  <w:vMerge w:val="restart"/>
                  <w:vAlign w:val="center"/>
                </w:tcPr>
                <w:p w14:paraId="3FB8C3AC">
                  <w:pPr>
                    <w:pStyle w:val="173"/>
                    <w:rPr>
                      <w:rFonts w:ascii="Times New Roman" w:hAnsi="Times New Roman" w:cs="Times New Roman"/>
                      <w:b/>
                      <w:bCs/>
                      <w:color w:val="auto"/>
                      <w:sz w:val="21"/>
                      <w:szCs w:val="21"/>
                    </w:rPr>
                  </w:pPr>
                  <w:r>
                    <w:rPr>
                      <w:rFonts w:ascii="Times New Roman" w:hAnsi="Times New Roman" w:cs="Times New Roman"/>
                      <w:b/>
                      <w:bCs/>
                      <w:color w:val="auto"/>
                      <w:sz w:val="21"/>
                      <w:szCs w:val="21"/>
                    </w:rPr>
                    <w:t>备注</w:t>
                  </w:r>
                </w:p>
              </w:tc>
            </w:tr>
            <w:tr w14:paraId="0786D5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6" w:type="dxa"/>
                  <w:vMerge w:val="continue"/>
                  <w:vAlign w:val="center"/>
                </w:tcPr>
                <w:p w14:paraId="76565143">
                  <w:pPr>
                    <w:pStyle w:val="173"/>
                    <w:rPr>
                      <w:rFonts w:ascii="Times New Roman" w:hAnsi="Times New Roman" w:cs="Times New Roman"/>
                      <w:color w:val="auto"/>
                      <w:sz w:val="21"/>
                      <w:szCs w:val="21"/>
                    </w:rPr>
                  </w:pPr>
                </w:p>
              </w:tc>
              <w:tc>
                <w:tcPr>
                  <w:tcW w:w="1091" w:type="dxa"/>
                  <w:gridSpan w:val="2"/>
                  <w:vMerge w:val="continue"/>
                  <w:vAlign w:val="center"/>
                </w:tcPr>
                <w:p w14:paraId="548E27C6">
                  <w:pPr>
                    <w:pStyle w:val="173"/>
                    <w:rPr>
                      <w:rFonts w:ascii="Times New Roman" w:hAnsi="Times New Roman" w:cs="Times New Roman"/>
                      <w:color w:val="auto"/>
                      <w:sz w:val="21"/>
                      <w:szCs w:val="21"/>
                    </w:rPr>
                  </w:pPr>
                </w:p>
              </w:tc>
              <w:tc>
                <w:tcPr>
                  <w:tcW w:w="1357" w:type="dxa"/>
                  <w:gridSpan w:val="2"/>
                  <w:vAlign w:val="center"/>
                </w:tcPr>
                <w:p w14:paraId="594FA14A">
                  <w:pPr>
                    <w:pStyle w:val="173"/>
                    <w:rPr>
                      <w:rFonts w:ascii="Times New Roman" w:hAnsi="Times New Roman" w:cs="Times New Roman"/>
                      <w:color w:val="auto"/>
                      <w:sz w:val="21"/>
                      <w:szCs w:val="21"/>
                    </w:rPr>
                  </w:pPr>
                  <w:r>
                    <w:rPr>
                      <w:rFonts w:ascii="Times New Roman" w:hAnsi="Times New Roman" w:cs="Times New Roman"/>
                      <w:color w:val="auto"/>
                      <w:sz w:val="21"/>
                      <w:szCs w:val="21"/>
                    </w:rPr>
                    <w:t>设计能力</w:t>
                  </w:r>
                </w:p>
              </w:tc>
              <w:tc>
                <w:tcPr>
                  <w:tcW w:w="757" w:type="dxa"/>
                  <w:vAlign w:val="center"/>
                </w:tcPr>
                <w:p w14:paraId="56873496">
                  <w:pPr>
                    <w:pStyle w:val="173"/>
                    <w:rPr>
                      <w:rFonts w:ascii="Times New Roman" w:hAnsi="Times New Roman" w:cs="Times New Roman"/>
                      <w:color w:val="auto"/>
                      <w:sz w:val="21"/>
                      <w:szCs w:val="21"/>
                    </w:rPr>
                  </w:pPr>
                  <w:r>
                    <w:rPr>
                      <w:rFonts w:ascii="Times New Roman" w:hAnsi="Times New Roman" w:cs="Times New Roman"/>
                      <w:color w:val="auto"/>
                      <w:sz w:val="21"/>
                      <w:szCs w:val="21"/>
                    </w:rPr>
                    <w:t>工程内容</w:t>
                  </w:r>
                </w:p>
              </w:tc>
              <w:tc>
                <w:tcPr>
                  <w:tcW w:w="855" w:type="dxa"/>
                  <w:vAlign w:val="center"/>
                </w:tcPr>
                <w:p w14:paraId="042E515D">
                  <w:pPr>
                    <w:pStyle w:val="173"/>
                    <w:rPr>
                      <w:rFonts w:ascii="Times New Roman" w:hAnsi="Times New Roman" w:cs="Times New Roman"/>
                      <w:color w:val="auto"/>
                      <w:sz w:val="21"/>
                      <w:szCs w:val="21"/>
                    </w:rPr>
                  </w:pPr>
                  <w:r>
                    <w:rPr>
                      <w:rFonts w:ascii="Times New Roman" w:hAnsi="Times New Roman" w:cs="Times New Roman"/>
                      <w:color w:val="auto"/>
                      <w:sz w:val="21"/>
                      <w:szCs w:val="21"/>
                    </w:rPr>
                    <w:t>设计能力</w:t>
                  </w:r>
                </w:p>
              </w:tc>
              <w:tc>
                <w:tcPr>
                  <w:tcW w:w="738" w:type="dxa"/>
                  <w:vAlign w:val="center"/>
                </w:tcPr>
                <w:p w14:paraId="2F3270C7">
                  <w:pPr>
                    <w:pStyle w:val="173"/>
                    <w:rPr>
                      <w:rFonts w:ascii="Times New Roman" w:hAnsi="Times New Roman" w:cs="Times New Roman"/>
                      <w:color w:val="auto"/>
                      <w:sz w:val="21"/>
                      <w:szCs w:val="21"/>
                    </w:rPr>
                  </w:pPr>
                  <w:r>
                    <w:rPr>
                      <w:rFonts w:ascii="Times New Roman" w:hAnsi="Times New Roman" w:cs="Times New Roman"/>
                      <w:color w:val="auto"/>
                      <w:sz w:val="21"/>
                      <w:szCs w:val="21"/>
                    </w:rPr>
                    <w:t>工程内容</w:t>
                  </w:r>
                </w:p>
              </w:tc>
              <w:tc>
                <w:tcPr>
                  <w:tcW w:w="1043" w:type="dxa"/>
                  <w:vMerge w:val="continue"/>
                  <w:vAlign w:val="center"/>
                </w:tcPr>
                <w:p w14:paraId="04B6B833">
                  <w:pPr>
                    <w:pStyle w:val="173"/>
                    <w:rPr>
                      <w:rFonts w:ascii="Times New Roman" w:hAnsi="Times New Roman" w:cs="Times New Roman"/>
                      <w:color w:val="auto"/>
                      <w:sz w:val="21"/>
                      <w:szCs w:val="21"/>
                    </w:rPr>
                  </w:pPr>
                </w:p>
              </w:tc>
              <w:tc>
                <w:tcPr>
                  <w:tcW w:w="1331" w:type="dxa"/>
                  <w:vMerge w:val="continue"/>
                  <w:vAlign w:val="center"/>
                </w:tcPr>
                <w:p w14:paraId="40D14AD2">
                  <w:pPr>
                    <w:pStyle w:val="173"/>
                    <w:rPr>
                      <w:rFonts w:ascii="Times New Roman" w:hAnsi="Times New Roman" w:cs="Times New Roman"/>
                      <w:color w:val="auto"/>
                      <w:sz w:val="21"/>
                      <w:szCs w:val="21"/>
                    </w:rPr>
                  </w:pPr>
                </w:p>
              </w:tc>
              <w:tc>
                <w:tcPr>
                  <w:tcW w:w="847" w:type="dxa"/>
                  <w:vMerge w:val="continue"/>
                  <w:vAlign w:val="center"/>
                </w:tcPr>
                <w:p w14:paraId="3E237EEE">
                  <w:pPr>
                    <w:pStyle w:val="173"/>
                    <w:rPr>
                      <w:rFonts w:ascii="Times New Roman" w:hAnsi="Times New Roman" w:cs="Times New Roman"/>
                      <w:color w:val="auto"/>
                      <w:sz w:val="21"/>
                      <w:szCs w:val="21"/>
                    </w:rPr>
                  </w:pPr>
                </w:p>
              </w:tc>
            </w:tr>
            <w:tr w14:paraId="075F4A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15" w:hRule="atLeast"/>
                <w:jc w:val="center"/>
              </w:trPr>
              <w:tc>
                <w:tcPr>
                  <w:tcW w:w="616" w:type="dxa"/>
                  <w:shd w:val="clear" w:color="auto" w:fill="auto"/>
                  <w:vAlign w:val="center"/>
                </w:tcPr>
                <w:p w14:paraId="1BE6BA2F">
                  <w:pPr>
                    <w:pStyle w:val="173"/>
                    <w:rPr>
                      <w:rFonts w:ascii="Times New Roman" w:hAnsi="Times New Roman" w:cs="Times New Roman"/>
                      <w:color w:val="auto"/>
                      <w:sz w:val="21"/>
                      <w:szCs w:val="21"/>
                    </w:rPr>
                  </w:pPr>
                  <w:r>
                    <w:rPr>
                      <w:rFonts w:ascii="Times New Roman" w:hAnsi="Times New Roman" w:cs="Times New Roman"/>
                      <w:color w:val="auto"/>
                      <w:sz w:val="21"/>
                      <w:szCs w:val="21"/>
                    </w:rPr>
                    <w:t>贮运工程</w:t>
                  </w:r>
                </w:p>
              </w:tc>
              <w:tc>
                <w:tcPr>
                  <w:tcW w:w="8019" w:type="dxa"/>
                  <w:gridSpan w:val="10"/>
                  <w:shd w:val="clear" w:color="auto" w:fill="auto"/>
                  <w:vAlign w:val="center"/>
                </w:tcPr>
                <w:p w14:paraId="46896013">
                  <w:pPr>
                    <w:pStyle w:val="173"/>
                    <w:rPr>
                      <w:rFonts w:ascii="Times New Roman" w:hAnsi="Times New Roman" w:cs="Times New Roman"/>
                      <w:color w:val="auto"/>
                      <w:sz w:val="21"/>
                      <w:szCs w:val="21"/>
                    </w:rPr>
                  </w:pPr>
                  <w:r>
                    <w:rPr>
                      <w:rFonts w:hint="eastAsia" w:ascii="Times New Roman" w:hAnsi="Times New Roman" w:cs="Times New Roman"/>
                      <w:color w:val="auto"/>
                      <w:sz w:val="21"/>
                      <w:szCs w:val="21"/>
                      <w:lang w:eastAsia="zh-CN"/>
                    </w:rPr>
                    <w:t>见表</w:t>
                  </w:r>
                  <w:r>
                    <w:rPr>
                      <w:rFonts w:hint="eastAsia" w:ascii="Times New Roman" w:hAnsi="Times New Roman" w:cs="Times New Roman"/>
                      <w:color w:val="auto"/>
                      <w:sz w:val="21"/>
                      <w:szCs w:val="21"/>
                      <w:lang w:val="en-US" w:eastAsia="zh-CN"/>
                    </w:rPr>
                    <w:t>2-7~2-8</w:t>
                  </w:r>
                </w:p>
              </w:tc>
            </w:tr>
            <w:tr w14:paraId="083BFE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49" w:hRule="atLeast"/>
                <w:jc w:val="center"/>
              </w:trPr>
              <w:tc>
                <w:tcPr>
                  <w:tcW w:w="616" w:type="dxa"/>
                  <w:shd w:val="clear" w:color="auto" w:fill="auto"/>
                  <w:vAlign w:val="center"/>
                </w:tcPr>
                <w:p w14:paraId="0523C942">
                  <w:pPr>
                    <w:pStyle w:val="173"/>
                    <w:rPr>
                      <w:rFonts w:ascii="Times New Roman" w:hAnsi="Times New Roman" w:cs="Times New Roman"/>
                      <w:color w:val="auto"/>
                      <w:sz w:val="21"/>
                      <w:szCs w:val="21"/>
                    </w:rPr>
                  </w:pPr>
                  <w:r>
                    <w:rPr>
                      <w:rFonts w:ascii="Times New Roman" w:hAnsi="Times New Roman" w:cs="Times New Roman"/>
                      <w:color w:val="auto"/>
                      <w:sz w:val="21"/>
                      <w:szCs w:val="21"/>
                    </w:rPr>
                    <w:t>辅助工程</w:t>
                  </w:r>
                </w:p>
              </w:tc>
              <w:tc>
                <w:tcPr>
                  <w:tcW w:w="1091" w:type="dxa"/>
                  <w:gridSpan w:val="2"/>
                  <w:shd w:val="clear" w:color="auto" w:fill="auto"/>
                  <w:vAlign w:val="center"/>
                </w:tcPr>
                <w:p w14:paraId="005A993F">
                  <w:pPr>
                    <w:pStyle w:val="173"/>
                    <w:rPr>
                      <w:rFonts w:ascii="Times New Roman" w:hAnsi="Times New Roman" w:cs="Times New Roman" w:eastAsiaTheme="minorEastAsia"/>
                      <w:color w:val="auto"/>
                      <w:spacing w:val="-4"/>
                      <w:kern w:val="2"/>
                      <w:sz w:val="21"/>
                      <w:szCs w:val="21"/>
                      <w:lang w:val="en-US" w:eastAsia="zh-CN" w:bidi="ar-SA"/>
                    </w:rPr>
                  </w:pPr>
                  <w:r>
                    <w:rPr>
                      <w:rFonts w:hint="eastAsia" w:ascii="Times New Roman" w:hAnsi="Times New Roman" w:cs="Times New Roman"/>
                      <w:color w:val="auto"/>
                      <w:sz w:val="21"/>
                      <w:szCs w:val="21"/>
                      <w:lang w:eastAsia="zh-CN"/>
                    </w:rPr>
                    <w:t>纯水</w:t>
                  </w:r>
                  <w:r>
                    <w:rPr>
                      <w:rFonts w:ascii="Times New Roman" w:hAnsi="Times New Roman" w:cs="Times New Roman"/>
                      <w:color w:val="auto"/>
                      <w:sz w:val="21"/>
                      <w:szCs w:val="21"/>
                    </w:rPr>
                    <w:t>制备系统</w:t>
                  </w:r>
                </w:p>
              </w:tc>
              <w:tc>
                <w:tcPr>
                  <w:tcW w:w="2114" w:type="dxa"/>
                  <w:gridSpan w:val="3"/>
                  <w:shd w:val="clear" w:color="auto" w:fill="auto"/>
                  <w:vAlign w:val="center"/>
                </w:tcPr>
                <w:p w14:paraId="2A2DE0FF">
                  <w:pPr>
                    <w:pStyle w:val="173"/>
                    <w:rPr>
                      <w:rFonts w:hint="default" w:ascii="Times New Roman" w:hAnsi="Times New Roman" w:cs="Times New Roman" w:eastAsiaTheme="minorEastAsia"/>
                      <w:color w:val="auto"/>
                      <w:spacing w:val="-4"/>
                      <w:kern w:val="2"/>
                      <w:sz w:val="21"/>
                      <w:szCs w:val="21"/>
                      <w:lang w:val="en-US" w:eastAsia="zh-CN" w:bidi="ar-SA"/>
                    </w:rPr>
                  </w:pPr>
                  <w:r>
                    <w:rPr>
                      <w:rFonts w:hint="eastAsia" w:ascii="Times New Roman" w:hAnsi="Times New Roman" w:cs="Times New Roman"/>
                      <w:color w:val="auto"/>
                      <w:sz w:val="21"/>
                      <w:szCs w:val="21"/>
                      <w:lang w:val="en-US" w:eastAsia="zh-CN"/>
                    </w:rPr>
                    <w:t>0.5</w:t>
                  </w:r>
                  <w:r>
                    <w:rPr>
                      <w:rFonts w:ascii="Times New Roman" w:hAnsi="Times New Roman" w:cs="Times New Roman"/>
                      <w:color w:val="auto"/>
                      <w:sz w:val="21"/>
                      <w:szCs w:val="21"/>
                    </w:rPr>
                    <w:t>t/h</w:t>
                  </w:r>
                  <w:r>
                    <w:rPr>
                      <w:rFonts w:hint="eastAsia" w:ascii="Times New Roman" w:hAnsi="Times New Roman" w:cs="Times New Roman"/>
                      <w:color w:val="auto"/>
                      <w:sz w:val="21"/>
                      <w:szCs w:val="21"/>
                      <w:lang w:eastAsia="zh-CN"/>
                    </w:rPr>
                    <w:t>纯</w:t>
                  </w:r>
                  <w:r>
                    <w:rPr>
                      <w:rFonts w:ascii="Times New Roman" w:hAnsi="Times New Roman" w:cs="Times New Roman"/>
                      <w:color w:val="auto"/>
                      <w:sz w:val="21"/>
                      <w:szCs w:val="21"/>
                    </w:rPr>
                    <w:t>水制备系统1套</w:t>
                  </w:r>
                </w:p>
              </w:tc>
              <w:tc>
                <w:tcPr>
                  <w:tcW w:w="1593" w:type="dxa"/>
                  <w:gridSpan w:val="2"/>
                  <w:tcBorders>
                    <w:right w:val="single" w:color="auto" w:sz="4" w:space="0"/>
                  </w:tcBorders>
                  <w:shd w:val="clear" w:color="auto" w:fill="auto"/>
                  <w:vAlign w:val="center"/>
                </w:tcPr>
                <w:p w14:paraId="6BCC1C36">
                  <w:pPr>
                    <w:pStyle w:val="173"/>
                    <w:rPr>
                      <w:rFonts w:hint="eastAsia" w:ascii="Times New Roman" w:hAnsi="Times New Roman" w:cs="Times New Roman" w:eastAsiaTheme="minorEastAsia"/>
                      <w:color w:val="auto"/>
                      <w:spacing w:val="-4"/>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1043" w:type="dxa"/>
                  <w:tcBorders>
                    <w:left w:val="single" w:color="auto" w:sz="4" w:space="0"/>
                  </w:tcBorders>
                  <w:shd w:val="clear" w:color="auto" w:fill="auto"/>
                  <w:vAlign w:val="center"/>
                </w:tcPr>
                <w:p w14:paraId="4DBB01FC">
                  <w:pPr>
                    <w:pStyle w:val="173"/>
                    <w:rPr>
                      <w:rFonts w:ascii="Times New Roman" w:hAnsi="Times New Roman" w:cs="Times New Roman" w:eastAsiaTheme="minorEastAsia"/>
                      <w:color w:val="auto"/>
                      <w:spacing w:val="-4"/>
                      <w:kern w:val="2"/>
                      <w:sz w:val="21"/>
                      <w:szCs w:val="21"/>
                      <w:lang w:val="en-US" w:eastAsia="zh-CN" w:bidi="ar-SA"/>
                    </w:rPr>
                  </w:pPr>
                  <w:r>
                    <w:rPr>
                      <w:rFonts w:hint="eastAsia" w:ascii="Times New Roman" w:hAnsi="Times New Roman" w:cs="Times New Roman"/>
                      <w:color w:val="auto"/>
                      <w:sz w:val="21"/>
                      <w:szCs w:val="21"/>
                    </w:rPr>
                    <w:t>/</w:t>
                  </w:r>
                </w:p>
              </w:tc>
              <w:tc>
                <w:tcPr>
                  <w:tcW w:w="1331" w:type="dxa"/>
                  <w:shd w:val="clear" w:color="auto" w:fill="auto"/>
                  <w:vAlign w:val="center"/>
                </w:tcPr>
                <w:p w14:paraId="4B06DD9A">
                  <w:pPr>
                    <w:pStyle w:val="173"/>
                    <w:rPr>
                      <w:rFonts w:ascii="Times New Roman" w:hAnsi="Times New Roman" w:cs="Times New Roman" w:eastAsiaTheme="minorEastAsia"/>
                      <w:color w:val="auto"/>
                      <w:spacing w:val="-4"/>
                      <w:kern w:val="2"/>
                      <w:sz w:val="21"/>
                      <w:szCs w:val="21"/>
                      <w:lang w:val="en-US" w:eastAsia="zh-CN" w:bidi="ar-SA"/>
                    </w:rPr>
                  </w:pPr>
                  <w:r>
                    <w:rPr>
                      <w:rFonts w:hint="eastAsia" w:ascii="Times New Roman" w:hAnsi="Times New Roman" w:cs="Times New Roman"/>
                      <w:color w:val="auto"/>
                      <w:sz w:val="21"/>
                      <w:szCs w:val="21"/>
                      <w:lang w:val="en-US" w:eastAsia="zh-CN"/>
                    </w:rPr>
                    <w:t>0.5</w:t>
                  </w:r>
                  <w:r>
                    <w:rPr>
                      <w:rFonts w:ascii="Times New Roman" w:hAnsi="Times New Roman" w:cs="Times New Roman"/>
                      <w:color w:val="auto"/>
                      <w:sz w:val="21"/>
                      <w:szCs w:val="21"/>
                    </w:rPr>
                    <w:t>t/h</w:t>
                  </w:r>
                </w:p>
              </w:tc>
              <w:tc>
                <w:tcPr>
                  <w:tcW w:w="847" w:type="dxa"/>
                  <w:shd w:val="clear" w:color="auto" w:fill="auto"/>
                  <w:vAlign w:val="center"/>
                </w:tcPr>
                <w:p w14:paraId="56CEDE0E">
                  <w:pPr>
                    <w:pStyle w:val="173"/>
                    <w:rPr>
                      <w:rFonts w:hint="eastAsia" w:ascii="Times New Roman" w:hAnsi="Times New Roman" w:cs="Times New Roman" w:eastAsiaTheme="minorEastAsia"/>
                      <w:color w:val="auto"/>
                      <w:spacing w:val="-4"/>
                      <w:kern w:val="2"/>
                      <w:sz w:val="21"/>
                      <w:szCs w:val="21"/>
                      <w:lang w:val="en-US" w:eastAsia="zh-CN" w:bidi="ar-SA"/>
                    </w:rPr>
                  </w:pPr>
                  <w:r>
                    <w:rPr>
                      <w:rFonts w:hint="eastAsia" w:ascii="Times New Roman" w:hAnsi="Times New Roman" w:cs="Times New Roman"/>
                      <w:color w:val="auto"/>
                      <w:sz w:val="21"/>
                      <w:szCs w:val="21"/>
                      <w:lang w:eastAsia="zh-CN"/>
                    </w:rPr>
                    <w:t>技改项目不依托</w:t>
                  </w:r>
                </w:p>
              </w:tc>
            </w:tr>
            <w:tr w14:paraId="60CA35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4" w:hRule="atLeast"/>
                <w:jc w:val="center"/>
              </w:trPr>
              <w:tc>
                <w:tcPr>
                  <w:tcW w:w="616" w:type="dxa"/>
                  <w:vMerge w:val="restart"/>
                  <w:shd w:val="clear" w:color="auto" w:fill="auto"/>
                  <w:vAlign w:val="center"/>
                </w:tcPr>
                <w:p w14:paraId="14DE2E6B">
                  <w:pPr>
                    <w:pStyle w:val="173"/>
                    <w:rPr>
                      <w:rFonts w:ascii="Times New Roman" w:hAnsi="Times New Roman" w:cs="Times New Roman"/>
                      <w:color w:val="auto"/>
                      <w:sz w:val="21"/>
                      <w:szCs w:val="21"/>
                    </w:rPr>
                  </w:pPr>
                  <w:r>
                    <w:rPr>
                      <w:rFonts w:ascii="Times New Roman" w:hAnsi="Times New Roman" w:cs="Times New Roman"/>
                      <w:color w:val="auto"/>
                      <w:sz w:val="21"/>
                      <w:szCs w:val="21"/>
                    </w:rPr>
                    <w:t>公用工程</w:t>
                  </w:r>
                </w:p>
              </w:tc>
              <w:tc>
                <w:tcPr>
                  <w:tcW w:w="1091" w:type="dxa"/>
                  <w:gridSpan w:val="2"/>
                  <w:shd w:val="clear" w:color="auto" w:fill="auto"/>
                  <w:vAlign w:val="center"/>
                </w:tcPr>
                <w:p w14:paraId="2B9385FB">
                  <w:pPr>
                    <w:pStyle w:val="173"/>
                    <w:rPr>
                      <w:rFonts w:ascii="Times New Roman" w:hAnsi="Times New Roman" w:cs="Times New Roman"/>
                      <w:color w:val="auto"/>
                      <w:sz w:val="21"/>
                      <w:szCs w:val="21"/>
                    </w:rPr>
                  </w:pPr>
                  <w:r>
                    <w:rPr>
                      <w:rFonts w:ascii="Times New Roman" w:hAnsi="Times New Roman" w:cs="Times New Roman"/>
                      <w:color w:val="auto"/>
                      <w:sz w:val="21"/>
                      <w:szCs w:val="21"/>
                    </w:rPr>
                    <w:t>给水</w:t>
                  </w:r>
                </w:p>
              </w:tc>
              <w:tc>
                <w:tcPr>
                  <w:tcW w:w="2114" w:type="dxa"/>
                  <w:gridSpan w:val="3"/>
                  <w:vAlign w:val="center"/>
                </w:tcPr>
                <w:p w14:paraId="507B5DC7">
                  <w:pPr>
                    <w:pStyle w:val="173"/>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59264.91</w:t>
                  </w:r>
                  <w:r>
                    <w:rPr>
                      <w:rFonts w:hint="eastAsia" w:ascii="Times New Roman" w:hAnsi="Times New Roman" w:cs="Times New Roman"/>
                      <w:color w:val="auto"/>
                      <w:sz w:val="21"/>
                      <w:szCs w:val="21"/>
                    </w:rPr>
                    <w:t>m</w:t>
                  </w:r>
                  <w:r>
                    <w:rPr>
                      <w:rFonts w:hint="eastAsia" w:ascii="Times New Roman" w:hAnsi="Times New Roman" w:cs="Times New Roman"/>
                      <w:color w:val="auto"/>
                      <w:sz w:val="21"/>
                      <w:szCs w:val="21"/>
                      <w:vertAlign w:val="superscript"/>
                    </w:rPr>
                    <w:t>3</w:t>
                  </w:r>
                  <w:r>
                    <w:rPr>
                      <w:rFonts w:ascii="Times New Roman" w:hAnsi="Times New Roman" w:cs="Times New Roman"/>
                      <w:color w:val="auto"/>
                      <w:sz w:val="21"/>
                      <w:szCs w:val="21"/>
                    </w:rPr>
                    <w:t>/a</w:t>
                  </w:r>
                </w:p>
              </w:tc>
              <w:tc>
                <w:tcPr>
                  <w:tcW w:w="1593" w:type="dxa"/>
                  <w:gridSpan w:val="2"/>
                  <w:shd w:val="clear" w:color="auto" w:fill="auto"/>
                  <w:vAlign w:val="center"/>
                </w:tcPr>
                <w:p w14:paraId="088AA7FB">
                  <w:pPr>
                    <w:pStyle w:val="173"/>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3679.2</w:t>
                  </w:r>
                  <w:r>
                    <w:rPr>
                      <w:rFonts w:hint="eastAsia" w:ascii="Times New Roman" w:hAnsi="Times New Roman" w:cs="Times New Roman"/>
                      <w:color w:val="auto"/>
                      <w:sz w:val="21"/>
                      <w:szCs w:val="21"/>
                    </w:rPr>
                    <w:t>m</w:t>
                  </w:r>
                  <w:r>
                    <w:rPr>
                      <w:rFonts w:hint="eastAsia" w:ascii="Times New Roman" w:hAnsi="Times New Roman" w:cs="Times New Roman"/>
                      <w:color w:val="auto"/>
                      <w:sz w:val="21"/>
                      <w:szCs w:val="21"/>
                      <w:vertAlign w:val="superscript"/>
                    </w:rPr>
                    <w:t>3</w:t>
                  </w:r>
                  <w:r>
                    <w:rPr>
                      <w:rFonts w:ascii="Times New Roman" w:hAnsi="Times New Roman" w:cs="Times New Roman"/>
                      <w:color w:val="auto"/>
                      <w:sz w:val="21"/>
                      <w:szCs w:val="21"/>
                    </w:rPr>
                    <w:t>/a</w:t>
                  </w:r>
                </w:p>
              </w:tc>
              <w:tc>
                <w:tcPr>
                  <w:tcW w:w="1043" w:type="dxa"/>
                  <w:vAlign w:val="center"/>
                </w:tcPr>
                <w:p w14:paraId="626104FB">
                  <w:pPr>
                    <w:pStyle w:val="173"/>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蒸汽冷凝水6400</w:t>
                  </w:r>
                  <w:r>
                    <w:rPr>
                      <w:rFonts w:hint="eastAsia" w:ascii="Times New Roman" w:hAnsi="Times New Roman" w:cs="Times New Roman"/>
                      <w:color w:val="auto"/>
                      <w:sz w:val="21"/>
                      <w:szCs w:val="21"/>
                    </w:rPr>
                    <w:t>m</w:t>
                  </w:r>
                  <w:r>
                    <w:rPr>
                      <w:rFonts w:hint="eastAsia" w:ascii="Times New Roman" w:hAnsi="Times New Roman" w:cs="Times New Roman"/>
                      <w:color w:val="auto"/>
                      <w:sz w:val="21"/>
                      <w:szCs w:val="21"/>
                      <w:vertAlign w:val="superscript"/>
                    </w:rPr>
                    <w:t>3</w:t>
                  </w:r>
                  <w:r>
                    <w:rPr>
                      <w:rFonts w:ascii="Times New Roman" w:hAnsi="Times New Roman" w:cs="Times New Roman"/>
                      <w:color w:val="auto"/>
                      <w:sz w:val="21"/>
                      <w:szCs w:val="21"/>
                    </w:rPr>
                    <w:t>/a</w:t>
                  </w:r>
                  <w:r>
                    <w:rPr>
                      <w:rFonts w:hint="eastAsia" w:ascii="Times New Roman" w:hAnsi="Times New Roman" w:cs="Times New Roman"/>
                      <w:color w:val="auto"/>
                      <w:sz w:val="21"/>
                      <w:szCs w:val="21"/>
                      <w:lang w:eastAsia="zh-CN"/>
                    </w:rPr>
                    <w:t>进入循环水系统</w:t>
                  </w:r>
                </w:p>
              </w:tc>
              <w:tc>
                <w:tcPr>
                  <w:tcW w:w="1331" w:type="dxa"/>
                  <w:vAlign w:val="center"/>
                </w:tcPr>
                <w:p w14:paraId="7873415B">
                  <w:pPr>
                    <w:pStyle w:val="173"/>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val="en-US" w:eastAsia="zh-CN"/>
                    </w:rPr>
                    <w:t>56544.11</w:t>
                  </w:r>
                  <w:r>
                    <w:rPr>
                      <w:rFonts w:hint="eastAsia" w:ascii="Times New Roman" w:hAnsi="Times New Roman" w:cs="Times New Roman"/>
                      <w:color w:val="auto"/>
                      <w:sz w:val="21"/>
                      <w:szCs w:val="21"/>
                    </w:rPr>
                    <w:t>m</w:t>
                  </w:r>
                  <w:r>
                    <w:rPr>
                      <w:rFonts w:hint="eastAsia" w:ascii="Times New Roman" w:hAnsi="Times New Roman" w:cs="Times New Roman"/>
                      <w:color w:val="auto"/>
                      <w:sz w:val="21"/>
                      <w:szCs w:val="21"/>
                      <w:vertAlign w:val="superscript"/>
                    </w:rPr>
                    <w:t>3</w:t>
                  </w:r>
                  <w:r>
                    <w:rPr>
                      <w:rFonts w:ascii="Times New Roman" w:hAnsi="Times New Roman" w:cs="Times New Roman"/>
                      <w:color w:val="auto"/>
                      <w:sz w:val="21"/>
                      <w:szCs w:val="21"/>
                    </w:rPr>
                    <w:t>/a</w:t>
                  </w:r>
                </w:p>
              </w:tc>
              <w:tc>
                <w:tcPr>
                  <w:tcW w:w="847" w:type="dxa"/>
                  <w:vAlign w:val="center"/>
                </w:tcPr>
                <w:p w14:paraId="36B20AAB">
                  <w:pPr>
                    <w:pStyle w:val="173"/>
                    <w:rPr>
                      <w:rFonts w:ascii="Times New Roman" w:hAnsi="Times New Roman" w:cs="Times New Roman"/>
                      <w:color w:val="auto"/>
                      <w:sz w:val="21"/>
                      <w:szCs w:val="21"/>
                    </w:rPr>
                  </w:pPr>
                  <w:r>
                    <w:rPr>
                      <w:rFonts w:ascii="Times New Roman" w:hAnsi="Times New Roman" w:cs="Times New Roman"/>
                      <w:color w:val="auto"/>
                      <w:sz w:val="21"/>
                      <w:szCs w:val="21"/>
                    </w:rPr>
                    <w:t>依托现有供水系统</w:t>
                  </w:r>
                </w:p>
              </w:tc>
            </w:tr>
            <w:tr w14:paraId="30CFEE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6" w:type="dxa"/>
                  <w:vMerge w:val="continue"/>
                  <w:shd w:val="clear" w:color="auto" w:fill="auto"/>
                  <w:vAlign w:val="center"/>
                </w:tcPr>
                <w:p w14:paraId="2E941161">
                  <w:pPr>
                    <w:pStyle w:val="173"/>
                    <w:rPr>
                      <w:rFonts w:ascii="Times New Roman" w:hAnsi="Times New Roman" w:cs="Times New Roman"/>
                      <w:color w:val="auto"/>
                      <w:sz w:val="21"/>
                      <w:szCs w:val="21"/>
                    </w:rPr>
                  </w:pPr>
                </w:p>
              </w:tc>
              <w:tc>
                <w:tcPr>
                  <w:tcW w:w="1091" w:type="dxa"/>
                  <w:gridSpan w:val="2"/>
                  <w:shd w:val="clear" w:color="auto" w:fill="auto"/>
                  <w:vAlign w:val="center"/>
                </w:tcPr>
                <w:p w14:paraId="595A5353">
                  <w:pPr>
                    <w:pStyle w:val="173"/>
                    <w:rPr>
                      <w:rFonts w:ascii="Times New Roman" w:hAnsi="Times New Roman" w:cs="Times New Roman"/>
                      <w:color w:val="auto"/>
                      <w:sz w:val="21"/>
                      <w:szCs w:val="21"/>
                    </w:rPr>
                  </w:pPr>
                  <w:r>
                    <w:rPr>
                      <w:rFonts w:ascii="Times New Roman" w:hAnsi="Times New Roman" w:cs="Times New Roman"/>
                      <w:color w:val="auto"/>
                      <w:sz w:val="21"/>
                      <w:szCs w:val="21"/>
                    </w:rPr>
                    <w:t>排水</w:t>
                  </w:r>
                </w:p>
              </w:tc>
              <w:tc>
                <w:tcPr>
                  <w:tcW w:w="2114" w:type="dxa"/>
                  <w:gridSpan w:val="3"/>
                  <w:vAlign w:val="center"/>
                </w:tcPr>
                <w:p w14:paraId="7D7A5CD7">
                  <w:pPr>
                    <w:pStyle w:val="173"/>
                    <w:rPr>
                      <w:rFonts w:ascii="Times New Roman" w:hAnsi="Times New Roman" w:cs="Times New Roman"/>
                      <w:color w:val="auto"/>
                      <w:sz w:val="21"/>
                      <w:szCs w:val="21"/>
                    </w:rPr>
                  </w:pPr>
                  <w:r>
                    <w:rPr>
                      <w:rFonts w:ascii="Times New Roman" w:hAnsi="Times New Roman" w:cs="Times New Roman"/>
                      <w:color w:val="auto"/>
                      <w:sz w:val="21"/>
                      <w:szCs w:val="21"/>
                    </w:rPr>
                    <w:t>7</w:t>
                  </w:r>
                  <w:r>
                    <w:rPr>
                      <w:rFonts w:hint="eastAsia" w:ascii="Times New Roman" w:hAnsi="Times New Roman" w:cs="Times New Roman"/>
                      <w:color w:val="auto"/>
                      <w:sz w:val="21"/>
                      <w:szCs w:val="21"/>
                      <w:lang w:val="en-US" w:eastAsia="zh-CN"/>
                    </w:rPr>
                    <w:t>746.6</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/a</w:t>
                  </w:r>
                </w:p>
              </w:tc>
              <w:tc>
                <w:tcPr>
                  <w:tcW w:w="1593" w:type="dxa"/>
                  <w:gridSpan w:val="2"/>
                  <w:shd w:val="clear" w:color="auto" w:fill="auto"/>
                  <w:vAlign w:val="center"/>
                </w:tcPr>
                <w:p w14:paraId="5372D6D7">
                  <w:pPr>
                    <w:pStyle w:val="173"/>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val="en-US" w:eastAsia="zh-CN"/>
                    </w:rPr>
                    <w:t>0</w:t>
                  </w:r>
                </w:p>
              </w:tc>
              <w:tc>
                <w:tcPr>
                  <w:tcW w:w="1043" w:type="dxa"/>
                  <w:vAlign w:val="center"/>
                </w:tcPr>
                <w:p w14:paraId="617CDB30">
                  <w:pPr>
                    <w:pStyle w:val="173"/>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331" w:type="dxa"/>
                  <w:vAlign w:val="center"/>
                </w:tcPr>
                <w:p w14:paraId="308E62CD">
                  <w:pPr>
                    <w:pStyle w:val="173"/>
                    <w:rPr>
                      <w:rFonts w:ascii="Times New Roman" w:hAnsi="Times New Roman" w:cs="Times New Roman"/>
                      <w:color w:val="auto"/>
                      <w:sz w:val="21"/>
                      <w:szCs w:val="21"/>
                    </w:rPr>
                  </w:pPr>
                  <w:r>
                    <w:rPr>
                      <w:rFonts w:ascii="Times New Roman" w:hAnsi="Times New Roman" w:cs="Times New Roman"/>
                      <w:color w:val="auto"/>
                      <w:sz w:val="21"/>
                      <w:szCs w:val="21"/>
                    </w:rPr>
                    <w:t>7</w:t>
                  </w:r>
                  <w:r>
                    <w:rPr>
                      <w:rFonts w:hint="eastAsia" w:ascii="Times New Roman" w:hAnsi="Times New Roman" w:cs="Times New Roman"/>
                      <w:color w:val="auto"/>
                      <w:sz w:val="21"/>
                      <w:szCs w:val="21"/>
                      <w:lang w:val="en-US" w:eastAsia="zh-CN"/>
                    </w:rPr>
                    <w:t>746.6</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/a</w:t>
                  </w:r>
                </w:p>
              </w:tc>
              <w:tc>
                <w:tcPr>
                  <w:tcW w:w="847" w:type="dxa"/>
                  <w:vAlign w:val="center"/>
                </w:tcPr>
                <w:p w14:paraId="4BBD38AA">
                  <w:pPr>
                    <w:pStyle w:val="173"/>
                    <w:rPr>
                      <w:rFonts w:ascii="Times New Roman" w:hAnsi="Times New Roman" w:cs="Times New Roman"/>
                      <w:color w:val="auto"/>
                      <w:sz w:val="21"/>
                      <w:szCs w:val="21"/>
                    </w:rPr>
                  </w:pPr>
                  <w:r>
                    <w:rPr>
                      <w:rFonts w:ascii="Times New Roman" w:hAnsi="Times New Roman" w:cs="Times New Roman"/>
                      <w:color w:val="auto"/>
                      <w:sz w:val="21"/>
                      <w:szCs w:val="21"/>
                    </w:rPr>
                    <w:t>接管污水处理厂</w:t>
                  </w:r>
                </w:p>
              </w:tc>
            </w:tr>
            <w:tr w14:paraId="6505AA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6" w:type="dxa"/>
                  <w:vMerge w:val="continue"/>
                  <w:shd w:val="clear" w:color="auto" w:fill="auto"/>
                  <w:vAlign w:val="center"/>
                </w:tcPr>
                <w:p w14:paraId="7C672CB0">
                  <w:pPr>
                    <w:pStyle w:val="173"/>
                    <w:rPr>
                      <w:rFonts w:ascii="Times New Roman" w:hAnsi="Times New Roman" w:cs="Times New Roman"/>
                      <w:color w:val="auto"/>
                      <w:sz w:val="21"/>
                      <w:szCs w:val="21"/>
                    </w:rPr>
                  </w:pPr>
                </w:p>
              </w:tc>
              <w:tc>
                <w:tcPr>
                  <w:tcW w:w="1091" w:type="dxa"/>
                  <w:gridSpan w:val="2"/>
                  <w:shd w:val="clear" w:color="auto" w:fill="auto"/>
                  <w:vAlign w:val="center"/>
                </w:tcPr>
                <w:p w14:paraId="3B182CEB">
                  <w:pPr>
                    <w:pStyle w:val="173"/>
                    <w:rPr>
                      <w:rFonts w:ascii="Times New Roman" w:hAnsi="Times New Roman" w:cs="Times New Roman"/>
                      <w:color w:val="auto"/>
                      <w:sz w:val="21"/>
                      <w:szCs w:val="21"/>
                    </w:rPr>
                  </w:pPr>
                  <w:r>
                    <w:rPr>
                      <w:rFonts w:ascii="Times New Roman" w:hAnsi="Times New Roman" w:cs="Times New Roman"/>
                      <w:color w:val="auto"/>
                      <w:sz w:val="21"/>
                      <w:szCs w:val="21"/>
                    </w:rPr>
                    <w:t>供电</w:t>
                  </w:r>
                </w:p>
              </w:tc>
              <w:tc>
                <w:tcPr>
                  <w:tcW w:w="2114" w:type="dxa"/>
                  <w:gridSpan w:val="3"/>
                  <w:vAlign w:val="center"/>
                </w:tcPr>
                <w:p w14:paraId="2C6D84E3">
                  <w:pPr>
                    <w:pStyle w:val="173"/>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81</w:t>
                  </w:r>
                  <w:r>
                    <w:rPr>
                      <w:rFonts w:ascii="Times New Roman" w:hAnsi="Times New Roman" w:cs="Times New Roman"/>
                      <w:color w:val="auto"/>
                      <w:sz w:val="21"/>
                      <w:szCs w:val="21"/>
                    </w:rPr>
                    <w:t>0万KWh/a</w:t>
                  </w:r>
                </w:p>
              </w:tc>
              <w:tc>
                <w:tcPr>
                  <w:tcW w:w="1593" w:type="dxa"/>
                  <w:gridSpan w:val="2"/>
                  <w:shd w:val="clear" w:color="auto" w:fill="auto"/>
                  <w:vAlign w:val="center"/>
                </w:tcPr>
                <w:p w14:paraId="728277DC">
                  <w:pPr>
                    <w:pStyle w:val="173"/>
                    <w:rPr>
                      <w:rFonts w:ascii="Times New Roman" w:hAnsi="Times New Roman" w:cs="Times New Roman"/>
                      <w:color w:val="auto"/>
                      <w:sz w:val="21"/>
                      <w:szCs w:val="21"/>
                    </w:rPr>
                  </w:pPr>
                  <w:r>
                    <w:rPr>
                      <w:rFonts w:ascii="Times New Roman" w:hAnsi="Times New Roman" w:cs="Times New Roman"/>
                      <w:color w:val="auto"/>
                      <w:sz w:val="21"/>
                      <w:szCs w:val="21"/>
                    </w:rPr>
                    <w:t>10万KWh/a</w:t>
                  </w:r>
                </w:p>
              </w:tc>
              <w:tc>
                <w:tcPr>
                  <w:tcW w:w="1043" w:type="dxa"/>
                  <w:vAlign w:val="center"/>
                </w:tcPr>
                <w:p w14:paraId="538444FF">
                  <w:pPr>
                    <w:pStyle w:val="173"/>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331" w:type="dxa"/>
                  <w:vAlign w:val="center"/>
                </w:tcPr>
                <w:p w14:paraId="60B11A75">
                  <w:pPr>
                    <w:pStyle w:val="173"/>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820</w:t>
                  </w:r>
                  <w:r>
                    <w:rPr>
                      <w:rFonts w:ascii="Times New Roman" w:hAnsi="Times New Roman" w:cs="Times New Roman"/>
                      <w:color w:val="auto"/>
                      <w:sz w:val="21"/>
                      <w:szCs w:val="21"/>
                    </w:rPr>
                    <w:t>KWh/a</w:t>
                  </w:r>
                </w:p>
              </w:tc>
              <w:tc>
                <w:tcPr>
                  <w:tcW w:w="847" w:type="dxa"/>
                  <w:tcMar>
                    <w:left w:w="0" w:type="dxa"/>
                    <w:right w:w="0" w:type="dxa"/>
                  </w:tcMar>
                  <w:vAlign w:val="center"/>
                </w:tcPr>
                <w:p w14:paraId="781F897D">
                  <w:pPr>
                    <w:pStyle w:val="173"/>
                    <w:rPr>
                      <w:rFonts w:ascii="Times New Roman" w:hAnsi="Times New Roman" w:cs="Times New Roman"/>
                      <w:color w:val="auto"/>
                      <w:sz w:val="21"/>
                      <w:szCs w:val="21"/>
                    </w:rPr>
                  </w:pPr>
                  <w:r>
                    <w:rPr>
                      <w:rFonts w:ascii="Times New Roman" w:hAnsi="Times New Roman" w:cs="Times New Roman"/>
                      <w:color w:val="auto"/>
                      <w:sz w:val="21"/>
                      <w:szCs w:val="21"/>
                    </w:rPr>
                    <w:t>来自市政电网</w:t>
                  </w:r>
                </w:p>
              </w:tc>
            </w:tr>
            <w:tr w14:paraId="7F518E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1" w:hRule="atLeast"/>
                <w:jc w:val="center"/>
              </w:trPr>
              <w:tc>
                <w:tcPr>
                  <w:tcW w:w="616" w:type="dxa"/>
                  <w:vMerge w:val="continue"/>
                  <w:shd w:val="clear" w:color="auto" w:fill="auto"/>
                  <w:vAlign w:val="center"/>
                </w:tcPr>
                <w:p w14:paraId="1AD1C25E">
                  <w:pPr>
                    <w:pStyle w:val="173"/>
                    <w:rPr>
                      <w:rFonts w:ascii="Times New Roman" w:hAnsi="Times New Roman" w:cs="Times New Roman"/>
                      <w:color w:val="auto"/>
                      <w:sz w:val="21"/>
                      <w:szCs w:val="21"/>
                    </w:rPr>
                  </w:pPr>
                </w:p>
              </w:tc>
              <w:tc>
                <w:tcPr>
                  <w:tcW w:w="1091" w:type="dxa"/>
                  <w:gridSpan w:val="2"/>
                  <w:shd w:val="clear" w:color="auto" w:fill="auto"/>
                  <w:vAlign w:val="center"/>
                </w:tcPr>
                <w:p w14:paraId="15CECAB3">
                  <w:pPr>
                    <w:pStyle w:val="173"/>
                    <w:rPr>
                      <w:rFonts w:ascii="Times New Roman" w:hAnsi="Times New Roman" w:cs="Times New Roman"/>
                      <w:color w:val="auto"/>
                      <w:sz w:val="21"/>
                      <w:szCs w:val="21"/>
                    </w:rPr>
                  </w:pPr>
                  <w:r>
                    <w:rPr>
                      <w:rFonts w:hint="eastAsia" w:ascii="Times New Roman" w:hAnsi="Times New Roman" w:cs="Times New Roman"/>
                      <w:color w:val="auto"/>
                      <w:sz w:val="21"/>
                      <w:szCs w:val="21"/>
                    </w:rPr>
                    <w:t>蒸汽</w:t>
                  </w:r>
                </w:p>
              </w:tc>
              <w:tc>
                <w:tcPr>
                  <w:tcW w:w="2114" w:type="dxa"/>
                  <w:gridSpan w:val="3"/>
                  <w:vAlign w:val="center"/>
                </w:tcPr>
                <w:p w14:paraId="0EEEEF7F">
                  <w:pPr>
                    <w:pStyle w:val="173"/>
                    <w:rPr>
                      <w:rFonts w:ascii="Times New Roman" w:hAnsi="Times New Roman" w:cs="Times New Roman"/>
                      <w:color w:val="auto"/>
                      <w:sz w:val="21"/>
                      <w:szCs w:val="21"/>
                    </w:rPr>
                  </w:pPr>
                  <w:r>
                    <w:rPr>
                      <w:rFonts w:hint="eastAsia" w:ascii="Times New Roman" w:hAnsi="Times New Roman" w:cs="Times New Roman"/>
                      <w:color w:val="auto"/>
                      <w:sz w:val="21"/>
                      <w:szCs w:val="21"/>
                      <w:lang w:eastAsia="zh-CN"/>
                    </w:rPr>
                    <w:t>园区蒸汽，</w:t>
                  </w:r>
                  <w:r>
                    <w:rPr>
                      <w:rFonts w:hint="eastAsia" w:ascii="Times New Roman" w:hAnsi="Times New Roman" w:cs="Times New Roman"/>
                      <w:color w:val="auto"/>
                      <w:sz w:val="21"/>
                      <w:szCs w:val="21"/>
                      <w:lang w:val="en-US" w:eastAsia="zh-CN"/>
                    </w:rPr>
                    <w:t>270</w:t>
                  </w:r>
                  <w:r>
                    <w:rPr>
                      <w:rFonts w:hint="eastAsia" w:ascii="Times New Roman" w:hAnsi="Times New Roman" w:cs="Times New Roman"/>
                      <w:color w:val="auto"/>
                      <w:sz w:val="21"/>
                      <w:szCs w:val="21"/>
                    </w:rPr>
                    <w:t>00t/a</w:t>
                  </w:r>
                </w:p>
              </w:tc>
              <w:tc>
                <w:tcPr>
                  <w:tcW w:w="1593" w:type="dxa"/>
                  <w:gridSpan w:val="2"/>
                  <w:shd w:val="clear" w:color="auto" w:fill="auto"/>
                  <w:vAlign w:val="center"/>
                </w:tcPr>
                <w:p w14:paraId="686E331A">
                  <w:pPr>
                    <w:pStyle w:val="173"/>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8000t/a</w:t>
                  </w:r>
                </w:p>
              </w:tc>
              <w:tc>
                <w:tcPr>
                  <w:tcW w:w="1043" w:type="dxa"/>
                  <w:vAlign w:val="center"/>
                </w:tcPr>
                <w:p w14:paraId="30BDDB6C">
                  <w:pPr>
                    <w:pStyle w:val="173"/>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31" w:type="dxa"/>
                  <w:vAlign w:val="center"/>
                </w:tcPr>
                <w:p w14:paraId="6BC8D340">
                  <w:pPr>
                    <w:pStyle w:val="173"/>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350</w:t>
                  </w:r>
                  <w:r>
                    <w:rPr>
                      <w:rFonts w:hint="eastAsia" w:ascii="Times New Roman" w:hAnsi="Times New Roman" w:cs="Times New Roman"/>
                      <w:color w:val="auto"/>
                      <w:sz w:val="21"/>
                      <w:szCs w:val="21"/>
                    </w:rPr>
                    <w:t>00t/a</w:t>
                  </w:r>
                </w:p>
              </w:tc>
              <w:tc>
                <w:tcPr>
                  <w:tcW w:w="847" w:type="dxa"/>
                  <w:tcMar>
                    <w:left w:w="0" w:type="dxa"/>
                    <w:right w:w="0" w:type="dxa"/>
                  </w:tcMar>
                  <w:vAlign w:val="center"/>
                </w:tcPr>
                <w:p w14:paraId="3C98B5C1">
                  <w:pPr>
                    <w:pStyle w:val="173"/>
                    <w:rPr>
                      <w:rFonts w:ascii="Times New Roman" w:hAnsi="Times New Roman" w:cs="Times New Roman"/>
                      <w:color w:val="auto"/>
                      <w:sz w:val="21"/>
                      <w:szCs w:val="21"/>
                    </w:rPr>
                  </w:pPr>
                  <w:r>
                    <w:rPr>
                      <w:rFonts w:hint="eastAsia" w:ascii="Times New Roman" w:hAnsi="Times New Roman" w:cs="Times New Roman"/>
                      <w:color w:val="auto"/>
                      <w:sz w:val="21"/>
                      <w:szCs w:val="21"/>
                    </w:rPr>
                    <w:t>园区蒸汽</w:t>
                  </w:r>
                </w:p>
              </w:tc>
            </w:tr>
            <w:tr w14:paraId="305F00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 w:hRule="atLeast"/>
                <w:jc w:val="center"/>
              </w:trPr>
              <w:tc>
                <w:tcPr>
                  <w:tcW w:w="616" w:type="dxa"/>
                  <w:vMerge w:val="restart"/>
                  <w:shd w:val="clear" w:color="auto" w:fill="auto"/>
                  <w:vAlign w:val="center"/>
                </w:tcPr>
                <w:p w14:paraId="494A9597">
                  <w:pPr>
                    <w:pStyle w:val="173"/>
                    <w:rPr>
                      <w:rFonts w:ascii="Times New Roman" w:hAnsi="Times New Roman" w:cs="Times New Roman"/>
                      <w:color w:val="auto"/>
                      <w:sz w:val="21"/>
                      <w:szCs w:val="21"/>
                    </w:rPr>
                  </w:pPr>
                  <w:r>
                    <w:rPr>
                      <w:rFonts w:hint="eastAsia" w:ascii="Times New Roman" w:hAnsi="Times New Roman" w:cs="Times New Roman"/>
                      <w:color w:val="auto"/>
                      <w:sz w:val="21"/>
                      <w:szCs w:val="21"/>
                    </w:rPr>
                    <w:t>环保设施</w:t>
                  </w:r>
                </w:p>
              </w:tc>
              <w:tc>
                <w:tcPr>
                  <w:tcW w:w="1091" w:type="dxa"/>
                  <w:gridSpan w:val="2"/>
                  <w:vMerge w:val="restart"/>
                  <w:shd w:val="clear" w:color="auto" w:fill="auto"/>
                  <w:vAlign w:val="center"/>
                </w:tcPr>
                <w:p w14:paraId="43153972">
                  <w:pPr>
                    <w:pStyle w:val="173"/>
                    <w:rPr>
                      <w:rFonts w:ascii="Times New Roman" w:hAnsi="Times New Roman" w:cs="Times New Roman"/>
                      <w:color w:val="auto"/>
                      <w:sz w:val="21"/>
                      <w:szCs w:val="21"/>
                    </w:rPr>
                  </w:pPr>
                  <w:r>
                    <w:rPr>
                      <w:rFonts w:hint="eastAsia" w:ascii="Times New Roman" w:hAnsi="Times New Roman" w:cs="Times New Roman"/>
                      <w:color w:val="auto"/>
                      <w:sz w:val="21"/>
                      <w:szCs w:val="21"/>
                    </w:rPr>
                    <w:t>废气处理设施</w:t>
                  </w:r>
                </w:p>
              </w:tc>
              <w:tc>
                <w:tcPr>
                  <w:tcW w:w="2114" w:type="dxa"/>
                  <w:gridSpan w:val="3"/>
                  <w:vAlign w:val="center"/>
                </w:tcPr>
                <w:p w14:paraId="6297737E">
                  <w:pPr>
                    <w:pStyle w:val="173"/>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rPr>
                    <w:t>1.4万吨三氯化磷、1.5万吨三氯氧磷生产线工艺废气</w:t>
                  </w:r>
                  <w:r>
                    <w:rPr>
                      <w:rFonts w:hint="eastAsia" w:ascii="Times New Roman" w:hAnsi="Times New Roman" w:cs="Times New Roman"/>
                      <w:color w:val="auto"/>
                      <w:sz w:val="21"/>
                      <w:szCs w:val="21"/>
                      <w:lang w:eastAsia="zh-CN"/>
                    </w:rPr>
                    <w:t>：一级水吸收+二级碱吸收</w:t>
                  </w:r>
                  <w:r>
                    <w:rPr>
                      <w:rFonts w:hint="eastAsia" w:ascii="Times New Roman" w:hAnsi="Times New Roman" w:cs="Times New Roman"/>
                      <w:color w:val="auto"/>
                      <w:sz w:val="21"/>
                      <w:szCs w:val="21"/>
                      <w:lang w:val="en-US" w:eastAsia="zh-CN"/>
                    </w:rPr>
                    <w:t>+25m排气筒（DA001）</w:t>
                  </w:r>
                </w:p>
              </w:tc>
              <w:tc>
                <w:tcPr>
                  <w:tcW w:w="1593" w:type="dxa"/>
                  <w:gridSpan w:val="2"/>
                  <w:vMerge w:val="restart"/>
                  <w:shd w:val="clear" w:color="auto" w:fill="auto"/>
                  <w:vAlign w:val="center"/>
                </w:tcPr>
                <w:p w14:paraId="735DE1AD">
                  <w:pPr>
                    <w:pStyle w:val="173"/>
                    <w:rPr>
                      <w:rFonts w:ascii="Times New Roman" w:hAnsi="Times New Roman" w:cs="Times New Roman"/>
                      <w:color w:val="auto"/>
                      <w:sz w:val="21"/>
                      <w:szCs w:val="21"/>
                    </w:rPr>
                  </w:pPr>
                  <w:r>
                    <w:rPr>
                      <w:rFonts w:hint="eastAsia" w:ascii="Times New Roman" w:hAnsi="Times New Roman" w:cs="Times New Roman"/>
                      <w:color w:val="auto"/>
                      <w:sz w:val="21"/>
                      <w:szCs w:val="21"/>
                      <w:lang w:eastAsia="zh-CN"/>
                    </w:rPr>
                    <w:t>一级水吸收+二级碱吸收</w:t>
                  </w:r>
                  <w:r>
                    <w:rPr>
                      <w:rFonts w:hint="eastAsia" w:ascii="Times New Roman" w:hAnsi="Times New Roman" w:cs="Times New Roman"/>
                      <w:color w:val="auto"/>
                      <w:sz w:val="21"/>
                      <w:szCs w:val="21"/>
                      <w:lang w:val="en-US" w:eastAsia="zh-CN"/>
                    </w:rPr>
                    <w:t>+25m排气筒</w:t>
                  </w:r>
                  <w:r>
                    <w:rPr>
                      <w:rFonts w:hint="default" w:ascii="Times New Roman" w:hAnsi="Times New Roman" w:eastAsia="宋体" w:cs="Times New Roman"/>
                      <w:bCs/>
                      <w:color w:val="auto"/>
                      <w:sz w:val="21"/>
                      <w:szCs w:val="21"/>
                      <w:lang w:val="en-US" w:eastAsia="zh-CN"/>
                    </w:rPr>
                    <w:t>（DA001）</w:t>
                  </w:r>
                </w:p>
              </w:tc>
              <w:tc>
                <w:tcPr>
                  <w:tcW w:w="1043" w:type="dxa"/>
                  <w:vMerge w:val="restart"/>
                  <w:vAlign w:val="center"/>
                </w:tcPr>
                <w:p w14:paraId="71846884">
                  <w:pPr>
                    <w:pStyle w:val="173"/>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1331" w:type="dxa"/>
                  <w:vMerge w:val="restart"/>
                  <w:vAlign w:val="center"/>
                </w:tcPr>
                <w:p w14:paraId="41027EF3">
                  <w:pPr>
                    <w:pStyle w:val="173"/>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2套“</w:t>
                  </w:r>
                  <w:r>
                    <w:rPr>
                      <w:rFonts w:hint="eastAsia" w:ascii="Times New Roman" w:hAnsi="Times New Roman" w:cs="Times New Roman"/>
                      <w:color w:val="auto"/>
                      <w:sz w:val="21"/>
                      <w:szCs w:val="21"/>
                      <w:lang w:eastAsia="zh-CN"/>
                    </w:rPr>
                    <w:t>一级水吸收+二级碱吸收系统</w:t>
                  </w:r>
                  <w:r>
                    <w:rPr>
                      <w:rFonts w:hint="eastAsia" w:ascii="Times New Roman" w:hAnsi="Times New Roman" w:cs="Times New Roman"/>
                      <w:color w:val="auto"/>
                      <w:sz w:val="21"/>
                      <w:szCs w:val="21"/>
                      <w:lang w:val="en-US" w:eastAsia="zh-CN"/>
                    </w:rPr>
                    <w:t>”+2根25m排气筒</w:t>
                  </w:r>
                </w:p>
              </w:tc>
              <w:tc>
                <w:tcPr>
                  <w:tcW w:w="847" w:type="dxa"/>
                  <w:vMerge w:val="restart"/>
                  <w:tcMar>
                    <w:left w:w="0" w:type="dxa"/>
                    <w:right w:w="0" w:type="dxa"/>
                  </w:tcMar>
                  <w:vAlign w:val="center"/>
                </w:tcPr>
                <w:p w14:paraId="2A335FF4">
                  <w:pPr>
                    <w:pStyle w:val="173"/>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eastAsia="zh-CN"/>
                    </w:rPr>
                    <w:t>依托现有废气处理装置</w:t>
                  </w:r>
                </w:p>
              </w:tc>
            </w:tr>
            <w:tr w14:paraId="534BDA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 w:hRule="atLeast"/>
                <w:jc w:val="center"/>
              </w:trPr>
              <w:tc>
                <w:tcPr>
                  <w:tcW w:w="616" w:type="dxa"/>
                  <w:vMerge w:val="continue"/>
                  <w:shd w:val="clear" w:color="auto" w:fill="auto"/>
                  <w:vAlign w:val="center"/>
                </w:tcPr>
                <w:p w14:paraId="74AA5F99">
                  <w:pPr>
                    <w:pStyle w:val="173"/>
                    <w:rPr>
                      <w:rFonts w:ascii="Times New Roman" w:hAnsi="Times New Roman" w:cs="Times New Roman"/>
                      <w:color w:val="auto"/>
                      <w:sz w:val="21"/>
                      <w:szCs w:val="21"/>
                    </w:rPr>
                  </w:pPr>
                </w:p>
              </w:tc>
              <w:tc>
                <w:tcPr>
                  <w:tcW w:w="1091" w:type="dxa"/>
                  <w:gridSpan w:val="2"/>
                  <w:vMerge w:val="continue"/>
                  <w:shd w:val="clear" w:color="auto" w:fill="auto"/>
                  <w:vAlign w:val="center"/>
                </w:tcPr>
                <w:p w14:paraId="26D12A27">
                  <w:pPr>
                    <w:pStyle w:val="173"/>
                    <w:rPr>
                      <w:rFonts w:ascii="Times New Roman" w:hAnsi="Times New Roman" w:cs="Times New Roman"/>
                      <w:color w:val="auto"/>
                      <w:sz w:val="21"/>
                      <w:szCs w:val="21"/>
                    </w:rPr>
                  </w:pPr>
                </w:p>
              </w:tc>
              <w:tc>
                <w:tcPr>
                  <w:tcW w:w="2114" w:type="dxa"/>
                  <w:gridSpan w:val="3"/>
                  <w:vAlign w:val="center"/>
                </w:tcPr>
                <w:p w14:paraId="28760CB2">
                  <w:pPr>
                    <w:keepNext w:val="0"/>
                    <w:keepLines w:val="0"/>
                    <w:widowControl/>
                    <w:suppressLineNumbers w:val="0"/>
                    <w:jc w:val="left"/>
                    <w:rPr>
                      <w:rFonts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14.5</w:t>
                  </w:r>
                  <w:r>
                    <w:rPr>
                      <w:rFonts w:hint="eastAsia" w:ascii="宋体" w:hAnsi="宋体" w:eastAsia="宋体" w:cs="宋体"/>
                      <w:color w:val="auto"/>
                      <w:kern w:val="0"/>
                      <w:sz w:val="21"/>
                      <w:szCs w:val="21"/>
                      <w:lang w:val="en-US" w:eastAsia="zh-CN" w:bidi="ar"/>
                    </w:rPr>
                    <w:t>万吨三氯氧磷（其中电子级</w:t>
                  </w:r>
                  <w:r>
                    <w:rPr>
                      <w:rFonts w:hint="default" w:ascii="Times New Roman" w:hAnsi="Times New Roman" w:eastAsia="宋体" w:cs="Times New Roman"/>
                      <w:color w:val="auto"/>
                      <w:kern w:val="0"/>
                      <w:sz w:val="21"/>
                      <w:szCs w:val="21"/>
                      <w:lang w:val="en-US" w:eastAsia="zh-CN" w:bidi="ar"/>
                    </w:rPr>
                    <w:t>0.5</w:t>
                  </w:r>
                  <w:r>
                    <w:rPr>
                      <w:rFonts w:hint="eastAsia" w:ascii="宋体" w:hAnsi="宋体" w:eastAsia="宋体" w:cs="宋体"/>
                      <w:color w:val="auto"/>
                      <w:kern w:val="0"/>
                      <w:sz w:val="21"/>
                      <w:szCs w:val="21"/>
                      <w:lang w:val="en-US" w:eastAsia="zh-CN" w:bidi="ar"/>
                    </w:rPr>
                    <w:t>万吨）生产线工艺废气</w:t>
                  </w:r>
                  <w:r>
                    <w:rPr>
                      <w:rFonts w:hint="eastAsia" w:ascii="Times New Roman" w:hAnsi="Times New Roman" w:cs="Times New Roman"/>
                      <w:color w:val="auto"/>
                      <w:sz w:val="21"/>
                      <w:szCs w:val="21"/>
                      <w:lang w:eastAsia="zh-CN"/>
                    </w:rPr>
                    <w:t>：一级水吸收+二级碱吸收</w:t>
                  </w:r>
                  <w:r>
                    <w:rPr>
                      <w:rFonts w:hint="eastAsia" w:ascii="Times New Roman" w:hAnsi="Times New Roman" w:cs="Times New Roman"/>
                      <w:color w:val="auto"/>
                      <w:sz w:val="21"/>
                      <w:szCs w:val="21"/>
                      <w:lang w:val="en-US" w:eastAsia="zh-CN"/>
                    </w:rPr>
                    <w:t>+25m排气筒（DA001）</w:t>
                  </w:r>
                </w:p>
              </w:tc>
              <w:tc>
                <w:tcPr>
                  <w:tcW w:w="1593" w:type="dxa"/>
                  <w:gridSpan w:val="2"/>
                  <w:vMerge w:val="continue"/>
                  <w:shd w:val="clear" w:color="auto" w:fill="auto"/>
                  <w:vAlign w:val="center"/>
                </w:tcPr>
                <w:p w14:paraId="449DE115">
                  <w:pPr>
                    <w:pStyle w:val="173"/>
                    <w:rPr>
                      <w:rFonts w:ascii="Times New Roman" w:hAnsi="Times New Roman" w:cs="Times New Roman"/>
                      <w:color w:val="auto"/>
                      <w:sz w:val="21"/>
                      <w:szCs w:val="21"/>
                    </w:rPr>
                  </w:pPr>
                </w:p>
              </w:tc>
              <w:tc>
                <w:tcPr>
                  <w:tcW w:w="1043" w:type="dxa"/>
                  <w:vMerge w:val="continue"/>
                  <w:vAlign w:val="center"/>
                </w:tcPr>
                <w:p w14:paraId="7DEE3E7F">
                  <w:pPr>
                    <w:pStyle w:val="173"/>
                    <w:rPr>
                      <w:rFonts w:ascii="Times New Roman" w:hAnsi="Times New Roman" w:cs="Times New Roman"/>
                      <w:color w:val="auto"/>
                      <w:sz w:val="21"/>
                      <w:szCs w:val="21"/>
                    </w:rPr>
                  </w:pPr>
                </w:p>
              </w:tc>
              <w:tc>
                <w:tcPr>
                  <w:tcW w:w="1331" w:type="dxa"/>
                  <w:vMerge w:val="continue"/>
                  <w:vAlign w:val="center"/>
                </w:tcPr>
                <w:p w14:paraId="79FA9B23">
                  <w:pPr>
                    <w:pStyle w:val="173"/>
                    <w:rPr>
                      <w:rFonts w:ascii="Times New Roman" w:hAnsi="Times New Roman" w:cs="Times New Roman"/>
                      <w:color w:val="auto"/>
                      <w:sz w:val="21"/>
                      <w:szCs w:val="21"/>
                    </w:rPr>
                  </w:pPr>
                </w:p>
              </w:tc>
              <w:tc>
                <w:tcPr>
                  <w:tcW w:w="847" w:type="dxa"/>
                  <w:vMerge w:val="continue"/>
                  <w:tcMar>
                    <w:left w:w="0" w:type="dxa"/>
                    <w:right w:w="0" w:type="dxa"/>
                  </w:tcMar>
                  <w:vAlign w:val="center"/>
                </w:tcPr>
                <w:p w14:paraId="35ED165E">
                  <w:pPr>
                    <w:pStyle w:val="173"/>
                    <w:rPr>
                      <w:rFonts w:ascii="Times New Roman" w:hAnsi="Times New Roman" w:cs="Times New Roman"/>
                      <w:color w:val="auto"/>
                      <w:sz w:val="21"/>
                      <w:szCs w:val="21"/>
                    </w:rPr>
                  </w:pPr>
                </w:p>
              </w:tc>
            </w:tr>
            <w:tr w14:paraId="4236C2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 w:hRule="atLeast"/>
                <w:jc w:val="center"/>
              </w:trPr>
              <w:tc>
                <w:tcPr>
                  <w:tcW w:w="616" w:type="dxa"/>
                  <w:vMerge w:val="continue"/>
                  <w:shd w:val="clear" w:color="auto" w:fill="auto"/>
                  <w:vAlign w:val="center"/>
                </w:tcPr>
                <w:p w14:paraId="01E80ED1">
                  <w:pPr>
                    <w:pStyle w:val="173"/>
                    <w:rPr>
                      <w:rFonts w:ascii="Times New Roman" w:hAnsi="Times New Roman" w:cs="Times New Roman"/>
                      <w:color w:val="auto"/>
                      <w:sz w:val="21"/>
                      <w:szCs w:val="21"/>
                    </w:rPr>
                  </w:pPr>
                </w:p>
              </w:tc>
              <w:tc>
                <w:tcPr>
                  <w:tcW w:w="1091" w:type="dxa"/>
                  <w:gridSpan w:val="2"/>
                  <w:vMerge w:val="continue"/>
                  <w:shd w:val="clear" w:color="auto" w:fill="auto"/>
                  <w:vAlign w:val="center"/>
                </w:tcPr>
                <w:p w14:paraId="063909F9">
                  <w:pPr>
                    <w:pStyle w:val="173"/>
                    <w:rPr>
                      <w:rFonts w:ascii="Times New Roman" w:hAnsi="Times New Roman" w:cs="Times New Roman"/>
                      <w:color w:val="auto"/>
                      <w:sz w:val="21"/>
                      <w:szCs w:val="21"/>
                    </w:rPr>
                  </w:pPr>
                </w:p>
              </w:tc>
              <w:tc>
                <w:tcPr>
                  <w:tcW w:w="2114" w:type="dxa"/>
                  <w:gridSpan w:val="3"/>
                  <w:vAlign w:val="center"/>
                </w:tcPr>
                <w:p w14:paraId="6B10F28B">
                  <w:pPr>
                    <w:pStyle w:val="173"/>
                    <w:rPr>
                      <w:rFonts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11</w:t>
                  </w:r>
                  <w:r>
                    <w:rPr>
                      <w:rFonts w:hint="eastAsia" w:ascii="宋体" w:hAnsi="宋体" w:eastAsia="宋体" w:cs="宋体"/>
                      <w:color w:val="auto"/>
                      <w:kern w:val="0"/>
                      <w:sz w:val="21"/>
                      <w:szCs w:val="21"/>
                      <w:lang w:val="en-US" w:eastAsia="zh-CN" w:bidi="ar"/>
                    </w:rPr>
                    <w:t>万吨电子级五氯化磷生产线工艺废气</w:t>
                  </w:r>
                  <w:r>
                    <w:rPr>
                      <w:rFonts w:hint="eastAsia" w:ascii="Times New Roman" w:hAnsi="Times New Roman" w:cs="Times New Roman"/>
                      <w:color w:val="auto"/>
                      <w:sz w:val="21"/>
                      <w:szCs w:val="21"/>
                      <w:lang w:eastAsia="zh-CN"/>
                    </w:rPr>
                    <w:t>：一级水吸收+二级碱吸收</w:t>
                  </w:r>
                  <w:r>
                    <w:rPr>
                      <w:rFonts w:hint="eastAsia" w:ascii="Times New Roman" w:hAnsi="Times New Roman" w:cs="Times New Roman"/>
                      <w:color w:val="auto"/>
                      <w:sz w:val="21"/>
                      <w:szCs w:val="21"/>
                      <w:lang w:val="en-US" w:eastAsia="zh-CN"/>
                    </w:rPr>
                    <w:t>+25m排气筒（DA002）</w:t>
                  </w:r>
                </w:p>
              </w:tc>
              <w:tc>
                <w:tcPr>
                  <w:tcW w:w="1593" w:type="dxa"/>
                  <w:gridSpan w:val="2"/>
                  <w:vMerge w:val="continue"/>
                  <w:shd w:val="clear" w:color="auto" w:fill="auto"/>
                  <w:vAlign w:val="center"/>
                </w:tcPr>
                <w:p w14:paraId="2EE60F6E">
                  <w:pPr>
                    <w:pStyle w:val="173"/>
                    <w:rPr>
                      <w:rFonts w:ascii="Times New Roman" w:hAnsi="Times New Roman" w:cs="Times New Roman"/>
                      <w:color w:val="auto"/>
                      <w:sz w:val="21"/>
                      <w:szCs w:val="21"/>
                    </w:rPr>
                  </w:pPr>
                </w:p>
              </w:tc>
              <w:tc>
                <w:tcPr>
                  <w:tcW w:w="1043" w:type="dxa"/>
                  <w:vMerge w:val="continue"/>
                  <w:vAlign w:val="center"/>
                </w:tcPr>
                <w:p w14:paraId="51AB007F">
                  <w:pPr>
                    <w:pStyle w:val="173"/>
                    <w:rPr>
                      <w:rFonts w:ascii="Times New Roman" w:hAnsi="Times New Roman" w:cs="Times New Roman"/>
                      <w:color w:val="auto"/>
                      <w:sz w:val="21"/>
                      <w:szCs w:val="21"/>
                    </w:rPr>
                  </w:pPr>
                </w:p>
              </w:tc>
              <w:tc>
                <w:tcPr>
                  <w:tcW w:w="1331" w:type="dxa"/>
                  <w:vMerge w:val="continue"/>
                  <w:vAlign w:val="center"/>
                </w:tcPr>
                <w:p w14:paraId="45B5C13B">
                  <w:pPr>
                    <w:pStyle w:val="173"/>
                    <w:rPr>
                      <w:rFonts w:ascii="Times New Roman" w:hAnsi="Times New Roman" w:cs="Times New Roman"/>
                      <w:color w:val="auto"/>
                      <w:sz w:val="21"/>
                      <w:szCs w:val="21"/>
                    </w:rPr>
                  </w:pPr>
                </w:p>
              </w:tc>
              <w:tc>
                <w:tcPr>
                  <w:tcW w:w="847" w:type="dxa"/>
                  <w:vMerge w:val="continue"/>
                  <w:tcMar>
                    <w:left w:w="0" w:type="dxa"/>
                    <w:right w:w="0" w:type="dxa"/>
                  </w:tcMar>
                  <w:vAlign w:val="center"/>
                </w:tcPr>
                <w:p w14:paraId="2FB4018E">
                  <w:pPr>
                    <w:pStyle w:val="173"/>
                    <w:rPr>
                      <w:rFonts w:ascii="Times New Roman" w:hAnsi="Times New Roman" w:cs="Times New Roman"/>
                      <w:color w:val="auto"/>
                      <w:sz w:val="21"/>
                      <w:szCs w:val="21"/>
                    </w:rPr>
                  </w:pPr>
                </w:p>
              </w:tc>
            </w:tr>
            <w:tr w14:paraId="23A0F4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 w:hRule="atLeast"/>
                <w:jc w:val="center"/>
              </w:trPr>
              <w:tc>
                <w:tcPr>
                  <w:tcW w:w="616" w:type="dxa"/>
                  <w:vMerge w:val="continue"/>
                  <w:shd w:val="clear" w:color="auto" w:fill="auto"/>
                  <w:vAlign w:val="center"/>
                </w:tcPr>
                <w:p w14:paraId="27BB4F0F">
                  <w:pPr>
                    <w:pStyle w:val="173"/>
                    <w:rPr>
                      <w:rFonts w:ascii="Times New Roman" w:hAnsi="Times New Roman" w:cs="Times New Roman"/>
                      <w:color w:val="auto"/>
                      <w:sz w:val="21"/>
                      <w:szCs w:val="21"/>
                    </w:rPr>
                  </w:pPr>
                </w:p>
              </w:tc>
              <w:tc>
                <w:tcPr>
                  <w:tcW w:w="1091" w:type="dxa"/>
                  <w:gridSpan w:val="2"/>
                  <w:vMerge w:val="continue"/>
                  <w:shd w:val="clear" w:color="auto" w:fill="auto"/>
                  <w:vAlign w:val="center"/>
                </w:tcPr>
                <w:p w14:paraId="3AB7ED19">
                  <w:pPr>
                    <w:pStyle w:val="173"/>
                    <w:rPr>
                      <w:rFonts w:ascii="Times New Roman" w:hAnsi="Times New Roman" w:cs="Times New Roman"/>
                      <w:color w:val="auto"/>
                      <w:sz w:val="21"/>
                      <w:szCs w:val="21"/>
                    </w:rPr>
                  </w:pPr>
                </w:p>
              </w:tc>
              <w:tc>
                <w:tcPr>
                  <w:tcW w:w="2114" w:type="dxa"/>
                  <w:gridSpan w:val="3"/>
                  <w:vAlign w:val="center"/>
                </w:tcPr>
                <w:p w14:paraId="0F466604">
                  <w:pPr>
                    <w:pStyle w:val="173"/>
                    <w:rPr>
                      <w:rFonts w:ascii="Times New Roman" w:hAnsi="Times New Roman" w:cs="Times New Roman"/>
                      <w:color w:val="auto"/>
                      <w:sz w:val="21"/>
                      <w:szCs w:val="21"/>
                    </w:rPr>
                  </w:pPr>
                  <w:r>
                    <w:rPr>
                      <w:rFonts w:hint="eastAsia" w:ascii="宋体" w:hAnsi="宋体" w:eastAsia="宋体" w:cs="宋体"/>
                      <w:color w:val="auto"/>
                      <w:kern w:val="0"/>
                      <w:sz w:val="21"/>
                      <w:szCs w:val="21"/>
                      <w:lang w:val="en-US" w:eastAsia="zh-CN" w:bidi="ar"/>
                    </w:rPr>
                    <w:t>盐酸、磷酸生产线工艺废气、危废仓库废气、盐酸储罐区废气以及污水处理站废气</w:t>
                  </w:r>
                  <w:r>
                    <w:rPr>
                      <w:rFonts w:hint="eastAsia" w:ascii="Times New Roman" w:hAnsi="Times New Roman" w:cs="Times New Roman"/>
                      <w:color w:val="auto"/>
                      <w:sz w:val="21"/>
                      <w:szCs w:val="21"/>
                      <w:lang w:eastAsia="zh-CN"/>
                    </w:rPr>
                    <w:t>：一级水吸收+二级碱吸收</w:t>
                  </w:r>
                  <w:r>
                    <w:rPr>
                      <w:rFonts w:hint="eastAsia" w:ascii="Times New Roman" w:hAnsi="Times New Roman" w:cs="Times New Roman"/>
                      <w:color w:val="auto"/>
                      <w:sz w:val="21"/>
                      <w:szCs w:val="21"/>
                      <w:lang w:val="en-US" w:eastAsia="zh-CN"/>
                    </w:rPr>
                    <w:t>+25m排气筒</w:t>
                  </w:r>
                  <w:r>
                    <w:rPr>
                      <w:rFonts w:hint="default" w:ascii="Times New Roman" w:hAnsi="Times New Roman" w:eastAsia="宋体" w:cs="Times New Roman"/>
                      <w:bCs/>
                      <w:color w:val="auto"/>
                      <w:sz w:val="21"/>
                      <w:szCs w:val="21"/>
                      <w:lang w:val="en-US" w:eastAsia="zh-CN"/>
                    </w:rPr>
                    <w:t>（DA002）</w:t>
                  </w:r>
                </w:p>
              </w:tc>
              <w:tc>
                <w:tcPr>
                  <w:tcW w:w="1593" w:type="dxa"/>
                  <w:gridSpan w:val="2"/>
                  <w:vMerge w:val="continue"/>
                  <w:shd w:val="clear" w:color="auto" w:fill="auto"/>
                  <w:vAlign w:val="center"/>
                </w:tcPr>
                <w:p w14:paraId="66F59679">
                  <w:pPr>
                    <w:pStyle w:val="173"/>
                    <w:rPr>
                      <w:rFonts w:ascii="Times New Roman" w:hAnsi="Times New Roman" w:cs="Times New Roman"/>
                      <w:color w:val="auto"/>
                      <w:sz w:val="21"/>
                      <w:szCs w:val="21"/>
                    </w:rPr>
                  </w:pPr>
                </w:p>
              </w:tc>
              <w:tc>
                <w:tcPr>
                  <w:tcW w:w="1043" w:type="dxa"/>
                  <w:vMerge w:val="continue"/>
                  <w:vAlign w:val="center"/>
                </w:tcPr>
                <w:p w14:paraId="2D39FF28">
                  <w:pPr>
                    <w:pStyle w:val="173"/>
                    <w:rPr>
                      <w:rFonts w:ascii="Times New Roman" w:hAnsi="Times New Roman" w:cs="Times New Roman"/>
                      <w:color w:val="auto"/>
                      <w:sz w:val="21"/>
                      <w:szCs w:val="21"/>
                    </w:rPr>
                  </w:pPr>
                </w:p>
              </w:tc>
              <w:tc>
                <w:tcPr>
                  <w:tcW w:w="1331" w:type="dxa"/>
                  <w:vMerge w:val="continue"/>
                  <w:vAlign w:val="center"/>
                </w:tcPr>
                <w:p w14:paraId="461A3040">
                  <w:pPr>
                    <w:pStyle w:val="173"/>
                    <w:rPr>
                      <w:rFonts w:ascii="Times New Roman" w:hAnsi="Times New Roman" w:cs="Times New Roman"/>
                      <w:color w:val="auto"/>
                      <w:sz w:val="21"/>
                      <w:szCs w:val="21"/>
                    </w:rPr>
                  </w:pPr>
                </w:p>
              </w:tc>
              <w:tc>
                <w:tcPr>
                  <w:tcW w:w="847" w:type="dxa"/>
                  <w:vMerge w:val="continue"/>
                  <w:tcMar>
                    <w:left w:w="0" w:type="dxa"/>
                    <w:right w:w="0" w:type="dxa"/>
                  </w:tcMar>
                  <w:vAlign w:val="center"/>
                </w:tcPr>
                <w:p w14:paraId="3E41F16F">
                  <w:pPr>
                    <w:pStyle w:val="173"/>
                    <w:rPr>
                      <w:rFonts w:ascii="Times New Roman" w:hAnsi="Times New Roman" w:cs="Times New Roman"/>
                      <w:color w:val="auto"/>
                      <w:sz w:val="21"/>
                      <w:szCs w:val="21"/>
                    </w:rPr>
                  </w:pPr>
                </w:p>
              </w:tc>
            </w:tr>
            <w:tr w14:paraId="17E44D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 w:hRule="atLeast"/>
                <w:jc w:val="center"/>
              </w:trPr>
              <w:tc>
                <w:tcPr>
                  <w:tcW w:w="616" w:type="dxa"/>
                  <w:vMerge w:val="continue"/>
                  <w:shd w:val="clear" w:color="auto" w:fill="auto"/>
                  <w:vAlign w:val="center"/>
                </w:tcPr>
                <w:p w14:paraId="613EE56C">
                  <w:pPr>
                    <w:pStyle w:val="173"/>
                    <w:rPr>
                      <w:rFonts w:ascii="Times New Roman" w:hAnsi="Times New Roman" w:cs="Times New Roman"/>
                      <w:color w:val="auto"/>
                      <w:sz w:val="21"/>
                      <w:szCs w:val="21"/>
                    </w:rPr>
                  </w:pPr>
                </w:p>
              </w:tc>
              <w:tc>
                <w:tcPr>
                  <w:tcW w:w="1091" w:type="dxa"/>
                  <w:gridSpan w:val="2"/>
                  <w:vMerge w:val="continue"/>
                  <w:shd w:val="clear" w:color="auto" w:fill="auto"/>
                  <w:vAlign w:val="center"/>
                </w:tcPr>
                <w:p w14:paraId="0B983271">
                  <w:pPr>
                    <w:pStyle w:val="173"/>
                    <w:rPr>
                      <w:rFonts w:ascii="Times New Roman" w:hAnsi="Times New Roman" w:cs="Times New Roman"/>
                      <w:color w:val="auto"/>
                      <w:sz w:val="21"/>
                      <w:szCs w:val="21"/>
                    </w:rPr>
                  </w:pPr>
                </w:p>
              </w:tc>
              <w:tc>
                <w:tcPr>
                  <w:tcW w:w="2114" w:type="dxa"/>
                  <w:gridSpan w:val="3"/>
                  <w:vAlign w:val="center"/>
                </w:tcPr>
                <w:p w14:paraId="6541DCF6">
                  <w:pPr>
                    <w:pStyle w:val="173"/>
                    <w:rPr>
                      <w:rFonts w:hint="default" w:ascii="宋体" w:hAnsi="宋体" w:eastAsia="宋体" w:cs="宋体"/>
                      <w:color w:val="auto"/>
                      <w:kern w:val="0"/>
                      <w:sz w:val="21"/>
                      <w:szCs w:val="21"/>
                      <w:lang w:val="en-US" w:eastAsia="zh-CN" w:bidi="ar"/>
                    </w:rPr>
                  </w:pPr>
                  <w:r>
                    <w:rPr>
                      <w:rFonts w:hint="eastAsia" w:eastAsia="宋体" w:cs="宋体"/>
                      <w:color w:val="auto"/>
                      <w:kern w:val="0"/>
                      <w:sz w:val="21"/>
                      <w:szCs w:val="21"/>
                      <w:lang w:val="en-US" w:eastAsia="zh-CN" w:bidi="ar"/>
                    </w:rPr>
                    <w:t>实验室通风橱废气：一级活性炭+5m排气筒</w:t>
                  </w:r>
                </w:p>
              </w:tc>
              <w:tc>
                <w:tcPr>
                  <w:tcW w:w="1593" w:type="dxa"/>
                  <w:gridSpan w:val="2"/>
                  <w:shd w:val="clear" w:color="auto" w:fill="auto"/>
                  <w:vAlign w:val="center"/>
                </w:tcPr>
                <w:p w14:paraId="51775160">
                  <w:pPr>
                    <w:pStyle w:val="173"/>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043" w:type="dxa"/>
                  <w:vAlign w:val="center"/>
                </w:tcPr>
                <w:p w14:paraId="5E26F944">
                  <w:pPr>
                    <w:pStyle w:val="173"/>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31" w:type="dxa"/>
                  <w:vAlign w:val="center"/>
                </w:tcPr>
                <w:p w14:paraId="60E272AF">
                  <w:pPr>
                    <w:pStyle w:val="173"/>
                    <w:rPr>
                      <w:rFonts w:ascii="Times New Roman" w:hAnsi="Times New Roman" w:cs="Times New Roman"/>
                      <w:color w:val="auto"/>
                      <w:sz w:val="21"/>
                      <w:szCs w:val="21"/>
                    </w:rPr>
                  </w:pPr>
                  <w:r>
                    <w:rPr>
                      <w:rFonts w:hint="eastAsia" w:eastAsia="宋体" w:cs="宋体"/>
                      <w:color w:val="auto"/>
                      <w:kern w:val="0"/>
                      <w:sz w:val="21"/>
                      <w:szCs w:val="21"/>
                      <w:lang w:val="en-US" w:eastAsia="zh-CN" w:bidi="ar"/>
                    </w:rPr>
                    <w:t>实验室通风橱废气：一级活性炭+5m排气筒</w:t>
                  </w:r>
                </w:p>
              </w:tc>
              <w:tc>
                <w:tcPr>
                  <w:tcW w:w="847" w:type="dxa"/>
                  <w:tcMar>
                    <w:left w:w="0" w:type="dxa"/>
                    <w:right w:w="0" w:type="dxa"/>
                  </w:tcMar>
                  <w:vAlign w:val="center"/>
                </w:tcPr>
                <w:p w14:paraId="23ED08A6">
                  <w:pPr>
                    <w:pStyle w:val="173"/>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w:t>
                  </w:r>
                </w:p>
              </w:tc>
            </w:tr>
            <w:tr w14:paraId="2E5B77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616" w:type="dxa"/>
                  <w:vMerge w:val="continue"/>
                  <w:shd w:val="clear" w:color="auto" w:fill="auto"/>
                  <w:vAlign w:val="center"/>
                </w:tcPr>
                <w:p w14:paraId="00F40123">
                  <w:pPr>
                    <w:pStyle w:val="173"/>
                    <w:rPr>
                      <w:rFonts w:ascii="Times New Roman" w:hAnsi="Times New Roman" w:cs="Times New Roman"/>
                      <w:color w:val="auto"/>
                      <w:sz w:val="21"/>
                      <w:szCs w:val="21"/>
                    </w:rPr>
                  </w:pPr>
                </w:p>
              </w:tc>
              <w:tc>
                <w:tcPr>
                  <w:tcW w:w="418" w:type="dxa"/>
                  <w:vMerge w:val="restart"/>
                  <w:shd w:val="clear" w:color="auto" w:fill="auto"/>
                  <w:vAlign w:val="center"/>
                </w:tcPr>
                <w:p w14:paraId="6EC52C79">
                  <w:pPr>
                    <w:pStyle w:val="173"/>
                    <w:rPr>
                      <w:rFonts w:ascii="Times New Roman" w:hAnsi="Times New Roman" w:cs="Times New Roman"/>
                      <w:color w:val="auto"/>
                      <w:sz w:val="21"/>
                      <w:szCs w:val="21"/>
                    </w:rPr>
                  </w:pPr>
                  <w:r>
                    <w:rPr>
                      <w:rFonts w:ascii="Times New Roman" w:hAnsi="Times New Roman" w:cs="Times New Roman"/>
                      <w:color w:val="auto"/>
                      <w:sz w:val="21"/>
                      <w:szCs w:val="21"/>
                    </w:rPr>
                    <w:t>废水</w:t>
                  </w:r>
                </w:p>
              </w:tc>
              <w:tc>
                <w:tcPr>
                  <w:tcW w:w="673" w:type="dxa"/>
                  <w:shd w:val="clear" w:color="auto" w:fill="auto"/>
                  <w:vAlign w:val="center"/>
                </w:tcPr>
                <w:p w14:paraId="2A9971A2">
                  <w:pPr>
                    <w:pStyle w:val="173"/>
                    <w:rPr>
                      <w:rFonts w:ascii="Times New Roman" w:hAnsi="Times New Roman" w:cs="Times New Roman"/>
                      <w:color w:val="auto"/>
                      <w:sz w:val="21"/>
                      <w:szCs w:val="21"/>
                    </w:rPr>
                  </w:pPr>
                  <w:r>
                    <w:rPr>
                      <w:rFonts w:ascii="Times New Roman" w:hAnsi="Times New Roman" w:cs="Times New Roman"/>
                      <w:color w:val="auto"/>
                      <w:sz w:val="21"/>
                      <w:szCs w:val="21"/>
                    </w:rPr>
                    <w:t>生活污水</w:t>
                  </w:r>
                </w:p>
              </w:tc>
              <w:tc>
                <w:tcPr>
                  <w:tcW w:w="2114" w:type="dxa"/>
                  <w:gridSpan w:val="3"/>
                  <w:vAlign w:val="center"/>
                </w:tcPr>
                <w:p w14:paraId="1FE35E32">
                  <w:pPr>
                    <w:pStyle w:val="173"/>
                    <w:rPr>
                      <w:rFonts w:ascii="Times New Roman" w:hAnsi="Times New Roman" w:cs="Times New Roman"/>
                      <w:color w:val="auto"/>
                      <w:sz w:val="21"/>
                      <w:szCs w:val="21"/>
                    </w:rPr>
                  </w:pPr>
                  <w:r>
                    <w:rPr>
                      <w:rFonts w:ascii="Times New Roman" w:hAnsi="Times New Roman" w:cs="Times New Roman"/>
                      <w:color w:val="auto"/>
                      <w:sz w:val="21"/>
                      <w:szCs w:val="21"/>
                    </w:rPr>
                    <w:t>化粪池</w:t>
                  </w:r>
                </w:p>
              </w:tc>
              <w:tc>
                <w:tcPr>
                  <w:tcW w:w="1593" w:type="dxa"/>
                  <w:gridSpan w:val="2"/>
                  <w:vAlign w:val="center"/>
                </w:tcPr>
                <w:p w14:paraId="1C0414BB">
                  <w:pPr>
                    <w:pStyle w:val="173"/>
                    <w:rPr>
                      <w:rFonts w:ascii="Times New Roman" w:hAnsi="Times New Roman" w:cs="Times New Roman"/>
                      <w:color w:val="auto"/>
                      <w:sz w:val="21"/>
                      <w:szCs w:val="21"/>
                    </w:rPr>
                  </w:pPr>
                  <w:r>
                    <w:rPr>
                      <w:rFonts w:ascii="Times New Roman" w:hAnsi="Times New Roman" w:cs="Times New Roman"/>
                      <w:color w:val="auto"/>
                      <w:sz w:val="21"/>
                      <w:szCs w:val="21"/>
                    </w:rPr>
                    <w:t>不新增生活污水</w:t>
                  </w:r>
                </w:p>
              </w:tc>
              <w:tc>
                <w:tcPr>
                  <w:tcW w:w="1043" w:type="dxa"/>
                  <w:vAlign w:val="center"/>
                </w:tcPr>
                <w:p w14:paraId="260C1166">
                  <w:pPr>
                    <w:pStyle w:val="173"/>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331" w:type="dxa"/>
                  <w:vAlign w:val="center"/>
                </w:tcPr>
                <w:p w14:paraId="60121F8A">
                  <w:pPr>
                    <w:pStyle w:val="173"/>
                    <w:rPr>
                      <w:rFonts w:ascii="Times New Roman" w:hAnsi="Times New Roman" w:cs="Times New Roman"/>
                      <w:color w:val="auto"/>
                      <w:sz w:val="21"/>
                      <w:szCs w:val="21"/>
                    </w:rPr>
                  </w:pPr>
                  <w:r>
                    <w:rPr>
                      <w:rFonts w:ascii="Times New Roman" w:hAnsi="Times New Roman" w:cs="Times New Roman"/>
                      <w:color w:val="auto"/>
                      <w:sz w:val="21"/>
                      <w:szCs w:val="21"/>
                    </w:rPr>
                    <w:t>化粪池</w:t>
                  </w:r>
                </w:p>
              </w:tc>
              <w:tc>
                <w:tcPr>
                  <w:tcW w:w="847" w:type="dxa"/>
                  <w:vMerge w:val="restart"/>
                  <w:shd w:val="clear" w:color="auto" w:fill="auto"/>
                  <w:vAlign w:val="center"/>
                </w:tcPr>
                <w:p w14:paraId="3F4E427E">
                  <w:pPr>
                    <w:pStyle w:val="173"/>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val="en-US" w:eastAsia="zh-CN"/>
                    </w:rPr>
                    <w:t>/</w:t>
                  </w:r>
                </w:p>
              </w:tc>
            </w:tr>
            <w:tr w14:paraId="13A781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616" w:type="dxa"/>
                  <w:vMerge w:val="continue"/>
                  <w:shd w:val="clear" w:color="auto" w:fill="auto"/>
                  <w:vAlign w:val="center"/>
                </w:tcPr>
                <w:p w14:paraId="07F45F00">
                  <w:pPr>
                    <w:pStyle w:val="173"/>
                    <w:rPr>
                      <w:rFonts w:ascii="Times New Roman" w:hAnsi="Times New Roman" w:cs="Times New Roman"/>
                      <w:color w:val="auto"/>
                      <w:sz w:val="21"/>
                      <w:szCs w:val="21"/>
                    </w:rPr>
                  </w:pPr>
                </w:p>
              </w:tc>
              <w:tc>
                <w:tcPr>
                  <w:tcW w:w="418" w:type="dxa"/>
                  <w:vMerge w:val="continue"/>
                  <w:shd w:val="clear" w:color="auto" w:fill="auto"/>
                  <w:vAlign w:val="center"/>
                </w:tcPr>
                <w:p w14:paraId="6C8A445E">
                  <w:pPr>
                    <w:pStyle w:val="173"/>
                    <w:rPr>
                      <w:rFonts w:ascii="Times New Roman" w:hAnsi="Times New Roman" w:cs="Times New Roman"/>
                      <w:color w:val="auto"/>
                      <w:sz w:val="21"/>
                      <w:szCs w:val="21"/>
                    </w:rPr>
                  </w:pPr>
                </w:p>
              </w:tc>
              <w:tc>
                <w:tcPr>
                  <w:tcW w:w="673" w:type="dxa"/>
                  <w:shd w:val="clear" w:color="auto" w:fill="auto"/>
                  <w:vAlign w:val="center"/>
                </w:tcPr>
                <w:p w14:paraId="3E5D17BF">
                  <w:pPr>
                    <w:pStyle w:val="173"/>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初期雨水</w:t>
                  </w:r>
                </w:p>
              </w:tc>
              <w:tc>
                <w:tcPr>
                  <w:tcW w:w="2114" w:type="dxa"/>
                  <w:gridSpan w:val="3"/>
                  <w:vAlign w:val="center"/>
                </w:tcPr>
                <w:p w14:paraId="27F6EA85">
                  <w:pPr>
                    <w:pStyle w:val="173"/>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290m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eastAsia="zh-CN"/>
                    </w:rPr>
                    <w:t>初期雨水收集池</w:t>
                  </w:r>
                  <w:r>
                    <w:rPr>
                      <w:rFonts w:hint="eastAsia" w:ascii="Times New Roman" w:hAnsi="Times New Roman" w:cs="Times New Roman"/>
                      <w:color w:val="auto"/>
                      <w:sz w:val="21"/>
                      <w:szCs w:val="21"/>
                      <w:lang w:val="en-US" w:eastAsia="zh-CN"/>
                    </w:rPr>
                    <w:t>1座</w:t>
                  </w:r>
                </w:p>
              </w:tc>
              <w:tc>
                <w:tcPr>
                  <w:tcW w:w="1593" w:type="dxa"/>
                  <w:gridSpan w:val="2"/>
                  <w:vAlign w:val="center"/>
                </w:tcPr>
                <w:p w14:paraId="6808086B">
                  <w:pPr>
                    <w:pStyle w:val="173"/>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依托现有</w:t>
                  </w:r>
                </w:p>
              </w:tc>
              <w:tc>
                <w:tcPr>
                  <w:tcW w:w="1043" w:type="dxa"/>
                  <w:vAlign w:val="center"/>
                </w:tcPr>
                <w:p w14:paraId="1BDC145E">
                  <w:pPr>
                    <w:pStyle w:val="173"/>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31" w:type="dxa"/>
                  <w:vAlign w:val="center"/>
                </w:tcPr>
                <w:p w14:paraId="1D84C7A6">
                  <w:pPr>
                    <w:pStyle w:val="173"/>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290m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eastAsia="zh-CN"/>
                    </w:rPr>
                    <w:t>初期雨水收集池</w:t>
                  </w:r>
                  <w:r>
                    <w:rPr>
                      <w:rFonts w:hint="eastAsia" w:ascii="Times New Roman" w:hAnsi="Times New Roman" w:cs="Times New Roman"/>
                      <w:color w:val="auto"/>
                      <w:sz w:val="21"/>
                      <w:szCs w:val="21"/>
                      <w:lang w:val="en-US" w:eastAsia="zh-CN"/>
                    </w:rPr>
                    <w:t>1座</w:t>
                  </w:r>
                </w:p>
              </w:tc>
              <w:tc>
                <w:tcPr>
                  <w:tcW w:w="847" w:type="dxa"/>
                  <w:vMerge w:val="continue"/>
                  <w:shd w:val="clear" w:color="auto" w:fill="auto"/>
                  <w:vAlign w:val="center"/>
                </w:tcPr>
                <w:p w14:paraId="0EC8C92D">
                  <w:pPr>
                    <w:pStyle w:val="173"/>
                    <w:rPr>
                      <w:rFonts w:hint="eastAsia" w:ascii="Times New Roman" w:hAnsi="Times New Roman" w:cs="Times New Roman"/>
                      <w:color w:val="auto"/>
                      <w:sz w:val="21"/>
                      <w:szCs w:val="21"/>
                      <w:lang w:val="en-US" w:eastAsia="zh-CN"/>
                    </w:rPr>
                  </w:pPr>
                </w:p>
              </w:tc>
            </w:tr>
            <w:tr w14:paraId="0E80D6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616" w:type="dxa"/>
                  <w:vMerge w:val="continue"/>
                  <w:shd w:val="clear" w:color="auto" w:fill="auto"/>
                  <w:vAlign w:val="center"/>
                </w:tcPr>
                <w:p w14:paraId="669BB91B">
                  <w:pPr>
                    <w:pStyle w:val="173"/>
                    <w:rPr>
                      <w:rFonts w:ascii="Times New Roman" w:hAnsi="Times New Roman" w:cs="Times New Roman"/>
                      <w:color w:val="auto"/>
                      <w:sz w:val="21"/>
                      <w:szCs w:val="21"/>
                    </w:rPr>
                  </w:pPr>
                </w:p>
              </w:tc>
              <w:tc>
                <w:tcPr>
                  <w:tcW w:w="418" w:type="dxa"/>
                  <w:vMerge w:val="continue"/>
                  <w:shd w:val="clear" w:color="auto" w:fill="auto"/>
                  <w:vAlign w:val="center"/>
                </w:tcPr>
                <w:p w14:paraId="6145D1F9">
                  <w:pPr>
                    <w:pStyle w:val="173"/>
                    <w:rPr>
                      <w:rFonts w:ascii="Times New Roman" w:hAnsi="Times New Roman" w:cs="Times New Roman"/>
                      <w:color w:val="auto"/>
                      <w:sz w:val="21"/>
                      <w:szCs w:val="21"/>
                    </w:rPr>
                  </w:pPr>
                </w:p>
              </w:tc>
              <w:tc>
                <w:tcPr>
                  <w:tcW w:w="673" w:type="dxa"/>
                  <w:shd w:val="clear" w:color="auto" w:fill="auto"/>
                  <w:vAlign w:val="center"/>
                </w:tcPr>
                <w:p w14:paraId="6F245F81">
                  <w:pPr>
                    <w:pStyle w:val="173"/>
                    <w:rPr>
                      <w:rFonts w:ascii="Times New Roman" w:hAnsi="Times New Roman" w:cs="Times New Roman"/>
                      <w:color w:val="auto"/>
                      <w:sz w:val="21"/>
                      <w:szCs w:val="21"/>
                    </w:rPr>
                  </w:pPr>
                  <w:r>
                    <w:rPr>
                      <w:rFonts w:ascii="Times New Roman" w:hAnsi="Times New Roman" w:cs="Times New Roman"/>
                      <w:color w:val="auto"/>
                      <w:sz w:val="21"/>
                      <w:szCs w:val="21"/>
                    </w:rPr>
                    <w:t>生产废水</w:t>
                  </w:r>
                </w:p>
              </w:tc>
              <w:tc>
                <w:tcPr>
                  <w:tcW w:w="2114" w:type="dxa"/>
                  <w:gridSpan w:val="3"/>
                  <w:vAlign w:val="center"/>
                </w:tcPr>
                <w:p w14:paraId="34C986FA">
                  <w:pPr>
                    <w:keepNext w:val="0"/>
                    <w:keepLines w:val="0"/>
                    <w:widowControl/>
                    <w:suppressLineNumbers w:val="0"/>
                    <w:jc w:val="left"/>
                    <w:rPr>
                      <w:rFonts w:ascii="Times New Roman" w:hAnsi="Times New Roman" w:cs="Times New Roman"/>
                      <w:color w:val="auto"/>
                      <w:sz w:val="21"/>
                      <w:szCs w:val="21"/>
                    </w:rPr>
                  </w:pPr>
                  <w:r>
                    <w:rPr>
                      <w:rFonts w:hint="eastAsia" w:ascii="宋体" w:hAnsi="宋体" w:eastAsia="宋体" w:cs="宋体"/>
                      <w:color w:val="auto"/>
                      <w:kern w:val="0"/>
                      <w:sz w:val="21"/>
                      <w:szCs w:val="21"/>
                      <w:lang w:val="en-US" w:eastAsia="zh-CN" w:bidi="ar"/>
                    </w:rPr>
                    <w:t>化学除磷</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混凝沉淀</w:t>
                  </w:r>
                  <w:r>
                    <w:rPr>
                      <w:rFonts w:hint="default" w:ascii="Times New Roman" w:hAnsi="Times New Roman" w:eastAsia="宋体" w:cs="Times New Roman"/>
                      <w:color w:val="auto"/>
                      <w:kern w:val="0"/>
                      <w:sz w:val="21"/>
                      <w:szCs w:val="21"/>
                      <w:lang w:val="en-US" w:eastAsia="zh-CN" w:bidi="ar"/>
                    </w:rPr>
                    <w:t>40m³/d</w:t>
                  </w:r>
                </w:p>
              </w:tc>
              <w:tc>
                <w:tcPr>
                  <w:tcW w:w="1593" w:type="dxa"/>
                  <w:gridSpan w:val="2"/>
                  <w:vAlign w:val="center"/>
                </w:tcPr>
                <w:p w14:paraId="4757612D">
                  <w:pPr>
                    <w:pStyle w:val="173"/>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不新增生产废水</w:t>
                  </w:r>
                </w:p>
              </w:tc>
              <w:tc>
                <w:tcPr>
                  <w:tcW w:w="1043" w:type="dxa"/>
                  <w:vAlign w:val="center"/>
                </w:tcPr>
                <w:p w14:paraId="0DD20A90">
                  <w:pPr>
                    <w:pStyle w:val="173"/>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331" w:type="dxa"/>
                  <w:vAlign w:val="center"/>
                </w:tcPr>
                <w:p w14:paraId="6BEBCF2D">
                  <w:pPr>
                    <w:pStyle w:val="173"/>
                    <w:rPr>
                      <w:rFonts w:ascii="Times New Roman" w:hAnsi="Times New Roman" w:cs="Times New Roman"/>
                      <w:color w:val="auto"/>
                      <w:sz w:val="21"/>
                      <w:szCs w:val="21"/>
                    </w:rPr>
                  </w:pPr>
                  <w:r>
                    <w:rPr>
                      <w:rFonts w:hint="eastAsia" w:ascii="宋体" w:hAnsi="宋体" w:eastAsia="宋体" w:cs="宋体"/>
                      <w:color w:val="auto"/>
                      <w:kern w:val="0"/>
                      <w:sz w:val="21"/>
                      <w:szCs w:val="21"/>
                      <w:lang w:val="en-US" w:eastAsia="zh-CN" w:bidi="ar"/>
                    </w:rPr>
                    <w:t>化学除磷</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混凝沉淀</w:t>
                  </w:r>
                  <w:r>
                    <w:rPr>
                      <w:rFonts w:hint="default" w:ascii="Times New Roman" w:hAnsi="Times New Roman" w:eastAsia="宋体" w:cs="Times New Roman"/>
                      <w:color w:val="auto"/>
                      <w:kern w:val="0"/>
                      <w:sz w:val="21"/>
                      <w:szCs w:val="21"/>
                      <w:lang w:val="en-US" w:eastAsia="zh-CN" w:bidi="ar"/>
                    </w:rPr>
                    <w:t>40m³/d</w:t>
                  </w:r>
                </w:p>
              </w:tc>
              <w:tc>
                <w:tcPr>
                  <w:tcW w:w="847" w:type="dxa"/>
                  <w:vMerge w:val="continue"/>
                  <w:shd w:val="clear" w:color="auto" w:fill="auto"/>
                  <w:vAlign w:val="center"/>
                </w:tcPr>
                <w:p w14:paraId="257A8167">
                  <w:pPr>
                    <w:pStyle w:val="173"/>
                    <w:rPr>
                      <w:rFonts w:ascii="Times New Roman" w:hAnsi="Times New Roman" w:cs="Times New Roman"/>
                      <w:color w:val="auto"/>
                      <w:sz w:val="21"/>
                      <w:szCs w:val="21"/>
                    </w:rPr>
                  </w:pPr>
                </w:p>
              </w:tc>
            </w:tr>
            <w:tr w14:paraId="59A5C3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6" w:type="dxa"/>
                  <w:vMerge w:val="continue"/>
                  <w:shd w:val="clear" w:color="auto" w:fill="auto"/>
                  <w:vAlign w:val="center"/>
                </w:tcPr>
                <w:p w14:paraId="6201CBDA">
                  <w:pPr>
                    <w:pStyle w:val="173"/>
                    <w:rPr>
                      <w:rFonts w:ascii="Times New Roman" w:hAnsi="Times New Roman" w:cs="Times New Roman"/>
                      <w:color w:val="auto"/>
                      <w:sz w:val="21"/>
                      <w:szCs w:val="21"/>
                    </w:rPr>
                  </w:pPr>
                </w:p>
              </w:tc>
              <w:tc>
                <w:tcPr>
                  <w:tcW w:w="1091" w:type="dxa"/>
                  <w:gridSpan w:val="2"/>
                  <w:shd w:val="clear" w:color="auto" w:fill="auto"/>
                  <w:vAlign w:val="center"/>
                </w:tcPr>
                <w:p w14:paraId="65E2AA13">
                  <w:pPr>
                    <w:pStyle w:val="173"/>
                    <w:rPr>
                      <w:rFonts w:ascii="Times New Roman" w:hAnsi="Times New Roman" w:cs="Times New Roman"/>
                      <w:color w:val="auto"/>
                      <w:sz w:val="21"/>
                      <w:szCs w:val="21"/>
                    </w:rPr>
                  </w:pPr>
                  <w:r>
                    <w:rPr>
                      <w:rFonts w:ascii="Times New Roman" w:hAnsi="Times New Roman" w:cs="Times New Roman"/>
                      <w:color w:val="auto"/>
                      <w:sz w:val="21"/>
                      <w:szCs w:val="21"/>
                    </w:rPr>
                    <w:t>噪声处理</w:t>
                  </w:r>
                </w:p>
              </w:tc>
              <w:tc>
                <w:tcPr>
                  <w:tcW w:w="2114" w:type="dxa"/>
                  <w:gridSpan w:val="3"/>
                  <w:vAlign w:val="center"/>
                </w:tcPr>
                <w:p w14:paraId="2BE96B93">
                  <w:pPr>
                    <w:pStyle w:val="173"/>
                    <w:rPr>
                      <w:rFonts w:ascii="Times New Roman" w:hAnsi="Times New Roman" w:cs="Times New Roman"/>
                      <w:color w:val="auto"/>
                      <w:sz w:val="21"/>
                      <w:szCs w:val="21"/>
                    </w:rPr>
                  </w:pPr>
                  <w:r>
                    <w:rPr>
                      <w:rFonts w:ascii="Times New Roman" w:hAnsi="Times New Roman" w:cs="Times New Roman"/>
                      <w:color w:val="auto"/>
                      <w:sz w:val="21"/>
                      <w:szCs w:val="21"/>
                    </w:rPr>
                    <w:t>厂房隔声，设备合理布局等</w:t>
                  </w:r>
                </w:p>
              </w:tc>
              <w:tc>
                <w:tcPr>
                  <w:tcW w:w="1593" w:type="dxa"/>
                  <w:gridSpan w:val="2"/>
                  <w:shd w:val="clear" w:color="auto" w:fill="auto"/>
                  <w:vAlign w:val="center"/>
                </w:tcPr>
                <w:p w14:paraId="157F43DB">
                  <w:pPr>
                    <w:pStyle w:val="173"/>
                    <w:rPr>
                      <w:rFonts w:ascii="Times New Roman" w:hAnsi="Times New Roman" w:cs="Times New Roman"/>
                      <w:color w:val="auto"/>
                      <w:sz w:val="21"/>
                      <w:szCs w:val="21"/>
                    </w:rPr>
                  </w:pPr>
                  <w:r>
                    <w:rPr>
                      <w:rFonts w:hint="eastAsia"/>
                      <w:color w:val="auto"/>
                      <w:lang w:val="en-US" w:eastAsia="zh-CN"/>
                    </w:rPr>
                    <w:t>设备隔声、减振等</w:t>
                  </w:r>
                </w:p>
              </w:tc>
              <w:tc>
                <w:tcPr>
                  <w:tcW w:w="1043" w:type="dxa"/>
                  <w:vAlign w:val="center"/>
                </w:tcPr>
                <w:p w14:paraId="68178A8F">
                  <w:pPr>
                    <w:pStyle w:val="173"/>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331" w:type="dxa"/>
                  <w:vAlign w:val="center"/>
                </w:tcPr>
                <w:p w14:paraId="3DB74519">
                  <w:pPr>
                    <w:pStyle w:val="173"/>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847" w:type="dxa"/>
                  <w:vAlign w:val="center"/>
                </w:tcPr>
                <w:p w14:paraId="2960235E">
                  <w:pPr>
                    <w:pStyle w:val="173"/>
                    <w:rPr>
                      <w:rFonts w:ascii="Times New Roman" w:hAnsi="Times New Roman" w:cs="Times New Roman"/>
                      <w:color w:val="auto"/>
                      <w:sz w:val="21"/>
                      <w:szCs w:val="21"/>
                    </w:rPr>
                  </w:pPr>
                  <w:r>
                    <w:rPr>
                      <w:rFonts w:ascii="Times New Roman" w:hAnsi="Times New Roman" w:cs="Times New Roman"/>
                      <w:color w:val="auto"/>
                      <w:sz w:val="21"/>
                      <w:szCs w:val="21"/>
                    </w:rPr>
                    <w:t>新增</w:t>
                  </w:r>
                </w:p>
              </w:tc>
            </w:tr>
            <w:tr w14:paraId="2E54AF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6" w:type="dxa"/>
                  <w:vMerge w:val="continue"/>
                  <w:shd w:val="clear" w:color="auto" w:fill="auto"/>
                  <w:vAlign w:val="center"/>
                </w:tcPr>
                <w:p w14:paraId="1A75F4E0">
                  <w:pPr>
                    <w:pStyle w:val="173"/>
                    <w:rPr>
                      <w:rFonts w:ascii="Times New Roman" w:hAnsi="Times New Roman" w:cs="Times New Roman"/>
                      <w:color w:val="auto"/>
                      <w:sz w:val="21"/>
                      <w:szCs w:val="21"/>
                    </w:rPr>
                  </w:pPr>
                </w:p>
              </w:tc>
              <w:tc>
                <w:tcPr>
                  <w:tcW w:w="1091" w:type="dxa"/>
                  <w:gridSpan w:val="2"/>
                  <w:shd w:val="clear" w:color="auto" w:fill="auto"/>
                  <w:vAlign w:val="center"/>
                </w:tcPr>
                <w:p w14:paraId="1A66725B">
                  <w:pPr>
                    <w:pStyle w:val="173"/>
                    <w:rPr>
                      <w:rFonts w:ascii="Times New Roman" w:hAnsi="Times New Roman" w:cs="Times New Roman"/>
                      <w:color w:val="auto"/>
                      <w:sz w:val="21"/>
                      <w:szCs w:val="21"/>
                    </w:rPr>
                  </w:pPr>
                  <w:r>
                    <w:rPr>
                      <w:rFonts w:ascii="Times New Roman" w:hAnsi="Times New Roman" w:cs="Times New Roman"/>
                      <w:color w:val="auto"/>
                      <w:sz w:val="21"/>
                      <w:szCs w:val="21"/>
                    </w:rPr>
                    <w:t>固废处理</w:t>
                  </w:r>
                </w:p>
              </w:tc>
              <w:tc>
                <w:tcPr>
                  <w:tcW w:w="2114" w:type="dxa"/>
                  <w:gridSpan w:val="3"/>
                  <w:vAlign w:val="center"/>
                </w:tcPr>
                <w:p w14:paraId="1C773F8C">
                  <w:pPr>
                    <w:pStyle w:val="173"/>
                    <w:rPr>
                      <w:rFonts w:ascii="Times New Roman" w:hAnsi="Times New Roman" w:cs="Times New Roman"/>
                      <w:color w:val="auto"/>
                      <w:sz w:val="21"/>
                      <w:szCs w:val="21"/>
                    </w:rPr>
                  </w:pPr>
                  <w:r>
                    <w:rPr>
                      <w:rFonts w:ascii="Times New Roman" w:hAnsi="Times New Roman" w:cs="Times New Roman"/>
                      <w:color w:val="auto"/>
                      <w:sz w:val="21"/>
                      <w:szCs w:val="21"/>
                    </w:rPr>
                    <w:t>建筑面积</w:t>
                  </w:r>
                  <w:r>
                    <w:rPr>
                      <w:rFonts w:hint="eastAsia" w:ascii="Times New Roman" w:hAnsi="Times New Roman" w:cs="Times New Roman"/>
                      <w:color w:val="auto"/>
                      <w:sz w:val="21"/>
                      <w:szCs w:val="21"/>
                    </w:rPr>
                    <w:t>63.14</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2</w:t>
                  </w:r>
                  <w:r>
                    <w:rPr>
                      <w:rFonts w:ascii="Times New Roman" w:hAnsi="Times New Roman" w:cs="Times New Roman"/>
                      <w:color w:val="auto"/>
                      <w:sz w:val="21"/>
                      <w:szCs w:val="21"/>
                    </w:rPr>
                    <w:t>危废仓库1座</w:t>
                  </w:r>
                </w:p>
              </w:tc>
              <w:tc>
                <w:tcPr>
                  <w:tcW w:w="1593" w:type="dxa"/>
                  <w:gridSpan w:val="2"/>
                  <w:shd w:val="clear" w:color="auto" w:fill="auto"/>
                  <w:vAlign w:val="center"/>
                </w:tcPr>
                <w:p w14:paraId="149CDAB0">
                  <w:pPr>
                    <w:pStyle w:val="173"/>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不新增固废</w:t>
                  </w:r>
                </w:p>
              </w:tc>
              <w:tc>
                <w:tcPr>
                  <w:tcW w:w="1043" w:type="dxa"/>
                  <w:vAlign w:val="center"/>
                </w:tcPr>
                <w:p w14:paraId="24C1CC09">
                  <w:pPr>
                    <w:pStyle w:val="173"/>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331" w:type="dxa"/>
                  <w:vAlign w:val="center"/>
                </w:tcPr>
                <w:p w14:paraId="32773F95">
                  <w:pPr>
                    <w:pStyle w:val="173"/>
                    <w:rPr>
                      <w:rFonts w:ascii="Times New Roman" w:hAnsi="Times New Roman" w:cs="Times New Roman"/>
                      <w:color w:val="auto"/>
                      <w:sz w:val="21"/>
                      <w:szCs w:val="21"/>
                    </w:rPr>
                  </w:pPr>
                  <w:r>
                    <w:rPr>
                      <w:rFonts w:ascii="Times New Roman" w:hAnsi="Times New Roman" w:cs="Times New Roman"/>
                      <w:color w:val="auto"/>
                      <w:sz w:val="21"/>
                      <w:szCs w:val="21"/>
                    </w:rPr>
                    <w:t>建筑面积</w:t>
                  </w:r>
                  <w:r>
                    <w:rPr>
                      <w:rFonts w:hint="eastAsia" w:ascii="Times New Roman" w:hAnsi="Times New Roman" w:cs="Times New Roman"/>
                      <w:color w:val="auto"/>
                      <w:sz w:val="21"/>
                      <w:szCs w:val="21"/>
                    </w:rPr>
                    <w:t>63.14</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2</w:t>
                  </w:r>
                  <w:r>
                    <w:rPr>
                      <w:rFonts w:ascii="Times New Roman" w:hAnsi="Times New Roman" w:cs="Times New Roman"/>
                      <w:color w:val="auto"/>
                      <w:sz w:val="21"/>
                      <w:szCs w:val="21"/>
                    </w:rPr>
                    <w:t>危废仓库1座</w:t>
                  </w:r>
                </w:p>
              </w:tc>
              <w:tc>
                <w:tcPr>
                  <w:tcW w:w="847" w:type="dxa"/>
                  <w:vAlign w:val="center"/>
                </w:tcPr>
                <w:p w14:paraId="4808DC29">
                  <w:pPr>
                    <w:pStyle w:val="173"/>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val="en-US" w:eastAsia="zh-CN"/>
                    </w:rPr>
                    <w:t>/</w:t>
                  </w:r>
                </w:p>
              </w:tc>
            </w:tr>
            <w:tr w14:paraId="7544EF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6" w:type="dxa"/>
                  <w:vMerge w:val="continue"/>
                  <w:shd w:val="clear" w:color="auto" w:fill="auto"/>
                  <w:vAlign w:val="center"/>
                </w:tcPr>
                <w:p w14:paraId="327CCD6A">
                  <w:pPr>
                    <w:pStyle w:val="173"/>
                    <w:rPr>
                      <w:rFonts w:ascii="Times New Roman" w:hAnsi="Times New Roman" w:cs="Times New Roman"/>
                      <w:color w:val="auto"/>
                      <w:sz w:val="21"/>
                      <w:szCs w:val="21"/>
                    </w:rPr>
                  </w:pPr>
                </w:p>
              </w:tc>
              <w:tc>
                <w:tcPr>
                  <w:tcW w:w="1091" w:type="dxa"/>
                  <w:gridSpan w:val="2"/>
                  <w:vMerge w:val="restart"/>
                  <w:shd w:val="clear" w:color="auto" w:fill="auto"/>
                  <w:vAlign w:val="center"/>
                </w:tcPr>
                <w:p w14:paraId="358C9327">
                  <w:pPr>
                    <w:pStyle w:val="173"/>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风险防范措施</w:t>
                  </w:r>
                </w:p>
              </w:tc>
              <w:tc>
                <w:tcPr>
                  <w:tcW w:w="1057" w:type="dxa"/>
                  <w:vMerge w:val="restart"/>
                  <w:vAlign w:val="center"/>
                </w:tcPr>
                <w:p w14:paraId="5090BE55">
                  <w:pPr>
                    <w:pStyle w:val="173"/>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液氯罐式集装箱装卸场地</w:t>
                  </w:r>
                </w:p>
              </w:tc>
              <w:tc>
                <w:tcPr>
                  <w:tcW w:w="1057" w:type="dxa"/>
                  <w:gridSpan w:val="2"/>
                  <w:vAlign w:val="center"/>
                </w:tcPr>
                <w:p w14:paraId="726B864F">
                  <w:pPr>
                    <w:pStyle w:val="173"/>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eastAsia="zh-CN"/>
                    </w:rPr>
                    <w:t>二级碱液喷淋塔</w:t>
                  </w:r>
                  <w:r>
                    <w:rPr>
                      <w:rFonts w:hint="eastAsia" w:ascii="Times New Roman" w:hAnsi="Times New Roman" w:cs="Times New Roman"/>
                      <w:color w:val="auto"/>
                      <w:sz w:val="21"/>
                      <w:szCs w:val="21"/>
                      <w:lang w:val="en-US" w:eastAsia="zh-CN"/>
                    </w:rPr>
                    <w:t>+事故废气排气筒</w:t>
                  </w:r>
                </w:p>
              </w:tc>
              <w:tc>
                <w:tcPr>
                  <w:tcW w:w="1593" w:type="dxa"/>
                  <w:gridSpan w:val="2"/>
                  <w:shd w:val="clear" w:color="auto" w:fill="auto"/>
                  <w:vAlign w:val="center"/>
                </w:tcPr>
                <w:p w14:paraId="642A9B43">
                  <w:pPr>
                    <w:pStyle w:val="173"/>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依托现有</w:t>
                  </w:r>
                </w:p>
              </w:tc>
              <w:tc>
                <w:tcPr>
                  <w:tcW w:w="1043" w:type="dxa"/>
                  <w:vAlign w:val="center"/>
                </w:tcPr>
                <w:p w14:paraId="4D9004E4">
                  <w:pPr>
                    <w:pStyle w:val="173"/>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31" w:type="dxa"/>
                  <w:vAlign w:val="center"/>
                </w:tcPr>
                <w:p w14:paraId="7A782889">
                  <w:pPr>
                    <w:pStyle w:val="173"/>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eastAsia="zh-CN"/>
                    </w:rPr>
                    <w:t>二级碱液喷淋塔</w:t>
                  </w:r>
                  <w:r>
                    <w:rPr>
                      <w:rFonts w:hint="eastAsia" w:ascii="Times New Roman" w:hAnsi="Times New Roman" w:cs="Times New Roman"/>
                      <w:color w:val="auto"/>
                      <w:sz w:val="21"/>
                      <w:szCs w:val="21"/>
                      <w:lang w:val="en-US" w:eastAsia="zh-CN"/>
                    </w:rPr>
                    <w:t>+事故废气排气筒</w:t>
                  </w:r>
                </w:p>
              </w:tc>
              <w:tc>
                <w:tcPr>
                  <w:tcW w:w="847" w:type="dxa"/>
                  <w:vMerge w:val="restart"/>
                  <w:vAlign w:val="center"/>
                </w:tcPr>
                <w:p w14:paraId="66FB41C7">
                  <w:pPr>
                    <w:pStyle w:val="173"/>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液氯/液氯泄漏喷淋吸收</w:t>
                  </w:r>
                </w:p>
              </w:tc>
            </w:tr>
            <w:tr w14:paraId="5136D7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6" w:type="dxa"/>
                  <w:vMerge w:val="continue"/>
                  <w:shd w:val="clear" w:color="auto" w:fill="auto"/>
                  <w:vAlign w:val="center"/>
                </w:tcPr>
                <w:p w14:paraId="1CD0AE17">
                  <w:pPr>
                    <w:pStyle w:val="173"/>
                    <w:rPr>
                      <w:rFonts w:ascii="Times New Roman" w:hAnsi="Times New Roman" w:cs="Times New Roman"/>
                      <w:color w:val="auto"/>
                      <w:sz w:val="21"/>
                      <w:szCs w:val="21"/>
                    </w:rPr>
                  </w:pPr>
                </w:p>
              </w:tc>
              <w:tc>
                <w:tcPr>
                  <w:tcW w:w="1091" w:type="dxa"/>
                  <w:gridSpan w:val="2"/>
                  <w:vMerge w:val="continue"/>
                  <w:shd w:val="clear" w:color="auto" w:fill="auto"/>
                  <w:vAlign w:val="center"/>
                </w:tcPr>
                <w:p w14:paraId="54E11104">
                  <w:pPr>
                    <w:pStyle w:val="173"/>
                    <w:rPr>
                      <w:rFonts w:hint="eastAsia" w:ascii="Times New Roman" w:hAnsi="Times New Roman" w:cs="Times New Roman"/>
                      <w:color w:val="auto"/>
                      <w:sz w:val="21"/>
                      <w:szCs w:val="21"/>
                      <w:lang w:eastAsia="zh-CN"/>
                    </w:rPr>
                  </w:pPr>
                </w:p>
              </w:tc>
              <w:tc>
                <w:tcPr>
                  <w:tcW w:w="1057" w:type="dxa"/>
                  <w:vMerge w:val="continue"/>
                  <w:vAlign w:val="center"/>
                </w:tcPr>
                <w:p w14:paraId="4723DDF1">
                  <w:pPr>
                    <w:pStyle w:val="173"/>
                    <w:rPr>
                      <w:rFonts w:hint="eastAsia" w:ascii="Times New Roman" w:hAnsi="Times New Roman" w:cs="Times New Roman"/>
                      <w:color w:val="auto"/>
                      <w:sz w:val="21"/>
                      <w:szCs w:val="21"/>
                      <w:lang w:val="en-US" w:eastAsia="zh-CN"/>
                    </w:rPr>
                  </w:pPr>
                </w:p>
              </w:tc>
              <w:tc>
                <w:tcPr>
                  <w:tcW w:w="1057" w:type="dxa"/>
                  <w:gridSpan w:val="2"/>
                  <w:vAlign w:val="center"/>
                </w:tcPr>
                <w:p w14:paraId="19B178E7">
                  <w:pPr>
                    <w:pStyle w:val="173"/>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eastAsia="zh-CN"/>
                    </w:rPr>
                    <w:t>液碱储罐</w:t>
                  </w:r>
                  <w:r>
                    <w:rPr>
                      <w:rFonts w:hint="eastAsia" w:ascii="Times New Roman" w:hAnsi="Times New Roman" w:cs="Times New Roman"/>
                      <w:color w:val="auto"/>
                      <w:sz w:val="21"/>
                      <w:szCs w:val="21"/>
                      <w:lang w:val="en-US" w:eastAsia="zh-CN"/>
                    </w:rPr>
                    <w:t>20m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 xml:space="preserve"> </w:t>
                  </w:r>
                  <w:r>
                    <w:rPr>
                      <w:rFonts w:hint="eastAsia" w:ascii="Times New Roman" w:hAnsi="Times New Roman" w:cs="Times New Roman"/>
                      <w:color w:val="auto"/>
                      <w:sz w:val="21"/>
                      <w:szCs w:val="21"/>
                      <w:lang w:val="en-US" w:eastAsia="zh-CN"/>
                    </w:rPr>
                    <w:t>2个、30m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 xml:space="preserve"> </w:t>
                  </w:r>
                  <w:r>
                    <w:rPr>
                      <w:rFonts w:hint="eastAsia" w:ascii="Times New Roman" w:hAnsi="Times New Roman" w:cs="Times New Roman"/>
                      <w:color w:val="auto"/>
                      <w:sz w:val="21"/>
                      <w:szCs w:val="21"/>
                      <w:lang w:val="en-US" w:eastAsia="zh-CN"/>
                    </w:rPr>
                    <w:t>2个</w:t>
                  </w:r>
                </w:p>
              </w:tc>
              <w:tc>
                <w:tcPr>
                  <w:tcW w:w="1593" w:type="dxa"/>
                  <w:gridSpan w:val="2"/>
                  <w:shd w:val="clear" w:color="auto" w:fill="auto"/>
                  <w:vAlign w:val="center"/>
                </w:tcPr>
                <w:p w14:paraId="56CA8B94">
                  <w:pPr>
                    <w:pStyle w:val="173"/>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依托现有</w:t>
                  </w:r>
                </w:p>
              </w:tc>
              <w:tc>
                <w:tcPr>
                  <w:tcW w:w="1043" w:type="dxa"/>
                  <w:vAlign w:val="center"/>
                </w:tcPr>
                <w:p w14:paraId="14845829">
                  <w:pPr>
                    <w:pStyle w:val="173"/>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31" w:type="dxa"/>
                  <w:vAlign w:val="center"/>
                </w:tcPr>
                <w:p w14:paraId="3DEF11AF">
                  <w:pPr>
                    <w:pStyle w:val="173"/>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eastAsia="zh-CN"/>
                    </w:rPr>
                    <w:t>液碱储罐</w:t>
                  </w:r>
                  <w:r>
                    <w:rPr>
                      <w:rFonts w:hint="eastAsia" w:ascii="Times New Roman" w:hAnsi="Times New Roman" w:cs="Times New Roman"/>
                      <w:color w:val="auto"/>
                      <w:sz w:val="21"/>
                      <w:szCs w:val="21"/>
                      <w:lang w:val="en-US" w:eastAsia="zh-CN"/>
                    </w:rPr>
                    <w:t>20m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 xml:space="preserve"> </w:t>
                  </w:r>
                  <w:r>
                    <w:rPr>
                      <w:rFonts w:hint="eastAsia" w:ascii="Times New Roman" w:hAnsi="Times New Roman" w:cs="Times New Roman"/>
                      <w:color w:val="auto"/>
                      <w:sz w:val="21"/>
                      <w:szCs w:val="21"/>
                      <w:lang w:val="en-US" w:eastAsia="zh-CN"/>
                    </w:rPr>
                    <w:t>2个、30m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 xml:space="preserve"> </w:t>
                  </w:r>
                  <w:r>
                    <w:rPr>
                      <w:rFonts w:hint="eastAsia" w:ascii="Times New Roman" w:hAnsi="Times New Roman" w:cs="Times New Roman"/>
                      <w:color w:val="auto"/>
                      <w:sz w:val="21"/>
                      <w:szCs w:val="21"/>
                      <w:lang w:val="en-US" w:eastAsia="zh-CN"/>
                    </w:rPr>
                    <w:t>2个</w:t>
                  </w:r>
                </w:p>
              </w:tc>
              <w:tc>
                <w:tcPr>
                  <w:tcW w:w="847" w:type="dxa"/>
                  <w:vMerge w:val="continue"/>
                  <w:vAlign w:val="center"/>
                </w:tcPr>
                <w:p w14:paraId="09AF2EE7">
                  <w:pPr>
                    <w:pStyle w:val="173"/>
                    <w:rPr>
                      <w:rFonts w:hint="default" w:ascii="Times New Roman" w:hAnsi="Times New Roman" w:cs="Times New Roman"/>
                      <w:color w:val="auto"/>
                      <w:sz w:val="21"/>
                      <w:szCs w:val="21"/>
                      <w:lang w:val="en-US" w:eastAsia="zh-CN"/>
                    </w:rPr>
                  </w:pPr>
                </w:p>
              </w:tc>
            </w:tr>
            <w:tr w14:paraId="79A820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6" w:type="dxa"/>
                  <w:vMerge w:val="continue"/>
                  <w:shd w:val="clear" w:color="auto" w:fill="auto"/>
                  <w:vAlign w:val="center"/>
                </w:tcPr>
                <w:p w14:paraId="5FFC2A12">
                  <w:pPr>
                    <w:pStyle w:val="173"/>
                    <w:rPr>
                      <w:rFonts w:ascii="Times New Roman" w:hAnsi="Times New Roman" w:cs="Times New Roman"/>
                      <w:color w:val="auto"/>
                      <w:sz w:val="21"/>
                      <w:szCs w:val="21"/>
                    </w:rPr>
                  </w:pPr>
                </w:p>
              </w:tc>
              <w:tc>
                <w:tcPr>
                  <w:tcW w:w="1091" w:type="dxa"/>
                  <w:gridSpan w:val="2"/>
                  <w:vMerge w:val="continue"/>
                  <w:shd w:val="clear" w:color="auto" w:fill="auto"/>
                  <w:vAlign w:val="center"/>
                </w:tcPr>
                <w:p w14:paraId="054913C0">
                  <w:pPr>
                    <w:pStyle w:val="173"/>
                    <w:rPr>
                      <w:rFonts w:hint="eastAsia" w:ascii="Times New Roman" w:hAnsi="Times New Roman" w:cs="Times New Roman"/>
                      <w:color w:val="auto"/>
                      <w:sz w:val="21"/>
                      <w:szCs w:val="21"/>
                      <w:lang w:eastAsia="zh-CN"/>
                    </w:rPr>
                  </w:pPr>
                </w:p>
              </w:tc>
              <w:tc>
                <w:tcPr>
                  <w:tcW w:w="1057" w:type="dxa"/>
                  <w:vMerge w:val="continue"/>
                  <w:vAlign w:val="center"/>
                </w:tcPr>
                <w:p w14:paraId="38E556CE">
                  <w:pPr>
                    <w:pStyle w:val="173"/>
                    <w:rPr>
                      <w:rFonts w:hint="eastAsia" w:ascii="Times New Roman" w:hAnsi="Times New Roman" w:cs="Times New Roman"/>
                      <w:color w:val="auto"/>
                      <w:sz w:val="21"/>
                      <w:szCs w:val="21"/>
                      <w:lang w:val="en-US" w:eastAsia="zh-CN"/>
                    </w:rPr>
                  </w:pPr>
                </w:p>
              </w:tc>
              <w:tc>
                <w:tcPr>
                  <w:tcW w:w="1057" w:type="dxa"/>
                  <w:gridSpan w:val="2"/>
                  <w:vAlign w:val="center"/>
                </w:tcPr>
                <w:p w14:paraId="5770E95B">
                  <w:pPr>
                    <w:pStyle w:val="173"/>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eastAsia="zh-CN"/>
                    </w:rPr>
                    <w:t>有毒气体报警器</w:t>
                  </w:r>
                  <w:r>
                    <w:rPr>
                      <w:rFonts w:hint="eastAsia" w:ascii="Times New Roman" w:hAnsi="Times New Roman" w:cs="Times New Roman"/>
                      <w:color w:val="auto"/>
                      <w:sz w:val="21"/>
                      <w:szCs w:val="21"/>
                      <w:lang w:val="en-US" w:eastAsia="zh-CN"/>
                    </w:rPr>
                    <w:t>26个</w:t>
                  </w:r>
                </w:p>
              </w:tc>
              <w:tc>
                <w:tcPr>
                  <w:tcW w:w="1593" w:type="dxa"/>
                  <w:gridSpan w:val="2"/>
                  <w:shd w:val="clear" w:color="auto" w:fill="auto"/>
                  <w:vAlign w:val="center"/>
                </w:tcPr>
                <w:p w14:paraId="41737482">
                  <w:pPr>
                    <w:pStyle w:val="173"/>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依托现有</w:t>
                  </w:r>
                </w:p>
              </w:tc>
              <w:tc>
                <w:tcPr>
                  <w:tcW w:w="1043" w:type="dxa"/>
                  <w:vAlign w:val="center"/>
                </w:tcPr>
                <w:p w14:paraId="5E614877">
                  <w:pPr>
                    <w:pStyle w:val="173"/>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31" w:type="dxa"/>
                  <w:vAlign w:val="center"/>
                </w:tcPr>
                <w:p w14:paraId="12EE3D8B">
                  <w:pPr>
                    <w:pStyle w:val="173"/>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有毒气体报警器</w:t>
                  </w:r>
                  <w:r>
                    <w:rPr>
                      <w:rFonts w:hint="eastAsia" w:ascii="Times New Roman" w:hAnsi="Times New Roman" w:cs="Times New Roman"/>
                      <w:color w:val="auto"/>
                      <w:sz w:val="21"/>
                      <w:szCs w:val="21"/>
                      <w:lang w:val="en-US" w:eastAsia="zh-CN"/>
                    </w:rPr>
                    <w:t>26个</w:t>
                  </w:r>
                </w:p>
              </w:tc>
              <w:tc>
                <w:tcPr>
                  <w:tcW w:w="847" w:type="dxa"/>
                  <w:vAlign w:val="center"/>
                </w:tcPr>
                <w:p w14:paraId="49B40B60">
                  <w:pPr>
                    <w:pStyle w:val="173"/>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液氯/氯气泄漏预警</w:t>
                  </w:r>
                </w:p>
              </w:tc>
            </w:tr>
            <w:tr w14:paraId="715421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6" w:type="dxa"/>
                  <w:vMerge w:val="continue"/>
                  <w:shd w:val="clear" w:color="auto" w:fill="auto"/>
                  <w:vAlign w:val="center"/>
                </w:tcPr>
                <w:p w14:paraId="0C62E432">
                  <w:pPr>
                    <w:pStyle w:val="173"/>
                    <w:rPr>
                      <w:rFonts w:ascii="Times New Roman" w:hAnsi="Times New Roman" w:cs="Times New Roman"/>
                      <w:color w:val="auto"/>
                      <w:sz w:val="21"/>
                      <w:szCs w:val="21"/>
                    </w:rPr>
                  </w:pPr>
                </w:p>
              </w:tc>
              <w:tc>
                <w:tcPr>
                  <w:tcW w:w="1091" w:type="dxa"/>
                  <w:gridSpan w:val="2"/>
                  <w:vMerge w:val="continue"/>
                  <w:shd w:val="clear" w:color="auto" w:fill="auto"/>
                  <w:vAlign w:val="center"/>
                </w:tcPr>
                <w:p w14:paraId="6BB53E2D">
                  <w:pPr>
                    <w:pStyle w:val="173"/>
                    <w:rPr>
                      <w:rFonts w:hint="eastAsia" w:ascii="Times New Roman" w:hAnsi="Times New Roman" w:cs="Times New Roman" w:eastAsiaTheme="minorEastAsia"/>
                      <w:color w:val="auto"/>
                      <w:sz w:val="21"/>
                      <w:szCs w:val="21"/>
                      <w:lang w:eastAsia="zh-CN"/>
                    </w:rPr>
                  </w:pPr>
                </w:p>
              </w:tc>
              <w:tc>
                <w:tcPr>
                  <w:tcW w:w="2114" w:type="dxa"/>
                  <w:gridSpan w:val="3"/>
                  <w:vAlign w:val="center"/>
                </w:tcPr>
                <w:p w14:paraId="66C40D7C">
                  <w:pPr>
                    <w:pStyle w:val="173"/>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960m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eastAsia="zh-CN"/>
                    </w:rPr>
                    <w:t>事故应急池</w:t>
                  </w:r>
                  <w:r>
                    <w:rPr>
                      <w:rFonts w:hint="eastAsia" w:ascii="Times New Roman" w:hAnsi="Times New Roman" w:cs="Times New Roman"/>
                      <w:color w:val="auto"/>
                      <w:sz w:val="21"/>
                      <w:szCs w:val="21"/>
                      <w:lang w:val="en-US" w:eastAsia="zh-CN"/>
                    </w:rPr>
                    <w:t>1座</w:t>
                  </w:r>
                </w:p>
              </w:tc>
              <w:tc>
                <w:tcPr>
                  <w:tcW w:w="1593" w:type="dxa"/>
                  <w:gridSpan w:val="2"/>
                  <w:shd w:val="clear" w:color="auto" w:fill="auto"/>
                  <w:vAlign w:val="center"/>
                </w:tcPr>
                <w:p w14:paraId="1C6CE94C">
                  <w:pPr>
                    <w:pStyle w:val="173"/>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依托现有</w:t>
                  </w:r>
                </w:p>
              </w:tc>
              <w:tc>
                <w:tcPr>
                  <w:tcW w:w="1043" w:type="dxa"/>
                  <w:vAlign w:val="center"/>
                </w:tcPr>
                <w:p w14:paraId="7512DCD7">
                  <w:pPr>
                    <w:pStyle w:val="173"/>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31" w:type="dxa"/>
                  <w:vAlign w:val="center"/>
                </w:tcPr>
                <w:p w14:paraId="3FF6CB4D">
                  <w:pPr>
                    <w:pStyle w:val="173"/>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960m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eastAsia="zh-CN"/>
                    </w:rPr>
                    <w:t>事故应急池</w:t>
                  </w:r>
                  <w:r>
                    <w:rPr>
                      <w:rFonts w:hint="eastAsia" w:ascii="Times New Roman" w:hAnsi="Times New Roman" w:cs="Times New Roman"/>
                      <w:color w:val="auto"/>
                      <w:sz w:val="21"/>
                      <w:szCs w:val="21"/>
                      <w:lang w:val="en-US" w:eastAsia="zh-CN"/>
                    </w:rPr>
                    <w:t>1座</w:t>
                  </w:r>
                </w:p>
              </w:tc>
              <w:tc>
                <w:tcPr>
                  <w:tcW w:w="847" w:type="dxa"/>
                  <w:vAlign w:val="center"/>
                </w:tcPr>
                <w:p w14:paraId="6685AFF5">
                  <w:pPr>
                    <w:pStyle w:val="173"/>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bl>
          <w:p w14:paraId="57026666">
            <w:pPr>
              <w:pStyle w:val="3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表2</w:t>
            </w:r>
            <w:r>
              <w:rPr>
                <w:rFonts w:hint="eastAsia"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 xml:space="preserve"> </w:t>
            </w:r>
            <w:r>
              <w:rPr>
                <w:rFonts w:hint="eastAsia" w:hAnsi="Times New Roman" w:eastAsia="宋体" w:cs="Times New Roman"/>
                <w:b/>
                <w:bCs/>
                <w:color w:val="auto"/>
                <w:sz w:val="24"/>
                <w:szCs w:val="24"/>
                <w:lang w:eastAsia="zh-CN"/>
              </w:rPr>
              <w:t>技改后全厂</w:t>
            </w:r>
            <w:r>
              <w:rPr>
                <w:rFonts w:hint="default" w:ascii="Times New Roman" w:hAnsi="Times New Roman" w:eastAsia="宋体" w:cs="Times New Roman"/>
                <w:b/>
                <w:bCs/>
                <w:color w:val="auto"/>
                <w:sz w:val="24"/>
                <w:szCs w:val="24"/>
              </w:rPr>
              <w:t>储存设施一览表</w:t>
            </w:r>
          </w:p>
          <w:tbl>
            <w:tblPr>
              <w:tblStyle w:val="88"/>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486"/>
              <w:gridCol w:w="1093"/>
              <w:gridCol w:w="1022"/>
              <w:gridCol w:w="550"/>
              <w:gridCol w:w="552"/>
              <w:gridCol w:w="550"/>
              <w:gridCol w:w="1032"/>
              <w:gridCol w:w="901"/>
              <w:gridCol w:w="800"/>
              <w:gridCol w:w="800"/>
              <w:gridCol w:w="623"/>
            </w:tblGrid>
            <w:tr w14:paraId="20E696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89" w:type="pct"/>
                  <w:vMerge w:val="restart"/>
                  <w:tcBorders>
                    <w:tl2br w:val="nil"/>
                    <w:tr2bl w:val="nil"/>
                  </w:tcBorders>
                  <w:noWrap w:val="0"/>
                  <w:vAlign w:val="center"/>
                </w:tcPr>
                <w:p w14:paraId="242A2649">
                  <w:pPr>
                    <w:pStyle w:val="148"/>
                    <w:rPr>
                      <w:b/>
                      <w:bCs/>
                      <w:color w:val="auto"/>
                      <w:sz w:val="21"/>
                      <w:szCs w:val="21"/>
                    </w:rPr>
                  </w:pPr>
                  <w:r>
                    <w:rPr>
                      <w:b/>
                      <w:bCs/>
                      <w:color w:val="auto"/>
                      <w:sz w:val="21"/>
                      <w:szCs w:val="21"/>
                    </w:rPr>
                    <w:t>序号</w:t>
                  </w:r>
                </w:p>
              </w:tc>
              <w:tc>
                <w:tcPr>
                  <w:tcW w:w="649" w:type="pct"/>
                  <w:vMerge w:val="restart"/>
                  <w:tcBorders>
                    <w:tl2br w:val="nil"/>
                    <w:tr2bl w:val="nil"/>
                  </w:tcBorders>
                  <w:noWrap w:val="0"/>
                  <w:vAlign w:val="center"/>
                </w:tcPr>
                <w:p w14:paraId="44A557E8">
                  <w:pPr>
                    <w:pStyle w:val="3935"/>
                    <w:keepNext w:val="0"/>
                    <w:keepLines w:val="0"/>
                    <w:suppressLineNumbers w:val="0"/>
                    <w:bidi w:val="0"/>
                    <w:spacing w:before="0" w:beforeAutospacing="0" w:after="0" w:afterAutospacing="0"/>
                    <w:ind w:left="0" w:leftChars="0" w:right="0" w:rightChars="0"/>
                    <w:rPr>
                      <w:b/>
                      <w:bCs/>
                      <w:color w:val="auto"/>
                      <w:sz w:val="21"/>
                      <w:szCs w:val="21"/>
                    </w:rPr>
                  </w:pPr>
                  <w:r>
                    <w:rPr>
                      <w:rFonts w:hint="default" w:cs="Times New Roman"/>
                      <w:b/>
                      <w:bCs/>
                      <w:color w:val="auto"/>
                      <w:sz w:val="21"/>
                      <w:szCs w:val="21"/>
                    </w:rPr>
                    <w:t>建构筑物</w:t>
                  </w:r>
                </w:p>
              </w:tc>
              <w:tc>
                <w:tcPr>
                  <w:tcW w:w="1262" w:type="pct"/>
                  <w:gridSpan w:val="3"/>
                  <w:tcBorders>
                    <w:tl2br w:val="nil"/>
                    <w:tr2bl w:val="nil"/>
                  </w:tcBorders>
                  <w:noWrap w:val="0"/>
                  <w:vAlign w:val="center"/>
                </w:tcPr>
                <w:p w14:paraId="6B2C0D88">
                  <w:pPr>
                    <w:pStyle w:val="3935"/>
                    <w:keepNext w:val="0"/>
                    <w:keepLines w:val="0"/>
                    <w:suppressLineNumbers w:val="0"/>
                    <w:bidi w:val="0"/>
                    <w:spacing w:before="0" w:beforeAutospacing="0" w:after="0" w:afterAutospacing="0"/>
                    <w:ind w:left="0" w:leftChars="0" w:right="0" w:rightChars="0"/>
                    <w:rPr>
                      <w:rFonts w:hint="default" w:cs="Times New Roman"/>
                      <w:b/>
                      <w:bCs/>
                      <w:color w:val="auto"/>
                      <w:sz w:val="21"/>
                      <w:szCs w:val="21"/>
                    </w:rPr>
                  </w:pPr>
                  <w:r>
                    <w:rPr>
                      <w:rFonts w:hint="default" w:cs="Times New Roman"/>
                      <w:b/>
                      <w:bCs/>
                      <w:color w:val="auto"/>
                      <w:sz w:val="21"/>
                      <w:szCs w:val="21"/>
                    </w:rPr>
                    <w:t>占地面积m</w:t>
                  </w:r>
                  <w:r>
                    <w:rPr>
                      <w:rFonts w:hint="default" w:cs="Times New Roman"/>
                      <w:b/>
                      <w:bCs/>
                      <w:color w:val="auto"/>
                      <w:sz w:val="21"/>
                      <w:szCs w:val="21"/>
                      <w:vertAlign w:val="superscript"/>
                    </w:rPr>
                    <w:t>2</w:t>
                  </w:r>
                </w:p>
              </w:tc>
              <w:tc>
                <w:tcPr>
                  <w:tcW w:w="327" w:type="pct"/>
                  <w:vMerge w:val="restart"/>
                  <w:tcBorders>
                    <w:tl2br w:val="nil"/>
                    <w:tr2bl w:val="nil"/>
                  </w:tcBorders>
                  <w:noWrap w:val="0"/>
                  <w:vAlign w:val="center"/>
                </w:tcPr>
                <w:p w14:paraId="38FBC210">
                  <w:pPr>
                    <w:pStyle w:val="3935"/>
                    <w:keepNext w:val="0"/>
                    <w:keepLines w:val="0"/>
                    <w:suppressLineNumbers w:val="0"/>
                    <w:bidi w:val="0"/>
                    <w:spacing w:before="0" w:beforeAutospacing="0" w:after="0" w:afterAutospacing="0"/>
                    <w:ind w:left="0" w:leftChars="0" w:right="0" w:rightChars="0"/>
                    <w:rPr>
                      <w:b/>
                      <w:bCs/>
                      <w:color w:val="auto"/>
                      <w:sz w:val="21"/>
                      <w:szCs w:val="21"/>
                    </w:rPr>
                  </w:pPr>
                  <w:r>
                    <w:rPr>
                      <w:rFonts w:hint="default" w:cs="Times New Roman"/>
                      <w:b/>
                      <w:bCs/>
                      <w:color w:val="auto"/>
                      <w:sz w:val="21"/>
                      <w:szCs w:val="21"/>
                    </w:rPr>
                    <w:t>层数</w:t>
                  </w:r>
                </w:p>
              </w:tc>
              <w:tc>
                <w:tcPr>
                  <w:tcW w:w="613" w:type="pct"/>
                  <w:vMerge w:val="restart"/>
                  <w:tcBorders>
                    <w:tl2br w:val="nil"/>
                    <w:tr2bl w:val="nil"/>
                  </w:tcBorders>
                  <w:noWrap w:val="0"/>
                  <w:vAlign w:val="center"/>
                </w:tcPr>
                <w:p w14:paraId="364E13F5">
                  <w:pPr>
                    <w:pStyle w:val="3935"/>
                    <w:keepNext w:val="0"/>
                    <w:keepLines w:val="0"/>
                    <w:suppressLineNumbers w:val="0"/>
                    <w:bidi w:val="0"/>
                    <w:spacing w:before="0" w:beforeAutospacing="0" w:after="0" w:afterAutospacing="0"/>
                    <w:ind w:left="0" w:right="0"/>
                    <w:rPr>
                      <w:b/>
                      <w:bCs/>
                      <w:color w:val="auto"/>
                      <w:sz w:val="21"/>
                      <w:szCs w:val="21"/>
                    </w:rPr>
                  </w:pPr>
                  <w:r>
                    <w:rPr>
                      <w:rFonts w:hint="default" w:cs="Times New Roman"/>
                      <w:b/>
                      <w:bCs/>
                      <w:color w:val="auto"/>
                      <w:sz w:val="21"/>
                      <w:szCs w:val="21"/>
                    </w:rPr>
                    <w:t>建筑面积m</w:t>
                  </w:r>
                  <w:r>
                    <w:rPr>
                      <w:rFonts w:hint="default" w:cs="Times New Roman"/>
                      <w:b/>
                      <w:bCs/>
                      <w:color w:val="auto"/>
                      <w:sz w:val="21"/>
                      <w:szCs w:val="21"/>
                      <w:vertAlign w:val="superscript"/>
                    </w:rPr>
                    <w:t>2</w:t>
                  </w:r>
                </w:p>
              </w:tc>
              <w:tc>
                <w:tcPr>
                  <w:tcW w:w="535" w:type="pct"/>
                  <w:vMerge w:val="restart"/>
                  <w:tcBorders>
                    <w:tl2br w:val="nil"/>
                    <w:tr2bl w:val="nil"/>
                  </w:tcBorders>
                  <w:noWrap w:val="0"/>
                  <w:vAlign w:val="center"/>
                </w:tcPr>
                <w:p w14:paraId="0CA9C12E">
                  <w:pPr>
                    <w:pStyle w:val="3935"/>
                    <w:keepNext w:val="0"/>
                    <w:keepLines w:val="0"/>
                    <w:suppressLineNumbers w:val="0"/>
                    <w:bidi w:val="0"/>
                    <w:spacing w:before="0" w:beforeAutospacing="0" w:after="0" w:afterAutospacing="0"/>
                    <w:ind w:left="0" w:right="0"/>
                    <w:rPr>
                      <w:rFonts w:hint="default" w:cs="Times New Roman"/>
                      <w:b/>
                      <w:bCs/>
                      <w:color w:val="auto"/>
                      <w:sz w:val="21"/>
                      <w:szCs w:val="21"/>
                    </w:rPr>
                  </w:pPr>
                  <w:r>
                    <w:rPr>
                      <w:rFonts w:hint="default" w:cs="Times New Roman"/>
                      <w:b/>
                      <w:bCs/>
                      <w:color w:val="auto"/>
                      <w:sz w:val="21"/>
                      <w:szCs w:val="21"/>
                    </w:rPr>
                    <w:t>耐火</w:t>
                  </w:r>
                </w:p>
                <w:p w14:paraId="120D4403">
                  <w:pPr>
                    <w:pStyle w:val="3935"/>
                    <w:keepNext w:val="0"/>
                    <w:keepLines w:val="0"/>
                    <w:suppressLineNumbers w:val="0"/>
                    <w:bidi w:val="0"/>
                    <w:spacing w:before="0" w:beforeAutospacing="0" w:after="0" w:afterAutospacing="0"/>
                    <w:ind w:left="0" w:leftChars="0" w:right="0" w:rightChars="0"/>
                    <w:rPr>
                      <w:b/>
                      <w:bCs/>
                      <w:color w:val="auto"/>
                      <w:sz w:val="21"/>
                      <w:szCs w:val="21"/>
                    </w:rPr>
                  </w:pPr>
                  <w:r>
                    <w:rPr>
                      <w:rFonts w:hint="default" w:cs="Times New Roman"/>
                      <w:b/>
                      <w:bCs/>
                      <w:color w:val="auto"/>
                      <w:sz w:val="21"/>
                      <w:szCs w:val="21"/>
                    </w:rPr>
                    <w:t>等级</w:t>
                  </w:r>
                </w:p>
              </w:tc>
              <w:tc>
                <w:tcPr>
                  <w:tcW w:w="475" w:type="pct"/>
                  <w:vMerge w:val="restart"/>
                  <w:tcBorders>
                    <w:tl2br w:val="nil"/>
                    <w:tr2bl w:val="nil"/>
                  </w:tcBorders>
                  <w:noWrap w:val="0"/>
                  <w:vAlign w:val="center"/>
                </w:tcPr>
                <w:p w14:paraId="20582AC2">
                  <w:pPr>
                    <w:pStyle w:val="3935"/>
                    <w:keepNext w:val="0"/>
                    <w:keepLines w:val="0"/>
                    <w:suppressLineNumbers w:val="0"/>
                    <w:bidi w:val="0"/>
                    <w:spacing w:before="0" w:beforeAutospacing="0" w:after="0" w:afterAutospacing="0"/>
                    <w:ind w:left="0" w:leftChars="0" w:right="0" w:rightChars="0"/>
                    <w:rPr>
                      <w:rFonts w:hint="eastAsia" w:eastAsia="宋体"/>
                      <w:b/>
                      <w:bCs/>
                      <w:color w:val="auto"/>
                      <w:sz w:val="21"/>
                      <w:szCs w:val="21"/>
                      <w:lang w:val="en-US" w:eastAsia="zh-CN"/>
                    </w:rPr>
                  </w:pPr>
                  <w:r>
                    <w:rPr>
                      <w:rFonts w:hint="default" w:cs="Times New Roman"/>
                      <w:b/>
                      <w:bCs/>
                      <w:color w:val="auto"/>
                      <w:sz w:val="21"/>
                      <w:szCs w:val="21"/>
                    </w:rPr>
                    <w:t>结构形式</w:t>
                  </w:r>
                </w:p>
              </w:tc>
              <w:tc>
                <w:tcPr>
                  <w:tcW w:w="475" w:type="pct"/>
                  <w:vMerge w:val="restart"/>
                  <w:tcBorders>
                    <w:tl2br w:val="nil"/>
                    <w:tr2bl w:val="nil"/>
                  </w:tcBorders>
                  <w:noWrap w:val="0"/>
                  <w:vAlign w:val="center"/>
                </w:tcPr>
                <w:p w14:paraId="78A6851E">
                  <w:pPr>
                    <w:pStyle w:val="3935"/>
                    <w:keepNext w:val="0"/>
                    <w:keepLines w:val="0"/>
                    <w:suppressLineNumbers w:val="0"/>
                    <w:bidi w:val="0"/>
                    <w:spacing w:before="0" w:beforeAutospacing="0" w:after="0" w:afterAutospacing="0"/>
                    <w:ind w:left="0" w:leftChars="0" w:right="0" w:rightChars="0"/>
                    <w:rPr>
                      <w:b/>
                      <w:bCs/>
                      <w:color w:val="auto"/>
                      <w:sz w:val="21"/>
                      <w:szCs w:val="21"/>
                    </w:rPr>
                  </w:pPr>
                  <w:r>
                    <w:rPr>
                      <w:rFonts w:hint="default" w:cs="Times New Roman"/>
                      <w:b/>
                      <w:bCs/>
                      <w:color w:val="auto"/>
                      <w:sz w:val="21"/>
                      <w:szCs w:val="21"/>
                    </w:rPr>
                    <w:t>火灾危险性分类</w:t>
                  </w:r>
                </w:p>
              </w:tc>
              <w:tc>
                <w:tcPr>
                  <w:tcW w:w="370" w:type="pct"/>
                  <w:vMerge w:val="restart"/>
                  <w:tcBorders>
                    <w:tl2br w:val="nil"/>
                    <w:tr2bl w:val="nil"/>
                  </w:tcBorders>
                  <w:noWrap w:val="0"/>
                  <w:vAlign w:val="center"/>
                </w:tcPr>
                <w:p w14:paraId="527A8755">
                  <w:pPr>
                    <w:pStyle w:val="148"/>
                    <w:rPr>
                      <w:b/>
                      <w:bCs/>
                      <w:color w:val="auto"/>
                      <w:sz w:val="21"/>
                      <w:szCs w:val="21"/>
                    </w:rPr>
                  </w:pPr>
                  <w:r>
                    <w:rPr>
                      <w:b/>
                      <w:bCs/>
                      <w:color w:val="auto"/>
                      <w:sz w:val="21"/>
                      <w:szCs w:val="21"/>
                    </w:rPr>
                    <w:t>备注</w:t>
                  </w:r>
                </w:p>
              </w:tc>
            </w:tr>
            <w:tr w14:paraId="51D178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89" w:type="pct"/>
                  <w:vMerge w:val="continue"/>
                  <w:tcBorders>
                    <w:tl2br w:val="nil"/>
                    <w:tr2bl w:val="nil"/>
                  </w:tcBorders>
                  <w:noWrap w:val="0"/>
                  <w:vAlign w:val="center"/>
                </w:tcPr>
                <w:p w14:paraId="5577D008">
                  <w:pPr>
                    <w:pStyle w:val="148"/>
                    <w:rPr>
                      <w:b/>
                      <w:bCs/>
                      <w:color w:val="auto"/>
                      <w:sz w:val="21"/>
                      <w:szCs w:val="21"/>
                    </w:rPr>
                  </w:pPr>
                </w:p>
              </w:tc>
              <w:tc>
                <w:tcPr>
                  <w:tcW w:w="649" w:type="pct"/>
                  <w:vMerge w:val="continue"/>
                  <w:tcBorders>
                    <w:tl2br w:val="nil"/>
                    <w:tr2bl w:val="nil"/>
                  </w:tcBorders>
                  <w:noWrap w:val="0"/>
                  <w:vAlign w:val="center"/>
                </w:tcPr>
                <w:p w14:paraId="25A4C606">
                  <w:pPr>
                    <w:pStyle w:val="3935"/>
                    <w:keepNext w:val="0"/>
                    <w:keepLines w:val="0"/>
                    <w:suppressLineNumbers w:val="0"/>
                    <w:bidi w:val="0"/>
                    <w:spacing w:before="0" w:beforeAutospacing="0" w:after="0" w:afterAutospacing="0"/>
                    <w:ind w:left="0" w:leftChars="0" w:right="0" w:rightChars="0"/>
                    <w:rPr>
                      <w:rFonts w:hint="default" w:cs="Times New Roman"/>
                      <w:b/>
                      <w:bCs/>
                      <w:color w:val="auto"/>
                      <w:sz w:val="21"/>
                      <w:szCs w:val="21"/>
                    </w:rPr>
                  </w:pPr>
                </w:p>
              </w:tc>
              <w:tc>
                <w:tcPr>
                  <w:tcW w:w="607" w:type="pct"/>
                  <w:tcBorders>
                    <w:tl2br w:val="nil"/>
                    <w:tr2bl w:val="nil"/>
                  </w:tcBorders>
                  <w:noWrap w:val="0"/>
                  <w:vAlign w:val="center"/>
                </w:tcPr>
                <w:p w14:paraId="7981F8F3">
                  <w:pPr>
                    <w:pStyle w:val="3935"/>
                    <w:keepNext w:val="0"/>
                    <w:keepLines w:val="0"/>
                    <w:suppressLineNumbers w:val="0"/>
                    <w:bidi w:val="0"/>
                    <w:spacing w:before="0" w:beforeAutospacing="0" w:after="0" w:afterAutospacing="0"/>
                    <w:ind w:left="0" w:leftChars="0" w:right="0" w:rightChars="0"/>
                    <w:rPr>
                      <w:rFonts w:hint="eastAsia" w:eastAsia="宋体" w:cs="Times New Roman"/>
                      <w:b/>
                      <w:bCs/>
                      <w:color w:val="auto"/>
                      <w:sz w:val="21"/>
                      <w:szCs w:val="21"/>
                      <w:lang w:eastAsia="zh-CN"/>
                    </w:rPr>
                  </w:pPr>
                  <w:r>
                    <w:rPr>
                      <w:rFonts w:hint="eastAsia" w:cs="Times New Roman"/>
                      <w:b/>
                      <w:bCs/>
                      <w:color w:val="auto"/>
                      <w:sz w:val="21"/>
                      <w:szCs w:val="21"/>
                      <w:lang w:eastAsia="zh-CN"/>
                    </w:rPr>
                    <w:t>技改前</w:t>
                  </w:r>
                </w:p>
              </w:tc>
              <w:tc>
                <w:tcPr>
                  <w:tcW w:w="327" w:type="pct"/>
                  <w:tcBorders>
                    <w:tl2br w:val="nil"/>
                    <w:tr2bl w:val="nil"/>
                  </w:tcBorders>
                  <w:noWrap w:val="0"/>
                  <w:vAlign w:val="center"/>
                </w:tcPr>
                <w:p w14:paraId="79C233F1">
                  <w:pPr>
                    <w:pStyle w:val="3935"/>
                    <w:keepNext w:val="0"/>
                    <w:keepLines w:val="0"/>
                    <w:suppressLineNumbers w:val="0"/>
                    <w:bidi w:val="0"/>
                    <w:spacing w:before="0" w:beforeAutospacing="0" w:after="0" w:afterAutospacing="0"/>
                    <w:ind w:left="0" w:leftChars="0" w:right="0" w:rightChars="0"/>
                    <w:rPr>
                      <w:rFonts w:hint="eastAsia" w:eastAsia="宋体" w:cs="Times New Roman"/>
                      <w:b/>
                      <w:bCs/>
                      <w:color w:val="auto"/>
                      <w:sz w:val="21"/>
                      <w:szCs w:val="21"/>
                      <w:lang w:eastAsia="zh-CN"/>
                    </w:rPr>
                  </w:pPr>
                  <w:r>
                    <w:rPr>
                      <w:rFonts w:hint="eastAsia" w:cs="Times New Roman"/>
                      <w:b/>
                      <w:bCs/>
                      <w:color w:val="auto"/>
                      <w:sz w:val="21"/>
                      <w:szCs w:val="21"/>
                      <w:lang w:eastAsia="zh-CN"/>
                    </w:rPr>
                    <w:t>技改后</w:t>
                  </w:r>
                </w:p>
              </w:tc>
              <w:tc>
                <w:tcPr>
                  <w:tcW w:w="328" w:type="pct"/>
                  <w:tcBorders>
                    <w:tl2br w:val="nil"/>
                    <w:tr2bl w:val="nil"/>
                  </w:tcBorders>
                  <w:noWrap w:val="0"/>
                  <w:vAlign w:val="center"/>
                </w:tcPr>
                <w:p w14:paraId="768FFC5C">
                  <w:pPr>
                    <w:pStyle w:val="3935"/>
                    <w:keepNext w:val="0"/>
                    <w:keepLines w:val="0"/>
                    <w:suppressLineNumbers w:val="0"/>
                    <w:bidi w:val="0"/>
                    <w:spacing w:before="0" w:beforeAutospacing="0" w:after="0" w:afterAutospacing="0"/>
                    <w:ind w:left="0" w:leftChars="0" w:right="0" w:rightChars="0"/>
                    <w:rPr>
                      <w:rFonts w:hint="eastAsia" w:eastAsia="宋体" w:cs="Times New Roman"/>
                      <w:b/>
                      <w:bCs/>
                      <w:color w:val="auto"/>
                      <w:sz w:val="21"/>
                      <w:szCs w:val="21"/>
                      <w:lang w:eastAsia="zh-CN"/>
                    </w:rPr>
                  </w:pPr>
                  <w:r>
                    <w:rPr>
                      <w:rFonts w:hint="eastAsia" w:cs="Times New Roman"/>
                      <w:b/>
                      <w:bCs/>
                      <w:color w:val="auto"/>
                      <w:sz w:val="21"/>
                      <w:szCs w:val="21"/>
                      <w:lang w:eastAsia="zh-CN"/>
                    </w:rPr>
                    <w:t>增减量</w:t>
                  </w:r>
                </w:p>
              </w:tc>
              <w:tc>
                <w:tcPr>
                  <w:tcW w:w="327" w:type="pct"/>
                  <w:vMerge w:val="continue"/>
                  <w:tcBorders>
                    <w:tl2br w:val="nil"/>
                    <w:tr2bl w:val="nil"/>
                  </w:tcBorders>
                  <w:noWrap w:val="0"/>
                  <w:vAlign w:val="center"/>
                </w:tcPr>
                <w:p w14:paraId="412216D5">
                  <w:pPr>
                    <w:pStyle w:val="3935"/>
                    <w:keepNext w:val="0"/>
                    <w:keepLines w:val="0"/>
                    <w:suppressLineNumbers w:val="0"/>
                    <w:bidi w:val="0"/>
                    <w:spacing w:before="0" w:beforeAutospacing="0" w:after="0" w:afterAutospacing="0"/>
                    <w:ind w:left="0" w:leftChars="0" w:right="0" w:rightChars="0"/>
                    <w:rPr>
                      <w:rFonts w:hint="default" w:cs="Times New Roman"/>
                      <w:b/>
                      <w:bCs/>
                      <w:color w:val="auto"/>
                      <w:sz w:val="21"/>
                      <w:szCs w:val="21"/>
                    </w:rPr>
                  </w:pPr>
                </w:p>
              </w:tc>
              <w:tc>
                <w:tcPr>
                  <w:tcW w:w="613" w:type="pct"/>
                  <w:vMerge w:val="continue"/>
                  <w:tcBorders>
                    <w:tl2br w:val="nil"/>
                    <w:tr2bl w:val="nil"/>
                  </w:tcBorders>
                  <w:noWrap w:val="0"/>
                  <w:vAlign w:val="center"/>
                </w:tcPr>
                <w:p w14:paraId="051ADDE9">
                  <w:pPr>
                    <w:pStyle w:val="3935"/>
                    <w:keepNext w:val="0"/>
                    <w:keepLines w:val="0"/>
                    <w:suppressLineNumbers w:val="0"/>
                    <w:bidi w:val="0"/>
                    <w:spacing w:before="0" w:beforeAutospacing="0" w:after="0" w:afterAutospacing="0"/>
                    <w:ind w:left="0" w:leftChars="0" w:right="0" w:rightChars="0"/>
                    <w:rPr>
                      <w:rFonts w:hint="default" w:cs="Times New Roman"/>
                      <w:b/>
                      <w:bCs/>
                      <w:color w:val="auto"/>
                      <w:sz w:val="21"/>
                      <w:szCs w:val="21"/>
                    </w:rPr>
                  </w:pPr>
                </w:p>
              </w:tc>
              <w:tc>
                <w:tcPr>
                  <w:tcW w:w="535" w:type="pct"/>
                  <w:vMerge w:val="continue"/>
                  <w:tcBorders>
                    <w:tl2br w:val="nil"/>
                    <w:tr2bl w:val="nil"/>
                  </w:tcBorders>
                  <w:noWrap w:val="0"/>
                  <w:vAlign w:val="center"/>
                </w:tcPr>
                <w:p w14:paraId="1A60DF17">
                  <w:pPr>
                    <w:pStyle w:val="3935"/>
                    <w:keepNext w:val="0"/>
                    <w:keepLines w:val="0"/>
                    <w:suppressLineNumbers w:val="0"/>
                    <w:bidi w:val="0"/>
                    <w:spacing w:before="0" w:beforeAutospacing="0" w:after="0" w:afterAutospacing="0"/>
                    <w:ind w:left="0" w:leftChars="0" w:right="0" w:rightChars="0"/>
                    <w:rPr>
                      <w:rFonts w:hint="default" w:cs="Times New Roman"/>
                      <w:b/>
                      <w:bCs/>
                      <w:color w:val="auto"/>
                      <w:sz w:val="21"/>
                      <w:szCs w:val="21"/>
                    </w:rPr>
                  </w:pPr>
                </w:p>
              </w:tc>
              <w:tc>
                <w:tcPr>
                  <w:tcW w:w="475" w:type="pct"/>
                  <w:vMerge w:val="continue"/>
                  <w:tcBorders>
                    <w:tl2br w:val="nil"/>
                    <w:tr2bl w:val="nil"/>
                  </w:tcBorders>
                  <w:noWrap w:val="0"/>
                  <w:vAlign w:val="center"/>
                </w:tcPr>
                <w:p w14:paraId="6FD0CA82">
                  <w:pPr>
                    <w:pStyle w:val="3935"/>
                    <w:keepNext w:val="0"/>
                    <w:keepLines w:val="0"/>
                    <w:suppressLineNumbers w:val="0"/>
                    <w:bidi w:val="0"/>
                    <w:spacing w:before="0" w:beforeAutospacing="0" w:after="0" w:afterAutospacing="0"/>
                    <w:ind w:left="0" w:leftChars="0" w:right="0" w:rightChars="0"/>
                    <w:rPr>
                      <w:rFonts w:hint="default" w:cs="Times New Roman"/>
                      <w:b/>
                      <w:bCs/>
                      <w:color w:val="auto"/>
                      <w:sz w:val="21"/>
                      <w:szCs w:val="21"/>
                    </w:rPr>
                  </w:pPr>
                </w:p>
              </w:tc>
              <w:tc>
                <w:tcPr>
                  <w:tcW w:w="475" w:type="pct"/>
                  <w:vMerge w:val="continue"/>
                  <w:tcBorders>
                    <w:tl2br w:val="nil"/>
                    <w:tr2bl w:val="nil"/>
                  </w:tcBorders>
                  <w:noWrap w:val="0"/>
                  <w:vAlign w:val="center"/>
                </w:tcPr>
                <w:p w14:paraId="49F9D210">
                  <w:pPr>
                    <w:pStyle w:val="3935"/>
                    <w:keepNext w:val="0"/>
                    <w:keepLines w:val="0"/>
                    <w:suppressLineNumbers w:val="0"/>
                    <w:bidi w:val="0"/>
                    <w:spacing w:before="0" w:beforeAutospacing="0" w:after="0" w:afterAutospacing="0"/>
                    <w:ind w:left="0" w:leftChars="0" w:right="0" w:rightChars="0"/>
                    <w:rPr>
                      <w:rFonts w:hint="default" w:cs="Times New Roman"/>
                      <w:b/>
                      <w:bCs/>
                      <w:color w:val="auto"/>
                      <w:sz w:val="21"/>
                      <w:szCs w:val="21"/>
                    </w:rPr>
                  </w:pPr>
                </w:p>
              </w:tc>
              <w:tc>
                <w:tcPr>
                  <w:tcW w:w="370" w:type="pct"/>
                  <w:vMerge w:val="continue"/>
                  <w:tcBorders>
                    <w:tl2br w:val="nil"/>
                    <w:tr2bl w:val="nil"/>
                  </w:tcBorders>
                  <w:noWrap w:val="0"/>
                  <w:vAlign w:val="center"/>
                </w:tcPr>
                <w:p w14:paraId="524F1F84">
                  <w:pPr>
                    <w:pStyle w:val="148"/>
                    <w:rPr>
                      <w:b/>
                      <w:bCs/>
                      <w:color w:val="auto"/>
                      <w:sz w:val="21"/>
                      <w:szCs w:val="21"/>
                    </w:rPr>
                  </w:pPr>
                </w:p>
              </w:tc>
            </w:tr>
            <w:tr w14:paraId="1200FB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89" w:type="pct"/>
                  <w:tcBorders>
                    <w:tl2br w:val="nil"/>
                    <w:tr2bl w:val="nil"/>
                  </w:tcBorders>
                  <w:noWrap w:val="0"/>
                  <w:vAlign w:val="center"/>
                </w:tcPr>
                <w:p w14:paraId="24DE1E19">
                  <w:pPr>
                    <w:pStyle w:val="148"/>
                    <w:rPr>
                      <w:color w:val="auto"/>
                      <w:sz w:val="21"/>
                      <w:szCs w:val="21"/>
                    </w:rPr>
                  </w:pPr>
                  <w:r>
                    <w:rPr>
                      <w:color w:val="auto"/>
                      <w:sz w:val="21"/>
                      <w:szCs w:val="21"/>
                    </w:rPr>
                    <w:t>1</w:t>
                  </w:r>
                </w:p>
              </w:tc>
              <w:tc>
                <w:tcPr>
                  <w:tcW w:w="649" w:type="pct"/>
                  <w:tcBorders>
                    <w:tl2br w:val="nil"/>
                    <w:tr2bl w:val="nil"/>
                  </w:tcBorders>
                  <w:noWrap w:val="0"/>
                  <w:vAlign w:val="center"/>
                </w:tcPr>
                <w:p w14:paraId="275EEBE7">
                  <w:pPr>
                    <w:pStyle w:val="3935"/>
                    <w:keepNext w:val="0"/>
                    <w:keepLines w:val="0"/>
                    <w:suppressLineNumbers w:val="0"/>
                    <w:bidi w:val="0"/>
                    <w:spacing w:before="0" w:beforeAutospacing="0" w:after="0" w:afterAutospacing="0"/>
                    <w:ind w:left="0" w:leftChars="0" w:right="0" w:rightChars="0"/>
                    <w:rPr>
                      <w:rFonts w:hint="eastAsia" w:eastAsia="宋体"/>
                      <w:color w:val="auto"/>
                      <w:sz w:val="21"/>
                      <w:szCs w:val="21"/>
                      <w:lang w:eastAsia="zh-CN"/>
                    </w:rPr>
                  </w:pPr>
                  <w:r>
                    <w:rPr>
                      <w:rFonts w:hint="default" w:cs="Times New Roman"/>
                      <w:color w:val="auto"/>
                      <w:sz w:val="21"/>
                      <w:szCs w:val="21"/>
                    </w:rPr>
                    <w:t>液氧罐区</w:t>
                  </w:r>
                  <w:r>
                    <w:rPr>
                      <w:rFonts w:hint="eastAsia" w:cs="Times New Roman"/>
                      <w:color w:val="auto"/>
                      <w:sz w:val="21"/>
                      <w:szCs w:val="21"/>
                      <w:lang w:eastAsia="zh-CN"/>
                    </w:rPr>
                    <w:t>三</w:t>
                  </w:r>
                </w:p>
              </w:tc>
              <w:tc>
                <w:tcPr>
                  <w:tcW w:w="607" w:type="pct"/>
                  <w:tcBorders>
                    <w:tl2br w:val="nil"/>
                    <w:tr2bl w:val="nil"/>
                  </w:tcBorders>
                  <w:noWrap w:val="0"/>
                  <w:vAlign w:val="center"/>
                </w:tcPr>
                <w:p w14:paraId="0E5C45E0">
                  <w:pPr>
                    <w:pStyle w:val="3935"/>
                    <w:keepNext w:val="0"/>
                    <w:keepLines w:val="0"/>
                    <w:suppressLineNumbers w:val="0"/>
                    <w:bidi w:val="0"/>
                    <w:spacing w:before="0" w:beforeAutospacing="0" w:after="0" w:afterAutospacing="0"/>
                    <w:ind w:left="0" w:leftChars="0" w:right="0" w:rightChars="0"/>
                    <w:rPr>
                      <w:rFonts w:hint="default" w:eastAsia="宋体"/>
                      <w:color w:val="auto"/>
                      <w:sz w:val="21"/>
                      <w:szCs w:val="21"/>
                      <w:lang w:val="en-US" w:eastAsia="zh-CN"/>
                    </w:rPr>
                  </w:pPr>
                  <w:r>
                    <w:rPr>
                      <w:rFonts w:hint="default" w:cs="Times New Roman"/>
                      <w:color w:val="auto"/>
                      <w:sz w:val="21"/>
                      <w:szCs w:val="21"/>
                    </w:rPr>
                    <w:t>200</w:t>
                  </w:r>
                </w:p>
              </w:tc>
              <w:tc>
                <w:tcPr>
                  <w:tcW w:w="327" w:type="pct"/>
                  <w:tcBorders>
                    <w:tl2br w:val="nil"/>
                    <w:tr2bl w:val="nil"/>
                  </w:tcBorders>
                  <w:noWrap w:val="0"/>
                  <w:vAlign w:val="center"/>
                </w:tcPr>
                <w:p w14:paraId="6BA4BBC7">
                  <w:pPr>
                    <w:pStyle w:val="3935"/>
                    <w:keepNext w:val="0"/>
                    <w:keepLines w:val="0"/>
                    <w:suppressLineNumbers w:val="0"/>
                    <w:bidi w:val="0"/>
                    <w:spacing w:before="0" w:beforeAutospacing="0" w:after="0" w:afterAutospacing="0"/>
                    <w:ind w:left="0" w:leftChars="0" w:right="0" w:rightChars="0"/>
                    <w:rPr>
                      <w:rFonts w:hint="default" w:cs="Times New Roman"/>
                      <w:color w:val="auto"/>
                      <w:sz w:val="21"/>
                      <w:szCs w:val="21"/>
                    </w:rPr>
                  </w:pPr>
                  <w:r>
                    <w:rPr>
                      <w:rFonts w:hint="default" w:cs="Times New Roman"/>
                      <w:color w:val="auto"/>
                      <w:sz w:val="21"/>
                      <w:szCs w:val="21"/>
                    </w:rPr>
                    <w:t>200</w:t>
                  </w:r>
                </w:p>
              </w:tc>
              <w:tc>
                <w:tcPr>
                  <w:tcW w:w="328" w:type="pct"/>
                  <w:tcBorders>
                    <w:tl2br w:val="nil"/>
                    <w:tr2bl w:val="nil"/>
                  </w:tcBorders>
                  <w:noWrap w:val="0"/>
                  <w:vAlign w:val="center"/>
                </w:tcPr>
                <w:p w14:paraId="2750A247">
                  <w:pPr>
                    <w:pStyle w:val="3935"/>
                    <w:keepNext w:val="0"/>
                    <w:keepLines w:val="0"/>
                    <w:suppressLineNumbers w:val="0"/>
                    <w:bidi w:val="0"/>
                    <w:spacing w:before="0" w:beforeAutospacing="0" w:after="0" w:afterAutospacing="0"/>
                    <w:ind w:left="0" w:leftChars="0" w:right="0" w:rightChars="0"/>
                    <w:rPr>
                      <w:rFonts w:hint="eastAsia" w:eastAsia="宋体" w:cs="Times New Roman"/>
                      <w:color w:val="auto"/>
                      <w:sz w:val="21"/>
                      <w:szCs w:val="21"/>
                      <w:lang w:val="en-US" w:eastAsia="zh-CN"/>
                    </w:rPr>
                  </w:pPr>
                  <w:r>
                    <w:rPr>
                      <w:rFonts w:hint="eastAsia" w:cs="Times New Roman"/>
                      <w:color w:val="auto"/>
                      <w:sz w:val="21"/>
                      <w:szCs w:val="21"/>
                      <w:lang w:val="en-US" w:eastAsia="zh-CN"/>
                    </w:rPr>
                    <w:t>0</w:t>
                  </w:r>
                </w:p>
              </w:tc>
              <w:tc>
                <w:tcPr>
                  <w:tcW w:w="327" w:type="pct"/>
                  <w:tcBorders>
                    <w:tl2br w:val="nil"/>
                    <w:tr2bl w:val="nil"/>
                  </w:tcBorders>
                  <w:noWrap w:val="0"/>
                  <w:vAlign w:val="center"/>
                </w:tcPr>
                <w:p w14:paraId="42B4D437">
                  <w:pPr>
                    <w:pStyle w:val="3935"/>
                    <w:keepNext w:val="0"/>
                    <w:keepLines w:val="0"/>
                    <w:suppressLineNumbers w:val="0"/>
                    <w:bidi w:val="0"/>
                    <w:spacing w:before="0" w:beforeAutospacing="0" w:after="0" w:afterAutospacing="0"/>
                    <w:ind w:left="0" w:leftChars="0" w:right="0" w:rightChars="0"/>
                    <w:rPr>
                      <w:rFonts w:hint="default" w:eastAsia="宋体"/>
                      <w:color w:val="auto"/>
                      <w:sz w:val="21"/>
                      <w:szCs w:val="21"/>
                      <w:lang w:val="en-US" w:eastAsia="zh-CN"/>
                    </w:rPr>
                  </w:pPr>
                  <w:r>
                    <w:rPr>
                      <w:rFonts w:hint="eastAsia"/>
                      <w:color w:val="auto"/>
                      <w:sz w:val="21"/>
                      <w:szCs w:val="21"/>
                      <w:lang w:val="en-US" w:eastAsia="zh-CN"/>
                    </w:rPr>
                    <w:t>/</w:t>
                  </w:r>
                </w:p>
              </w:tc>
              <w:tc>
                <w:tcPr>
                  <w:tcW w:w="613" w:type="pct"/>
                  <w:tcBorders>
                    <w:tl2br w:val="nil"/>
                    <w:tr2bl w:val="nil"/>
                  </w:tcBorders>
                  <w:noWrap w:val="0"/>
                  <w:vAlign w:val="center"/>
                </w:tcPr>
                <w:p w14:paraId="1E33258F">
                  <w:pPr>
                    <w:pStyle w:val="3935"/>
                    <w:keepNext w:val="0"/>
                    <w:keepLines w:val="0"/>
                    <w:suppressLineNumbers w:val="0"/>
                    <w:bidi w:val="0"/>
                    <w:spacing w:before="0" w:beforeAutospacing="0" w:after="0" w:afterAutospacing="0"/>
                    <w:ind w:left="0" w:leftChars="0" w:right="0" w:rightChars="0"/>
                    <w:rPr>
                      <w:rFonts w:hint="default" w:eastAsia="宋体"/>
                      <w:color w:val="auto"/>
                      <w:sz w:val="21"/>
                      <w:szCs w:val="21"/>
                      <w:lang w:val="en-US" w:eastAsia="zh-CN"/>
                    </w:rPr>
                  </w:pPr>
                  <w:r>
                    <w:rPr>
                      <w:rFonts w:hint="eastAsia"/>
                      <w:color w:val="auto"/>
                      <w:sz w:val="21"/>
                      <w:szCs w:val="21"/>
                      <w:lang w:val="en-US" w:eastAsia="zh-CN"/>
                    </w:rPr>
                    <w:t>/</w:t>
                  </w:r>
                </w:p>
              </w:tc>
              <w:tc>
                <w:tcPr>
                  <w:tcW w:w="535" w:type="pct"/>
                  <w:tcBorders>
                    <w:tl2br w:val="nil"/>
                    <w:tr2bl w:val="nil"/>
                  </w:tcBorders>
                  <w:noWrap w:val="0"/>
                  <w:vAlign w:val="center"/>
                </w:tcPr>
                <w:p w14:paraId="1F660C21">
                  <w:pPr>
                    <w:pStyle w:val="3935"/>
                    <w:keepNext w:val="0"/>
                    <w:keepLines w:val="0"/>
                    <w:suppressLineNumbers w:val="0"/>
                    <w:bidi w:val="0"/>
                    <w:spacing w:before="0" w:beforeAutospacing="0" w:after="0" w:afterAutospacing="0"/>
                    <w:ind w:left="0" w:leftChars="0" w:right="0" w:rightChars="0"/>
                    <w:rPr>
                      <w:rFonts w:hint="eastAsia" w:eastAsia="宋体"/>
                      <w:color w:val="auto"/>
                      <w:sz w:val="21"/>
                      <w:szCs w:val="21"/>
                      <w:lang w:val="en-US" w:eastAsia="zh-CN"/>
                    </w:rPr>
                  </w:pPr>
                  <w:r>
                    <w:rPr>
                      <w:rFonts w:hint="default" w:cs="Times New Roman"/>
                      <w:color w:val="auto"/>
                      <w:sz w:val="21"/>
                      <w:szCs w:val="21"/>
                    </w:rPr>
                    <w:t>二</w:t>
                  </w:r>
                </w:p>
              </w:tc>
              <w:tc>
                <w:tcPr>
                  <w:tcW w:w="475" w:type="pct"/>
                  <w:tcBorders>
                    <w:tl2br w:val="nil"/>
                    <w:tr2bl w:val="nil"/>
                  </w:tcBorders>
                  <w:noWrap w:val="0"/>
                  <w:vAlign w:val="center"/>
                </w:tcPr>
                <w:p w14:paraId="23A51B6A">
                  <w:pPr>
                    <w:pStyle w:val="3935"/>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rPr>
                  </w:pPr>
                  <w:r>
                    <w:rPr>
                      <w:rFonts w:hint="default" w:cs="Times New Roman"/>
                      <w:color w:val="auto"/>
                      <w:sz w:val="21"/>
                      <w:szCs w:val="21"/>
                    </w:rPr>
                    <w:t>构筑物</w:t>
                  </w:r>
                </w:p>
              </w:tc>
              <w:tc>
                <w:tcPr>
                  <w:tcW w:w="475" w:type="pct"/>
                  <w:tcBorders>
                    <w:tl2br w:val="nil"/>
                    <w:tr2bl w:val="nil"/>
                  </w:tcBorders>
                  <w:noWrap w:val="0"/>
                  <w:vAlign w:val="center"/>
                </w:tcPr>
                <w:p w14:paraId="467D2BDD">
                  <w:pPr>
                    <w:pStyle w:val="3935"/>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sz w:val="21"/>
                      <w:szCs w:val="21"/>
                      <w:lang w:val="en-US" w:eastAsia="zh-CN"/>
                    </w:rPr>
                  </w:pPr>
                  <w:r>
                    <w:rPr>
                      <w:rFonts w:hint="default" w:cs="Times New Roman"/>
                      <w:color w:val="auto"/>
                      <w:sz w:val="21"/>
                      <w:szCs w:val="21"/>
                    </w:rPr>
                    <w:t>乙类</w:t>
                  </w:r>
                </w:p>
              </w:tc>
              <w:tc>
                <w:tcPr>
                  <w:tcW w:w="370" w:type="pct"/>
                  <w:tcBorders>
                    <w:tl2br w:val="nil"/>
                    <w:tr2bl w:val="nil"/>
                  </w:tcBorders>
                  <w:noWrap w:val="0"/>
                  <w:vAlign w:val="center"/>
                </w:tcPr>
                <w:p w14:paraId="71687666">
                  <w:pPr>
                    <w:pStyle w:val="148"/>
                    <w:rPr>
                      <w:rFonts w:hint="eastAsia" w:eastAsiaTheme="minorEastAsia"/>
                      <w:color w:val="auto"/>
                      <w:sz w:val="21"/>
                      <w:szCs w:val="21"/>
                      <w:lang w:val="en-US" w:eastAsia="zh-CN"/>
                    </w:rPr>
                  </w:pPr>
                  <w:r>
                    <w:rPr>
                      <w:rFonts w:hint="eastAsia"/>
                      <w:color w:val="auto"/>
                      <w:sz w:val="21"/>
                      <w:szCs w:val="21"/>
                      <w:lang w:val="en-US" w:eastAsia="zh-CN"/>
                    </w:rPr>
                    <w:t>/</w:t>
                  </w:r>
                </w:p>
              </w:tc>
            </w:tr>
            <w:tr w14:paraId="773800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89" w:type="pct"/>
                  <w:tcBorders>
                    <w:tl2br w:val="nil"/>
                    <w:tr2bl w:val="nil"/>
                  </w:tcBorders>
                  <w:noWrap w:val="0"/>
                  <w:vAlign w:val="center"/>
                </w:tcPr>
                <w:p w14:paraId="4E750BB7">
                  <w:pPr>
                    <w:pStyle w:val="148"/>
                    <w:ind w:firstLine="0" w:firstLineChars="0"/>
                    <w:rPr>
                      <w:b/>
                      <w:bCs w:val="0"/>
                      <w:color w:val="auto"/>
                      <w:kern w:val="0"/>
                      <w:sz w:val="21"/>
                      <w:szCs w:val="21"/>
                      <w:lang w:val="en-US" w:eastAsia="zh-CN" w:bidi="ar-SA"/>
                    </w:rPr>
                  </w:pPr>
                  <w:r>
                    <w:rPr>
                      <w:b/>
                      <w:bCs w:val="0"/>
                      <w:color w:val="auto"/>
                      <w:sz w:val="21"/>
                      <w:szCs w:val="21"/>
                    </w:rPr>
                    <w:t>2</w:t>
                  </w:r>
                </w:p>
              </w:tc>
              <w:tc>
                <w:tcPr>
                  <w:tcW w:w="649" w:type="pct"/>
                  <w:tcBorders>
                    <w:tl2br w:val="nil"/>
                    <w:tr2bl w:val="nil"/>
                  </w:tcBorders>
                  <w:noWrap w:val="0"/>
                  <w:vAlign w:val="center"/>
                </w:tcPr>
                <w:p w14:paraId="22549DF4">
                  <w:pPr>
                    <w:pStyle w:val="3935"/>
                    <w:keepNext w:val="0"/>
                    <w:keepLines w:val="0"/>
                    <w:suppressLineNumbers w:val="0"/>
                    <w:bidi w:val="0"/>
                    <w:spacing w:before="0" w:beforeAutospacing="0" w:after="0" w:afterAutospacing="0"/>
                    <w:ind w:left="0" w:leftChars="0" w:right="0" w:rightChars="0"/>
                    <w:rPr>
                      <w:rFonts w:hint="eastAsia" w:eastAsia="宋体" w:cs="Times New Roman"/>
                      <w:b/>
                      <w:bCs w:val="0"/>
                      <w:color w:val="auto"/>
                      <w:sz w:val="21"/>
                      <w:szCs w:val="21"/>
                      <w:lang w:val="en-US" w:eastAsia="zh-CN"/>
                    </w:rPr>
                  </w:pPr>
                  <w:r>
                    <w:rPr>
                      <w:rFonts w:hint="default" w:cs="Times New Roman"/>
                      <w:b/>
                      <w:bCs w:val="0"/>
                      <w:color w:val="auto"/>
                      <w:sz w:val="21"/>
                      <w:szCs w:val="21"/>
                    </w:rPr>
                    <w:t>黄磷池</w:t>
                  </w:r>
                </w:p>
              </w:tc>
              <w:tc>
                <w:tcPr>
                  <w:tcW w:w="607" w:type="pct"/>
                  <w:tcBorders>
                    <w:tl2br w:val="nil"/>
                    <w:tr2bl w:val="nil"/>
                  </w:tcBorders>
                  <w:noWrap w:val="0"/>
                  <w:vAlign w:val="center"/>
                </w:tcPr>
                <w:p w14:paraId="7E3F2F13">
                  <w:pPr>
                    <w:pStyle w:val="3935"/>
                    <w:keepNext w:val="0"/>
                    <w:keepLines w:val="0"/>
                    <w:suppressLineNumbers w:val="0"/>
                    <w:bidi w:val="0"/>
                    <w:spacing w:before="0" w:beforeAutospacing="0" w:after="0" w:afterAutospacing="0"/>
                    <w:ind w:left="0" w:leftChars="0" w:right="0" w:rightChars="0"/>
                    <w:rPr>
                      <w:rFonts w:hint="default" w:eastAsia="宋体"/>
                      <w:b/>
                      <w:bCs w:val="0"/>
                      <w:color w:val="auto"/>
                      <w:sz w:val="21"/>
                      <w:szCs w:val="21"/>
                      <w:lang w:val="en-US" w:eastAsia="zh-CN"/>
                    </w:rPr>
                  </w:pPr>
                  <w:r>
                    <w:rPr>
                      <w:rFonts w:hint="eastAsia"/>
                      <w:b/>
                      <w:bCs w:val="0"/>
                      <w:color w:val="auto"/>
                      <w:sz w:val="21"/>
                      <w:szCs w:val="21"/>
                      <w:lang w:val="en-US" w:eastAsia="zh-CN"/>
                    </w:rPr>
                    <w:t>155</w:t>
                  </w:r>
                </w:p>
              </w:tc>
              <w:tc>
                <w:tcPr>
                  <w:tcW w:w="327" w:type="pct"/>
                  <w:tcBorders>
                    <w:tl2br w:val="nil"/>
                    <w:tr2bl w:val="nil"/>
                  </w:tcBorders>
                  <w:noWrap w:val="0"/>
                  <w:vAlign w:val="center"/>
                </w:tcPr>
                <w:p w14:paraId="74963208">
                  <w:pPr>
                    <w:pStyle w:val="3935"/>
                    <w:keepNext w:val="0"/>
                    <w:keepLines w:val="0"/>
                    <w:suppressLineNumbers w:val="0"/>
                    <w:bidi w:val="0"/>
                    <w:spacing w:before="0" w:beforeAutospacing="0" w:after="0" w:afterAutospacing="0"/>
                    <w:ind w:left="0" w:leftChars="0" w:right="0" w:rightChars="0"/>
                    <w:rPr>
                      <w:rFonts w:hint="default" w:cs="Times New Roman"/>
                      <w:b/>
                      <w:bCs w:val="0"/>
                      <w:color w:val="auto"/>
                      <w:sz w:val="21"/>
                      <w:szCs w:val="21"/>
                      <w:lang w:val="en-US" w:eastAsia="zh-CN"/>
                    </w:rPr>
                  </w:pPr>
                  <w:r>
                    <w:rPr>
                      <w:rFonts w:hint="eastAsia" w:cs="Times New Roman"/>
                      <w:b/>
                      <w:bCs w:val="0"/>
                      <w:color w:val="auto"/>
                      <w:sz w:val="21"/>
                      <w:szCs w:val="21"/>
                      <w:lang w:val="en-US" w:eastAsia="zh-CN"/>
                    </w:rPr>
                    <w:t>291</w:t>
                  </w:r>
                </w:p>
              </w:tc>
              <w:tc>
                <w:tcPr>
                  <w:tcW w:w="328" w:type="pct"/>
                  <w:tcBorders>
                    <w:tl2br w:val="nil"/>
                    <w:tr2bl w:val="nil"/>
                  </w:tcBorders>
                  <w:noWrap w:val="0"/>
                  <w:vAlign w:val="center"/>
                </w:tcPr>
                <w:p w14:paraId="285B35B9">
                  <w:pPr>
                    <w:pStyle w:val="3935"/>
                    <w:keepNext w:val="0"/>
                    <w:keepLines w:val="0"/>
                    <w:suppressLineNumbers w:val="0"/>
                    <w:bidi w:val="0"/>
                    <w:spacing w:before="0" w:beforeAutospacing="0" w:after="0" w:afterAutospacing="0"/>
                    <w:ind w:left="0" w:leftChars="0" w:right="0" w:rightChars="0"/>
                    <w:rPr>
                      <w:rFonts w:hint="default" w:cs="Times New Roman"/>
                      <w:b/>
                      <w:bCs w:val="0"/>
                      <w:color w:val="auto"/>
                      <w:sz w:val="21"/>
                      <w:szCs w:val="21"/>
                      <w:lang w:val="en-US" w:eastAsia="zh-CN"/>
                    </w:rPr>
                  </w:pPr>
                  <w:r>
                    <w:rPr>
                      <w:rFonts w:hint="eastAsia" w:cs="Times New Roman"/>
                      <w:b/>
                      <w:bCs w:val="0"/>
                      <w:color w:val="auto"/>
                      <w:sz w:val="21"/>
                      <w:szCs w:val="21"/>
                      <w:lang w:val="en-US" w:eastAsia="zh-CN"/>
                    </w:rPr>
                    <w:t>+136</w:t>
                  </w:r>
                </w:p>
              </w:tc>
              <w:tc>
                <w:tcPr>
                  <w:tcW w:w="327" w:type="pct"/>
                  <w:tcBorders>
                    <w:tl2br w:val="nil"/>
                    <w:tr2bl w:val="nil"/>
                  </w:tcBorders>
                  <w:noWrap w:val="0"/>
                  <w:vAlign w:val="center"/>
                </w:tcPr>
                <w:p w14:paraId="47348066">
                  <w:pPr>
                    <w:pStyle w:val="3935"/>
                    <w:keepNext w:val="0"/>
                    <w:keepLines w:val="0"/>
                    <w:suppressLineNumbers w:val="0"/>
                    <w:bidi w:val="0"/>
                    <w:spacing w:before="0" w:beforeAutospacing="0" w:after="0" w:afterAutospacing="0"/>
                    <w:ind w:left="0" w:leftChars="0" w:right="0" w:rightChars="0"/>
                    <w:rPr>
                      <w:rFonts w:hint="default"/>
                      <w:b/>
                      <w:bCs w:val="0"/>
                      <w:color w:val="auto"/>
                      <w:sz w:val="21"/>
                      <w:szCs w:val="21"/>
                      <w:lang w:val="en-US" w:eastAsia="zh-CN"/>
                    </w:rPr>
                  </w:pPr>
                  <w:r>
                    <w:rPr>
                      <w:rFonts w:hint="eastAsia"/>
                      <w:b/>
                      <w:bCs w:val="0"/>
                      <w:color w:val="auto"/>
                      <w:sz w:val="21"/>
                      <w:szCs w:val="21"/>
                      <w:lang w:val="en-US" w:eastAsia="zh-CN"/>
                    </w:rPr>
                    <w:t>/</w:t>
                  </w:r>
                </w:p>
              </w:tc>
              <w:tc>
                <w:tcPr>
                  <w:tcW w:w="613" w:type="pct"/>
                  <w:tcBorders>
                    <w:tl2br w:val="nil"/>
                    <w:tr2bl w:val="nil"/>
                  </w:tcBorders>
                  <w:noWrap w:val="0"/>
                  <w:vAlign w:val="center"/>
                </w:tcPr>
                <w:p w14:paraId="0D211C67">
                  <w:pPr>
                    <w:pStyle w:val="3935"/>
                    <w:keepNext w:val="0"/>
                    <w:keepLines w:val="0"/>
                    <w:suppressLineNumbers w:val="0"/>
                    <w:bidi w:val="0"/>
                    <w:spacing w:before="0" w:beforeAutospacing="0" w:after="0" w:afterAutospacing="0"/>
                    <w:ind w:left="0" w:leftChars="0" w:right="0" w:rightChars="0"/>
                    <w:rPr>
                      <w:rFonts w:hint="default"/>
                      <w:b/>
                      <w:bCs w:val="0"/>
                      <w:color w:val="auto"/>
                      <w:sz w:val="21"/>
                      <w:szCs w:val="21"/>
                      <w:lang w:val="en-US" w:eastAsia="zh-CN"/>
                    </w:rPr>
                  </w:pPr>
                  <w:r>
                    <w:rPr>
                      <w:rFonts w:hint="eastAsia"/>
                      <w:b/>
                      <w:bCs w:val="0"/>
                      <w:color w:val="auto"/>
                      <w:sz w:val="21"/>
                      <w:szCs w:val="21"/>
                      <w:lang w:val="en-US" w:eastAsia="zh-CN"/>
                    </w:rPr>
                    <w:t>/</w:t>
                  </w:r>
                </w:p>
              </w:tc>
              <w:tc>
                <w:tcPr>
                  <w:tcW w:w="535" w:type="pct"/>
                  <w:tcBorders>
                    <w:tl2br w:val="nil"/>
                    <w:tr2bl w:val="nil"/>
                  </w:tcBorders>
                  <w:noWrap w:val="0"/>
                  <w:vAlign w:val="center"/>
                </w:tcPr>
                <w:p w14:paraId="2C861D13">
                  <w:pPr>
                    <w:pStyle w:val="3935"/>
                    <w:keepNext w:val="0"/>
                    <w:keepLines w:val="0"/>
                    <w:suppressLineNumbers w:val="0"/>
                    <w:bidi w:val="0"/>
                    <w:spacing w:before="0" w:beforeAutospacing="0" w:after="0" w:afterAutospacing="0"/>
                    <w:ind w:left="0" w:leftChars="0" w:right="0" w:rightChars="0"/>
                    <w:rPr>
                      <w:rFonts w:hint="default"/>
                      <w:b/>
                      <w:bCs w:val="0"/>
                      <w:color w:val="auto"/>
                      <w:sz w:val="21"/>
                      <w:szCs w:val="21"/>
                      <w:lang w:val="en-US" w:eastAsia="zh-CN"/>
                    </w:rPr>
                  </w:pPr>
                  <w:r>
                    <w:rPr>
                      <w:rFonts w:hint="default" w:cs="Times New Roman"/>
                      <w:b/>
                      <w:bCs w:val="0"/>
                      <w:color w:val="auto"/>
                      <w:sz w:val="21"/>
                      <w:szCs w:val="21"/>
                    </w:rPr>
                    <w:t>二</w:t>
                  </w:r>
                </w:p>
              </w:tc>
              <w:tc>
                <w:tcPr>
                  <w:tcW w:w="475" w:type="pct"/>
                  <w:tcBorders>
                    <w:tl2br w:val="nil"/>
                    <w:tr2bl w:val="nil"/>
                  </w:tcBorders>
                  <w:noWrap w:val="0"/>
                  <w:vAlign w:val="center"/>
                </w:tcPr>
                <w:p w14:paraId="2EDDEE1B">
                  <w:pPr>
                    <w:pStyle w:val="3935"/>
                    <w:keepNext w:val="0"/>
                    <w:keepLines w:val="0"/>
                    <w:suppressLineNumbers w:val="0"/>
                    <w:bidi w:val="0"/>
                    <w:spacing w:before="0" w:beforeAutospacing="0" w:after="0" w:afterAutospacing="0"/>
                    <w:ind w:left="0" w:leftChars="0" w:right="0" w:rightChars="0"/>
                    <w:rPr>
                      <w:rFonts w:hint="default" w:cs="Times New Roman"/>
                      <w:b/>
                      <w:bCs w:val="0"/>
                      <w:color w:val="auto"/>
                      <w:sz w:val="21"/>
                      <w:szCs w:val="21"/>
                      <w:lang w:val="en-US" w:eastAsia="zh-CN"/>
                    </w:rPr>
                  </w:pPr>
                  <w:r>
                    <w:rPr>
                      <w:rFonts w:hint="eastAsia" w:cs="Times New Roman"/>
                      <w:b/>
                      <w:bCs w:val="0"/>
                      <w:color w:val="auto"/>
                      <w:sz w:val="21"/>
                      <w:szCs w:val="21"/>
                      <w:lang w:val="en-US" w:eastAsia="zh-CN"/>
                    </w:rPr>
                    <w:t>材质316L</w:t>
                  </w:r>
                </w:p>
              </w:tc>
              <w:tc>
                <w:tcPr>
                  <w:tcW w:w="475" w:type="pct"/>
                  <w:tcBorders>
                    <w:tl2br w:val="nil"/>
                    <w:tr2bl w:val="nil"/>
                  </w:tcBorders>
                  <w:noWrap w:val="0"/>
                  <w:vAlign w:val="center"/>
                </w:tcPr>
                <w:p w14:paraId="5BBCFA14">
                  <w:pPr>
                    <w:pStyle w:val="3935"/>
                    <w:keepNext w:val="0"/>
                    <w:keepLines w:val="0"/>
                    <w:suppressLineNumbers w:val="0"/>
                    <w:bidi w:val="0"/>
                    <w:spacing w:before="0" w:beforeAutospacing="0" w:after="0" w:afterAutospacing="0"/>
                    <w:ind w:left="0" w:leftChars="0" w:right="0" w:rightChars="0"/>
                    <w:rPr>
                      <w:rFonts w:hint="default" w:cs="Times New Roman"/>
                      <w:b/>
                      <w:bCs w:val="0"/>
                      <w:color w:val="auto"/>
                      <w:sz w:val="21"/>
                      <w:szCs w:val="21"/>
                      <w:lang w:val="en-US" w:eastAsia="zh-CN"/>
                    </w:rPr>
                  </w:pPr>
                  <w:r>
                    <w:rPr>
                      <w:rFonts w:hint="default" w:cs="Times New Roman"/>
                      <w:b/>
                      <w:bCs w:val="0"/>
                      <w:color w:val="auto"/>
                      <w:sz w:val="21"/>
                      <w:szCs w:val="21"/>
                    </w:rPr>
                    <w:t>甲类</w:t>
                  </w:r>
                </w:p>
              </w:tc>
              <w:tc>
                <w:tcPr>
                  <w:tcW w:w="370" w:type="pct"/>
                  <w:tcBorders>
                    <w:tl2br w:val="nil"/>
                    <w:tr2bl w:val="nil"/>
                  </w:tcBorders>
                  <w:noWrap w:val="0"/>
                  <w:vAlign w:val="center"/>
                </w:tcPr>
                <w:p w14:paraId="0B23C2DB">
                  <w:pPr>
                    <w:pStyle w:val="148"/>
                    <w:rPr>
                      <w:rFonts w:hint="eastAsia" w:eastAsiaTheme="minorEastAsia"/>
                      <w:b/>
                      <w:bCs w:val="0"/>
                      <w:color w:val="auto"/>
                      <w:sz w:val="21"/>
                      <w:szCs w:val="21"/>
                      <w:lang w:val="en-US" w:eastAsia="zh-CN"/>
                    </w:rPr>
                  </w:pPr>
                  <w:r>
                    <w:rPr>
                      <w:rFonts w:hint="eastAsia"/>
                      <w:b/>
                      <w:bCs w:val="0"/>
                      <w:color w:val="auto"/>
                      <w:sz w:val="21"/>
                      <w:szCs w:val="21"/>
                      <w:lang w:val="en-US" w:eastAsia="zh-CN"/>
                    </w:rPr>
                    <w:t>/</w:t>
                  </w:r>
                </w:p>
              </w:tc>
            </w:tr>
            <w:tr w14:paraId="3EA8DB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89" w:type="pct"/>
                  <w:tcBorders>
                    <w:tl2br w:val="nil"/>
                    <w:tr2bl w:val="nil"/>
                  </w:tcBorders>
                  <w:noWrap w:val="0"/>
                  <w:vAlign w:val="center"/>
                </w:tcPr>
                <w:p w14:paraId="294478E6">
                  <w:pPr>
                    <w:pStyle w:val="148"/>
                    <w:ind w:firstLine="0" w:firstLineChars="0"/>
                    <w:rPr>
                      <w:b w:val="0"/>
                      <w:bCs w:val="0"/>
                      <w:color w:val="auto"/>
                      <w:kern w:val="0"/>
                      <w:sz w:val="21"/>
                      <w:szCs w:val="21"/>
                      <w:lang w:val="en-US" w:eastAsia="zh-CN" w:bidi="ar-SA"/>
                    </w:rPr>
                  </w:pPr>
                  <w:r>
                    <w:rPr>
                      <w:color w:val="auto"/>
                      <w:sz w:val="21"/>
                      <w:szCs w:val="21"/>
                    </w:rPr>
                    <w:t>3</w:t>
                  </w:r>
                </w:p>
              </w:tc>
              <w:tc>
                <w:tcPr>
                  <w:tcW w:w="649" w:type="pct"/>
                  <w:tcBorders>
                    <w:tl2br w:val="nil"/>
                    <w:tr2bl w:val="nil"/>
                  </w:tcBorders>
                  <w:noWrap w:val="0"/>
                  <w:vAlign w:val="center"/>
                </w:tcPr>
                <w:p w14:paraId="30596709">
                  <w:pPr>
                    <w:pStyle w:val="3935"/>
                    <w:keepNext w:val="0"/>
                    <w:keepLines w:val="0"/>
                    <w:suppressLineNumbers w:val="0"/>
                    <w:bidi w:val="0"/>
                    <w:spacing w:before="0" w:beforeAutospacing="0" w:after="0" w:afterAutospacing="0"/>
                    <w:ind w:left="0" w:leftChars="0" w:right="0" w:rightChars="0"/>
                    <w:rPr>
                      <w:rFonts w:hint="eastAsia" w:cs="Times New Roman"/>
                      <w:b w:val="0"/>
                      <w:bCs/>
                      <w:color w:val="auto"/>
                      <w:kern w:val="28"/>
                      <w:sz w:val="21"/>
                      <w:szCs w:val="21"/>
                      <w:lang w:val="en-US" w:eastAsia="zh-CN" w:bidi="ar-SA"/>
                    </w:rPr>
                  </w:pPr>
                  <w:r>
                    <w:rPr>
                      <w:rFonts w:hint="default" w:cs="Times New Roman"/>
                      <w:color w:val="auto"/>
                      <w:sz w:val="21"/>
                      <w:szCs w:val="21"/>
                    </w:rPr>
                    <w:t>罐区一</w:t>
                  </w:r>
                </w:p>
              </w:tc>
              <w:tc>
                <w:tcPr>
                  <w:tcW w:w="607" w:type="pct"/>
                  <w:tcBorders>
                    <w:tl2br w:val="nil"/>
                    <w:tr2bl w:val="nil"/>
                  </w:tcBorders>
                  <w:noWrap w:val="0"/>
                  <w:vAlign w:val="center"/>
                </w:tcPr>
                <w:p w14:paraId="0F5B79AB">
                  <w:pPr>
                    <w:pStyle w:val="3935"/>
                    <w:keepNext w:val="0"/>
                    <w:keepLines w:val="0"/>
                    <w:suppressLineNumbers w:val="0"/>
                    <w:bidi w:val="0"/>
                    <w:spacing w:before="0" w:beforeAutospacing="0" w:after="0" w:afterAutospacing="0"/>
                    <w:ind w:left="0" w:leftChars="0" w:right="0" w:rightChars="0"/>
                    <w:rPr>
                      <w:rFonts w:hint="eastAsia" w:cs="Times New Roman"/>
                      <w:b w:val="0"/>
                      <w:bCs/>
                      <w:color w:val="auto"/>
                      <w:kern w:val="28"/>
                      <w:sz w:val="21"/>
                      <w:szCs w:val="21"/>
                      <w:lang w:val="en-US" w:eastAsia="zh-CN" w:bidi="ar-SA"/>
                    </w:rPr>
                  </w:pPr>
                  <w:r>
                    <w:rPr>
                      <w:rFonts w:hint="default" w:cs="Times New Roman"/>
                      <w:color w:val="auto"/>
                      <w:sz w:val="21"/>
                      <w:szCs w:val="21"/>
                    </w:rPr>
                    <w:t>1881</w:t>
                  </w:r>
                </w:p>
              </w:tc>
              <w:tc>
                <w:tcPr>
                  <w:tcW w:w="327" w:type="pct"/>
                  <w:tcBorders>
                    <w:tl2br w:val="nil"/>
                    <w:tr2bl w:val="nil"/>
                  </w:tcBorders>
                  <w:noWrap w:val="0"/>
                  <w:vAlign w:val="center"/>
                </w:tcPr>
                <w:p w14:paraId="62A30583">
                  <w:pPr>
                    <w:pStyle w:val="3935"/>
                    <w:keepNext w:val="0"/>
                    <w:keepLines w:val="0"/>
                    <w:suppressLineNumbers w:val="0"/>
                    <w:bidi w:val="0"/>
                    <w:spacing w:before="0" w:beforeAutospacing="0" w:after="0" w:afterAutospacing="0"/>
                    <w:ind w:left="0" w:leftChars="0" w:right="0" w:rightChars="0"/>
                    <w:rPr>
                      <w:rFonts w:hint="default" w:cs="Times New Roman"/>
                      <w:color w:val="auto"/>
                      <w:sz w:val="21"/>
                      <w:szCs w:val="21"/>
                    </w:rPr>
                  </w:pPr>
                  <w:r>
                    <w:rPr>
                      <w:rFonts w:hint="default" w:cs="Times New Roman"/>
                      <w:color w:val="auto"/>
                      <w:sz w:val="21"/>
                      <w:szCs w:val="21"/>
                    </w:rPr>
                    <w:t>1881</w:t>
                  </w:r>
                </w:p>
              </w:tc>
              <w:tc>
                <w:tcPr>
                  <w:tcW w:w="328" w:type="pct"/>
                  <w:tcBorders>
                    <w:tl2br w:val="nil"/>
                    <w:tr2bl w:val="nil"/>
                  </w:tcBorders>
                  <w:noWrap w:val="0"/>
                  <w:vAlign w:val="center"/>
                </w:tcPr>
                <w:p w14:paraId="3FA57163">
                  <w:pPr>
                    <w:pStyle w:val="3935"/>
                    <w:keepNext w:val="0"/>
                    <w:keepLines w:val="0"/>
                    <w:suppressLineNumbers w:val="0"/>
                    <w:bidi w:val="0"/>
                    <w:spacing w:before="0" w:beforeAutospacing="0" w:after="0" w:afterAutospacing="0"/>
                    <w:ind w:left="0" w:leftChars="0" w:right="0" w:rightChars="0"/>
                    <w:rPr>
                      <w:rFonts w:hint="eastAsia" w:eastAsia="宋体" w:cs="Times New Roman"/>
                      <w:color w:val="auto"/>
                      <w:sz w:val="21"/>
                      <w:szCs w:val="21"/>
                      <w:lang w:val="en-US" w:eastAsia="zh-CN"/>
                    </w:rPr>
                  </w:pPr>
                  <w:r>
                    <w:rPr>
                      <w:rFonts w:hint="eastAsia" w:cs="Times New Roman"/>
                      <w:color w:val="auto"/>
                      <w:sz w:val="21"/>
                      <w:szCs w:val="21"/>
                      <w:lang w:val="en-US" w:eastAsia="zh-CN"/>
                    </w:rPr>
                    <w:t>0</w:t>
                  </w:r>
                </w:p>
              </w:tc>
              <w:tc>
                <w:tcPr>
                  <w:tcW w:w="327" w:type="pct"/>
                  <w:tcBorders>
                    <w:tl2br w:val="nil"/>
                    <w:tr2bl w:val="nil"/>
                  </w:tcBorders>
                  <w:noWrap w:val="0"/>
                  <w:vAlign w:val="center"/>
                </w:tcPr>
                <w:p w14:paraId="0CDC412F">
                  <w:pPr>
                    <w:pStyle w:val="3935"/>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eastAsia"/>
                      <w:color w:val="auto"/>
                      <w:sz w:val="21"/>
                      <w:szCs w:val="21"/>
                      <w:lang w:val="en-US" w:eastAsia="zh-CN"/>
                    </w:rPr>
                    <w:t>/</w:t>
                  </w:r>
                </w:p>
              </w:tc>
              <w:tc>
                <w:tcPr>
                  <w:tcW w:w="613" w:type="pct"/>
                  <w:tcBorders>
                    <w:tl2br w:val="nil"/>
                    <w:tr2bl w:val="nil"/>
                  </w:tcBorders>
                  <w:noWrap w:val="0"/>
                  <w:vAlign w:val="center"/>
                </w:tcPr>
                <w:p w14:paraId="5C0CE3DF">
                  <w:pPr>
                    <w:pStyle w:val="3935"/>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eastAsia"/>
                      <w:color w:val="auto"/>
                      <w:sz w:val="21"/>
                      <w:szCs w:val="21"/>
                      <w:lang w:val="en-US" w:eastAsia="zh-CN"/>
                    </w:rPr>
                    <w:t>/</w:t>
                  </w:r>
                </w:p>
              </w:tc>
              <w:tc>
                <w:tcPr>
                  <w:tcW w:w="535" w:type="pct"/>
                  <w:tcBorders>
                    <w:tl2br w:val="nil"/>
                    <w:tr2bl w:val="nil"/>
                  </w:tcBorders>
                  <w:noWrap w:val="0"/>
                  <w:vAlign w:val="center"/>
                </w:tcPr>
                <w:p w14:paraId="694762EB">
                  <w:pPr>
                    <w:pStyle w:val="3935"/>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s="Times New Roman"/>
                      <w:color w:val="auto"/>
                      <w:sz w:val="21"/>
                      <w:szCs w:val="21"/>
                    </w:rPr>
                    <w:t>二</w:t>
                  </w:r>
                </w:p>
              </w:tc>
              <w:tc>
                <w:tcPr>
                  <w:tcW w:w="475" w:type="pct"/>
                  <w:tcBorders>
                    <w:tl2br w:val="nil"/>
                    <w:tr2bl w:val="nil"/>
                  </w:tcBorders>
                  <w:noWrap w:val="0"/>
                  <w:vAlign w:val="center"/>
                </w:tcPr>
                <w:p w14:paraId="6944ABE8">
                  <w:pPr>
                    <w:pStyle w:val="3935"/>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s="Times New Roman"/>
                      <w:color w:val="auto"/>
                      <w:sz w:val="21"/>
                      <w:szCs w:val="21"/>
                    </w:rPr>
                    <w:t>砼结构</w:t>
                  </w:r>
                </w:p>
              </w:tc>
              <w:tc>
                <w:tcPr>
                  <w:tcW w:w="475" w:type="pct"/>
                  <w:tcBorders>
                    <w:tl2br w:val="nil"/>
                    <w:tr2bl w:val="nil"/>
                  </w:tcBorders>
                  <w:noWrap w:val="0"/>
                  <w:vAlign w:val="center"/>
                </w:tcPr>
                <w:p w14:paraId="44BA53AC">
                  <w:pPr>
                    <w:pStyle w:val="3935"/>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s="Times New Roman"/>
                      <w:color w:val="auto"/>
                      <w:sz w:val="21"/>
                      <w:szCs w:val="21"/>
                    </w:rPr>
                    <w:t>戊类</w:t>
                  </w:r>
                </w:p>
              </w:tc>
              <w:tc>
                <w:tcPr>
                  <w:tcW w:w="370" w:type="pct"/>
                  <w:tcBorders>
                    <w:tl2br w:val="nil"/>
                    <w:tr2bl w:val="nil"/>
                  </w:tcBorders>
                  <w:noWrap w:val="0"/>
                  <w:vAlign w:val="center"/>
                </w:tcPr>
                <w:p w14:paraId="1AE24130">
                  <w:pPr>
                    <w:pStyle w:val="148"/>
                    <w:rPr>
                      <w:rFonts w:hint="eastAsia" w:eastAsiaTheme="minorEastAsia"/>
                      <w:color w:val="auto"/>
                      <w:sz w:val="21"/>
                      <w:szCs w:val="21"/>
                      <w:lang w:val="en-US" w:eastAsia="zh-CN"/>
                    </w:rPr>
                  </w:pPr>
                  <w:r>
                    <w:rPr>
                      <w:rFonts w:hint="eastAsia"/>
                      <w:color w:val="auto"/>
                      <w:sz w:val="21"/>
                      <w:szCs w:val="21"/>
                      <w:lang w:val="en-US" w:eastAsia="zh-CN"/>
                    </w:rPr>
                    <w:t>/</w:t>
                  </w:r>
                </w:p>
              </w:tc>
            </w:tr>
            <w:tr w14:paraId="12D4E1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89" w:type="pct"/>
                  <w:tcBorders>
                    <w:tl2br w:val="nil"/>
                    <w:tr2bl w:val="nil"/>
                  </w:tcBorders>
                  <w:noWrap w:val="0"/>
                  <w:vAlign w:val="center"/>
                </w:tcPr>
                <w:p w14:paraId="712AC000">
                  <w:pPr>
                    <w:pStyle w:val="148"/>
                    <w:ind w:firstLine="0" w:firstLineChars="0"/>
                    <w:rPr>
                      <w:b w:val="0"/>
                      <w:bCs w:val="0"/>
                      <w:color w:val="auto"/>
                      <w:kern w:val="0"/>
                      <w:sz w:val="21"/>
                      <w:szCs w:val="21"/>
                      <w:lang w:val="en-US" w:eastAsia="zh-CN" w:bidi="ar-SA"/>
                    </w:rPr>
                  </w:pPr>
                  <w:r>
                    <w:rPr>
                      <w:color w:val="auto"/>
                      <w:sz w:val="21"/>
                      <w:szCs w:val="21"/>
                    </w:rPr>
                    <w:t>4</w:t>
                  </w:r>
                </w:p>
              </w:tc>
              <w:tc>
                <w:tcPr>
                  <w:tcW w:w="649" w:type="pct"/>
                  <w:tcBorders>
                    <w:tl2br w:val="nil"/>
                    <w:tr2bl w:val="nil"/>
                  </w:tcBorders>
                  <w:noWrap w:val="0"/>
                  <w:vAlign w:val="center"/>
                </w:tcPr>
                <w:p w14:paraId="77589F38">
                  <w:pPr>
                    <w:pStyle w:val="3935"/>
                    <w:keepNext w:val="0"/>
                    <w:keepLines w:val="0"/>
                    <w:suppressLineNumbers w:val="0"/>
                    <w:bidi w:val="0"/>
                    <w:spacing w:before="0" w:beforeAutospacing="0" w:after="0" w:afterAutospacing="0"/>
                    <w:ind w:left="0" w:leftChars="0" w:right="0" w:rightChars="0"/>
                    <w:rPr>
                      <w:rFonts w:hint="eastAsia" w:cs="Times New Roman"/>
                      <w:b w:val="0"/>
                      <w:bCs/>
                      <w:color w:val="auto"/>
                      <w:kern w:val="28"/>
                      <w:sz w:val="21"/>
                      <w:szCs w:val="21"/>
                      <w:lang w:val="en-US" w:eastAsia="zh-CN" w:bidi="ar-SA"/>
                    </w:rPr>
                  </w:pPr>
                  <w:r>
                    <w:rPr>
                      <w:rFonts w:hint="default" w:cs="Times New Roman"/>
                      <w:color w:val="auto"/>
                      <w:sz w:val="21"/>
                      <w:szCs w:val="21"/>
                    </w:rPr>
                    <w:t>罐区二</w:t>
                  </w:r>
                </w:p>
              </w:tc>
              <w:tc>
                <w:tcPr>
                  <w:tcW w:w="607" w:type="pct"/>
                  <w:tcBorders>
                    <w:tl2br w:val="nil"/>
                    <w:tr2bl w:val="nil"/>
                  </w:tcBorders>
                  <w:noWrap w:val="0"/>
                  <w:vAlign w:val="center"/>
                </w:tcPr>
                <w:p w14:paraId="49C66164">
                  <w:pPr>
                    <w:pStyle w:val="3935"/>
                    <w:keepNext w:val="0"/>
                    <w:keepLines w:val="0"/>
                    <w:suppressLineNumbers w:val="0"/>
                    <w:bidi w:val="0"/>
                    <w:spacing w:before="0" w:beforeAutospacing="0" w:after="0" w:afterAutospacing="0"/>
                    <w:ind w:left="0" w:leftChars="0" w:right="0" w:rightChars="0"/>
                    <w:rPr>
                      <w:rFonts w:hint="eastAsia" w:cs="Times New Roman"/>
                      <w:b w:val="0"/>
                      <w:bCs/>
                      <w:color w:val="auto"/>
                      <w:kern w:val="28"/>
                      <w:sz w:val="21"/>
                      <w:szCs w:val="21"/>
                      <w:lang w:val="en-US" w:eastAsia="zh-CN" w:bidi="ar-SA"/>
                    </w:rPr>
                  </w:pPr>
                  <w:r>
                    <w:rPr>
                      <w:rFonts w:hint="default" w:cs="Times New Roman"/>
                      <w:color w:val="auto"/>
                      <w:sz w:val="21"/>
                      <w:szCs w:val="21"/>
                    </w:rPr>
                    <w:t>383</w:t>
                  </w:r>
                </w:p>
              </w:tc>
              <w:tc>
                <w:tcPr>
                  <w:tcW w:w="327" w:type="pct"/>
                  <w:tcBorders>
                    <w:tl2br w:val="nil"/>
                    <w:tr2bl w:val="nil"/>
                  </w:tcBorders>
                  <w:noWrap w:val="0"/>
                  <w:vAlign w:val="center"/>
                </w:tcPr>
                <w:p w14:paraId="7E847469">
                  <w:pPr>
                    <w:pStyle w:val="3935"/>
                    <w:keepNext w:val="0"/>
                    <w:keepLines w:val="0"/>
                    <w:suppressLineNumbers w:val="0"/>
                    <w:bidi w:val="0"/>
                    <w:spacing w:before="0" w:beforeAutospacing="0" w:after="0" w:afterAutospacing="0"/>
                    <w:ind w:left="0" w:leftChars="0" w:right="0" w:rightChars="0"/>
                    <w:rPr>
                      <w:rFonts w:hint="default" w:cs="Times New Roman"/>
                      <w:color w:val="auto"/>
                      <w:sz w:val="21"/>
                      <w:szCs w:val="21"/>
                    </w:rPr>
                  </w:pPr>
                  <w:r>
                    <w:rPr>
                      <w:rFonts w:hint="default" w:cs="Times New Roman"/>
                      <w:color w:val="auto"/>
                      <w:sz w:val="21"/>
                      <w:szCs w:val="21"/>
                    </w:rPr>
                    <w:t>383</w:t>
                  </w:r>
                </w:p>
              </w:tc>
              <w:tc>
                <w:tcPr>
                  <w:tcW w:w="328" w:type="pct"/>
                  <w:tcBorders>
                    <w:tl2br w:val="nil"/>
                    <w:tr2bl w:val="nil"/>
                  </w:tcBorders>
                  <w:noWrap w:val="0"/>
                  <w:vAlign w:val="center"/>
                </w:tcPr>
                <w:p w14:paraId="5C5A1577">
                  <w:pPr>
                    <w:pStyle w:val="3935"/>
                    <w:keepNext w:val="0"/>
                    <w:keepLines w:val="0"/>
                    <w:suppressLineNumbers w:val="0"/>
                    <w:bidi w:val="0"/>
                    <w:spacing w:before="0" w:beforeAutospacing="0" w:after="0" w:afterAutospacing="0"/>
                    <w:ind w:left="0" w:leftChars="0" w:right="0" w:rightChars="0"/>
                    <w:rPr>
                      <w:rFonts w:hint="eastAsia" w:eastAsia="宋体" w:cs="Times New Roman"/>
                      <w:color w:val="auto"/>
                      <w:sz w:val="21"/>
                      <w:szCs w:val="21"/>
                      <w:lang w:val="en-US" w:eastAsia="zh-CN"/>
                    </w:rPr>
                  </w:pPr>
                  <w:r>
                    <w:rPr>
                      <w:rFonts w:hint="eastAsia" w:cs="Times New Roman"/>
                      <w:color w:val="auto"/>
                      <w:sz w:val="21"/>
                      <w:szCs w:val="21"/>
                      <w:lang w:val="en-US" w:eastAsia="zh-CN"/>
                    </w:rPr>
                    <w:t>0</w:t>
                  </w:r>
                </w:p>
              </w:tc>
              <w:tc>
                <w:tcPr>
                  <w:tcW w:w="327" w:type="pct"/>
                  <w:tcBorders>
                    <w:tl2br w:val="nil"/>
                    <w:tr2bl w:val="nil"/>
                  </w:tcBorders>
                  <w:noWrap w:val="0"/>
                  <w:vAlign w:val="center"/>
                </w:tcPr>
                <w:p w14:paraId="28F822FE">
                  <w:pPr>
                    <w:pStyle w:val="3935"/>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eastAsia"/>
                      <w:color w:val="auto"/>
                      <w:sz w:val="21"/>
                      <w:szCs w:val="21"/>
                      <w:lang w:val="en-US" w:eastAsia="zh-CN"/>
                    </w:rPr>
                    <w:t>/</w:t>
                  </w:r>
                </w:p>
              </w:tc>
              <w:tc>
                <w:tcPr>
                  <w:tcW w:w="613" w:type="pct"/>
                  <w:tcBorders>
                    <w:tl2br w:val="nil"/>
                    <w:tr2bl w:val="nil"/>
                  </w:tcBorders>
                  <w:noWrap w:val="0"/>
                  <w:vAlign w:val="center"/>
                </w:tcPr>
                <w:p w14:paraId="0D4A0715">
                  <w:pPr>
                    <w:pStyle w:val="3935"/>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eastAsia"/>
                      <w:color w:val="auto"/>
                      <w:sz w:val="21"/>
                      <w:szCs w:val="21"/>
                      <w:lang w:val="en-US" w:eastAsia="zh-CN"/>
                    </w:rPr>
                    <w:t>/</w:t>
                  </w:r>
                </w:p>
              </w:tc>
              <w:tc>
                <w:tcPr>
                  <w:tcW w:w="535" w:type="pct"/>
                  <w:tcBorders>
                    <w:tl2br w:val="nil"/>
                    <w:tr2bl w:val="nil"/>
                  </w:tcBorders>
                  <w:noWrap w:val="0"/>
                  <w:vAlign w:val="center"/>
                </w:tcPr>
                <w:p w14:paraId="1C7D3F0D">
                  <w:pPr>
                    <w:pStyle w:val="3935"/>
                    <w:keepNext w:val="0"/>
                    <w:keepLines w:val="0"/>
                    <w:suppressLineNumbers w:val="0"/>
                    <w:bidi w:val="0"/>
                    <w:spacing w:before="0" w:beforeAutospacing="0" w:after="0" w:afterAutospacing="0"/>
                    <w:ind w:left="0" w:leftChars="0" w:right="0" w:rightChars="0"/>
                    <w:rPr>
                      <w:rFonts w:hint="eastAsia"/>
                      <w:color w:val="auto"/>
                      <w:sz w:val="21"/>
                      <w:szCs w:val="21"/>
                      <w:lang w:val="en-US" w:eastAsia="zh-CN"/>
                    </w:rPr>
                  </w:pPr>
                  <w:r>
                    <w:rPr>
                      <w:rFonts w:hint="default" w:cs="Times New Roman"/>
                      <w:color w:val="auto"/>
                      <w:sz w:val="21"/>
                      <w:szCs w:val="21"/>
                    </w:rPr>
                    <w:t>二</w:t>
                  </w:r>
                </w:p>
              </w:tc>
              <w:tc>
                <w:tcPr>
                  <w:tcW w:w="475" w:type="pct"/>
                  <w:tcBorders>
                    <w:tl2br w:val="nil"/>
                    <w:tr2bl w:val="nil"/>
                  </w:tcBorders>
                  <w:noWrap w:val="0"/>
                  <w:vAlign w:val="center"/>
                </w:tcPr>
                <w:p w14:paraId="32A19FD3">
                  <w:pPr>
                    <w:pStyle w:val="3935"/>
                    <w:keepNext w:val="0"/>
                    <w:keepLines w:val="0"/>
                    <w:suppressLineNumbers w:val="0"/>
                    <w:bidi w:val="0"/>
                    <w:spacing w:before="0" w:beforeAutospacing="0" w:after="0" w:afterAutospacing="0"/>
                    <w:ind w:left="0" w:leftChars="0" w:right="0" w:rightChars="0"/>
                    <w:rPr>
                      <w:rFonts w:hint="eastAsia"/>
                      <w:color w:val="auto"/>
                      <w:sz w:val="21"/>
                      <w:szCs w:val="21"/>
                      <w:lang w:val="en-US" w:eastAsia="zh-CN"/>
                    </w:rPr>
                  </w:pPr>
                  <w:r>
                    <w:rPr>
                      <w:rFonts w:hint="default" w:cs="Times New Roman"/>
                      <w:color w:val="auto"/>
                      <w:sz w:val="21"/>
                      <w:szCs w:val="21"/>
                    </w:rPr>
                    <w:t>砼结构</w:t>
                  </w:r>
                </w:p>
              </w:tc>
              <w:tc>
                <w:tcPr>
                  <w:tcW w:w="475" w:type="pct"/>
                  <w:tcBorders>
                    <w:tl2br w:val="nil"/>
                    <w:tr2bl w:val="nil"/>
                  </w:tcBorders>
                  <w:noWrap w:val="0"/>
                  <w:vAlign w:val="center"/>
                </w:tcPr>
                <w:p w14:paraId="75034AB3">
                  <w:pPr>
                    <w:pStyle w:val="3935"/>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s="Times New Roman"/>
                      <w:color w:val="auto"/>
                      <w:sz w:val="21"/>
                      <w:szCs w:val="21"/>
                    </w:rPr>
                    <w:t>戊类</w:t>
                  </w:r>
                </w:p>
              </w:tc>
              <w:tc>
                <w:tcPr>
                  <w:tcW w:w="370" w:type="pct"/>
                  <w:tcBorders>
                    <w:tl2br w:val="nil"/>
                    <w:tr2bl w:val="nil"/>
                  </w:tcBorders>
                  <w:noWrap w:val="0"/>
                  <w:vAlign w:val="center"/>
                </w:tcPr>
                <w:p w14:paraId="003B93C1">
                  <w:pPr>
                    <w:pStyle w:val="148"/>
                    <w:rPr>
                      <w:rFonts w:hint="eastAsia" w:eastAsiaTheme="minorEastAsia"/>
                      <w:color w:val="auto"/>
                      <w:sz w:val="21"/>
                      <w:szCs w:val="21"/>
                      <w:lang w:val="en-US" w:eastAsia="zh-CN"/>
                    </w:rPr>
                  </w:pPr>
                  <w:r>
                    <w:rPr>
                      <w:rFonts w:hint="eastAsia"/>
                      <w:color w:val="auto"/>
                      <w:sz w:val="21"/>
                      <w:szCs w:val="21"/>
                      <w:lang w:val="en-US" w:eastAsia="zh-CN"/>
                    </w:rPr>
                    <w:t>/</w:t>
                  </w:r>
                </w:p>
              </w:tc>
            </w:tr>
            <w:tr w14:paraId="1338C7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89" w:type="pct"/>
                  <w:tcBorders>
                    <w:tl2br w:val="nil"/>
                    <w:tr2bl w:val="nil"/>
                  </w:tcBorders>
                  <w:noWrap w:val="0"/>
                  <w:vAlign w:val="center"/>
                </w:tcPr>
                <w:p w14:paraId="2DBC99CC">
                  <w:pPr>
                    <w:pStyle w:val="148"/>
                    <w:ind w:firstLine="0" w:firstLineChars="0"/>
                    <w:rPr>
                      <w:b w:val="0"/>
                      <w:bCs w:val="0"/>
                      <w:color w:val="auto"/>
                      <w:kern w:val="0"/>
                      <w:sz w:val="21"/>
                      <w:szCs w:val="21"/>
                      <w:lang w:val="en-US" w:eastAsia="zh-CN" w:bidi="ar-SA"/>
                    </w:rPr>
                  </w:pPr>
                  <w:r>
                    <w:rPr>
                      <w:color w:val="auto"/>
                      <w:sz w:val="21"/>
                      <w:szCs w:val="21"/>
                    </w:rPr>
                    <w:t>5</w:t>
                  </w:r>
                </w:p>
              </w:tc>
              <w:tc>
                <w:tcPr>
                  <w:tcW w:w="649" w:type="pct"/>
                  <w:tcBorders>
                    <w:tl2br w:val="nil"/>
                    <w:tr2bl w:val="nil"/>
                  </w:tcBorders>
                  <w:noWrap w:val="0"/>
                  <w:vAlign w:val="center"/>
                </w:tcPr>
                <w:p w14:paraId="28B51238">
                  <w:pPr>
                    <w:pStyle w:val="3935"/>
                    <w:keepNext w:val="0"/>
                    <w:keepLines w:val="0"/>
                    <w:suppressLineNumbers w:val="0"/>
                    <w:bidi w:val="0"/>
                    <w:spacing w:before="0" w:beforeAutospacing="0" w:after="0" w:afterAutospacing="0"/>
                    <w:ind w:left="0" w:leftChars="0" w:right="0" w:rightChars="0"/>
                    <w:rPr>
                      <w:rFonts w:hint="default" w:cs="Times New Roman"/>
                      <w:b w:val="0"/>
                      <w:bCs/>
                      <w:color w:val="auto"/>
                      <w:kern w:val="28"/>
                      <w:sz w:val="21"/>
                      <w:szCs w:val="21"/>
                      <w:lang w:val="en-US" w:eastAsia="zh-CN" w:bidi="ar-SA"/>
                    </w:rPr>
                  </w:pPr>
                  <w:r>
                    <w:rPr>
                      <w:rFonts w:hint="default" w:cs="Times New Roman"/>
                      <w:color w:val="auto"/>
                      <w:sz w:val="21"/>
                      <w:szCs w:val="21"/>
                    </w:rPr>
                    <w:t>仓库</w:t>
                  </w:r>
                </w:p>
              </w:tc>
              <w:tc>
                <w:tcPr>
                  <w:tcW w:w="607" w:type="pct"/>
                  <w:tcBorders>
                    <w:tl2br w:val="nil"/>
                    <w:tr2bl w:val="nil"/>
                  </w:tcBorders>
                  <w:noWrap w:val="0"/>
                  <w:vAlign w:val="center"/>
                </w:tcPr>
                <w:p w14:paraId="5458D743">
                  <w:pPr>
                    <w:pStyle w:val="3935"/>
                    <w:keepNext w:val="0"/>
                    <w:keepLines w:val="0"/>
                    <w:suppressLineNumbers w:val="0"/>
                    <w:bidi w:val="0"/>
                    <w:spacing w:before="0" w:beforeAutospacing="0" w:after="0" w:afterAutospacing="0"/>
                    <w:ind w:left="0" w:leftChars="0" w:right="0" w:rightChars="0"/>
                    <w:rPr>
                      <w:rFonts w:hint="default" w:cs="Times New Roman"/>
                      <w:b w:val="0"/>
                      <w:bCs/>
                      <w:color w:val="auto"/>
                      <w:kern w:val="28"/>
                      <w:sz w:val="21"/>
                      <w:szCs w:val="21"/>
                      <w:lang w:val="en-US" w:eastAsia="zh-CN" w:bidi="ar-SA"/>
                    </w:rPr>
                  </w:pPr>
                  <w:r>
                    <w:rPr>
                      <w:rFonts w:hint="default" w:cs="Times New Roman"/>
                      <w:color w:val="auto"/>
                      <w:sz w:val="21"/>
                      <w:szCs w:val="21"/>
                    </w:rPr>
                    <w:t>218.2</w:t>
                  </w:r>
                </w:p>
              </w:tc>
              <w:tc>
                <w:tcPr>
                  <w:tcW w:w="327" w:type="pct"/>
                  <w:tcBorders>
                    <w:tl2br w:val="nil"/>
                    <w:tr2bl w:val="nil"/>
                  </w:tcBorders>
                  <w:noWrap w:val="0"/>
                  <w:vAlign w:val="center"/>
                </w:tcPr>
                <w:p w14:paraId="4D9F01B3">
                  <w:pPr>
                    <w:pStyle w:val="3935"/>
                    <w:keepNext w:val="0"/>
                    <w:keepLines w:val="0"/>
                    <w:suppressLineNumbers w:val="0"/>
                    <w:bidi w:val="0"/>
                    <w:spacing w:before="0" w:beforeAutospacing="0" w:after="0" w:afterAutospacing="0"/>
                    <w:ind w:left="0" w:leftChars="0" w:right="0" w:rightChars="0"/>
                    <w:rPr>
                      <w:rFonts w:hint="default" w:cs="Times New Roman"/>
                      <w:color w:val="auto"/>
                      <w:sz w:val="21"/>
                      <w:szCs w:val="21"/>
                    </w:rPr>
                  </w:pPr>
                  <w:r>
                    <w:rPr>
                      <w:rFonts w:hint="default" w:cs="Times New Roman"/>
                      <w:color w:val="auto"/>
                      <w:sz w:val="21"/>
                      <w:szCs w:val="21"/>
                    </w:rPr>
                    <w:t>218.2</w:t>
                  </w:r>
                </w:p>
              </w:tc>
              <w:tc>
                <w:tcPr>
                  <w:tcW w:w="328" w:type="pct"/>
                  <w:tcBorders>
                    <w:tl2br w:val="nil"/>
                    <w:tr2bl w:val="nil"/>
                  </w:tcBorders>
                  <w:noWrap w:val="0"/>
                  <w:vAlign w:val="center"/>
                </w:tcPr>
                <w:p w14:paraId="620DD32D">
                  <w:pPr>
                    <w:pStyle w:val="3935"/>
                    <w:keepNext w:val="0"/>
                    <w:keepLines w:val="0"/>
                    <w:suppressLineNumbers w:val="0"/>
                    <w:bidi w:val="0"/>
                    <w:spacing w:before="0" w:beforeAutospacing="0" w:after="0" w:afterAutospacing="0"/>
                    <w:ind w:left="0" w:leftChars="0" w:right="0" w:rightChars="0"/>
                    <w:rPr>
                      <w:rFonts w:hint="eastAsia" w:eastAsia="宋体" w:cs="Times New Roman"/>
                      <w:color w:val="auto"/>
                      <w:sz w:val="21"/>
                      <w:szCs w:val="21"/>
                      <w:lang w:val="en-US" w:eastAsia="zh-CN"/>
                    </w:rPr>
                  </w:pPr>
                  <w:r>
                    <w:rPr>
                      <w:rFonts w:hint="eastAsia" w:cs="Times New Roman"/>
                      <w:color w:val="auto"/>
                      <w:sz w:val="21"/>
                      <w:szCs w:val="21"/>
                      <w:lang w:val="en-US" w:eastAsia="zh-CN"/>
                    </w:rPr>
                    <w:t>0</w:t>
                  </w:r>
                </w:p>
              </w:tc>
              <w:tc>
                <w:tcPr>
                  <w:tcW w:w="327" w:type="pct"/>
                  <w:tcBorders>
                    <w:tl2br w:val="nil"/>
                    <w:tr2bl w:val="nil"/>
                  </w:tcBorders>
                  <w:noWrap w:val="0"/>
                  <w:vAlign w:val="center"/>
                </w:tcPr>
                <w:p w14:paraId="20DDCFDB">
                  <w:pPr>
                    <w:pStyle w:val="3935"/>
                    <w:keepNext w:val="0"/>
                    <w:keepLines w:val="0"/>
                    <w:suppressLineNumbers w:val="0"/>
                    <w:bidi w:val="0"/>
                    <w:spacing w:before="0" w:beforeAutospacing="0" w:after="0" w:afterAutospacing="0"/>
                    <w:ind w:left="0" w:leftChars="0" w:right="0" w:rightChars="0"/>
                    <w:rPr>
                      <w:rFonts w:hint="eastAsia" w:cs="Times New Roman"/>
                      <w:b w:val="0"/>
                      <w:bCs/>
                      <w:color w:val="auto"/>
                      <w:kern w:val="28"/>
                      <w:sz w:val="21"/>
                      <w:szCs w:val="21"/>
                      <w:lang w:val="en-US" w:eastAsia="zh-CN" w:bidi="ar-SA"/>
                    </w:rPr>
                  </w:pPr>
                  <w:r>
                    <w:rPr>
                      <w:rFonts w:hint="default" w:cs="Times New Roman"/>
                      <w:color w:val="auto"/>
                      <w:sz w:val="21"/>
                      <w:szCs w:val="21"/>
                    </w:rPr>
                    <w:t>1</w:t>
                  </w:r>
                </w:p>
              </w:tc>
              <w:tc>
                <w:tcPr>
                  <w:tcW w:w="613" w:type="pct"/>
                  <w:tcBorders>
                    <w:tl2br w:val="nil"/>
                    <w:tr2bl w:val="nil"/>
                  </w:tcBorders>
                  <w:noWrap w:val="0"/>
                  <w:vAlign w:val="center"/>
                </w:tcPr>
                <w:p w14:paraId="18F9D6D6">
                  <w:pPr>
                    <w:pStyle w:val="3935"/>
                    <w:keepNext w:val="0"/>
                    <w:keepLines w:val="0"/>
                    <w:suppressLineNumbers w:val="0"/>
                    <w:bidi w:val="0"/>
                    <w:spacing w:before="0" w:beforeAutospacing="0" w:after="0" w:afterAutospacing="0"/>
                    <w:ind w:left="0" w:leftChars="0" w:right="0" w:rightChars="0"/>
                    <w:rPr>
                      <w:rFonts w:hint="eastAsia" w:cs="Times New Roman"/>
                      <w:b w:val="0"/>
                      <w:bCs/>
                      <w:color w:val="auto"/>
                      <w:kern w:val="28"/>
                      <w:sz w:val="21"/>
                      <w:szCs w:val="21"/>
                      <w:lang w:val="en-US" w:eastAsia="zh-CN" w:bidi="ar-SA"/>
                    </w:rPr>
                  </w:pPr>
                  <w:r>
                    <w:rPr>
                      <w:rFonts w:hint="default" w:cs="Times New Roman"/>
                      <w:color w:val="auto"/>
                      <w:sz w:val="21"/>
                      <w:szCs w:val="21"/>
                    </w:rPr>
                    <w:t>218.2</w:t>
                  </w:r>
                </w:p>
              </w:tc>
              <w:tc>
                <w:tcPr>
                  <w:tcW w:w="535" w:type="pct"/>
                  <w:tcBorders>
                    <w:tl2br w:val="nil"/>
                    <w:tr2bl w:val="nil"/>
                  </w:tcBorders>
                  <w:noWrap w:val="0"/>
                  <w:vAlign w:val="center"/>
                </w:tcPr>
                <w:p w14:paraId="0A3EABD4">
                  <w:pPr>
                    <w:pStyle w:val="3935"/>
                    <w:keepNext w:val="0"/>
                    <w:keepLines w:val="0"/>
                    <w:suppressLineNumbers w:val="0"/>
                    <w:bidi w:val="0"/>
                    <w:spacing w:before="0" w:beforeAutospacing="0" w:after="0" w:afterAutospacing="0"/>
                    <w:ind w:left="0" w:leftChars="0" w:right="0" w:rightChars="0"/>
                    <w:rPr>
                      <w:rFonts w:hint="eastAsia" w:cs="Times New Roman"/>
                      <w:b w:val="0"/>
                      <w:bCs/>
                      <w:color w:val="auto"/>
                      <w:kern w:val="28"/>
                      <w:sz w:val="21"/>
                      <w:szCs w:val="21"/>
                      <w:lang w:val="en-US" w:eastAsia="zh-CN" w:bidi="ar-SA"/>
                    </w:rPr>
                  </w:pPr>
                  <w:r>
                    <w:rPr>
                      <w:rFonts w:hint="default" w:cs="Times New Roman"/>
                      <w:color w:val="auto"/>
                      <w:sz w:val="21"/>
                      <w:szCs w:val="21"/>
                    </w:rPr>
                    <w:t>二</w:t>
                  </w:r>
                </w:p>
              </w:tc>
              <w:tc>
                <w:tcPr>
                  <w:tcW w:w="475" w:type="pct"/>
                  <w:tcBorders>
                    <w:tl2br w:val="nil"/>
                    <w:tr2bl w:val="nil"/>
                  </w:tcBorders>
                  <w:noWrap w:val="0"/>
                  <w:vAlign w:val="center"/>
                </w:tcPr>
                <w:p w14:paraId="39F79DED">
                  <w:pPr>
                    <w:pStyle w:val="3935"/>
                    <w:keepNext w:val="0"/>
                    <w:keepLines w:val="0"/>
                    <w:suppressLineNumbers w:val="0"/>
                    <w:bidi w:val="0"/>
                    <w:spacing w:before="0" w:beforeAutospacing="0" w:after="0" w:afterAutospacing="0"/>
                    <w:ind w:left="0" w:leftChars="0" w:right="0" w:rightChars="0"/>
                    <w:rPr>
                      <w:rFonts w:hint="eastAsia" w:cs="Times New Roman"/>
                      <w:b w:val="0"/>
                      <w:bCs/>
                      <w:color w:val="auto"/>
                      <w:kern w:val="28"/>
                      <w:sz w:val="21"/>
                      <w:szCs w:val="21"/>
                      <w:lang w:val="en-US" w:eastAsia="zh-CN" w:bidi="ar-SA"/>
                    </w:rPr>
                  </w:pPr>
                  <w:r>
                    <w:rPr>
                      <w:rFonts w:hint="default" w:cs="Times New Roman"/>
                      <w:color w:val="auto"/>
                      <w:sz w:val="21"/>
                      <w:szCs w:val="21"/>
                    </w:rPr>
                    <w:t>框架</w:t>
                  </w:r>
                </w:p>
              </w:tc>
              <w:tc>
                <w:tcPr>
                  <w:tcW w:w="475" w:type="pct"/>
                  <w:tcBorders>
                    <w:tl2br w:val="nil"/>
                    <w:tr2bl w:val="nil"/>
                  </w:tcBorders>
                  <w:noWrap w:val="0"/>
                  <w:vAlign w:val="center"/>
                </w:tcPr>
                <w:p w14:paraId="2AA430D5">
                  <w:pPr>
                    <w:pStyle w:val="3935"/>
                    <w:keepNext w:val="0"/>
                    <w:keepLines w:val="0"/>
                    <w:suppressLineNumbers w:val="0"/>
                    <w:bidi w:val="0"/>
                    <w:spacing w:before="0" w:beforeAutospacing="0" w:after="0" w:afterAutospacing="0"/>
                    <w:ind w:left="0" w:leftChars="0" w:right="0" w:rightChars="0"/>
                    <w:rPr>
                      <w:rFonts w:hint="eastAsia" w:cs="Times New Roman"/>
                      <w:b w:val="0"/>
                      <w:bCs/>
                      <w:color w:val="auto"/>
                      <w:kern w:val="28"/>
                      <w:sz w:val="21"/>
                      <w:szCs w:val="21"/>
                      <w:lang w:val="en-US" w:eastAsia="zh-CN" w:bidi="ar-SA"/>
                    </w:rPr>
                  </w:pPr>
                  <w:r>
                    <w:rPr>
                      <w:rFonts w:hint="default" w:cs="Times New Roman"/>
                      <w:color w:val="auto"/>
                      <w:sz w:val="21"/>
                      <w:szCs w:val="21"/>
                    </w:rPr>
                    <w:t>丙类</w:t>
                  </w:r>
                </w:p>
              </w:tc>
              <w:tc>
                <w:tcPr>
                  <w:tcW w:w="370" w:type="pct"/>
                  <w:tcBorders>
                    <w:tl2br w:val="nil"/>
                    <w:tr2bl w:val="nil"/>
                  </w:tcBorders>
                  <w:noWrap w:val="0"/>
                  <w:vAlign w:val="center"/>
                </w:tcPr>
                <w:p w14:paraId="62FC540D">
                  <w:pPr>
                    <w:pStyle w:val="148"/>
                    <w:rPr>
                      <w:rFonts w:hint="eastAsia" w:eastAsiaTheme="minorEastAsia"/>
                      <w:color w:val="auto"/>
                      <w:sz w:val="21"/>
                      <w:szCs w:val="21"/>
                      <w:lang w:val="en-US" w:eastAsia="zh-CN"/>
                    </w:rPr>
                  </w:pPr>
                  <w:r>
                    <w:rPr>
                      <w:rFonts w:hint="eastAsia"/>
                      <w:color w:val="auto"/>
                      <w:sz w:val="21"/>
                      <w:szCs w:val="21"/>
                      <w:lang w:val="en-US" w:eastAsia="zh-CN"/>
                    </w:rPr>
                    <w:t>/</w:t>
                  </w:r>
                </w:p>
              </w:tc>
            </w:tr>
            <w:tr w14:paraId="75E4B3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89" w:type="pct"/>
                  <w:tcBorders>
                    <w:tl2br w:val="nil"/>
                    <w:tr2bl w:val="nil"/>
                  </w:tcBorders>
                  <w:noWrap w:val="0"/>
                  <w:vAlign w:val="center"/>
                </w:tcPr>
                <w:p w14:paraId="24E124D7">
                  <w:pPr>
                    <w:pStyle w:val="148"/>
                    <w:ind w:firstLine="0" w:firstLineChars="0"/>
                    <w:rPr>
                      <w:b w:val="0"/>
                      <w:bCs w:val="0"/>
                      <w:color w:val="auto"/>
                      <w:kern w:val="0"/>
                      <w:sz w:val="21"/>
                      <w:szCs w:val="21"/>
                      <w:lang w:val="en-US" w:eastAsia="zh-CN" w:bidi="ar-SA"/>
                    </w:rPr>
                  </w:pPr>
                  <w:r>
                    <w:rPr>
                      <w:color w:val="auto"/>
                      <w:sz w:val="21"/>
                      <w:szCs w:val="21"/>
                    </w:rPr>
                    <w:t>6</w:t>
                  </w:r>
                </w:p>
              </w:tc>
              <w:tc>
                <w:tcPr>
                  <w:tcW w:w="649" w:type="pct"/>
                  <w:tcBorders>
                    <w:tl2br w:val="nil"/>
                    <w:tr2bl w:val="nil"/>
                  </w:tcBorders>
                  <w:noWrap w:val="0"/>
                  <w:vAlign w:val="center"/>
                </w:tcPr>
                <w:p w14:paraId="78A99253">
                  <w:pPr>
                    <w:pStyle w:val="3935"/>
                    <w:keepNext w:val="0"/>
                    <w:keepLines w:val="0"/>
                    <w:suppressLineNumbers w:val="0"/>
                    <w:bidi w:val="0"/>
                    <w:spacing w:before="0" w:beforeAutospacing="0" w:after="0" w:afterAutospacing="0"/>
                    <w:ind w:left="0" w:leftChars="0" w:right="0" w:rightChars="0"/>
                    <w:rPr>
                      <w:rFonts w:hint="default" w:cs="Times New Roman"/>
                      <w:b w:val="0"/>
                      <w:bCs/>
                      <w:color w:val="auto"/>
                      <w:kern w:val="28"/>
                      <w:sz w:val="21"/>
                      <w:szCs w:val="21"/>
                      <w:lang w:val="en-US" w:eastAsia="zh-CN" w:bidi="ar-SA"/>
                    </w:rPr>
                  </w:pPr>
                  <w:r>
                    <w:rPr>
                      <w:rFonts w:hint="default" w:cs="Times New Roman"/>
                      <w:color w:val="auto"/>
                      <w:sz w:val="21"/>
                      <w:szCs w:val="21"/>
                    </w:rPr>
                    <w:t>危废库</w:t>
                  </w:r>
                </w:p>
              </w:tc>
              <w:tc>
                <w:tcPr>
                  <w:tcW w:w="607" w:type="pct"/>
                  <w:tcBorders>
                    <w:tl2br w:val="nil"/>
                    <w:tr2bl w:val="nil"/>
                  </w:tcBorders>
                  <w:noWrap w:val="0"/>
                  <w:vAlign w:val="center"/>
                </w:tcPr>
                <w:p w14:paraId="597AE852">
                  <w:pPr>
                    <w:pStyle w:val="3935"/>
                    <w:keepNext w:val="0"/>
                    <w:keepLines w:val="0"/>
                    <w:suppressLineNumbers w:val="0"/>
                    <w:bidi w:val="0"/>
                    <w:spacing w:before="0" w:beforeAutospacing="0" w:after="0" w:afterAutospacing="0"/>
                    <w:ind w:left="0" w:leftChars="0" w:right="0" w:rightChars="0"/>
                    <w:rPr>
                      <w:rFonts w:hint="default" w:cs="Times New Roman"/>
                      <w:b w:val="0"/>
                      <w:bCs/>
                      <w:color w:val="auto"/>
                      <w:kern w:val="28"/>
                      <w:sz w:val="21"/>
                      <w:szCs w:val="21"/>
                      <w:lang w:val="en-US" w:eastAsia="zh-CN" w:bidi="ar-SA"/>
                    </w:rPr>
                  </w:pPr>
                  <w:r>
                    <w:rPr>
                      <w:rFonts w:hint="default" w:cs="Times New Roman"/>
                      <w:color w:val="auto"/>
                      <w:sz w:val="21"/>
                      <w:szCs w:val="21"/>
                    </w:rPr>
                    <w:t>63.14</w:t>
                  </w:r>
                </w:p>
              </w:tc>
              <w:tc>
                <w:tcPr>
                  <w:tcW w:w="327" w:type="pct"/>
                  <w:tcBorders>
                    <w:tl2br w:val="nil"/>
                    <w:tr2bl w:val="nil"/>
                  </w:tcBorders>
                  <w:noWrap w:val="0"/>
                  <w:vAlign w:val="center"/>
                </w:tcPr>
                <w:p w14:paraId="0101F054">
                  <w:pPr>
                    <w:pStyle w:val="3935"/>
                    <w:keepNext w:val="0"/>
                    <w:keepLines w:val="0"/>
                    <w:suppressLineNumbers w:val="0"/>
                    <w:bidi w:val="0"/>
                    <w:spacing w:before="0" w:beforeAutospacing="0" w:after="0" w:afterAutospacing="0"/>
                    <w:ind w:left="0" w:leftChars="0" w:right="0" w:rightChars="0"/>
                    <w:rPr>
                      <w:rFonts w:hint="default" w:cs="Times New Roman"/>
                      <w:color w:val="auto"/>
                      <w:sz w:val="21"/>
                      <w:szCs w:val="21"/>
                    </w:rPr>
                  </w:pPr>
                  <w:r>
                    <w:rPr>
                      <w:rFonts w:hint="default" w:cs="Times New Roman"/>
                      <w:color w:val="auto"/>
                      <w:sz w:val="21"/>
                      <w:szCs w:val="21"/>
                    </w:rPr>
                    <w:t>63.14</w:t>
                  </w:r>
                </w:p>
              </w:tc>
              <w:tc>
                <w:tcPr>
                  <w:tcW w:w="328" w:type="pct"/>
                  <w:tcBorders>
                    <w:tl2br w:val="nil"/>
                    <w:tr2bl w:val="nil"/>
                  </w:tcBorders>
                  <w:noWrap w:val="0"/>
                  <w:vAlign w:val="center"/>
                </w:tcPr>
                <w:p w14:paraId="0E8E4330">
                  <w:pPr>
                    <w:pStyle w:val="3935"/>
                    <w:keepNext w:val="0"/>
                    <w:keepLines w:val="0"/>
                    <w:suppressLineNumbers w:val="0"/>
                    <w:bidi w:val="0"/>
                    <w:spacing w:before="0" w:beforeAutospacing="0" w:after="0" w:afterAutospacing="0"/>
                    <w:ind w:left="0" w:leftChars="0" w:right="0" w:rightChars="0"/>
                    <w:rPr>
                      <w:rFonts w:hint="eastAsia" w:eastAsia="宋体" w:cs="Times New Roman"/>
                      <w:color w:val="auto"/>
                      <w:sz w:val="21"/>
                      <w:szCs w:val="21"/>
                      <w:lang w:val="en-US" w:eastAsia="zh-CN"/>
                    </w:rPr>
                  </w:pPr>
                  <w:r>
                    <w:rPr>
                      <w:rFonts w:hint="eastAsia" w:cs="Times New Roman"/>
                      <w:color w:val="auto"/>
                      <w:sz w:val="21"/>
                      <w:szCs w:val="21"/>
                      <w:lang w:val="en-US" w:eastAsia="zh-CN"/>
                    </w:rPr>
                    <w:t>0</w:t>
                  </w:r>
                </w:p>
              </w:tc>
              <w:tc>
                <w:tcPr>
                  <w:tcW w:w="327" w:type="pct"/>
                  <w:tcBorders>
                    <w:tl2br w:val="nil"/>
                    <w:tr2bl w:val="nil"/>
                  </w:tcBorders>
                  <w:noWrap w:val="0"/>
                  <w:vAlign w:val="center"/>
                </w:tcPr>
                <w:p w14:paraId="09083017">
                  <w:pPr>
                    <w:pStyle w:val="3935"/>
                    <w:keepNext w:val="0"/>
                    <w:keepLines w:val="0"/>
                    <w:suppressLineNumbers w:val="0"/>
                    <w:bidi w:val="0"/>
                    <w:spacing w:before="0" w:beforeAutospacing="0" w:after="0" w:afterAutospacing="0"/>
                    <w:ind w:left="0" w:leftChars="0" w:right="0" w:rightChars="0"/>
                    <w:rPr>
                      <w:rFonts w:hint="eastAsia" w:cs="Times New Roman"/>
                      <w:b w:val="0"/>
                      <w:bCs/>
                      <w:color w:val="auto"/>
                      <w:kern w:val="28"/>
                      <w:sz w:val="21"/>
                      <w:szCs w:val="21"/>
                      <w:lang w:val="en-US" w:eastAsia="zh-CN" w:bidi="ar-SA"/>
                    </w:rPr>
                  </w:pPr>
                  <w:r>
                    <w:rPr>
                      <w:rFonts w:hint="default" w:cs="Times New Roman"/>
                      <w:color w:val="auto"/>
                      <w:sz w:val="21"/>
                      <w:szCs w:val="21"/>
                    </w:rPr>
                    <w:t>1</w:t>
                  </w:r>
                </w:p>
              </w:tc>
              <w:tc>
                <w:tcPr>
                  <w:tcW w:w="613" w:type="pct"/>
                  <w:tcBorders>
                    <w:tl2br w:val="nil"/>
                    <w:tr2bl w:val="nil"/>
                  </w:tcBorders>
                  <w:noWrap w:val="0"/>
                  <w:vAlign w:val="center"/>
                </w:tcPr>
                <w:p w14:paraId="63621ADE">
                  <w:pPr>
                    <w:pStyle w:val="3935"/>
                    <w:keepNext w:val="0"/>
                    <w:keepLines w:val="0"/>
                    <w:suppressLineNumbers w:val="0"/>
                    <w:bidi w:val="0"/>
                    <w:spacing w:before="0" w:beforeAutospacing="0" w:after="0" w:afterAutospacing="0"/>
                    <w:ind w:left="0" w:leftChars="0" w:right="0" w:rightChars="0"/>
                    <w:rPr>
                      <w:rFonts w:hint="eastAsia" w:cs="Times New Roman"/>
                      <w:b w:val="0"/>
                      <w:bCs/>
                      <w:color w:val="auto"/>
                      <w:kern w:val="28"/>
                      <w:sz w:val="21"/>
                      <w:szCs w:val="21"/>
                      <w:lang w:val="en-US" w:eastAsia="zh-CN" w:bidi="ar-SA"/>
                    </w:rPr>
                  </w:pPr>
                  <w:r>
                    <w:rPr>
                      <w:rFonts w:hint="default" w:cs="Times New Roman"/>
                      <w:color w:val="auto"/>
                      <w:sz w:val="21"/>
                      <w:szCs w:val="21"/>
                    </w:rPr>
                    <w:t>63.14</w:t>
                  </w:r>
                </w:p>
              </w:tc>
              <w:tc>
                <w:tcPr>
                  <w:tcW w:w="535" w:type="pct"/>
                  <w:tcBorders>
                    <w:tl2br w:val="nil"/>
                    <w:tr2bl w:val="nil"/>
                  </w:tcBorders>
                  <w:noWrap w:val="0"/>
                  <w:vAlign w:val="center"/>
                </w:tcPr>
                <w:p w14:paraId="56F34533">
                  <w:pPr>
                    <w:pStyle w:val="3935"/>
                    <w:keepNext w:val="0"/>
                    <w:keepLines w:val="0"/>
                    <w:suppressLineNumbers w:val="0"/>
                    <w:bidi w:val="0"/>
                    <w:spacing w:before="0" w:beforeAutospacing="0" w:after="0" w:afterAutospacing="0"/>
                    <w:ind w:left="0" w:leftChars="0" w:right="0" w:rightChars="0"/>
                    <w:rPr>
                      <w:rFonts w:hint="eastAsia" w:cs="Times New Roman"/>
                      <w:b w:val="0"/>
                      <w:bCs/>
                      <w:color w:val="auto"/>
                      <w:kern w:val="28"/>
                      <w:sz w:val="21"/>
                      <w:szCs w:val="21"/>
                      <w:lang w:val="en-US" w:eastAsia="zh-CN" w:bidi="ar-SA"/>
                    </w:rPr>
                  </w:pPr>
                  <w:r>
                    <w:rPr>
                      <w:rFonts w:hint="default" w:cs="Times New Roman"/>
                      <w:color w:val="auto"/>
                      <w:sz w:val="21"/>
                      <w:szCs w:val="21"/>
                    </w:rPr>
                    <w:t>二</w:t>
                  </w:r>
                </w:p>
              </w:tc>
              <w:tc>
                <w:tcPr>
                  <w:tcW w:w="475" w:type="pct"/>
                  <w:tcBorders>
                    <w:tl2br w:val="nil"/>
                    <w:tr2bl w:val="nil"/>
                  </w:tcBorders>
                  <w:noWrap w:val="0"/>
                  <w:vAlign w:val="center"/>
                </w:tcPr>
                <w:p w14:paraId="318A1AAC">
                  <w:pPr>
                    <w:pStyle w:val="3935"/>
                    <w:keepNext w:val="0"/>
                    <w:keepLines w:val="0"/>
                    <w:suppressLineNumbers w:val="0"/>
                    <w:bidi w:val="0"/>
                    <w:spacing w:before="0" w:beforeAutospacing="0" w:after="0" w:afterAutospacing="0"/>
                    <w:ind w:left="0" w:leftChars="0" w:right="0" w:rightChars="0"/>
                    <w:rPr>
                      <w:rFonts w:hint="eastAsia" w:cs="Times New Roman"/>
                      <w:b w:val="0"/>
                      <w:bCs/>
                      <w:color w:val="auto"/>
                      <w:kern w:val="28"/>
                      <w:sz w:val="21"/>
                      <w:szCs w:val="21"/>
                      <w:lang w:val="en-US" w:eastAsia="zh-CN" w:bidi="ar-SA"/>
                    </w:rPr>
                  </w:pPr>
                  <w:r>
                    <w:rPr>
                      <w:rFonts w:hint="default" w:cs="Times New Roman"/>
                      <w:color w:val="auto"/>
                      <w:sz w:val="21"/>
                      <w:szCs w:val="21"/>
                    </w:rPr>
                    <w:t>框架</w:t>
                  </w:r>
                </w:p>
              </w:tc>
              <w:tc>
                <w:tcPr>
                  <w:tcW w:w="475" w:type="pct"/>
                  <w:tcBorders>
                    <w:tl2br w:val="nil"/>
                    <w:tr2bl w:val="nil"/>
                  </w:tcBorders>
                  <w:noWrap w:val="0"/>
                  <w:vAlign w:val="center"/>
                </w:tcPr>
                <w:p w14:paraId="7647C0BD">
                  <w:pPr>
                    <w:pStyle w:val="3935"/>
                    <w:keepNext w:val="0"/>
                    <w:keepLines w:val="0"/>
                    <w:suppressLineNumbers w:val="0"/>
                    <w:bidi w:val="0"/>
                    <w:spacing w:before="0" w:beforeAutospacing="0" w:after="0" w:afterAutospacing="0"/>
                    <w:ind w:left="0" w:leftChars="0" w:right="0" w:rightChars="0"/>
                    <w:rPr>
                      <w:rFonts w:hint="eastAsia" w:cs="Times New Roman"/>
                      <w:b w:val="0"/>
                      <w:bCs/>
                      <w:color w:val="auto"/>
                      <w:kern w:val="28"/>
                      <w:sz w:val="21"/>
                      <w:szCs w:val="21"/>
                      <w:lang w:val="en-US" w:eastAsia="zh-CN" w:bidi="ar-SA"/>
                    </w:rPr>
                  </w:pPr>
                  <w:r>
                    <w:rPr>
                      <w:rFonts w:hint="default" w:cs="Times New Roman"/>
                      <w:color w:val="auto"/>
                      <w:sz w:val="21"/>
                      <w:szCs w:val="21"/>
                    </w:rPr>
                    <w:t>丙类</w:t>
                  </w:r>
                </w:p>
              </w:tc>
              <w:tc>
                <w:tcPr>
                  <w:tcW w:w="370" w:type="pct"/>
                  <w:tcBorders>
                    <w:tl2br w:val="nil"/>
                    <w:tr2bl w:val="nil"/>
                  </w:tcBorders>
                  <w:noWrap w:val="0"/>
                  <w:vAlign w:val="center"/>
                </w:tcPr>
                <w:p w14:paraId="228CF78B">
                  <w:pPr>
                    <w:pStyle w:val="148"/>
                    <w:rPr>
                      <w:rFonts w:hint="eastAsia" w:eastAsiaTheme="minorEastAsia"/>
                      <w:color w:val="auto"/>
                      <w:sz w:val="21"/>
                      <w:szCs w:val="21"/>
                      <w:lang w:val="en-US" w:eastAsia="zh-CN"/>
                    </w:rPr>
                  </w:pPr>
                  <w:r>
                    <w:rPr>
                      <w:rFonts w:hint="eastAsia"/>
                      <w:color w:val="auto"/>
                      <w:sz w:val="21"/>
                      <w:szCs w:val="21"/>
                      <w:lang w:val="en-US" w:eastAsia="zh-CN"/>
                    </w:rPr>
                    <w:t>/</w:t>
                  </w:r>
                </w:p>
              </w:tc>
            </w:tr>
            <w:tr w14:paraId="38500D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89" w:type="pct"/>
                  <w:tcBorders>
                    <w:tl2br w:val="nil"/>
                    <w:tr2bl w:val="nil"/>
                  </w:tcBorders>
                  <w:noWrap w:val="0"/>
                  <w:vAlign w:val="center"/>
                </w:tcPr>
                <w:p w14:paraId="34155F86">
                  <w:pPr>
                    <w:pStyle w:val="148"/>
                    <w:ind w:firstLine="0" w:firstLineChars="0"/>
                    <w:rPr>
                      <w:b w:val="0"/>
                      <w:bCs w:val="0"/>
                      <w:color w:val="auto"/>
                      <w:kern w:val="0"/>
                      <w:sz w:val="21"/>
                      <w:szCs w:val="21"/>
                      <w:lang w:val="en-US" w:eastAsia="zh-CN" w:bidi="ar-SA"/>
                    </w:rPr>
                  </w:pPr>
                  <w:r>
                    <w:rPr>
                      <w:color w:val="auto"/>
                      <w:sz w:val="21"/>
                      <w:szCs w:val="21"/>
                    </w:rPr>
                    <w:t>7</w:t>
                  </w:r>
                </w:p>
              </w:tc>
              <w:tc>
                <w:tcPr>
                  <w:tcW w:w="649" w:type="pct"/>
                  <w:tcBorders>
                    <w:tl2br w:val="nil"/>
                    <w:tr2bl w:val="nil"/>
                  </w:tcBorders>
                  <w:noWrap w:val="0"/>
                  <w:vAlign w:val="center"/>
                </w:tcPr>
                <w:p w14:paraId="3AC9499E">
                  <w:pPr>
                    <w:pStyle w:val="3935"/>
                    <w:keepNext w:val="0"/>
                    <w:keepLines w:val="0"/>
                    <w:suppressLineNumbers w:val="0"/>
                    <w:bidi w:val="0"/>
                    <w:spacing w:before="0" w:beforeAutospacing="0" w:after="0" w:afterAutospacing="0"/>
                    <w:ind w:left="0" w:leftChars="0" w:right="0" w:rightChars="0"/>
                    <w:rPr>
                      <w:rFonts w:hint="default" w:cs="Times New Roman"/>
                      <w:b w:val="0"/>
                      <w:bCs/>
                      <w:color w:val="auto"/>
                      <w:kern w:val="28"/>
                      <w:sz w:val="21"/>
                      <w:szCs w:val="21"/>
                      <w:lang w:val="en-US" w:eastAsia="zh-CN" w:bidi="ar-SA"/>
                    </w:rPr>
                  </w:pPr>
                  <w:r>
                    <w:rPr>
                      <w:rFonts w:hint="default" w:cs="Times New Roman"/>
                      <w:color w:val="auto"/>
                      <w:sz w:val="21"/>
                      <w:szCs w:val="21"/>
                    </w:rPr>
                    <w:t>丁类仓库</w:t>
                  </w:r>
                </w:p>
              </w:tc>
              <w:tc>
                <w:tcPr>
                  <w:tcW w:w="607" w:type="pct"/>
                  <w:tcBorders>
                    <w:tl2br w:val="nil"/>
                    <w:tr2bl w:val="nil"/>
                  </w:tcBorders>
                  <w:noWrap w:val="0"/>
                  <w:vAlign w:val="center"/>
                </w:tcPr>
                <w:p w14:paraId="333085B6">
                  <w:pPr>
                    <w:pStyle w:val="3935"/>
                    <w:keepNext w:val="0"/>
                    <w:keepLines w:val="0"/>
                    <w:suppressLineNumbers w:val="0"/>
                    <w:bidi w:val="0"/>
                    <w:spacing w:before="0" w:beforeAutospacing="0" w:after="0" w:afterAutospacing="0"/>
                    <w:ind w:left="0" w:leftChars="0" w:right="0" w:rightChars="0"/>
                    <w:rPr>
                      <w:rFonts w:hint="default" w:cs="Times New Roman"/>
                      <w:b w:val="0"/>
                      <w:bCs/>
                      <w:color w:val="auto"/>
                      <w:kern w:val="28"/>
                      <w:sz w:val="21"/>
                      <w:szCs w:val="21"/>
                      <w:lang w:val="en-US" w:eastAsia="zh-CN" w:bidi="ar-SA"/>
                    </w:rPr>
                  </w:pPr>
                  <w:r>
                    <w:rPr>
                      <w:rFonts w:hint="default" w:cs="Times New Roman"/>
                      <w:color w:val="auto"/>
                      <w:sz w:val="21"/>
                      <w:szCs w:val="21"/>
                    </w:rPr>
                    <w:t>784.3</w:t>
                  </w:r>
                </w:p>
              </w:tc>
              <w:tc>
                <w:tcPr>
                  <w:tcW w:w="327" w:type="pct"/>
                  <w:tcBorders>
                    <w:tl2br w:val="nil"/>
                    <w:tr2bl w:val="nil"/>
                  </w:tcBorders>
                  <w:noWrap w:val="0"/>
                  <w:vAlign w:val="center"/>
                </w:tcPr>
                <w:p w14:paraId="2FDC5280">
                  <w:pPr>
                    <w:pStyle w:val="3935"/>
                    <w:keepNext w:val="0"/>
                    <w:keepLines w:val="0"/>
                    <w:suppressLineNumbers w:val="0"/>
                    <w:bidi w:val="0"/>
                    <w:spacing w:before="0" w:beforeAutospacing="0" w:after="0" w:afterAutospacing="0"/>
                    <w:ind w:left="0" w:leftChars="0" w:right="0" w:rightChars="0"/>
                    <w:rPr>
                      <w:rFonts w:hint="default" w:cs="Times New Roman"/>
                      <w:color w:val="auto"/>
                      <w:sz w:val="21"/>
                      <w:szCs w:val="21"/>
                    </w:rPr>
                  </w:pPr>
                  <w:r>
                    <w:rPr>
                      <w:rFonts w:hint="default" w:cs="Times New Roman"/>
                      <w:color w:val="auto"/>
                      <w:sz w:val="21"/>
                      <w:szCs w:val="21"/>
                    </w:rPr>
                    <w:t>784.3</w:t>
                  </w:r>
                </w:p>
              </w:tc>
              <w:tc>
                <w:tcPr>
                  <w:tcW w:w="328" w:type="pct"/>
                  <w:tcBorders>
                    <w:tl2br w:val="nil"/>
                    <w:tr2bl w:val="nil"/>
                  </w:tcBorders>
                  <w:noWrap w:val="0"/>
                  <w:vAlign w:val="center"/>
                </w:tcPr>
                <w:p w14:paraId="3D0A9B93">
                  <w:pPr>
                    <w:pStyle w:val="3935"/>
                    <w:keepNext w:val="0"/>
                    <w:keepLines w:val="0"/>
                    <w:suppressLineNumbers w:val="0"/>
                    <w:bidi w:val="0"/>
                    <w:spacing w:before="0" w:beforeAutospacing="0" w:after="0" w:afterAutospacing="0"/>
                    <w:ind w:left="0" w:leftChars="0" w:right="0" w:rightChars="0"/>
                    <w:rPr>
                      <w:rFonts w:hint="eastAsia" w:eastAsia="宋体" w:cs="Times New Roman"/>
                      <w:color w:val="auto"/>
                      <w:sz w:val="21"/>
                      <w:szCs w:val="21"/>
                      <w:lang w:val="en-US" w:eastAsia="zh-CN"/>
                    </w:rPr>
                  </w:pPr>
                  <w:r>
                    <w:rPr>
                      <w:rFonts w:hint="eastAsia" w:cs="Times New Roman"/>
                      <w:color w:val="auto"/>
                      <w:sz w:val="21"/>
                      <w:szCs w:val="21"/>
                      <w:lang w:val="en-US" w:eastAsia="zh-CN"/>
                    </w:rPr>
                    <w:t>0</w:t>
                  </w:r>
                </w:p>
              </w:tc>
              <w:tc>
                <w:tcPr>
                  <w:tcW w:w="327" w:type="pct"/>
                  <w:tcBorders>
                    <w:tl2br w:val="nil"/>
                    <w:tr2bl w:val="nil"/>
                  </w:tcBorders>
                  <w:noWrap w:val="0"/>
                  <w:vAlign w:val="center"/>
                </w:tcPr>
                <w:p w14:paraId="56FCE1A2">
                  <w:pPr>
                    <w:pStyle w:val="3935"/>
                    <w:keepNext w:val="0"/>
                    <w:keepLines w:val="0"/>
                    <w:suppressLineNumbers w:val="0"/>
                    <w:bidi w:val="0"/>
                    <w:spacing w:before="0" w:beforeAutospacing="0" w:after="0" w:afterAutospacing="0"/>
                    <w:ind w:left="0" w:leftChars="0" w:right="0" w:rightChars="0"/>
                    <w:rPr>
                      <w:rFonts w:hint="eastAsia" w:cs="Times New Roman"/>
                      <w:b w:val="0"/>
                      <w:bCs/>
                      <w:color w:val="auto"/>
                      <w:kern w:val="28"/>
                      <w:sz w:val="21"/>
                      <w:szCs w:val="21"/>
                      <w:lang w:val="en-US" w:eastAsia="zh-CN" w:bidi="ar-SA"/>
                    </w:rPr>
                  </w:pPr>
                  <w:r>
                    <w:rPr>
                      <w:rFonts w:hint="default" w:cs="Times New Roman"/>
                      <w:color w:val="auto"/>
                      <w:sz w:val="21"/>
                      <w:szCs w:val="21"/>
                    </w:rPr>
                    <w:t>2</w:t>
                  </w:r>
                </w:p>
              </w:tc>
              <w:tc>
                <w:tcPr>
                  <w:tcW w:w="613" w:type="pct"/>
                  <w:tcBorders>
                    <w:tl2br w:val="nil"/>
                    <w:tr2bl w:val="nil"/>
                  </w:tcBorders>
                  <w:noWrap w:val="0"/>
                  <w:vAlign w:val="center"/>
                </w:tcPr>
                <w:p w14:paraId="12F84869">
                  <w:pPr>
                    <w:pStyle w:val="3935"/>
                    <w:keepNext w:val="0"/>
                    <w:keepLines w:val="0"/>
                    <w:suppressLineNumbers w:val="0"/>
                    <w:bidi w:val="0"/>
                    <w:spacing w:before="0" w:beforeAutospacing="0" w:after="0" w:afterAutospacing="0"/>
                    <w:ind w:left="0" w:leftChars="0" w:right="0" w:rightChars="0"/>
                    <w:rPr>
                      <w:rFonts w:hint="eastAsia" w:cs="Times New Roman"/>
                      <w:b w:val="0"/>
                      <w:bCs/>
                      <w:color w:val="auto"/>
                      <w:kern w:val="28"/>
                      <w:sz w:val="21"/>
                      <w:szCs w:val="21"/>
                      <w:lang w:val="en-US" w:eastAsia="zh-CN" w:bidi="ar-SA"/>
                    </w:rPr>
                  </w:pPr>
                  <w:r>
                    <w:rPr>
                      <w:rFonts w:hint="default" w:cs="Times New Roman"/>
                      <w:color w:val="auto"/>
                      <w:sz w:val="21"/>
                      <w:szCs w:val="21"/>
                    </w:rPr>
                    <w:t>1432.3</w:t>
                  </w:r>
                </w:p>
              </w:tc>
              <w:tc>
                <w:tcPr>
                  <w:tcW w:w="535" w:type="pct"/>
                  <w:tcBorders>
                    <w:tl2br w:val="nil"/>
                    <w:tr2bl w:val="nil"/>
                  </w:tcBorders>
                  <w:noWrap w:val="0"/>
                  <w:vAlign w:val="center"/>
                </w:tcPr>
                <w:p w14:paraId="77413F47">
                  <w:pPr>
                    <w:pStyle w:val="3935"/>
                    <w:keepNext w:val="0"/>
                    <w:keepLines w:val="0"/>
                    <w:suppressLineNumbers w:val="0"/>
                    <w:bidi w:val="0"/>
                    <w:spacing w:before="0" w:beforeAutospacing="0" w:after="0" w:afterAutospacing="0"/>
                    <w:ind w:left="0" w:leftChars="0" w:right="0" w:rightChars="0"/>
                    <w:rPr>
                      <w:rFonts w:hint="eastAsia" w:cs="Times New Roman"/>
                      <w:b w:val="0"/>
                      <w:bCs/>
                      <w:color w:val="auto"/>
                      <w:kern w:val="28"/>
                      <w:sz w:val="21"/>
                      <w:szCs w:val="21"/>
                      <w:lang w:val="en-US" w:eastAsia="zh-CN" w:bidi="ar-SA"/>
                    </w:rPr>
                  </w:pPr>
                  <w:r>
                    <w:rPr>
                      <w:rFonts w:hint="default" w:cs="Times New Roman"/>
                      <w:color w:val="auto"/>
                      <w:sz w:val="21"/>
                      <w:szCs w:val="21"/>
                    </w:rPr>
                    <w:t>二</w:t>
                  </w:r>
                </w:p>
              </w:tc>
              <w:tc>
                <w:tcPr>
                  <w:tcW w:w="475" w:type="pct"/>
                  <w:tcBorders>
                    <w:tl2br w:val="nil"/>
                    <w:tr2bl w:val="nil"/>
                  </w:tcBorders>
                  <w:noWrap w:val="0"/>
                  <w:vAlign w:val="center"/>
                </w:tcPr>
                <w:p w14:paraId="33E48CA7">
                  <w:pPr>
                    <w:pStyle w:val="3935"/>
                    <w:keepNext w:val="0"/>
                    <w:keepLines w:val="0"/>
                    <w:suppressLineNumbers w:val="0"/>
                    <w:bidi w:val="0"/>
                    <w:spacing w:before="0" w:beforeAutospacing="0" w:after="0" w:afterAutospacing="0"/>
                    <w:ind w:left="0" w:leftChars="0" w:right="0" w:rightChars="0"/>
                    <w:rPr>
                      <w:rFonts w:hint="eastAsia" w:cs="Times New Roman"/>
                      <w:b w:val="0"/>
                      <w:bCs/>
                      <w:color w:val="auto"/>
                      <w:kern w:val="28"/>
                      <w:sz w:val="21"/>
                      <w:szCs w:val="21"/>
                      <w:lang w:val="en-US" w:eastAsia="zh-CN" w:bidi="ar-SA"/>
                    </w:rPr>
                  </w:pPr>
                  <w:r>
                    <w:rPr>
                      <w:rFonts w:hint="default" w:cs="Times New Roman"/>
                      <w:color w:val="auto"/>
                      <w:sz w:val="21"/>
                      <w:szCs w:val="21"/>
                    </w:rPr>
                    <w:t>框架</w:t>
                  </w:r>
                </w:p>
              </w:tc>
              <w:tc>
                <w:tcPr>
                  <w:tcW w:w="475" w:type="pct"/>
                  <w:tcBorders>
                    <w:tl2br w:val="nil"/>
                    <w:tr2bl w:val="nil"/>
                  </w:tcBorders>
                  <w:noWrap w:val="0"/>
                  <w:vAlign w:val="center"/>
                </w:tcPr>
                <w:p w14:paraId="0BE10F9F">
                  <w:pPr>
                    <w:pStyle w:val="3935"/>
                    <w:keepNext w:val="0"/>
                    <w:keepLines w:val="0"/>
                    <w:suppressLineNumbers w:val="0"/>
                    <w:bidi w:val="0"/>
                    <w:spacing w:before="0" w:beforeAutospacing="0" w:after="0" w:afterAutospacing="0"/>
                    <w:ind w:left="0" w:leftChars="0" w:right="0" w:rightChars="0"/>
                    <w:rPr>
                      <w:rFonts w:hint="eastAsia" w:cs="Times New Roman"/>
                      <w:b w:val="0"/>
                      <w:bCs/>
                      <w:color w:val="auto"/>
                      <w:kern w:val="28"/>
                      <w:sz w:val="21"/>
                      <w:szCs w:val="21"/>
                      <w:lang w:val="en-US" w:eastAsia="zh-CN" w:bidi="ar-SA"/>
                    </w:rPr>
                  </w:pPr>
                  <w:r>
                    <w:rPr>
                      <w:rFonts w:hint="default" w:cs="Times New Roman"/>
                      <w:color w:val="auto"/>
                      <w:sz w:val="21"/>
                      <w:szCs w:val="21"/>
                    </w:rPr>
                    <w:t>丁类</w:t>
                  </w:r>
                </w:p>
              </w:tc>
              <w:tc>
                <w:tcPr>
                  <w:tcW w:w="370" w:type="pct"/>
                  <w:tcBorders>
                    <w:tl2br w:val="nil"/>
                    <w:tr2bl w:val="nil"/>
                  </w:tcBorders>
                  <w:noWrap w:val="0"/>
                  <w:vAlign w:val="center"/>
                </w:tcPr>
                <w:p w14:paraId="345AEC16">
                  <w:pPr>
                    <w:pStyle w:val="148"/>
                    <w:rPr>
                      <w:rFonts w:hint="eastAsia" w:eastAsiaTheme="minorEastAsia"/>
                      <w:color w:val="auto"/>
                      <w:sz w:val="21"/>
                      <w:szCs w:val="21"/>
                      <w:lang w:val="en-US" w:eastAsia="zh-CN"/>
                    </w:rPr>
                  </w:pPr>
                  <w:r>
                    <w:rPr>
                      <w:rFonts w:hint="eastAsia"/>
                      <w:color w:val="auto"/>
                      <w:sz w:val="21"/>
                      <w:szCs w:val="21"/>
                      <w:lang w:val="en-US" w:eastAsia="zh-CN"/>
                    </w:rPr>
                    <w:t>/</w:t>
                  </w:r>
                </w:p>
              </w:tc>
            </w:tr>
            <w:tr w14:paraId="53388B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89" w:type="pct"/>
                  <w:tcBorders>
                    <w:tl2br w:val="nil"/>
                    <w:tr2bl w:val="nil"/>
                  </w:tcBorders>
                  <w:noWrap w:val="0"/>
                  <w:vAlign w:val="center"/>
                </w:tcPr>
                <w:p w14:paraId="48A10A05">
                  <w:pPr>
                    <w:pStyle w:val="148"/>
                    <w:ind w:firstLine="0" w:firstLineChars="0"/>
                    <w:rPr>
                      <w:rFonts w:hint="eastAsia" w:eastAsiaTheme="minorEastAsia"/>
                      <w:b/>
                      <w:bCs w:val="0"/>
                      <w:color w:val="auto"/>
                      <w:sz w:val="21"/>
                      <w:szCs w:val="21"/>
                      <w:lang w:val="en-US" w:eastAsia="zh-CN"/>
                    </w:rPr>
                  </w:pPr>
                  <w:r>
                    <w:rPr>
                      <w:rFonts w:hint="eastAsia"/>
                      <w:b/>
                      <w:bCs w:val="0"/>
                      <w:color w:val="auto"/>
                      <w:sz w:val="21"/>
                      <w:szCs w:val="21"/>
                      <w:lang w:val="en-US" w:eastAsia="zh-CN"/>
                    </w:rPr>
                    <w:t>8</w:t>
                  </w:r>
                </w:p>
              </w:tc>
              <w:tc>
                <w:tcPr>
                  <w:tcW w:w="649" w:type="pct"/>
                  <w:tcBorders>
                    <w:tl2br w:val="nil"/>
                    <w:tr2bl w:val="nil"/>
                  </w:tcBorders>
                  <w:noWrap w:val="0"/>
                  <w:vAlign w:val="center"/>
                </w:tcPr>
                <w:p w14:paraId="1C4CC1B2">
                  <w:pPr>
                    <w:pStyle w:val="3935"/>
                    <w:keepNext w:val="0"/>
                    <w:keepLines w:val="0"/>
                    <w:suppressLineNumbers w:val="0"/>
                    <w:bidi w:val="0"/>
                    <w:spacing w:before="0" w:beforeAutospacing="0" w:after="0" w:afterAutospacing="0"/>
                    <w:ind w:left="0" w:leftChars="0" w:right="0" w:rightChars="0"/>
                    <w:rPr>
                      <w:rFonts w:hint="eastAsia" w:eastAsia="宋体" w:cs="Times New Roman"/>
                      <w:b/>
                      <w:bCs w:val="0"/>
                      <w:color w:val="auto"/>
                      <w:sz w:val="21"/>
                      <w:szCs w:val="21"/>
                      <w:lang w:eastAsia="zh-CN"/>
                    </w:rPr>
                  </w:pPr>
                  <w:r>
                    <w:rPr>
                      <w:rFonts w:hint="eastAsia"/>
                      <w:b/>
                      <w:bCs w:val="0"/>
                      <w:color w:val="auto"/>
                      <w:lang w:val="en-US" w:eastAsia="zh-CN"/>
                    </w:rPr>
                    <w:t>液氯罐式集装箱装卸场地</w:t>
                  </w:r>
                </w:p>
              </w:tc>
              <w:tc>
                <w:tcPr>
                  <w:tcW w:w="607" w:type="pct"/>
                  <w:tcBorders>
                    <w:tl2br w:val="nil"/>
                    <w:tr2bl w:val="nil"/>
                  </w:tcBorders>
                  <w:noWrap w:val="0"/>
                  <w:vAlign w:val="center"/>
                </w:tcPr>
                <w:p w14:paraId="4722873A">
                  <w:pPr>
                    <w:pStyle w:val="3935"/>
                    <w:keepNext w:val="0"/>
                    <w:keepLines w:val="0"/>
                    <w:suppressLineNumbers w:val="0"/>
                    <w:bidi w:val="0"/>
                    <w:spacing w:before="0" w:beforeAutospacing="0" w:after="0" w:afterAutospacing="0"/>
                    <w:ind w:left="0" w:leftChars="0" w:right="0" w:rightChars="0"/>
                    <w:rPr>
                      <w:rFonts w:hint="default" w:eastAsia="宋体" w:cs="Times New Roman"/>
                      <w:b/>
                      <w:bCs w:val="0"/>
                      <w:color w:val="auto"/>
                      <w:sz w:val="21"/>
                      <w:szCs w:val="21"/>
                      <w:lang w:val="en-US" w:eastAsia="zh-CN"/>
                    </w:rPr>
                  </w:pPr>
                  <w:r>
                    <w:rPr>
                      <w:rFonts w:hint="eastAsia" w:cs="Times New Roman"/>
                      <w:b/>
                      <w:bCs w:val="0"/>
                      <w:color w:val="auto"/>
                      <w:sz w:val="21"/>
                      <w:szCs w:val="21"/>
                      <w:lang w:val="en-US" w:eastAsia="zh-CN"/>
                    </w:rPr>
                    <w:t>255</w:t>
                  </w:r>
                </w:p>
              </w:tc>
              <w:tc>
                <w:tcPr>
                  <w:tcW w:w="327" w:type="pct"/>
                  <w:tcBorders>
                    <w:tl2br w:val="nil"/>
                    <w:tr2bl w:val="nil"/>
                  </w:tcBorders>
                  <w:noWrap w:val="0"/>
                  <w:vAlign w:val="center"/>
                </w:tcPr>
                <w:p w14:paraId="0FE5EB66">
                  <w:pPr>
                    <w:pStyle w:val="3935"/>
                    <w:keepNext w:val="0"/>
                    <w:keepLines w:val="0"/>
                    <w:suppressLineNumbers w:val="0"/>
                    <w:bidi w:val="0"/>
                    <w:spacing w:before="0" w:beforeAutospacing="0" w:after="0" w:afterAutospacing="0"/>
                    <w:ind w:left="0" w:leftChars="0" w:right="0" w:rightChars="0"/>
                    <w:rPr>
                      <w:rFonts w:hint="default" w:cs="Times New Roman"/>
                      <w:b/>
                      <w:bCs w:val="0"/>
                      <w:color w:val="auto"/>
                      <w:sz w:val="21"/>
                      <w:szCs w:val="21"/>
                    </w:rPr>
                  </w:pPr>
                  <w:r>
                    <w:rPr>
                      <w:rFonts w:hint="eastAsia" w:cs="Times New Roman"/>
                      <w:b/>
                      <w:bCs w:val="0"/>
                      <w:color w:val="auto"/>
                      <w:sz w:val="21"/>
                      <w:szCs w:val="21"/>
                      <w:lang w:val="en-US" w:eastAsia="zh-CN"/>
                    </w:rPr>
                    <w:t>255</w:t>
                  </w:r>
                </w:p>
              </w:tc>
              <w:tc>
                <w:tcPr>
                  <w:tcW w:w="328" w:type="pct"/>
                  <w:tcBorders>
                    <w:tl2br w:val="nil"/>
                    <w:tr2bl w:val="nil"/>
                  </w:tcBorders>
                  <w:noWrap w:val="0"/>
                  <w:vAlign w:val="center"/>
                </w:tcPr>
                <w:p w14:paraId="40700DD7">
                  <w:pPr>
                    <w:pStyle w:val="3935"/>
                    <w:keepNext w:val="0"/>
                    <w:keepLines w:val="0"/>
                    <w:suppressLineNumbers w:val="0"/>
                    <w:bidi w:val="0"/>
                    <w:spacing w:before="0" w:beforeAutospacing="0" w:after="0" w:afterAutospacing="0"/>
                    <w:ind w:left="0" w:leftChars="0" w:right="0" w:rightChars="0"/>
                    <w:rPr>
                      <w:rFonts w:hint="eastAsia" w:eastAsia="宋体" w:cs="Times New Roman"/>
                      <w:b/>
                      <w:bCs w:val="0"/>
                      <w:color w:val="auto"/>
                      <w:sz w:val="21"/>
                      <w:szCs w:val="21"/>
                      <w:lang w:val="en-US" w:eastAsia="zh-CN"/>
                    </w:rPr>
                  </w:pPr>
                  <w:r>
                    <w:rPr>
                      <w:rFonts w:hint="eastAsia" w:cs="Times New Roman"/>
                      <w:b/>
                      <w:bCs w:val="0"/>
                      <w:color w:val="auto"/>
                      <w:sz w:val="21"/>
                      <w:szCs w:val="21"/>
                      <w:lang w:val="en-US" w:eastAsia="zh-CN"/>
                    </w:rPr>
                    <w:t>0</w:t>
                  </w:r>
                </w:p>
              </w:tc>
              <w:tc>
                <w:tcPr>
                  <w:tcW w:w="327" w:type="pct"/>
                  <w:tcBorders>
                    <w:tl2br w:val="nil"/>
                    <w:tr2bl w:val="nil"/>
                  </w:tcBorders>
                  <w:noWrap w:val="0"/>
                  <w:vAlign w:val="center"/>
                </w:tcPr>
                <w:p w14:paraId="146D711E">
                  <w:pPr>
                    <w:pStyle w:val="3935"/>
                    <w:keepNext w:val="0"/>
                    <w:keepLines w:val="0"/>
                    <w:suppressLineNumbers w:val="0"/>
                    <w:bidi w:val="0"/>
                    <w:spacing w:before="0" w:beforeAutospacing="0" w:after="0" w:afterAutospacing="0"/>
                    <w:ind w:left="0" w:leftChars="0" w:right="0" w:rightChars="0"/>
                    <w:rPr>
                      <w:rFonts w:hint="eastAsia" w:eastAsia="宋体" w:cs="Times New Roman"/>
                      <w:b/>
                      <w:bCs w:val="0"/>
                      <w:color w:val="auto"/>
                      <w:sz w:val="21"/>
                      <w:szCs w:val="21"/>
                      <w:lang w:val="en-US" w:eastAsia="zh-CN"/>
                    </w:rPr>
                  </w:pPr>
                  <w:r>
                    <w:rPr>
                      <w:rFonts w:hint="eastAsia" w:cs="Times New Roman"/>
                      <w:b/>
                      <w:bCs w:val="0"/>
                      <w:color w:val="auto"/>
                      <w:sz w:val="21"/>
                      <w:szCs w:val="21"/>
                      <w:lang w:val="en-US" w:eastAsia="zh-CN"/>
                    </w:rPr>
                    <w:t>1</w:t>
                  </w:r>
                </w:p>
              </w:tc>
              <w:tc>
                <w:tcPr>
                  <w:tcW w:w="613" w:type="pct"/>
                  <w:tcBorders>
                    <w:tl2br w:val="nil"/>
                    <w:tr2bl w:val="nil"/>
                  </w:tcBorders>
                  <w:noWrap w:val="0"/>
                  <w:vAlign w:val="center"/>
                </w:tcPr>
                <w:p w14:paraId="70DD8B87">
                  <w:pPr>
                    <w:pStyle w:val="3935"/>
                    <w:keepNext w:val="0"/>
                    <w:keepLines w:val="0"/>
                    <w:suppressLineNumbers w:val="0"/>
                    <w:bidi w:val="0"/>
                    <w:spacing w:before="0" w:beforeAutospacing="0" w:after="0" w:afterAutospacing="0"/>
                    <w:ind w:left="0" w:leftChars="0" w:right="0" w:rightChars="0"/>
                    <w:rPr>
                      <w:rFonts w:hint="default" w:cs="Times New Roman"/>
                      <w:b/>
                      <w:bCs w:val="0"/>
                      <w:color w:val="auto"/>
                      <w:sz w:val="21"/>
                      <w:szCs w:val="21"/>
                    </w:rPr>
                  </w:pPr>
                  <w:r>
                    <w:rPr>
                      <w:rFonts w:hint="default" w:cs="Times New Roman"/>
                      <w:b/>
                      <w:bCs w:val="0"/>
                      <w:color w:val="auto"/>
                      <w:sz w:val="21"/>
                      <w:szCs w:val="21"/>
                    </w:rPr>
                    <w:t>784.3</w:t>
                  </w:r>
                </w:p>
              </w:tc>
              <w:tc>
                <w:tcPr>
                  <w:tcW w:w="535" w:type="pct"/>
                  <w:tcBorders>
                    <w:tl2br w:val="nil"/>
                    <w:tr2bl w:val="nil"/>
                  </w:tcBorders>
                  <w:noWrap w:val="0"/>
                  <w:vAlign w:val="center"/>
                </w:tcPr>
                <w:p w14:paraId="6FC47EAF">
                  <w:pPr>
                    <w:pStyle w:val="3935"/>
                    <w:keepNext w:val="0"/>
                    <w:keepLines w:val="0"/>
                    <w:suppressLineNumbers w:val="0"/>
                    <w:bidi w:val="0"/>
                    <w:spacing w:before="0" w:beforeAutospacing="0" w:after="0" w:afterAutospacing="0"/>
                    <w:ind w:left="0" w:leftChars="0" w:right="0" w:rightChars="0"/>
                    <w:rPr>
                      <w:rFonts w:hint="default" w:cs="Times New Roman"/>
                      <w:b/>
                      <w:bCs w:val="0"/>
                      <w:color w:val="auto"/>
                      <w:sz w:val="21"/>
                      <w:szCs w:val="21"/>
                    </w:rPr>
                  </w:pPr>
                  <w:r>
                    <w:rPr>
                      <w:rFonts w:hint="default" w:cs="Times New Roman"/>
                      <w:b/>
                      <w:bCs w:val="0"/>
                      <w:color w:val="auto"/>
                      <w:sz w:val="21"/>
                      <w:szCs w:val="21"/>
                    </w:rPr>
                    <w:t>二</w:t>
                  </w:r>
                </w:p>
              </w:tc>
              <w:tc>
                <w:tcPr>
                  <w:tcW w:w="475" w:type="pct"/>
                  <w:tcBorders>
                    <w:tl2br w:val="nil"/>
                    <w:tr2bl w:val="nil"/>
                  </w:tcBorders>
                  <w:noWrap w:val="0"/>
                  <w:vAlign w:val="center"/>
                </w:tcPr>
                <w:p w14:paraId="26B01E9C">
                  <w:pPr>
                    <w:pStyle w:val="3935"/>
                    <w:keepNext w:val="0"/>
                    <w:keepLines w:val="0"/>
                    <w:suppressLineNumbers w:val="0"/>
                    <w:bidi w:val="0"/>
                    <w:spacing w:before="0" w:beforeAutospacing="0" w:after="0" w:afterAutospacing="0"/>
                    <w:ind w:left="0" w:leftChars="0" w:right="0" w:rightChars="0"/>
                    <w:rPr>
                      <w:rFonts w:hint="default" w:cs="Times New Roman"/>
                      <w:b/>
                      <w:bCs w:val="0"/>
                      <w:color w:val="auto"/>
                      <w:sz w:val="21"/>
                      <w:szCs w:val="21"/>
                    </w:rPr>
                  </w:pPr>
                  <w:r>
                    <w:rPr>
                      <w:rFonts w:hint="eastAsia"/>
                      <w:b/>
                      <w:bCs w:val="0"/>
                      <w:color w:val="auto"/>
                    </w:rPr>
                    <w:t>16MmDR</w:t>
                  </w:r>
                </w:p>
              </w:tc>
              <w:tc>
                <w:tcPr>
                  <w:tcW w:w="475" w:type="pct"/>
                  <w:tcBorders>
                    <w:tl2br w:val="nil"/>
                    <w:tr2bl w:val="nil"/>
                  </w:tcBorders>
                  <w:noWrap w:val="0"/>
                  <w:vAlign w:val="center"/>
                </w:tcPr>
                <w:p w14:paraId="54DD20E4">
                  <w:pPr>
                    <w:pStyle w:val="3935"/>
                    <w:keepNext w:val="0"/>
                    <w:keepLines w:val="0"/>
                    <w:suppressLineNumbers w:val="0"/>
                    <w:bidi w:val="0"/>
                    <w:spacing w:before="0" w:beforeAutospacing="0" w:after="0" w:afterAutospacing="0"/>
                    <w:ind w:left="0" w:leftChars="0" w:right="0" w:rightChars="0"/>
                    <w:rPr>
                      <w:rFonts w:hint="default" w:cs="Times New Roman"/>
                      <w:b/>
                      <w:bCs w:val="0"/>
                      <w:color w:val="auto"/>
                      <w:sz w:val="21"/>
                      <w:szCs w:val="21"/>
                    </w:rPr>
                  </w:pPr>
                  <w:r>
                    <w:rPr>
                      <w:rFonts w:hint="eastAsia" w:cs="Times New Roman"/>
                      <w:b/>
                      <w:bCs w:val="0"/>
                      <w:color w:val="auto"/>
                      <w:sz w:val="21"/>
                      <w:szCs w:val="21"/>
                      <w:lang w:eastAsia="zh-CN"/>
                    </w:rPr>
                    <w:t>乙</w:t>
                  </w:r>
                  <w:r>
                    <w:rPr>
                      <w:rFonts w:hint="default" w:cs="Times New Roman"/>
                      <w:b/>
                      <w:bCs w:val="0"/>
                      <w:color w:val="auto"/>
                      <w:sz w:val="21"/>
                      <w:szCs w:val="21"/>
                    </w:rPr>
                    <w:t>类</w:t>
                  </w:r>
                </w:p>
              </w:tc>
              <w:tc>
                <w:tcPr>
                  <w:tcW w:w="370" w:type="pct"/>
                  <w:tcBorders>
                    <w:tl2br w:val="nil"/>
                    <w:tr2bl w:val="nil"/>
                  </w:tcBorders>
                  <w:noWrap w:val="0"/>
                  <w:vAlign w:val="center"/>
                </w:tcPr>
                <w:p w14:paraId="4472B09C">
                  <w:pPr>
                    <w:pStyle w:val="148"/>
                    <w:jc w:val="center"/>
                    <w:rPr>
                      <w:rFonts w:hint="eastAsia" w:eastAsiaTheme="minorEastAsia"/>
                      <w:b/>
                      <w:bCs w:val="0"/>
                      <w:color w:val="auto"/>
                      <w:sz w:val="21"/>
                      <w:szCs w:val="21"/>
                      <w:lang w:eastAsia="zh-CN"/>
                    </w:rPr>
                  </w:pPr>
                  <w:r>
                    <w:rPr>
                      <w:rFonts w:hint="eastAsia"/>
                      <w:b/>
                      <w:bCs w:val="0"/>
                      <w:color w:val="auto"/>
                      <w:sz w:val="21"/>
                      <w:szCs w:val="21"/>
                      <w:lang w:eastAsia="zh-CN"/>
                    </w:rPr>
                    <w:t>利用现有厂房进行改造</w:t>
                  </w:r>
                </w:p>
              </w:tc>
            </w:tr>
          </w:tbl>
          <w:p w14:paraId="64119618">
            <w:pPr>
              <w:pStyle w:val="149"/>
              <w:keepNext w:val="0"/>
              <w:keepLines w:val="0"/>
              <w:pageBreakBefore w:val="0"/>
              <w:widowControl/>
              <w:kinsoku/>
              <w:wordWrap/>
              <w:overflowPunct/>
              <w:topLinePunct w:val="0"/>
              <w:autoSpaceDE/>
              <w:autoSpaceDN/>
              <w:bidi w:val="0"/>
              <w:adjustRightInd w:val="0"/>
              <w:snapToGrid w:val="0"/>
              <w:spacing w:before="157" w:beforeLines="50" w:after="0" w:line="240" w:lineRule="auto"/>
              <w:textAlignment w:val="auto"/>
              <w:rPr>
                <w:rFonts w:hint="eastAsia"/>
                <w:color w:val="auto"/>
                <w:lang w:val="en-US" w:eastAsia="zh-CN"/>
              </w:rPr>
            </w:pPr>
            <w:r>
              <w:rPr>
                <w:rFonts w:hint="eastAsia"/>
                <w:color w:val="auto"/>
                <w:lang w:val="en-US" w:eastAsia="zh-CN"/>
              </w:rPr>
              <w:t xml:space="preserve">表2-8 </w:t>
            </w:r>
            <w:r>
              <w:rPr>
                <w:rFonts w:hint="eastAsia"/>
                <w:color w:val="auto"/>
                <w:lang w:eastAsia="zh-CN"/>
              </w:rPr>
              <w:t>技改项目建成后厂区</w:t>
            </w:r>
            <w:r>
              <w:rPr>
                <w:rFonts w:hint="eastAsia"/>
                <w:color w:val="auto"/>
                <w:lang w:val="en-US" w:eastAsia="zh-CN"/>
              </w:rPr>
              <w:t>储罐一览表</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79"/>
              <w:gridCol w:w="1104"/>
              <w:gridCol w:w="1624"/>
              <w:gridCol w:w="1123"/>
              <w:gridCol w:w="604"/>
              <w:gridCol w:w="604"/>
              <w:gridCol w:w="613"/>
              <w:gridCol w:w="702"/>
              <w:gridCol w:w="1458"/>
            </w:tblGrid>
            <w:tr w14:paraId="57ABB0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344" w:type="pct"/>
                  <w:vMerge w:val="restart"/>
                  <w:tcBorders>
                    <w:tl2br w:val="nil"/>
                    <w:tr2bl w:val="nil"/>
                  </w:tcBorders>
                  <w:noWrap w:val="0"/>
                  <w:vAlign w:val="center"/>
                </w:tcPr>
                <w:p w14:paraId="6952157F">
                  <w:pPr>
                    <w:widowControl/>
                    <w:tabs>
                      <w:tab w:val="left" w:pos="567"/>
                    </w:tabs>
                    <w:spacing w:line="240" w:lineRule="auto"/>
                    <w:ind w:firstLine="0" w:firstLineChars="0"/>
                    <w:jc w:val="center"/>
                    <w:rPr>
                      <w:b/>
                      <w:bCs/>
                      <w:color w:val="auto"/>
                      <w:sz w:val="21"/>
                      <w:szCs w:val="21"/>
                    </w:rPr>
                  </w:pPr>
                  <w:r>
                    <w:rPr>
                      <w:b/>
                      <w:bCs/>
                      <w:color w:val="auto"/>
                      <w:sz w:val="21"/>
                      <w:szCs w:val="21"/>
                    </w:rPr>
                    <w:t>序号</w:t>
                  </w:r>
                </w:p>
              </w:tc>
              <w:tc>
                <w:tcPr>
                  <w:tcW w:w="656" w:type="pct"/>
                  <w:vMerge w:val="restart"/>
                  <w:tcBorders>
                    <w:tl2br w:val="nil"/>
                    <w:tr2bl w:val="nil"/>
                  </w:tcBorders>
                  <w:noWrap w:val="0"/>
                  <w:vAlign w:val="center"/>
                </w:tcPr>
                <w:p w14:paraId="37ED61C9">
                  <w:pPr>
                    <w:widowControl/>
                    <w:tabs>
                      <w:tab w:val="left" w:pos="567"/>
                    </w:tabs>
                    <w:spacing w:line="240" w:lineRule="auto"/>
                    <w:ind w:firstLine="0" w:firstLineChars="0"/>
                    <w:jc w:val="center"/>
                    <w:rPr>
                      <w:b/>
                      <w:bCs/>
                      <w:color w:val="auto"/>
                      <w:sz w:val="21"/>
                      <w:szCs w:val="21"/>
                    </w:rPr>
                  </w:pPr>
                  <w:r>
                    <w:rPr>
                      <w:b/>
                      <w:bCs/>
                      <w:color w:val="auto"/>
                      <w:sz w:val="21"/>
                      <w:szCs w:val="21"/>
                    </w:rPr>
                    <w:t>储罐位置</w:t>
                  </w:r>
                </w:p>
              </w:tc>
              <w:tc>
                <w:tcPr>
                  <w:tcW w:w="965" w:type="pct"/>
                  <w:vMerge w:val="restart"/>
                  <w:tcBorders>
                    <w:tl2br w:val="nil"/>
                    <w:tr2bl w:val="nil"/>
                  </w:tcBorders>
                  <w:noWrap w:val="0"/>
                  <w:vAlign w:val="center"/>
                </w:tcPr>
                <w:p w14:paraId="054002BD">
                  <w:pPr>
                    <w:widowControl/>
                    <w:tabs>
                      <w:tab w:val="left" w:pos="567"/>
                    </w:tabs>
                    <w:spacing w:line="240" w:lineRule="auto"/>
                    <w:ind w:firstLine="0" w:firstLineChars="0"/>
                    <w:jc w:val="center"/>
                    <w:rPr>
                      <w:b/>
                      <w:bCs/>
                      <w:color w:val="auto"/>
                      <w:sz w:val="21"/>
                      <w:szCs w:val="21"/>
                    </w:rPr>
                  </w:pPr>
                  <w:r>
                    <w:rPr>
                      <w:b/>
                      <w:bCs/>
                      <w:color w:val="auto"/>
                      <w:sz w:val="21"/>
                      <w:szCs w:val="21"/>
                    </w:rPr>
                    <w:t>储罐名称</w:t>
                  </w:r>
                </w:p>
              </w:tc>
              <w:tc>
                <w:tcPr>
                  <w:tcW w:w="667" w:type="pct"/>
                  <w:vMerge w:val="restart"/>
                  <w:tcBorders>
                    <w:tl2br w:val="nil"/>
                    <w:tr2bl w:val="nil"/>
                  </w:tcBorders>
                  <w:noWrap w:val="0"/>
                  <w:vAlign w:val="center"/>
                </w:tcPr>
                <w:p w14:paraId="672CB73B">
                  <w:pPr>
                    <w:widowControl/>
                    <w:tabs>
                      <w:tab w:val="left" w:pos="567"/>
                    </w:tabs>
                    <w:spacing w:line="240" w:lineRule="auto"/>
                    <w:ind w:firstLine="0" w:firstLineChars="0"/>
                    <w:jc w:val="center"/>
                    <w:rPr>
                      <w:b/>
                      <w:bCs/>
                      <w:color w:val="auto"/>
                      <w:sz w:val="21"/>
                      <w:szCs w:val="21"/>
                    </w:rPr>
                  </w:pPr>
                  <w:r>
                    <w:rPr>
                      <w:b/>
                      <w:bCs/>
                      <w:color w:val="auto"/>
                      <w:sz w:val="21"/>
                      <w:szCs w:val="21"/>
                    </w:rPr>
                    <w:t>规格型号</w:t>
                  </w:r>
                </w:p>
              </w:tc>
              <w:tc>
                <w:tcPr>
                  <w:tcW w:w="1082" w:type="pct"/>
                  <w:gridSpan w:val="3"/>
                  <w:tcBorders>
                    <w:tl2br w:val="nil"/>
                    <w:tr2bl w:val="nil"/>
                  </w:tcBorders>
                  <w:noWrap w:val="0"/>
                  <w:vAlign w:val="center"/>
                </w:tcPr>
                <w:p w14:paraId="2B8D3065">
                  <w:pPr>
                    <w:widowControl/>
                    <w:tabs>
                      <w:tab w:val="left" w:pos="567"/>
                    </w:tabs>
                    <w:spacing w:line="240" w:lineRule="auto"/>
                    <w:ind w:firstLine="0" w:firstLineChars="0"/>
                    <w:jc w:val="center"/>
                    <w:rPr>
                      <w:b/>
                      <w:bCs/>
                      <w:color w:val="auto"/>
                      <w:sz w:val="21"/>
                      <w:szCs w:val="21"/>
                    </w:rPr>
                  </w:pPr>
                  <w:r>
                    <w:rPr>
                      <w:b/>
                      <w:bCs/>
                      <w:color w:val="auto"/>
                      <w:sz w:val="21"/>
                      <w:szCs w:val="21"/>
                    </w:rPr>
                    <w:t>数量</w:t>
                  </w:r>
                </w:p>
              </w:tc>
              <w:tc>
                <w:tcPr>
                  <w:tcW w:w="417" w:type="pct"/>
                  <w:vMerge w:val="restart"/>
                  <w:tcBorders>
                    <w:tl2br w:val="nil"/>
                    <w:tr2bl w:val="nil"/>
                  </w:tcBorders>
                  <w:noWrap w:val="0"/>
                  <w:vAlign w:val="center"/>
                </w:tcPr>
                <w:p w14:paraId="5E7586D6">
                  <w:pPr>
                    <w:widowControl/>
                    <w:tabs>
                      <w:tab w:val="left" w:pos="567"/>
                    </w:tabs>
                    <w:spacing w:line="240" w:lineRule="auto"/>
                    <w:ind w:firstLine="0" w:firstLineChars="0"/>
                    <w:jc w:val="center"/>
                    <w:rPr>
                      <w:b/>
                      <w:bCs/>
                      <w:color w:val="auto"/>
                      <w:sz w:val="21"/>
                      <w:szCs w:val="21"/>
                    </w:rPr>
                  </w:pPr>
                  <w:r>
                    <w:rPr>
                      <w:b/>
                      <w:bCs/>
                      <w:color w:val="auto"/>
                      <w:sz w:val="21"/>
                      <w:szCs w:val="21"/>
                    </w:rPr>
                    <w:t>材质</w:t>
                  </w:r>
                </w:p>
              </w:tc>
              <w:tc>
                <w:tcPr>
                  <w:tcW w:w="866" w:type="pct"/>
                  <w:vMerge w:val="restart"/>
                  <w:tcBorders>
                    <w:tl2br w:val="nil"/>
                    <w:tr2bl w:val="nil"/>
                  </w:tcBorders>
                  <w:noWrap w:val="0"/>
                  <w:vAlign w:val="center"/>
                </w:tcPr>
                <w:p w14:paraId="6C72AF60">
                  <w:pPr>
                    <w:widowControl/>
                    <w:tabs>
                      <w:tab w:val="left" w:pos="567"/>
                    </w:tabs>
                    <w:spacing w:line="240" w:lineRule="auto"/>
                    <w:ind w:firstLine="0" w:firstLineChars="0"/>
                    <w:jc w:val="center"/>
                    <w:rPr>
                      <w:b/>
                      <w:bCs/>
                      <w:color w:val="auto"/>
                      <w:sz w:val="21"/>
                      <w:szCs w:val="21"/>
                    </w:rPr>
                  </w:pPr>
                  <w:r>
                    <w:rPr>
                      <w:b/>
                      <w:bCs/>
                      <w:color w:val="auto"/>
                      <w:sz w:val="21"/>
                      <w:szCs w:val="21"/>
                    </w:rPr>
                    <w:t>火灾危险类别</w:t>
                  </w:r>
                </w:p>
              </w:tc>
            </w:tr>
            <w:tr w14:paraId="15B072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344" w:type="pct"/>
                  <w:vMerge w:val="continue"/>
                  <w:tcBorders>
                    <w:tl2br w:val="nil"/>
                    <w:tr2bl w:val="nil"/>
                  </w:tcBorders>
                  <w:noWrap w:val="0"/>
                  <w:vAlign w:val="center"/>
                </w:tcPr>
                <w:p w14:paraId="4D210077">
                  <w:pPr>
                    <w:widowControl/>
                    <w:tabs>
                      <w:tab w:val="left" w:pos="567"/>
                    </w:tabs>
                    <w:spacing w:line="240" w:lineRule="auto"/>
                    <w:ind w:firstLine="0" w:firstLineChars="0"/>
                    <w:jc w:val="center"/>
                    <w:rPr>
                      <w:b/>
                      <w:bCs/>
                      <w:color w:val="auto"/>
                      <w:sz w:val="21"/>
                      <w:szCs w:val="21"/>
                    </w:rPr>
                  </w:pPr>
                </w:p>
              </w:tc>
              <w:tc>
                <w:tcPr>
                  <w:tcW w:w="656" w:type="pct"/>
                  <w:vMerge w:val="continue"/>
                  <w:tcBorders>
                    <w:tl2br w:val="nil"/>
                    <w:tr2bl w:val="nil"/>
                  </w:tcBorders>
                  <w:noWrap w:val="0"/>
                  <w:vAlign w:val="center"/>
                </w:tcPr>
                <w:p w14:paraId="4DADD3A6">
                  <w:pPr>
                    <w:widowControl/>
                    <w:tabs>
                      <w:tab w:val="left" w:pos="567"/>
                    </w:tabs>
                    <w:spacing w:line="240" w:lineRule="auto"/>
                    <w:ind w:firstLine="0" w:firstLineChars="0"/>
                    <w:jc w:val="center"/>
                    <w:rPr>
                      <w:b/>
                      <w:bCs/>
                      <w:color w:val="auto"/>
                      <w:sz w:val="21"/>
                      <w:szCs w:val="21"/>
                    </w:rPr>
                  </w:pPr>
                </w:p>
              </w:tc>
              <w:tc>
                <w:tcPr>
                  <w:tcW w:w="965" w:type="pct"/>
                  <w:vMerge w:val="continue"/>
                  <w:tcBorders>
                    <w:tl2br w:val="nil"/>
                    <w:tr2bl w:val="nil"/>
                  </w:tcBorders>
                  <w:noWrap w:val="0"/>
                  <w:vAlign w:val="center"/>
                </w:tcPr>
                <w:p w14:paraId="00A3345F">
                  <w:pPr>
                    <w:widowControl/>
                    <w:tabs>
                      <w:tab w:val="left" w:pos="567"/>
                    </w:tabs>
                    <w:spacing w:line="240" w:lineRule="auto"/>
                    <w:ind w:firstLine="0" w:firstLineChars="0"/>
                    <w:jc w:val="center"/>
                    <w:rPr>
                      <w:b/>
                      <w:bCs/>
                      <w:color w:val="auto"/>
                      <w:sz w:val="21"/>
                      <w:szCs w:val="21"/>
                    </w:rPr>
                  </w:pPr>
                </w:p>
              </w:tc>
              <w:tc>
                <w:tcPr>
                  <w:tcW w:w="667" w:type="pct"/>
                  <w:vMerge w:val="continue"/>
                  <w:tcBorders>
                    <w:tl2br w:val="nil"/>
                    <w:tr2bl w:val="nil"/>
                  </w:tcBorders>
                  <w:noWrap w:val="0"/>
                  <w:vAlign w:val="center"/>
                </w:tcPr>
                <w:p w14:paraId="0F43BD4D">
                  <w:pPr>
                    <w:widowControl/>
                    <w:tabs>
                      <w:tab w:val="left" w:pos="567"/>
                    </w:tabs>
                    <w:spacing w:line="240" w:lineRule="auto"/>
                    <w:ind w:firstLine="0" w:firstLineChars="0"/>
                    <w:jc w:val="center"/>
                    <w:rPr>
                      <w:b/>
                      <w:bCs/>
                      <w:color w:val="auto"/>
                      <w:sz w:val="21"/>
                      <w:szCs w:val="21"/>
                    </w:rPr>
                  </w:pPr>
                </w:p>
              </w:tc>
              <w:tc>
                <w:tcPr>
                  <w:tcW w:w="359" w:type="pct"/>
                  <w:tcBorders>
                    <w:tl2br w:val="nil"/>
                    <w:tr2bl w:val="nil"/>
                  </w:tcBorders>
                  <w:noWrap w:val="0"/>
                  <w:vAlign w:val="center"/>
                </w:tcPr>
                <w:p w14:paraId="2A19D4A7">
                  <w:pPr>
                    <w:widowControl/>
                    <w:tabs>
                      <w:tab w:val="left" w:pos="567"/>
                    </w:tabs>
                    <w:spacing w:line="240" w:lineRule="auto"/>
                    <w:ind w:firstLine="0" w:firstLineChars="0"/>
                    <w:jc w:val="center"/>
                    <w:rPr>
                      <w:rFonts w:hint="eastAsia" w:eastAsia="宋体"/>
                      <w:b/>
                      <w:bCs/>
                      <w:color w:val="auto"/>
                      <w:sz w:val="21"/>
                      <w:szCs w:val="21"/>
                      <w:lang w:eastAsia="zh-CN"/>
                    </w:rPr>
                  </w:pPr>
                  <w:r>
                    <w:rPr>
                      <w:rFonts w:hint="eastAsia"/>
                      <w:b/>
                      <w:bCs/>
                      <w:color w:val="auto"/>
                      <w:sz w:val="21"/>
                      <w:szCs w:val="21"/>
                      <w:lang w:eastAsia="zh-CN"/>
                    </w:rPr>
                    <w:t>技改前</w:t>
                  </w:r>
                </w:p>
              </w:tc>
              <w:tc>
                <w:tcPr>
                  <w:tcW w:w="359" w:type="pct"/>
                  <w:tcBorders>
                    <w:tl2br w:val="nil"/>
                    <w:tr2bl w:val="nil"/>
                  </w:tcBorders>
                  <w:noWrap w:val="0"/>
                  <w:vAlign w:val="center"/>
                </w:tcPr>
                <w:p w14:paraId="48DFF587">
                  <w:pPr>
                    <w:widowControl/>
                    <w:tabs>
                      <w:tab w:val="left" w:pos="567"/>
                    </w:tabs>
                    <w:spacing w:line="240" w:lineRule="auto"/>
                    <w:ind w:firstLine="0" w:firstLineChars="0"/>
                    <w:jc w:val="center"/>
                    <w:rPr>
                      <w:rFonts w:hint="eastAsia" w:eastAsia="宋体"/>
                      <w:b/>
                      <w:bCs/>
                      <w:color w:val="auto"/>
                      <w:sz w:val="21"/>
                      <w:szCs w:val="21"/>
                      <w:lang w:eastAsia="zh-CN"/>
                    </w:rPr>
                  </w:pPr>
                  <w:r>
                    <w:rPr>
                      <w:rFonts w:hint="eastAsia"/>
                      <w:b/>
                      <w:bCs/>
                      <w:color w:val="auto"/>
                      <w:sz w:val="21"/>
                      <w:szCs w:val="21"/>
                      <w:lang w:eastAsia="zh-CN"/>
                    </w:rPr>
                    <w:t>技改后</w:t>
                  </w:r>
                </w:p>
              </w:tc>
              <w:tc>
                <w:tcPr>
                  <w:tcW w:w="362" w:type="pct"/>
                  <w:tcBorders>
                    <w:tl2br w:val="nil"/>
                    <w:tr2bl w:val="nil"/>
                  </w:tcBorders>
                  <w:noWrap w:val="0"/>
                  <w:vAlign w:val="center"/>
                </w:tcPr>
                <w:p w14:paraId="5212BF41">
                  <w:pPr>
                    <w:widowControl/>
                    <w:tabs>
                      <w:tab w:val="left" w:pos="567"/>
                    </w:tabs>
                    <w:spacing w:line="240" w:lineRule="auto"/>
                    <w:ind w:firstLine="0" w:firstLineChars="0"/>
                    <w:jc w:val="center"/>
                    <w:rPr>
                      <w:rFonts w:hint="eastAsia" w:eastAsia="宋体"/>
                      <w:b/>
                      <w:bCs/>
                      <w:color w:val="auto"/>
                      <w:sz w:val="21"/>
                      <w:szCs w:val="21"/>
                      <w:lang w:eastAsia="zh-CN"/>
                    </w:rPr>
                  </w:pPr>
                  <w:r>
                    <w:rPr>
                      <w:rFonts w:hint="eastAsia"/>
                      <w:b/>
                      <w:bCs/>
                      <w:color w:val="auto"/>
                      <w:sz w:val="21"/>
                      <w:szCs w:val="21"/>
                      <w:lang w:eastAsia="zh-CN"/>
                    </w:rPr>
                    <w:t>增减量</w:t>
                  </w:r>
                </w:p>
              </w:tc>
              <w:tc>
                <w:tcPr>
                  <w:tcW w:w="417" w:type="pct"/>
                  <w:vMerge w:val="continue"/>
                  <w:tcBorders>
                    <w:tl2br w:val="nil"/>
                    <w:tr2bl w:val="nil"/>
                  </w:tcBorders>
                  <w:noWrap w:val="0"/>
                  <w:vAlign w:val="center"/>
                </w:tcPr>
                <w:p w14:paraId="7C3D6F4B">
                  <w:pPr>
                    <w:widowControl/>
                    <w:tabs>
                      <w:tab w:val="left" w:pos="567"/>
                    </w:tabs>
                    <w:spacing w:line="240" w:lineRule="auto"/>
                    <w:ind w:firstLine="0" w:firstLineChars="0"/>
                    <w:jc w:val="center"/>
                    <w:rPr>
                      <w:b/>
                      <w:bCs/>
                      <w:color w:val="auto"/>
                      <w:sz w:val="21"/>
                      <w:szCs w:val="21"/>
                    </w:rPr>
                  </w:pPr>
                </w:p>
              </w:tc>
              <w:tc>
                <w:tcPr>
                  <w:tcW w:w="866" w:type="pct"/>
                  <w:vMerge w:val="continue"/>
                  <w:tcBorders>
                    <w:tl2br w:val="nil"/>
                    <w:tr2bl w:val="nil"/>
                  </w:tcBorders>
                  <w:noWrap w:val="0"/>
                  <w:vAlign w:val="center"/>
                </w:tcPr>
                <w:p w14:paraId="36606D9E">
                  <w:pPr>
                    <w:widowControl/>
                    <w:tabs>
                      <w:tab w:val="left" w:pos="567"/>
                    </w:tabs>
                    <w:spacing w:line="240" w:lineRule="auto"/>
                    <w:ind w:firstLine="0" w:firstLineChars="0"/>
                    <w:jc w:val="center"/>
                    <w:rPr>
                      <w:b/>
                      <w:bCs/>
                      <w:color w:val="auto"/>
                      <w:sz w:val="21"/>
                      <w:szCs w:val="21"/>
                    </w:rPr>
                  </w:pPr>
                </w:p>
              </w:tc>
            </w:tr>
            <w:tr w14:paraId="10B58D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pct"/>
                  <w:tcBorders>
                    <w:tl2br w:val="nil"/>
                    <w:tr2bl w:val="nil"/>
                  </w:tcBorders>
                  <w:noWrap w:val="0"/>
                  <w:vAlign w:val="center"/>
                </w:tcPr>
                <w:p w14:paraId="4738FBF6">
                  <w:pPr>
                    <w:widowControl/>
                    <w:tabs>
                      <w:tab w:val="left" w:pos="567"/>
                    </w:tabs>
                    <w:spacing w:line="240" w:lineRule="auto"/>
                    <w:ind w:firstLine="0" w:firstLineChars="0"/>
                    <w:jc w:val="center"/>
                    <w:rPr>
                      <w:color w:val="auto"/>
                      <w:sz w:val="21"/>
                      <w:szCs w:val="21"/>
                    </w:rPr>
                  </w:pPr>
                  <w:r>
                    <w:rPr>
                      <w:color w:val="auto"/>
                      <w:sz w:val="21"/>
                      <w:szCs w:val="21"/>
                    </w:rPr>
                    <w:t>1</w:t>
                  </w:r>
                </w:p>
              </w:tc>
              <w:tc>
                <w:tcPr>
                  <w:tcW w:w="656" w:type="pct"/>
                  <w:vMerge w:val="restart"/>
                  <w:tcBorders>
                    <w:tl2br w:val="nil"/>
                    <w:tr2bl w:val="nil"/>
                  </w:tcBorders>
                  <w:noWrap w:val="0"/>
                  <w:vAlign w:val="center"/>
                </w:tcPr>
                <w:p w14:paraId="20E145C2">
                  <w:pPr>
                    <w:widowControl/>
                    <w:tabs>
                      <w:tab w:val="left" w:pos="567"/>
                    </w:tabs>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液氧罐区三</w:t>
                  </w:r>
                </w:p>
              </w:tc>
              <w:tc>
                <w:tcPr>
                  <w:tcW w:w="965" w:type="pct"/>
                  <w:tcBorders>
                    <w:tl2br w:val="nil"/>
                    <w:tr2bl w:val="nil"/>
                  </w:tcBorders>
                  <w:noWrap w:val="0"/>
                  <w:vAlign w:val="center"/>
                </w:tcPr>
                <w:p w14:paraId="0580DD8E">
                  <w:pPr>
                    <w:tabs>
                      <w:tab w:val="left" w:pos="567"/>
                    </w:tabs>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液氧贮罐</w:t>
                  </w:r>
                </w:p>
              </w:tc>
              <w:tc>
                <w:tcPr>
                  <w:tcW w:w="667" w:type="pct"/>
                  <w:tcBorders>
                    <w:tl2br w:val="nil"/>
                    <w:tr2bl w:val="nil"/>
                  </w:tcBorders>
                  <w:noWrap w:val="0"/>
                  <w:vAlign w:val="center"/>
                </w:tcPr>
                <w:p w14:paraId="6470CD40">
                  <w:pPr>
                    <w:tabs>
                      <w:tab w:val="left" w:pos="567"/>
                    </w:tabs>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50m</w:t>
                  </w:r>
                  <w:r>
                    <w:rPr>
                      <w:rFonts w:hint="default" w:ascii="Times New Roman" w:hAnsi="Times New Roman" w:eastAsia="宋体" w:cs="Times New Roman"/>
                      <w:color w:val="auto"/>
                      <w:sz w:val="21"/>
                      <w:szCs w:val="21"/>
                      <w:vertAlign w:val="superscript"/>
                      <w:lang w:val="en-US" w:eastAsia="zh-CN"/>
                    </w:rPr>
                    <w:t>3</w:t>
                  </w:r>
                </w:p>
              </w:tc>
              <w:tc>
                <w:tcPr>
                  <w:tcW w:w="359" w:type="pct"/>
                  <w:tcBorders>
                    <w:tl2br w:val="nil"/>
                    <w:tr2bl w:val="nil"/>
                  </w:tcBorders>
                  <w:noWrap w:val="0"/>
                  <w:vAlign w:val="center"/>
                </w:tcPr>
                <w:p w14:paraId="73644C3C">
                  <w:pPr>
                    <w:tabs>
                      <w:tab w:val="left" w:pos="567"/>
                    </w:tabs>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359" w:type="pct"/>
                  <w:tcBorders>
                    <w:tl2br w:val="nil"/>
                    <w:tr2bl w:val="nil"/>
                  </w:tcBorders>
                  <w:shd w:val="clear" w:color="auto" w:fill="auto"/>
                  <w:noWrap w:val="0"/>
                  <w:vAlign w:val="center"/>
                </w:tcPr>
                <w:p w14:paraId="11AA2E2F">
                  <w:pPr>
                    <w:tabs>
                      <w:tab w:val="left" w:pos="567"/>
                    </w:tabs>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p>
              </w:tc>
              <w:tc>
                <w:tcPr>
                  <w:tcW w:w="362" w:type="pct"/>
                  <w:tcBorders>
                    <w:tl2br w:val="nil"/>
                    <w:tr2bl w:val="nil"/>
                  </w:tcBorders>
                  <w:noWrap w:val="0"/>
                  <w:vAlign w:val="center"/>
                </w:tcPr>
                <w:p w14:paraId="39C7E4C7">
                  <w:pPr>
                    <w:tabs>
                      <w:tab w:val="left" w:pos="567"/>
                    </w:tabs>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417" w:type="pct"/>
                  <w:tcBorders>
                    <w:tl2br w:val="nil"/>
                    <w:tr2bl w:val="nil"/>
                  </w:tcBorders>
                  <w:noWrap w:val="0"/>
                  <w:vAlign w:val="center"/>
                </w:tcPr>
                <w:p w14:paraId="7A190A27">
                  <w:pPr>
                    <w:tabs>
                      <w:tab w:val="left" w:pos="567"/>
                    </w:tabs>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S30408</w:t>
                  </w:r>
                </w:p>
              </w:tc>
              <w:tc>
                <w:tcPr>
                  <w:tcW w:w="866" w:type="pct"/>
                  <w:tcBorders>
                    <w:tl2br w:val="nil"/>
                    <w:tr2bl w:val="nil"/>
                  </w:tcBorders>
                  <w:noWrap w:val="0"/>
                  <w:vAlign w:val="center"/>
                </w:tcPr>
                <w:p w14:paraId="3DA24CA6">
                  <w:pPr>
                    <w:tabs>
                      <w:tab w:val="left" w:pos="567"/>
                    </w:tabs>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乙类</w:t>
                  </w:r>
                </w:p>
              </w:tc>
            </w:tr>
            <w:tr w14:paraId="1FED06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pct"/>
                  <w:tcBorders>
                    <w:tl2br w:val="nil"/>
                    <w:tr2bl w:val="nil"/>
                  </w:tcBorders>
                  <w:noWrap w:val="0"/>
                  <w:vAlign w:val="center"/>
                </w:tcPr>
                <w:p w14:paraId="7AB7846D">
                  <w:pPr>
                    <w:widowControl/>
                    <w:tabs>
                      <w:tab w:val="left" w:pos="567"/>
                    </w:tabs>
                    <w:spacing w:line="240" w:lineRule="auto"/>
                    <w:ind w:firstLine="0" w:firstLineChars="0"/>
                    <w:jc w:val="center"/>
                    <w:rPr>
                      <w:color w:val="auto"/>
                      <w:sz w:val="21"/>
                      <w:szCs w:val="21"/>
                    </w:rPr>
                  </w:pPr>
                  <w:r>
                    <w:rPr>
                      <w:color w:val="auto"/>
                      <w:sz w:val="21"/>
                      <w:szCs w:val="21"/>
                    </w:rPr>
                    <w:t>2</w:t>
                  </w:r>
                </w:p>
              </w:tc>
              <w:tc>
                <w:tcPr>
                  <w:tcW w:w="656" w:type="pct"/>
                  <w:vMerge w:val="continue"/>
                  <w:tcBorders>
                    <w:tl2br w:val="nil"/>
                    <w:tr2bl w:val="nil"/>
                  </w:tcBorders>
                  <w:noWrap w:val="0"/>
                  <w:vAlign w:val="center"/>
                </w:tcPr>
                <w:p w14:paraId="1BAB885D">
                  <w:pPr>
                    <w:widowControl/>
                    <w:tabs>
                      <w:tab w:val="left" w:pos="567"/>
                    </w:tabs>
                    <w:spacing w:line="240" w:lineRule="auto"/>
                    <w:ind w:firstLine="0" w:firstLineChars="0"/>
                    <w:jc w:val="center"/>
                    <w:rPr>
                      <w:color w:val="auto"/>
                      <w:sz w:val="21"/>
                      <w:szCs w:val="21"/>
                    </w:rPr>
                  </w:pPr>
                </w:p>
              </w:tc>
              <w:tc>
                <w:tcPr>
                  <w:tcW w:w="965" w:type="pct"/>
                  <w:tcBorders>
                    <w:tl2br w:val="nil"/>
                    <w:tr2bl w:val="nil"/>
                  </w:tcBorders>
                  <w:noWrap w:val="0"/>
                  <w:vAlign w:val="center"/>
                </w:tcPr>
                <w:p w14:paraId="729B9088">
                  <w:pPr>
                    <w:tabs>
                      <w:tab w:val="left" w:pos="567"/>
                    </w:tabs>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液氮贮罐</w:t>
                  </w:r>
                </w:p>
              </w:tc>
              <w:tc>
                <w:tcPr>
                  <w:tcW w:w="667" w:type="pct"/>
                  <w:tcBorders>
                    <w:tl2br w:val="nil"/>
                    <w:tr2bl w:val="nil"/>
                  </w:tcBorders>
                  <w:noWrap w:val="0"/>
                  <w:vAlign w:val="center"/>
                </w:tcPr>
                <w:p w14:paraId="2B1B39A8">
                  <w:pPr>
                    <w:tabs>
                      <w:tab w:val="left" w:pos="567"/>
                    </w:tabs>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50m</w:t>
                  </w:r>
                  <w:r>
                    <w:rPr>
                      <w:rFonts w:hint="default" w:ascii="Times New Roman" w:hAnsi="Times New Roman" w:eastAsia="宋体" w:cs="Times New Roman"/>
                      <w:color w:val="auto"/>
                      <w:sz w:val="21"/>
                      <w:szCs w:val="21"/>
                      <w:vertAlign w:val="superscript"/>
                      <w:lang w:val="en-US" w:eastAsia="zh-CN"/>
                    </w:rPr>
                    <w:t>3</w:t>
                  </w:r>
                </w:p>
              </w:tc>
              <w:tc>
                <w:tcPr>
                  <w:tcW w:w="359" w:type="pct"/>
                  <w:tcBorders>
                    <w:tl2br w:val="nil"/>
                    <w:tr2bl w:val="nil"/>
                  </w:tcBorders>
                  <w:noWrap w:val="0"/>
                  <w:vAlign w:val="center"/>
                </w:tcPr>
                <w:p w14:paraId="6AD4A822">
                  <w:pPr>
                    <w:tabs>
                      <w:tab w:val="left" w:pos="567"/>
                    </w:tabs>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359" w:type="pct"/>
                  <w:tcBorders>
                    <w:tl2br w:val="nil"/>
                    <w:tr2bl w:val="nil"/>
                  </w:tcBorders>
                  <w:shd w:val="clear" w:color="auto" w:fill="auto"/>
                  <w:noWrap w:val="0"/>
                  <w:vAlign w:val="center"/>
                </w:tcPr>
                <w:p w14:paraId="4D7D9F5E">
                  <w:pPr>
                    <w:tabs>
                      <w:tab w:val="left" w:pos="567"/>
                    </w:tabs>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w:t>
                  </w:r>
                </w:p>
              </w:tc>
              <w:tc>
                <w:tcPr>
                  <w:tcW w:w="362" w:type="pct"/>
                  <w:tcBorders>
                    <w:tl2br w:val="nil"/>
                    <w:tr2bl w:val="nil"/>
                  </w:tcBorders>
                  <w:noWrap w:val="0"/>
                  <w:vAlign w:val="center"/>
                </w:tcPr>
                <w:p w14:paraId="68ED0B48">
                  <w:pPr>
                    <w:tabs>
                      <w:tab w:val="left" w:pos="567"/>
                    </w:tabs>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417" w:type="pct"/>
                  <w:tcBorders>
                    <w:tl2br w:val="nil"/>
                    <w:tr2bl w:val="nil"/>
                  </w:tcBorders>
                  <w:noWrap w:val="0"/>
                  <w:vAlign w:val="center"/>
                </w:tcPr>
                <w:p w14:paraId="74A9B4ED">
                  <w:pPr>
                    <w:tabs>
                      <w:tab w:val="left" w:pos="567"/>
                    </w:tabs>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S30408</w:t>
                  </w:r>
                </w:p>
              </w:tc>
              <w:tc>
                <w:tcPr>
                  <w:tcW w:w="866" w:type="pct"/>
                  <w:tcBorders>
                    <w:tl2br w:val="nil"/>
                    <w:tr2bl w:val="nil"/>
                  </w:tcBorders>
                  <w:noWrap w:val="0"/>
                  <w:vAlign w:val="center"/>
                </w:tcPr>
                <w:p w14:paraId="5452C0ED">
                  <w:pPr>
                    <w:tabs>
                      <w:tab w:val="left" w:pos="567"/>
                    </w:tabs>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戊类</w:t>
                  </w:r>
                </w:p>
              </w:tc>
            </w:tr>
            <w:tr w14:paraId="3AF2D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pct"/>
                  <w:tcBorders>
                    <w:tl2br w:val="nil"/>
                    <w:tr2bl w:val="nil"/>
                  </w:tcBorders>
                  <w:noWrap w:val="0"/>
                  <w:vAlign w:val="center"/>
                </w:tcPr>
                <w:p w14:paraId="2843C480">
                  <w:pPr>
                    <w:widowControl/>
                    <w:tabs>
                      <w:tab w:val="left" w:pos="567"/>
                    </w:tabs>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3</w:t>
                  </w:r>
                </w:p>
              </w:tc>
              <w:tc>
                <w:tcPr>
                  <w:tcW w:w="656" w:type="pct"/>
                  <w:vMerge w:val="restart"/>
                  <w:tcBorders>
                    <w:tl2br w:val="nil"/>
                    <w:tr2bl w:val="nil"/>
                  </w:tcBorders>
                  <w:noWrap w:val="0"/>
                  <w:vAlign w:val="center"/>
                </w:tcPr>
                <w:p w14:paraId="02513690">
                  <w:pPr>
                    <w:widowControl/>
                    <w:tabs>
                      <w:tab w:val="left" w:pos="567"/>
                    </w:tabs>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罐区一</w:t>
                  </w:r>
                </w:p>
              </w:tc>
              <w:tc>
                <w:tcPr>
                  <w:tcW w:w="965" w:type="pct"/>
                  <w:tcBorders>
                    <w:tl2br w:val="nil"/>
                    <w:tr2bl w:val="nil"/>
                  </w:tcBorders>
                  <w:noWrap w:val="0"/>
                  <w:vAlign w:val="center"/>
                </w:tcPr>
                <w:p w14:paraId="50D046B1">
                  <w:pPr>
                    <w:tabs>
                      <w:tab w:val="left" w:pos="567"/>
                    </w:tabs>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三氯化磷贮罐</w:t>
                  </w:r>
                </w:p>
              </w:tc>
              <w:tc>
                <w:tcPr>
                  <w:tcW w:w="667" w:type="pct"/>
                  <w:tcBorders>
                    <w:tl2br w:val="nil"/>
                    <w:tr2bl w:val="nil"/>
                  </w:tcBorders>
                  <w:noWrap w:val="0"/>
                  <w:vAlign w:val="center"/>
                </w:tcPr>
                <w:p w14:paraId="6C1348FF">
                  <w:pPr>
                    <w:tabs>
                      <w:tab w:val="left" w:pos="567"/>
                    </w:tabs>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60m</w:t>
                  </w:r>
                  <w:r>
                    <w:rPr>
                      <w:rFonts w:hint="default" w:ascii="Times New Roman" w:hAnsi="Times New Roman" w:eastAsia="宋体" w:cs="Times New Roman"/>
                      <w:color w:val="auto"/>
                      <w:sz w:val="21"/>
                      <w:szCs w:val="21"/>
                      <w:vertAlign w:val="superscript"/>
                      <w:lang w:val="en-US" w:eastAsia="zh-CN"/>
                    </w:rPr>
                    <w:t>3</w:t>
                  </w:r>
                </w:p>
              </w:tc>
              <w:tc>
                <w:tcPr>
                  <w:tcW w:w="359" w:type="pct"/>
                  <w:tcBorders>
                    <w:tl2br w:val="nil"/>
                    <w:tr2bl w:val="nil"/>
                  </w:tcBorders>
                  <w:noWrap w:val="0"/>
                  <w:vAlign w:val="center"/>
                </w:tcPr>
                <w:p w14:paraId="43EBFD2B">
                  <w:pPr>
                    <w:tabs>
                      <w:tab w:val="left" w:pos="567"/>
                    </w:tabs>
                    <w:spacing w:line="240" w:lineRule="auto"/>
                    <w:ind w:firstLine="0" w:firstLineChars="0"/>
                    <w:jc w:val="center"/>
                    <w:rPr>
                      <w:rFonts w:hint="eastAsia" w:ascii="Times New Roman" w:hAnsi="Times New Roman" w:eastAsia="宋体" w:cs="Times New Roman"/>
                      <w:color w:val="auto"/>
                      <w:sz w:val="21"/>
                      <w:szCs w:val="21"/>
                      <w:lang w:val="en-US" w:eastAsia="zh-CN"/>
                    </w:rPr>
                  </w:pPr>
                  <w:bookmarkStart w:id="22" w:name="OLE_LINK27"/>
                  <w:bookmarkStart w:id="23" w:name="OLE_LINK28"/>
                  <w:r>
                    <w:rPr>
                      <w:rFonts w:hint="eastAsia" w:ascii="Times New Roman" w:hAnsi="Times New Roman" w:eastAsia="宋体" w:cs="Times New Roman"/>
                      <w:color w:val="auto"/>
                      <w:sz w:val="21"/>
                      <w:szCs w:val="21"/>
                      <w:lang w:val="en-US" w:eastAsia="zh-CN"/>
                    </w:rPr>
                    <w:t>7</w:t>
                  </w:r>
                </w:p>
                <w:bookmarkEnd w:id="22"/>
                <w:bookmarkEnd w:id="23"/>
              </w:tc>
              <w:tc>
                <w:tcPr>
                  <w:tcW w:w="359" w:type="pct"/>
                  <w:tcBorders>
                    <w:tl2br w:val="nil"/>
                    <w:tr2bl w:val="nil"/>
                  </w:tcBorders>
                  <w:shd w:val="clear" w:color="auto" w:fill="auto"/>
                  <w:noWrap w:val="0"/>
                  <w:vAlign w:val="center"/>
                </w:tcPr>
                <w:p w14:paraId="6BCB0B9F">
                  <w:pPr>
                    <w:tabs>
                      <w:tab w:val="left" w:pos="567"/>
                    </w:tabs>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w:t>
                  </w:r>
                </w:p>
              </w:tc>
              <w:tc>
                <w:tcPr>
                  <w:tcW w:w="362" w:type="pct"/>
                  <w:tcBorders>
                    <w:tl2br w:val="nil"/>
                    <w:tr2bl w:val="nil"/>
                  </w:tcBorders>
                  <w:noWrap w:val="0"/>
                  <w:vAlign w:val="center"/>
                </w:tcPr>
                <w:p w14:paraId="67AD6C08">
                  <w:pPr>
                    <w:tabs>
                      <w:tab w:val="left" w:pos="567"/>
                    </w:tabs>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417" w:type="pct"/>
                  <w:tcBorders>
                    <w:tl2br w:val="nil"/>
                    <w:tr2bl w:val="nil"/>
                  </w:tcBorders>
                  <w:noWrap w:val="0"/>
                  <w:vAlign w:val="center"/>
                </w:tcPr>
                <w:p w14:paraId="6D9C5348">
                  <w:pPr>
                    <w:tabs>
                      <w:tab w:val="left" w:pos="567"/>
                    </w:tabs>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Q235B</w:t>
                  </w:r>
                </w:p>
              </w:tc>
              <w:tc>
                <w:tcPr>
                  <w:tcW w:w="866" w:type="pct"/>
                  <w:tcBorders>
                    <w:tl2br w:val="nil"/>
                    <w:tr2bl w:val="nil"/>
                  </w:tcBorders>
                  <w:noWrap w:val="0"/>
                  <w:vAlign w:val="center"/>
                </w:tcPr>
                <w:p w14:paraId="3E3A76FE">
                  <w:pPr>
                    <w:tabs>
                      <w:tab w:val="left" w:pos="567"/>
                    </w:tabs>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戊类</w:t>
                  </w:r>
                </w:p>
              </w:tc>
            </w:tr>
            <w:tr w14:paraId="491F4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pct"/>
                  <w:tcBorders>
                    <w:tl2br w:val="nil"/>
                    <w:tr2bl w:val="nil"/>
                  </w:tcBorders>
                  <w:noWrap w:val="0"/>
                  <w:vAlign w:val="center"/>
                </w:tcPr>
                <w:p w14:paraId="03F356DE">
                  <w:pPr>
                    <w:widowControl/>
                    <w:tabs>
                      <w:tab w:val="left" w:pos="567"/>
                    </w:tabs>
                    <w:spacing w:line="240" w:lineRule="auto"/>
                    <w:ind w:firstLine="0" w:firstLineChars="0"/>
                    <w:jc w:val="center"/>
                    <w:rPr>
                      <w:color w:val="auto"/>
                      <w:sz w:val="21"/>
                      <w:szCs w:val="21"/>
                      <w:lang w:val="en-US" w:eastAsia="zh-CN" w:bidi="ar-SA"/>
                    </w:rPr>
                  </w:pPr>
                  <w:r>
                    <w:rPr>
                      <w:color w:val="auto"/>
                      <w:sz w:val="21"/>
                      <w:szCs w:val="21"/>
                    </w:rPr>
                    <w:t>4</w:t>
                  </w:r>
                </w:p>
              </w:tc>
              <w:tc>
                <w:tcPr>
                  <w:tcW w:w="656" w:type="pct"/>
                  <w:vMerge w:val="continue"/>
                  <w:tcBorders>
                    <w:tl2br w:val="nil"/>
                    <w:tr2bl w:val="nil"/>
                  </w:tcBorders>
                  <w:noWrap w:val="0"/>
                  <w:vAlign w:val="center"/>
                </w:tcPr>
                <w:p w14:paraId="33E9F5A3">
                  <w:pPr>
                    <w:widowControl/>
                    <w:tabs>
                      <w:tab w:val="left" w:pos="567"/>
                    </w:tabs>
                    <w:spacing w:line="240" w:lineRule="auto"/>
                    <w:ind w:firstLine="0" w:firstLineChars="0"/>
                    <w:jc w:val="center"/>
                    <w:rPr>
                      <w:color w:val="auto"/>
                      <w:sz w:val="21"/>
                      <w:szCs w:val="21"/>
                    </w:rPr>
                  </w:pPr>
                </w:p>
              </w:tc>
              <w:tc>
                <w:tcPr>
                  <w:tcW w:w="965" w:type="pct"/>
                  <w:tcBorders>
                    <w:tl2br w:val="nil"/>
                    <w:tr2bl w:val="nil"/>
                  </w:tcBorders>
                  <w:noWrap w:val="0"/>
                  <w:vAlign w:val="center"/>
                </w:tcPr>
                <w:p w14:paraId="76A6B25C">
                  <w:pPr>
                    <w:tabs>
                      <w:tab w:val="left" w:pos="567"/>
                    </w:tabs>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三氯化磷应急贮罐</w:t>
                  </w:r>
                </w:p>
              </w:tc>
              <w:tc>
                <w:tcPr>
                  <w:tcW w:w="667" w:type="pct"/>
                  <w:tcBorders>
                    <w:tl2br w:val="nil"/>
                    <w:tr2bl w:val="nil"/>
                  </w:tcBorders>
                  <w:noWrap w:val="0"/>
                  <w:vAlign w:val="center"/>
                </w:tcPr>
                <w:p w14:paraId="3E5E32AC">
                  <w:pPr>
                    <w:tabs>
                      <w:tab w:val="left" w:pos="567"/>
                    </w:tabs>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60m</w:t>
                  </w:r>
                  <w:r>
                    <w:rPr>
                      <w:rFonts w:hint="default" w:ascii="Times New Roman" w:hAnsi="Times New Roman" w:eastAsia="宋体" w:cs="Times New Roman"/>
                      <w:color w:val="auto"/>
                      <w:sz w:val="21"/>
                      <w:szCs w:val="21"/>
                      <w:vertAlign w:val="superscript"/>
                      <w:lang w:val="en-US" w:eastAsia="zh-CN"/>
                    </w:rPr>
                    <w:t>3</w:t>
                  </w:r>
                </w:p>
              </w:tc>
              <w:tc>
                <w:tcPr>
                  <w:tcW w:w="359" w:type="pct"/>
                  <w:tcBorders>
                    <w:tl2br w:val="nil"/>
                    <w:tr2bl w:val="nil"/>
                  </w:tcBorders>
                  <w:noWrap w:val="0"/>
                  <w:vAlign w:val="center"/>
                </w:tcPr>
                <w:p w14:paraId="3018ED7F">
                  <w:pPr>
                    <w:tabs>
                      <w:tab w:val="left" w:pos="567"/>
                    </w:tabs>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359" w:type="pct"/>
                  <w:tcBorders>
                    <w:tl2br w:val="nil"/>
                    <w:tr2bl w:val="nil"/>
                  </w:tcBorders>
                  <w:shd w:val="clear" w:color="auto" w:fill="auto"/>
                  <w:noWrap w:val="0"/>
                  <w:vAlign w:val="center"/>
                </w:tcPr>
                <w:p w14:paraId="1B6840F6">
                  <w:pPr>
                    <w:tabs>
                      <w:tab w:val="left" w:pos="567"/>
                    </w:tabs>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362" w:type="pct"/>
                  <w:tcBorders>
                    <w:tl2br w:val="nil"/>
                    <w:tr2bl w:val="nil"/>
                  </w:tcBorders>
                  <w:noWrap w:val="0"/>
                  <w:vAlign w:val="center"/>
                </w:tcPr>
                <w:p w14:paraId="5E5D7510">
                  <w:pPr>
                    <w:tabs>
                      <w:tab w:val="left" w:pos="567"/>
                    </w:tabs>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417" w:type="pct"/>
                  <w:tcBorders>
                    <w:tl2br w:val="nil"/>
                    <w:tr2bl w:val="nil"/>
                  </w:tcBorders>
                  <w:noWrap w:val="0"/>
                  <w:vAlign w:val="center"/>
                </w:tcPr>
                <w:p w14:paraId="17CE01F9">
                  <w:pPr>
                    <w:tabs>
                      <w:tab w:val="left" w:pos="567"/>
                    </w:tabs>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Q235B</w:t>
                  </w:r>
                </w:p>
              </w:tc>
              <w:tc>
                <w:tcPr>
                  <w:tcW w:w="866" w:type="pct"/>
                  <w:tcBorders>
                    <w:tl2br w:val="nil"/>
                    <w:tr2bl w:val="nil"/>
                  </w:tcBorders>
                  <w:noWrap w:val="0"/>
                  <w:vAlign w:val="center"/>
                </w:tcPr>
                <w:p w14:paraId="3A6D4FA2">
                  <w:pPr>
                    <w:tabs>
                      <w:tab w:val="left" w:pos="567"/>
                    </w:tabs>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戊类</w:t>
                  </w:r>
                </w:p>
              </w:tc>
            </w:tr>
            <w:tr w14:paraId="1CE4D2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pct"/>
                  <w:tcBorders>
                    <w:tl2br w:val="nil"/>
                    <w:tr2bl w:val="nil"/>
                  </w:tcBorders>
                  <w:noWrap w:val="0"/>
                  <w:vAlign w:val="center"/>
                </w:tcPr>
                <w:p w14:paraId="450E17FB">
                  <w:pPr>
                    <w:widowControl/>
                    <w:tabs>
                      <w:tab w:val="left" w:pos="567"/>
                    </w:tabs>
                    <w:spacing w:line="240" w:lineRule="auto"/>
                    <w:ind w:firstLine="0" w:firstLineChars="0"/>
                    <w:jc w:val="center"/>
                    <w:rPr>
                      <w:color w:val="auto"/>
                      <w:sz w:val="21"/>
                      <w:szCs w:val="21"/>
                      <w:lang w:val="en-US" w:eastAsia="zh-CN" w:bidi="ar-SA"/>
                    </w:rPr>
                  </w:pPr>
                  <w:r>
                    <w:rPr>
                      <w:color w:val="auto"/>
                      <w:sz w:val="21"/>
                      <w:szCs w:val="21"/>
                    </w:rPr>
                    <w:t>5</w:t>
                  </w:r>
                </w:p>
              </w:tc>
              <w:tc>
                <w:tcPr>
                  <w:tcW w:w="656" w:type="pct"/>
                  <w:vMerge w:val="continue"/>
                  <w:tcBorders>
                    <w:tl2br w:val="nil"/>
                    <w:tr2bl w:val="nil"/>
                  </w:tcBorders>
                  <w:noWrap w:val="0"/>
                  <w:vAlign w:val="center"/>
                </w:tcPr>
                <w:p w14:paraId="3DFFA767">
                  <w:pPr>
                    <w:widowControl/>
                    <w:tabs>
                      <w:tab w:val="left" w:pos="567"/>
                    </w:tabs>
                    <w:spacing w:line="240" w:lineRule="auto"/>
                    <w:ind w:firstLine="0" w:firstLineChars="0"/>
                    <w:jc w:val="center"/>
                    <w:rPr>
                      <w:color w:val="auto"/>
                      <w:sz w:val="21"/>
                      <w:szCs w:val="21"/>
                    </w:rPr>
                  </w:pPr>
                </w:p>
              </w:tc>
              <w:tc>
                <w:tcPr>
                  <w:tcW w:w="965" w:type="pct"/>
                  <w:tcBorders>
                    <w:tl2br w:val="nil"/>
                    <w:tr2bl w:val="nil"/>
                  </w:tcBorders>
                  <w:noWrap w:val="0"/>
                  <w:vAlign w:val="center"/>
                </w:tcPr>
                <w:p w14:paraId="6BE1B426">
                  <w:pPr>
                    <w:pStyle w:val="3935"/>
                    <w:keepNext w:val="0"/>
                    <w:keepLines w:val="0"/>
                    <w:suppressLineNumbers w:val="0"/>
                    <w:bidi w:val="0"/>
                    <w:spacing w:before="0" w:beforeAutospacing="0" w:after="0" w:afterAutospacing="0"/>
                    <w:ind w:left="0" w:leftChars="0" w:right="0" w:rightChars="0"/>
                    <w:rPr>
                      <w:rFonts w:hint="default" w:cs="Times New Roman"/>
                      <w:b w:val="0"/>
                      <w:bCs/>
                      <w:color w:val="auto"/>
                      <w:kern w:val="28"/>
                      <w:sz w:val="21"/>
                      <w:szCs w:val="21"/>
                      <w:lang w:val="en-US" w:eastAsia="zh-CN" w:bidi="ar-SA"/>
                    </w:rPr>
                  </w:pPr>
                  <w:r>
                    <w:rPr>
                      <w:rFonts w:hint="default" w:cs="Times New Roman"/>
                      <w:color w:val="auto"/>
                    </w:rPr>
                    <w:t>三氯氧磷贮罐</w:t>
                  </w:r>
                </w:p>
              </w:tc>
              <w:tc>
                <w:tcPr>
                  <w:tcW w:w="667" w:type="pct"/>
                  <w:tcBorders>
                    <w:tl2br w:val="nil"/>
                    <w:tr2bl w:val="nil"/>
                  </w:tcBorders>
                  <w:noWrap w:val="0"/>
                  <w:vAlign w:val="center"/>
                </w:tcPr>
                <w:p w14:paraId="44B7F7AD">
                  <w:pPr>
                    <w:pStyle w:val="3935"/>
                    <w:keepNext w:val="0"/>
                    <w:keepLines w:val="0"/>
                    <w:suppressLineNumbers w:val="0"/>
                    <w:bidi w:val="0"/>
                    <w:spacing w:before="0" w:beforeAutospacing="0" w:after="0" w:afterAutospacing="0"/>
                    <w:ind w:left="0" w:leftChars="0" w:right="0" w:rightChars="0"/>
                    <w:rPr>
                      <w:color w:val="auto"/>
                      <w:sz w:val="21"/>
                      <w:szCs w:val="21"/>
                    </w:rPr>
                  </w:pPr>
                  <w:r>
                    <w:rPr>
                      <w:rFonts w:hint="default" w:cs="Times New Roman"/>
                      <w:color w:val="auto"/>
                    </w:rPr>
                    <w:t>200m</w:t>
                  </w:r>
                  <w:r>
                    <w:rPr>
                      <w:rFonts w:hint="default" w:cs="Times New Roman"/>
                      <w:color w:val="auto"/>
                      <w:vertAlign w:val="superscript"/>
                    </w:rPr>
                    <w:t>3</w:t>
                  </w:r>
                </w:p>
              </w:tc>
              <w:tc>
                <w:tcPr>
                  <w:tcW w:w="359" w:type="pct"/>
                  <w:tcBorders>
                    <w:tl2br w:val="nil"/>
                    <w:tr2bl w:val="nil"/>
                  </w:tcBorders>
                  <w:noWrap w:val="0"/>
                  <w:vAlign w:val="center"/>
                </w:tcPr>
                <w:p w14:paraId="51E51321">
                  <w:pPr>
                    <w:pStyle w:val="3935"/>
                    <w:keepNext w:val="0"/>
                    <w:keepLines w:val="0"/>
                    <w:suppressLineNumbers w:val="0"/>
                    <w:bidi w:val="0"/>
                    <w:spacing w:before="0" w:beforeAutospacing="0" w:after="0" w:afterAutospacing="0"/>
                    <w:ind w:left="0" w:leftChars="0" w:right="0" w:rightChars="0"/>
                    <w:rPr>
                      <w:color w:val="auto"/>
                      <w:sz w:val="21"/>
                      <w:szCs w:val="21"/>
                    </w:rPr>
                  </w:pPr>
                  <w:r>
                    <w:rPr>
                      <w:rFonts w:hint="default" w:cs="Times New Roman"/>
                      <w:color w:val="auto"/>
                    </w:rPr>
                    <w:t>3</w:t>
                  </w:r>
                </w:p>
              </w:tc>
              <w:tc>
                <w:tcPr>
                  <w:tcW w:w="359" w:type="pct"/>
                  <w:tcBorders>
                    <w:tl2br w:val="nil"/>
                    <w:tr2bl w:val="nil"/>
                  </w:tcBorders>
                  <w:shd w:val="clear" w:color="auto" w:fill="auto"/>
                  <w:noWrap w:val="0"/>
                  <w:vAlign w:val="center"/>
                </w:tcPr>
                <w:p w14:paraId="21A5537D">
                  <w:pPr>
                    <w:pStyle w:val="3935"/>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color w:val="auto"/>
                      <w:kern w:val="28"/>
                      <w:sz w:val="21"/>
                      <w:szCs w:val="21"/>
                      <w:lang w:val="en-US" w:eastAsia="zh-CN" w:bidi="ar-SA"/>
                    </w:rPr>
                  </w:pPr>
                  <w:r>
                    <w:rPr>
                      <w:rFonts w:hint="default" w:cs="Times New Roman"/>
                      <w:color w:val="auto"/>
                    </w:rPr>
                    <w:t>3</w:t>
                  </w:r>
                </w:p>
              </w:tc>
              <w:tc>
                <w:tcPr>
                  <w:tcW w:w="362" w:type="pct"/>
                  <w:tcBorders>
                    <w:tl2br w:val="nil"/>
                    <w:tr2bl w:val="nil"/>
                  </w:tcBorders>
                  <w:noWrap w:val="0"/>
                  <w:vAlign w:val="center"/>
                </w:tcPr>
                <w:p w14:paraId="411C6F40">
                  <w:pPr>
                    <w:pStyle w:val="3935"/>
                    <w:keepNext w:val="0"/>
                    <w:keepLines w:val="0"/>
                    <w:suppressLineNumbers w:val="0"/>
                    <w:bidi w:val="0"/>
                    <w:spacing w:before="0" w:beforeAutospacing="0" w:after="0" w:afterAutospacing="0"/>
                    <w:ind w:left="0" w:leftChars="0" w:right="0" w:rightChars="0"/>
                    <w:rPr>
                      <w:rFonts w:hint="eastAsia" w:eastAsia="宋体" w:cs="Times New Roman"/>
                      <w:color w:val="auto"/>
                      <w:lang w:val="en-US" w:eastAsia="zh-CN"/>
                    </w:rPr>
                  </w:pPr>
                  <w:r>
                    <w:rPr>
                      <w:rFonts w:hint="eastAsia" w:cs="Times New Roman"/>
                      <w:color w:val="auto"/>
                      <w:lang w:val="en-US" w:eastAsia="zh-CN"/>
                    </w:rPr>
                    <w:t>0</w:t>
                  </w:r>
                </w:p>
              </w:tc>
              <w:tc>
                <w:tcPr>
                  <w:tcW w:w="417" w:type="pct"/>
                  <w:tcBorders>
                    <w:tl2br w:val="nil"/>
                    <w:tr2bl w:val="nil"/>
                  </w:tcBorders>
                  <w:noWrap w:val="0"/>
                  <w:vAlign w:val="center"/>
                </w:tcPr>
                <w:p w14:paraId="7D693D69">
                  <w:pPr>
                    <w:pStyle w:val="3935"/>
                    <w:keepNext w:val="0"/>
                    <w:keepLines w:val="0"/>
                    <w:suppressLineNumbers w:val="0"/>
                    <w:bidi w:val="0"/>
                    <w:spacing w:before="0" w:beforeAutospacing="0" w:after="0" w:afterAutospacing="0"/>
                    <w:ind w:left="0" w:leftChars="0" w:right="0" w:rightChars="0"/>
                    <w:rPr>
                      <w:color w:val="auto"/>
                      <w:sz w:val="21"/>
                      <w:szCs w:val="21"/>
                    </w:rPr>
                  </w:pPr>
                  <w:r>
                    <w:rPr>
                      <w:rFonts w:hint="default" w:cs="Times New Roman"/>
                      <w:color w:val="auto"/>
                    </w:rPr>
                    <w:t>钢衬PE</w:t>
                  </w:r>
                </w:p>
              </w:tc>
              <w:tc>
                <w:tcPr>
                  <w:tcW w:w="866" w:type="pct"/>
                  <w:tcBorders>
                    <w:tl2br w:val="nil"/>
                    <w:tr2bl w:val="nil"/>
                  </w:tcBorders>
                  <w:noWrap w:val="0"/>
                  <w:vAlign w:val="center"/>
                </w:tcPr>
                <w:p w14:paraId="520C24F9">
                  <w:pPr>
                    <w:tabs>
                      <w:tab w:val="left" w:pos="567"/>
                    </w:tabs>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戊类</w:t>
                  </w:r>
                </w:p>
              </w:tc>
            </w:tr>
            <w:tr w14:paraId="5A716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pct"/>
                  <w:tcBorders>
                    <w:tl2br w:val="nil"/>
                    <w:tr2bl w:val="nil"/>
                  </w:tcBorders>
                  <w:noWrap w:val="0"/>
                  <w:vAlign w:val="center"/>
                </w:tcPr>
                <w:p w14:paraId="26CE6D5D">
                  <w:pPr>
                    <w:widowControl/>
                    <w:tabs>
                      <w:tab w:val="left" w:pos="567"/>
                    </w:tabs>
                    <w:spacing w:line="240" w:lineRule="auto"/>
                    <w:ind w:firstLine="0" w:firstLineChars="0"/>
                    <w:jc w:val="center"/>
                    <w:rPr>
                      <w:color w:val="auto"/>
                      <w:sz w:val="21"/>
                      <w:szCs w:val="21"/>
                      <w:lang w:val="en-US" w:eastAsia="zh-CN" w:bidi="ar-SA"/>
                    </w:rPr>
                  </w:pPr>
                  <w:r>
                    <w:rPr>
                      <w:color w:val="auto"/>
                      <w:sz w:val="21"/>
                      <w:szCs w:val="21"/>
                    </w:rPr>
                    <w:t>6</w:t>
                  </w:r>
                </w:p>
              </w:tc>
              <w:tc>
                <w:tcPr>
                  <w:tcW w:w="656" w:type="pct"/>
                  <w:vMerge w:val="continue"/>
                  <w:tcBorders>
                    <w:tl2br w:val="nil"/>
                    <w:tr2bl w:val="nil"/>
                  </w:tcBorders>
                  <w:noWrap w:val="0"/>
                  <w:vAlign w:val="center"/>
                </w:tcPr>
                <w:p w14:paraId="28D96F82">
                  <w:pPr>
                    <w:widowControl/>
                    <w:tabs>
                      <w:tab w:val="left" w:pos="567"/>
                    </w:tabs>
                    <w:spacing w:line="240" w:lineRule="auto"/>
                    <w:ind w:firstLine="0" w:firstLineChars="0"/>
                    <w:jc w:val="center"/>
                    <w:rPr>
                      <w:color w:val="auto"/>
                      <w:sz w:val="21"/>
                      <w:szCs w:val="21"/>
                    </w:rPr>
                  </w:pPr>
                </w:p>
              </w:tc>
              <w:tc>
                <w:tcPr>
                  <w:tcW w:w="965" w:type="pct"/>
                  <w:tcBorders>
                    <w:tl2br w:val="nil"/>
                    <w:tr2bl w:val="nil"/>
                  </w:tcBorders>
                  <w:noWrap w:val="0"/>
                  <w:vAlign w:val="center"/>
                </w:tcPr>
                <w:p w14:paraId="0413F6CA">
                  <w:pPr>
                    <w:pStyle w:val="3935"/>
                    <w:keepNext w:val="0"/>
                    <w:keepLines w:val="0"/>
                    <w:suppressLineNumbers w:val="0"/>
                    <w:bidi w:val="0"/>
                    <w:spacing w:before="0" w:beforeAutospacing="0" w:after="0" w:afterAutospacing="0"/>
                    <w:ind w:left="0" w:leftChars="0" w:right="0" w:rightChars="0"/>
                    <w:rPr>
                      <w:rFonts w:hint="default" w:cs="Times New Roman"/>
                      <w:b w:val="0"/>
                      <w:bCs/>
                      <w:color w:val="auto"/>
                      <w:kern w:val="28"/>
                      <w:sz w:val="21"/>
                      <w:szCs w:val="21"/>
                      <w:lang w:val="en-US" w:eastAsia="zh-CN" w:bidi="ar-SA"/>
                    </w:rPr>
                  </w:pPr>
                  <w:r>
                    <w:rPr>
                      <w:rFonts w:hint="default" w:cs="Times New Roman"/>
                      <w:color w:val="auto"/>
                    </w:rPr>
                    <w:t>三氯氧磷应急罐</w:t>
                  </w:r>
                </w:p>
              </w:tc>
              <w:tc>
                <w:tcPr>
                  <w:tcW w:w="667" w:type="pct"/>
                  <w:tcBorders>
                    <w:tl2br w:val="nil"/>
                    <w:tr2bl w:val="nil"/>
                  </w:tcBorders>
                  <w:noWrap w:val="0"/>
                  <w:vAlign w:val="center"/>
                </w:tcPr>
                <w:p w14:paraId="7925BD87">
                  <w:pPr>
                    <w:pStyle w:val="3935"/>
                    <w:keepNext w:val="0"/>
                    <w:keepLines w:val="0"/>
                    <w:suppressLineNumbers w:val="0"/>
                    <w:bidi w:val="0"/>
                    <w:spacing w:before="0" w:beforeAutospacing="0" w:after="0" w:afterAutospacing="0"/>
                    <w:ind w:left="0" w:leftChars="0" w:right="0" w:rightChars="0"/>
                    <w:rPr>
                      <w:rFonts w:hint="default"/>
                      <w:b w:val="0"/>
                      <w:bCs/>
                      <w:color w:val="auto"/>
                      <w:kern w:val="28"/>
                      <w:sz w:val="21"/>
                      <w:szCs w:val="21"/>
                      <w:lang w:val="en-US" w:eastAsia="zh-CN" w:bidi="ar-SA"/>
                    </w:rPr>
                  </w:pPr>
                  <w:r>
                    <w:rPr>
                      <w:rFonts w:hint="default" w:cs="Times New Roman"/>
                      <w:color w:val="auto"/>
                    </w:rPr>
                    <w:t>200m</w:t>
                  </w:r>
                  <w:r>
                    <w:rPr>
                      <w:rFonts w:hint="default" w:cs="Times New Roman"/>
                      <w:color w:val="auto"/>
                      <w:vertAlign w:val="superscript"/>
                    </w:rPr>
                    <w:t>3</w:t>
                  </w:r>
                </w:p>
              </w:tc>
              <w:tc>
                <w:tcPr>
                  <w:tcW w:w="359" w:type="pct"/>
                  <w:tcBorders>
                    <w:tl2br w:val="nil"/>
                    <w:tr2bl w:val="nil"/>
                  </w:tcBorders>
                  <w:noWrap w:val="0"/>
                  <w:vAlign w:val="center"/>
                </w:tcPr>
                <w:p w14:paraId="5C627708">
                  <w:pPr>
                    <w:pStyle w:val="3935"/>
                    <w:keepNext w:val="0"/>
                    <w:keepLines w:val="0"/>
                    <w:suppressLineNumbers w:val="0"/>
                    <w:bidi w:val="0"/>
                    <w:spacing w:before="0" w:beforeAutospacing="0" w:after="0" w:afterAutospacing="0"/>
                    <w:ind w:left="0" w:leftChars="0" w:right="0" w:rightChars="0"/>
                    <w:rPr>
                      <w:rFonts w:hint="default"/>
                      <w:b w:val="0"/>
                      <w:bCs/>
                      <w:color w:val="auto"/>
                      <w:kern w:val="28"/>
                      <w:sz w:val="21"/>
                      <w:szCs w:val="21"/>
                      <w:lang w:val="en-US" w:eastAsia="zh-CN" w:bidi="ar-SA"/>
                    </w:rPr>
                  </w:pPr>
                  <w:r>
                    <w:rPr>
                      <w:rFonts w:hint="default" w:cs="Times New Roman"/>
                      <w:color w:val="auto"/>
                    </w:rPr>
                    <w:t>1</w:t>
                  </w:r>
                </w:p>
              </w:tc>
              <w:tc>
                <w:tcPr>
                  <w:tcW w:w="359" w:type="pct"/>
                  <w:tcBorders>
                    <w:tl2br w:val="nil"/>
                    <w:tr2bl w:val="nil"/>
                  </w:tcBorders>
                  <w:shd w:val="clear" w:color="auto" w:fill="auto"/>
                  <w:noWrap w:val="0"/>
                  <w:vAlign w:val="center"/>
                </w:tcPr>
                <w:p w14:paraId="42A3BCA8">
                  <w:pPr>
                    <w:pStyle w:val="3935"/>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color w:val="auto"/>
                      <w:kern w:val="28"/>
                      <w:sz w:val="21"/>
                      <w:szCs w:val="21"/>
                      <w:lang w:val="en-US" w:eastAsia="zh-CN" w:bidi="ar-SA"/>
                    </w:rPr>
                  </w:pPr>
                  <w:r>
                    <w:rPr>
                      <w:rFonts w:hint="default" w:cs="Times New Roman"/>
                      <w:color w:val="auto"/>
                    </w:rPr>
                    <w:t>1</w:t>
                  </w:r>
                </w:p>
              </w:tc>
              <w:tc>
                <w:tcPr>
                  <w:tcW w:w="362" w:type="pct"/>
                  <w:tcBorders>
                    <w:tl2br w:val="nil"/>
                    <w:tr2bl w:val="nil"/>
                  </w:tcBorders>
                  <w:noWrap w:val="0"/>
                  <w:vAlign w:val="center"/>
                </w:tcPr>
                <w:p w14:paraId="683117DE">
                  <w:pPr>
                    <w:pStyle w:val="3935"/>
                    <w:keepNext w:val="0"/>
                    <w:keepLines w:val="0"/>
                    <w:suppressLineNumbers w:val="0"/>
                    <w:bidi w:val="0"/>
                    <w:spacing w:before="0" w:beforeAutospacing="0" w:after="0" w:afterAutospacing="0"/>
                    <w:ind w:left="0" w:leftChars="0" w:right="0" w:rightChars="0"/>
                    <w:rPr>
                      <w:rFonts w:hint="eastAsia" w:eastAsia="宋体" w:cs="Times New Roman"/>
                      <w:color w:val="auto"/>
                      <w:lang w:val="en-US" w:eastAsia="zh-CN"/>
                    </w:rPr>
                  </w:pPr>
                  <w:r>
                    <w:rPr>
                      <w:rFonts w:hint="eastAsia" w:cs="Times New Roman"/>
                      <w:color w:val="auto"/>
                      <w:lang w:val="en-US" w:eastAsia="zh-CN"/>
                    </w:rPr>
                    <w:t>0</w:t>
                  </w:r>
                </w:p>
              </w:tc>
              <w:tc>
                <w:tcPr>
                  <w:tcW w:w="417" w:type="pct"/>
                  <w:tcBorders>
                    <w:tl2br w:val="nil"/>
                    <w:tr2bl w:val="nil"/>
                  </w:tcBorders>
                  <w:noWrap w:val="0"/>
                  <w:vAlign w:val="center"/>
                </w:tcPr>
                <w:p w14:paraId="19865119">
                  <w:pPr>
                    <w:pStyle w:val="3935"/>
                    <w:keepNext w:val="0"/>
                    <w:keepLines w:val="0"/>
                    <w:suppressLineNumbers w:val="0"/>
                    <w:bidi w:val="0"/>
                    <w:spacing w:before="0" w:beforeAutospacing="0" w:after="0" w:afterAutospacing="0"/>
                    <w:ind w:left="0" w:leftChars="0" w:right="0" w:rightChars="0"/>
                    <w:rPr>
                      <w:rFonts w:hint="default"/>
                      <w:b w:val="0"/>
                      <w:bCs/>
                      <w:color w:val="auto"/>
                      <w:kern w:val="28"/>
                      <w:sz w:val="21"/>
                      <w:szCs w:val="21"/>
                      <w:lang w:val="en-US" w:eastAsia="zh-CN" w:bidi="ar-SA"/>
                    </w:rPr>
                  </w:pPr>
                  <w:r>
                    <w:rPr>
                      <w:rFonts w:hint="default" w:cs="Times New Roman"/>
                      <w:color w:val="auto"/>
                    </w:rPr>
                    <w:t>钢衬PE</w:t>
                  </w:r>
                </w:p>
              </w:tc>
              <w:tc>
                <w:tcPr>
                  <w:tcW w:w="866" w:type="pct"/>
                  <w:tcBorders>
                    <w:tl2br w:val="nil"/>
                    <w:tr2bl w:val="nil"/>
                  </w:tcBorders>
                  <w:noWrap w:val="0"/>
                  <w:vAlign w:val="center"/>
                </w:tcPr>
                <w:p w14:paraId="26B0A430">
                  <w:pPr>
                    <w:widowControl/>
                    <w:tabs>
                      <w:tab w:val="left" w:pos="567"/>
                    </w:tabs>
                    <w:spacing w:line="240" w:lineRule="auto"/>
                    <w:ind w:firstLine="0" w:firstLineChars="0"/>
                    <w:jc w:val="center"/>
                    <w:rPr>
                      <w:rFonts w:hint="eastAsia" w:eastAsia="宋体"/>
                      <w:color w:val="auto"/>
                      <w:sz w:val="21"/>
                      <w:szCs w:val="21"/>
                      <w:lang w:val="en-US" w:eastAsia="zh-CN" w:bidi="ar-SA"/>
                    </w:rPr>
                  </w:pPr>
                  <w:r>
                    <w:rPr>
                      <w:rFonts w:hint="eastAsia"/>
                      <w:color w:val="auto"/>
                      <w:sz w:val="21"/>
                      <w:szCs w:val="21"/>
                      <w:lang w:val="en-US" w:eastAsia="zh-CN"/>
                    </w:rPr>
                    <w:t>戊类</w:t>
                  </w:r>
                </w:p>
              </w:tc>
            </w:tr>
            <w:tr w14:paraId="566C3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pct"/>
                  <w:tcBorders>
                    <w:tl2br w:val="nil"/>
                    <w:tr2bl w:val="nil"/>
                  </w:tcBorders>
                  <w:noWrap w:val="0"/>
                  <w:vAlign w:val="center"/>
                </w:tcPr>
                <w:p w14:paraId="304EBF69">
                  <w:pPr>
                    <w:widowControl/>
                    <w:tabs>
                      <w:tab w:val="left" w:pos="567"/>
                    </w:tabs>
                    <w:spacing w:line="240" w:lineRule="auto"/>
                    <w:ind w:firstLine="0" w:firstLineChars="0"/>
                    <w:jc w:val="center"/>
                    <w:rPr>
                      <w:color w:val="auto"/>
                      <w:sz w:val="21"/>
                      <w:szCs w:val="21"/>
                      <w:lang w:val="en-US" w:eastAsia="zh-CN" w:bidi="ar-SA"/>
                    </w:rPr>
                  </w:pPr>
                  <w:r>
                    <w:rPr>
                      <w:color w:val="auto"/>
                      <w:sz w:val="21"/>
                      <w:szCs w:val="21"/>
                    </w:rPr>
                    <w:t>7</w:t>
                  </w:r>
                </w:p>
              </w:tc>
              <w:tc>
                <w:tcPr>
                  <w:tcW w:w="656" w:type="pct"/>
                  <w:vMerge w:val="continue"/>
                  <w:tcBorders>
                    <w:tl2br w:val="nil"/>
                    <w:tr2bl w:val="nil"/>
                  </w:tcBorders>
                  <w:noWrap w:val="0"/>
                  <w:vAlign w:val="center"/>
                </w:tcPr>
                <w:p w14:paraId="77D76DB3">
                  <w:pPr>
                    <w:widowControl/>
                    <w:tabs>
                      <w:tab w:val="left" w:pos="567"/>
                    </w:tabs>
                    <w:spacing w:line="240" w:lineRule="auto"/>
                    <w:ind w:firstLine="0" w:firstLineChars="0"/>
                    <w:jc w:val="center"/>
                    <w:rPr>
                      <w:color w:val="auto"/>
                      <w:sz w:val="21"/>
                      <w:szCs w:val="21"/>
                    </w:rPr>
                  </w:pPr>
                </w:p>
              </w:tc>
              <w:tc>
                <w:tcPr>
                  <w:tcW w:w="965" w:type="pct"/>
                  <w:tcBorders>
                    <w:tl2br w:val="nil"/>
                    <w:tr2bl w:val="nil"/>
                  </w:tcBorders>
                  <w:noWrap w:val="0"/>
                  <w:vAlign w:val="center"/>
                </w:tcPr>
                <w:p w14:paraId="3279A68C">
                  <w:pPr>
                    <w:pStyle w:val="3935"/>
                    <w:keepNext w:val="0"/>
                    <w:keepLines w:val="0"/>
                    <w:suppressLineNumbers w:val="0"/>
                    <w:bidi w:val="0"/>
                    <w:spacing w:before="0" w:beforeAutospacing="0" w:after="0" w:afterAutospacing="0"/>
                    <w:ind w:left="0" w:leftChars="0" w:right="0" w:rightChars="0"/>
                    <w:rPr>
                      <w:rFonts w:hint="default" w:cs="Times New Roman"/>
                      <w:b w:val="0"/>
                      <w:bCs/>
                      <w:color w:val="auto"/>
                      <w:kern w:val="28"/>
                      <w:sz w:val="21"/>
                      <w:szCs w:val="21"/>
                      <w:lang w:val="en-US" w:eastAsia="zh-CN" w:bidi="ar-SA"/>
                    </w:rPr>
                  </w:pPr>
                  <w:r>
                    <w:rPr>
                      <w:rFonts w:hint="default" w:cs="Times New Roman"/>
                      <w:color w:val="auto"/>
                    </w:rPr>
                    <w:t>三氯氧磷计量罐</w:t>
                  </w:r>
                </w:p>
              </w:tc>
              <w:tc>
                <w:tcPr>
                  <w:tcW w:w="667" w:type="pct"/>
                  <w:tcBorders>
                    <w:tl2br w:val="nil"/>
                    <w:tr2bl w:val="nil"/>
                  </w:tcBorders>
                  <w:noWrap w:val="0"/>
                  <w:vAlign w:val="center"/>
                </w:tcPr>
                <w:p w14:paraId="47C91417">
                  <w:pPr>
                    <w:pStyle w:val="3935"/>
                    <w:keepNext w:val="0"/>
                    <w:keepLines w:val="0"/>
                    <w:suppressLineNumbers w:val="0"/>
                    <w:bidi w:val="0"/>
                    <w:spacing w:before="0" w:beforeAutospacing="0" w:after="0" w:afterAutospacing="0"/>
                    <w:ind w:left="0" w:leftChars="0" w:right="0" w:rightChars="0"/>
                    <w:rPr>
                      <w:color w:val="auto"/>
                      <w:sz w:val="21"/>
                      <w:szCs w:val="21"/>
                    </w:rPr>
                  </w:pPr>
                  <w:r>
                    <w:rPr>
                      <w:rFonts w:hint="default" w:cs="Times New Roman"/>
                      <w:color w:val="auto"/>
                    </w:rPr>
                    <w:t>30m</w:t>
                  </w:r>
                  <w:r>
                    <w:rPr>
                      <w:rFonts w:hint="default" w:cs="Times New Roman"/>
                      <w:color w:val="auto"/>
                      <w:vertAlign w:val="superscript"/>
                    </w:rPr>
                    <w:t>3</w:t>
                  </w:r>
                </w:p>
              </w:tc>
              <w:tc>
                <w:tcPr>
                  <w:tcW w:w="359" w:type="pct"/>
                  <w:tcBorders>
                    <w:tl2br w:val="nil"/>
                    <w:tr2bl w:val="nil"/>
                  </w:tcBorders>
                  <w:noWrap w:val="0"/>
                  <w:vAlign w:val="center"/>
                </w:tcPr>
                <w:p w14:paraId="0555BA17">
                  <w:pPr>
                    <w:pStyle w:val="3935"/>
                    <w:keepNext w:val="0"/>
                    <w:keepLines w:val="0"/>
                    <w:suppressLineNumbers w:val="0"/>
                    <w:bidi w:val="0"/>
                    <w:spacing w:before="0" w:beforeAutospacing="0" w:after="0" w:afterAutospacing="0"/>
                    <w:ind w:left="0" w:leftChars="0" w:right="0" w:rightChars="0"/>
                    <w:rPr>
                      <w:color w:val="auto"/>
                      <w:sz w:val="21"/>
                      <w:szCs w:val="21"/>
                    </w:rPr>
                  </w:pPr>
                  <w:r>
                    <w:rPr>
                      <w:rFonts w:hint="default" w:cs="Times New Roman"/>
                      <w:color w:val="auto"/>
                    </w:rPr>
                    <w:t>1</w:t>
                  </w:r>
                </w:p>
              </w:tc>
              <w:tc>
                <w:tcPr>
                  <w:tcW w:w="359" w:type="pct"/>
                  <w:tcBorders>
                    <w:tl2br w:val="nil"/>
                    <w:tr2bl w:val="nil"/>
                  </w:tcBorders>
                  <w:shd w:val="clear" w:color="auto" w:fill="auto"/>
                  <w:noWrap w:val="0"/>
                  <w:vAlign w:val="center"/>
                </w:tcPr>
                <w:p w14:paraId="4B50C215">
                  <w:pPr>
                    <w:pStyle w:val="3935"/>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color w:val="auto"/>
                      <w:kern w:val="28"/>
                      <w:sz w:val="21"/>
                      <w:szCs w:val="21"/>
                      <w:lang w:val="en-US" w:eastAsia="zh-CN" w:bidi="ar-SA"/>
                    </w:rPr>
                  </w:pPr>
                  <w:r>
                    <w:rPr>
                      <w:rFonts w:hint="default" w:cs="Times New Roman"/>
                      <w:color w:val="auto"/>
                    </w:rPr>
                    <w:t>1</w:t>
                  </w:r>
                </w:p>
              </w:tc>
              <w:tc>
                <w:tcPr>
                  <w:tcW w:w="362" w:type="pct"/>
                  <w:tcBorders>
                    <w:tl2br w:val="nil"/>
                    <w:tr2bl w:val="nil"/>
                  </w:tcBorders>
                  <w:noWrap w:val="0"/>
                  <w:vAlign w:val="center"/>
                </w:tcPr>
                <w:p w14:paraId="71FB7307">
                  <w:pPr>
                    <w:pStyle w:val="3935"/>
                    <w:keepNext w:val="0"/>
                    <w:keepLines w:val="0"/>
                    <w:suppressLineNumbers w:val="0"/>
                    <w:bidi w:val="0"/>
                    <w:spacing w:before="0" w:beforeAutospacing="0" w:after="0" w:afterAutospacing="0"/>
                    <w:ind w:left="0" w:leftChars="0" w:right="0" w:rightChars="0"/>
                    <w:rPr>
                      <w:rFonts w:hint="eastAsia" w:eastAsia="宋体" w:cs="Times New Roman"/>
                      <w:color w:val="auto"/>
                      <w:lang w:val="en-US" w:eastAsia="zh-CN"/>
                    </w:rPr>
                  </w:pPr>
                  <w:r>
                    <w:rPr>
                      <w:rFonts w:hint="eastAsia" w:cs="Times New Roman"/>
                      <w:color w:val="auto"/>
                      <w:lang w:val="en-US" w:eastAsia="zh-CN"/>
                    </w:rPr>
                    <w:t>0</w:t>
                  </w:r>
                </w:p>
              </w:tc>
              <w:tc>
                <w:tcPr>
                  <w:tcW w:w="417" w:type="pct"/>
                  <w:tcBorders>
                    <w:tl2br w:val="nil"/>
                    <w:tr2bl w:val="nil"/>
                  </w:tcBorders>
                  <w:noWrap w:val="0"/>
                  <w:vAlign w:val="center"/>
                </w:tcPr>
                <w:p w14:paraId="6167D8A4">
                  <w:pPr>
                    <w:pStyle w:val="3935"/>
                    <w:keepNext w:val="0"/>
                    <w:keepLines w:val="0"/>
                    <w:suppressLineNumbers w:val="0"/>
                    <w:bidi w:val="0"/>
                    <w:spacing w:before="0" w:beforeAutospacing="0" w:after="0" w:afterAutospacing="0"/>
                    <w:ind w:left="0" w:leftChars="0" w:right="0" w:rightChars="0"/>
                    <w:rPr>
                      <w:color w:val="auto"/>
                      <w:sz w:val="21"/>
                      <w:szCs w:val="21"/>
                    </w:rPr>
                  </w:pPr>
                  <w:r>
                    <w:rPr>
                      <w:rFonts w:hint="default" w:cs="Times New Roman"/>
                      <w:color w:val="auto"/>
                    </w:rPr>
                    <w:t>钢衬PE</w:t>
                  </w:r>
                </w:p>
              </w:tc>
              <w:tc>
                <w:tcPr>
                  <w:tcW w:w="866" w:type="pct"/>
                  <w:tcBorders>
                    <w:tl2br w:val="nil"/>
                    <w:tr2bl w:val="nil"/>
                  </w:tcBorders>
                  <w:noWrap w:val="0"/>
                  <w:vAlign w:val="center"/>
                </w:tcPr>
                <w:p w14:paraId="6C7B71C5">
                  <w:pPr>
                    <w:widowControl/>
                    <w:tabs>
                      <w:tab w:val="left" w:pos="567"/>
                    </w:tabs>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戊类</w:t>
                  </w:r>
                </w:p>
              </w:tc>
            </w:tr>
            <w:tr w14:paraId="0C3AE3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344" w:type="pct"/>
                  <w:tcBorders>
                    <w:tl2br w:val="nil"/>
                    <w:tr2bl w:val="nil"/>
                  </w:tcBorders>
                  <w:noWrap w:val="0"/>
                  <w:vAlign w:val="center"/>
                </w:tcPr>
                <w:p w14:paraId="06FF039D">
                  <w:pPr>
                    <w:widowControl/>
                    <w:tabs>
                      <w:tab w:val="left" w:pos="567"/>
                    </w:tabs>
                    <w:spacing w:line="240" w:lineRule="auto"/>
                    <w:ind w:firstLine="0" w:firstLineChars="0"/>
                    <w:jc w:val="center"/>
                    <w:rPr>
                      <w:color w:val="auto"/>
                      <w:sz w:val="21"/>
                      <w:szCs w:val="21"/>
                      <w:lang w:val="en-US" w:eastAsia="zh-CN" w:bidi="ar-SA"/>
                    </w:rPr>
                  </w:pPr>
                  <w:r>
                    <w:rPr>
                      <w:color w:val="auto"/>
                      <w:sz w:val="21"/>
                      <w:szCs w:val="21"/>
                    </w:rPr>
                    <w:t>8</w:t>
                  </w:r>
                </w:p>
              </w:tc>
              <w:tc>
                <w:tcPr>
                  <w:tcW w:w="656" w:type="pct"/>
                  <w:vMerge w:val="restart"/>
                  <w:tcBorders>
                    <w:tl2br w:val="nil"/>
                    <w:tr2bl w:val="nil"/>
                  </w:tcBorders>
                  <w:noWrap w:val="0"/>
                  <w:vAlign w:val="center"/>
                </w:tcPr>
                <w:p w14:paraId="0C660299">
                  <w:pPr>
                    <w:widowControl/>
                    <w:tabs>
                      <w:tab w:val="left" w:pos="567"/>
                    </w:tabs>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罐区二</w:t>
                  </w:r>
                </w:p>
              </w:tc>
              <w:tc>
                <w:tcPr>
                  <w:tcW w:w="965" w:type="pct"/>
                  <w:tcBorders>
                    <w:tl2br w:val="nil"/>
                    <w:tr2bl w:val="nil"/>
                  </w:tcBorders>
                  <w:noWrap w:val="0"/>
                  <w:vAlign w:val="center"/>
                </w:tcPr>
                <w:p w14:paraId="6DE0314B">
                  <w:pPr>
                    <w:pStyle w:val="3935"/>
                    <w:keepNext w:val="0"/>
                    <w:keepLines w:val="0"/>
                    <w:suppressLineNumbers w:val="0"/>
                    <w:bidi w:val="0"/>
                    <w:spacing w:before="0" w:beforeAutospacing="0" w:after="0" w:afterAutospacing="0"/>
                    <w:ind w:left="0" w:leftChars="0" w:right="0" w:rightChars="0"/>
                    <w:rPr>
                      <w:rFonts w:hint="default" w:cs="Times New Roman"/>
                      <w:b w:val="0"/>
                      <w:bCs/>
                      <w:color w:val="auto"/>
                      <w:kern w:val="28"/>
                      <w:sz w:val="21"/>
                      <w:szCs w:val="21"/>
                      <w:lang w:val="en-US" w:eastAsia="zh-CN" w:bidi="ar-SA"/>
                    </w:rPr>
                  </w:pPr>
                  <w:r>
                    <w:rPr>
                      <w:rFonts w:hint="default" w:cs="Times New Roman"/>
                      <w:color w:val="auto"/>
                    </w:rPr>
                    <w:t>酸贮罐</w:t>
                  </w:r>
                </w:p>
              </w:tc>
              <w:tc>
                <w:tcPr>
                  <w:tcW w:w="667" w:type="pct"/>
                  <w:tcBorders>
                    <w:tl2br w:val="nil"/>
                    <w:tr2bl w:val="nil"/>
                  </w:tcBorders>
                  <w:noWrap w:val="0"/>
                  <w:vAlign w:val="center"/>
                </w:tcPr>
                <w:p w14:paraId="3167F258">
                  <w:pPr>
                    <w:pStyle w:val="3935"/>
                    <w:keepNext w:val="0"/>
                    <w:keepLines w:val="0"/>
                    <w:suppressLineNumbers w:val="0"/>
                    <w:bidi w:val="0"/>
                    <w:spacing w:before="0" w:beforeAutospacing="0" w:after="0" w:afterAutospacing="0"/>
                    <w:ind w:left="0" w:leftChars="0" w:right="0" w:rightChars="0"/>
                    <w:rPr>
                      <w:rFonts w:hint="default" w:cs="Times New Roman"/>
                      <w:b w:val="0"/>
                      <w:bCs/>
                      <w:color w:val="auto"/>
                      <w:kern w:val="28"/>
                      <w:sz w:val="21"/>
                      <w:szCs w:val="21"/>
                      <w:lang w:val="en-US" w:eastAsia="zh-CN" w:bidi="ar-SA"/>
                    </w:rPr>
                  </w:pPr>
                  <w:r>
                    <w:rPr>
                      <w:rFonts w:hint="eastAsia" w:cs="Times New Roman"/>
                      <w:color w:val="auto"/>
                      <w:lang w:val="en-US" w:eastAsia="zh-CN"/>
                    </w:rPr>
                    <w:t>6</w:t>
                  </w:r>
                  <w:r>
                    <w:rPr>
                      <w:rFonts w:hint="default" w:cs="Times New Roman"/>
                      <w:color w:val="auto"/>
                    </w:rPr>
                    <w:t>0m</w:t>
                  </w:r>
                  <w:r>
                    <w:rPr>
                      <w:rFonts w:hint="default" w:cs="Times New Roman"/>
                      <w:color w:val="auto"/>
                      <w:vertAlign w:val="superscript"/>
                    </w:rPr>
                    <w:t>3</w:t>
                  </w:r>
                </w:p>
              </w:tc>
              <w:tc>
                <w:tcPr>
                  <w:tcW w:w="359" w:type="pct"/>
                  <w:tcBorders>
                    <w:tl2br w:val="nil"/>
                    <w:tr2bl w:val="nil"/>
                  </w:tcBorders>
                  <w:noWrap w:val="0"/>
                  <w:vAlign w:val="center"/>
                </w:tcPr>
                <w:p w14:paraId="1DD900DA">
                  <w:pPr>
                    <w:pStyle w:val="3935"/>
                    <w:keepNext w:val="0"/>
                    <w:keepLines w:val="0"/>
                    <w:suppressLineNumbers w:val="0"/>
                    <w:bidi w:val="0"/>
                    <w:spacing w:before="0" w:beforeAutospacing="0" w:after="0" w:afterAutospacing="0"/>
                    <w:ind w:left="0" w:leftChars="0" w:right="0" w:rightChars="0"/>
                    <w:rPr>
                      <w:rFonts w:hint="default" w:cs="Times New Roman"/>
                      <w:b w:val="0"/>
                      <w:bCs/>
                      <w:color w:val="auto"/>
                      <w:kern w:val="28"/>
                      <w:sz w:val="21"/>
                      <w:szCs w:val="21"/>
                      <w:lang w:val="en-US" w:eastAsia="zh-CN" w:bidi="ar-SA"/>
                    </w:rPr>
                  </w:pPr>
                  <w:bookmarkStart w:id="24" w:name="OLE_LINK34"/>
                  <w:bookmarkStart w:id="25" w:name="OLE_LINK33"/>
                  <w:r>
                    <w:rPr>
                      <w:rFonts w:hint="default" w:cs="Times New Roman"/>
                      <w:color w:val="auto"/>
                    </w:rPr>
                    <w:t>1</w:t>
                  </w:r>
                </w:p>
                <w:bookmarkEnd w:id="24"/>
                <w:bookmarkEnd w:id="25"/>
              </w:tc>
              <w:tc>
                <w:tcPr>
                  <w:tcW w:w="359" w:type="pct"/>
                  <w:tcBorders>
                    <w:tl2br w:val="nil"/>
                    <w:tr2bl w:val="nil"/>
                  </w:tcBorders>
                  <w:shd w:val="clear" w:color="auto" w:fill="auto"/>
                  <w:noWrap w:val="0"/>
                  <w:vAlign w:val="center"/>
                </w:tcPr>
                <w:p w14:paraId="0DDE732E">
                  <w:pPr>
                    <w:pStyle w:val="3935"/>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color w:val="auto"/>
                      <w:kern w:val="28"/>
                      <w:sz w:val="21"/>
                      <w:szCs w:val="21"/>
                      <w:lang w:val="en-US" w:eastAsia="zh-CN" w:bidi="ar-SA"/>
                    </w:rPr>
                  </w:pPr>
                  <w:r>
                    <w:rPr>
                      <w:rFonts w:hint="default" w:cs="Times New Roman"/>
                      <w:color w:val="auto"/>
                    </w:rPr>
                    <w:t>1</w:t>
                  </w:r>
                </w:p>
              </w:tc>
              <w:tc>
                <w:tcPr>
                  <w:tcW w:w="362" w:type="pct"/>
                  <w:tcBorders>
                    <w:tl2br w:val="nil"/>
                    <w:tr2bl w:val="nil"/>
                  </w:tcBorders>
                  <w:noWrap w:val="0"/>
                  <w:vAlign w:val="center"/>
                </w:tcPr>
                <w:p w14:paraId="307CA10F">
                  <w:pPr>
                    <w:pStyle w:val="3935"/>
                    <w:keepNext w:val="0"/>
                    <w:keepLines w:val="0"/>
                    <w:suppressLineNumbers w:val="0"/>
                    <w:bidi w:val="0"/>
                    <w:spacing w:before="0" w:beforeAutospacing="0" w:after="0" w:afterAutospacing="0"/>
                    <w:ind w:left="0" w:leftChars="0" w:right="0" w:rightChars="0"/>
                    <w:rPr>
                      <w:rFonts w:hint="eastAsia" w:eastAsia="宋体" w:cs="Times New Roman"/>
                      <w:color w:val="auto"/>
                      <w:lang w:val="en-US" w:eastAsia="zh-CN"/>
                    </w:rPr>
                  </w:pPr>
                  <w:r>
                    <w:rPr>
                      <w:rFonts w:hint="eastAsia" w:cs="Times New Roman"/>
                      <w:color w:val="auto"/>
                      <w:lang w:val="en-US" w:eastAsia="zh-CN"/>
                    </w:rPr>
                    <w:t>0</w:t>
                  </w:r>
                </w:p>
              </w:tc>
              <w:tc>
                <w:tcPr>
                  <w:tcW w:w="417" w:type="pct"/>
                  <w:tcBorders>
                    <w:tl2br w:val="nil"/>
                    <w:tr2bl w:val="nil"/>
                  </w:tcBorders>
                  <w:noWrap w:val="0"/>
                  <w:vAlign w:val="center"/>
                </w:tcPr>
                <w:p w14:paraId="3E58DABE">
                  <w:pPr>
                    <w:pStyle w:val="3935"/>
                    <w:keepNext w:val="0"/>
                    <w:keepLines w:val="0"/>
                    <w:suppressLineNumbers w:val="0"/>
                    <w:bidi w:val="0"/>
                    <w:spacing w:before="0" w:beforeAutospacing="0" w:after="0" w:afterAutospacing="0"/>
                    <w:ind w:left="0" w:leftChars="0" w:right="0" w:rightChars="0"/>
                    <w:rPr>
                      <w:rFonts w:hint="default" w:cs="Times New Roman"/>
                      <w:b w:val="0"/>
                      <w:bCs/>
                      <w:color w:val="auto"/>
                      <w:kern w:val="28"/>
                      <w:sz w:val="21"/>
                      <w:szCs w:val="21"/>
                      <w:lang w:val="en-US" w:eastAsia="zh-CN" w:bidi="ar-SA"/>
                    </w:rPr>
                  </w:pPr>
                  <w:r>
                    <w:rPr>
                      <w:rFonts w:hint="default" w:cs="Times New Roman"/>
                      <w:color w:val="auto"/>
                    </w:rPr>
                    <w:t>玻璃钢</w:t>
                  </w:r>
                </w:p>
              </w:tc>
              <w:tc>
                <w:tcPr>
                  <w:tcW w:w="866" w:type="pct"/>
                  <w:tcBorders>
                    <w:tl2br w:val="nil"/>
                    <w:tr2bl w:val="nil"/>
                  </w:tcBorders>
                  <w:noWrap w:val="0"/>
                  <w:vAlign w:val="center"/>
                </w:tcPr>
                <w:p w14:paraId="0994C25B">
                  <w:pPr>
                    <w:widowControl/>
                    <w:tabs>
                      <w:tab w:val="left" w:pos="567"/>
                    </w:tabs>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戊类</w:t>
                  </w:r>
                </w:p>
              </w:tc>
            </w:tr>
            <w:tr w14:paraId="0EF285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pct"/>
                  <w:tcBorders>
                    <w:tl2br w:val="nil"/>
                    <w:tr2bl w:val="nil"/>
                  </w:tcBorders>
                  <w:noWrap w:val="0"/>
                  <w:vAlign w:val="center"/>
                </w:tcPr>
                <w:p w14:paraId="66F78620">
                  <w:pPr>
                    <w:widowControl/>
                    <w:tabs>
                      <w:tab w:val="left" w:pos="567"/>
                    </w:tabs>
                    <w:spacing w:line="240" w:lineRule="auto"/>
                    <w:ind w:firstLine="0" w:firstLineChars="0"/>
                    <w:jc w:val="center"/>
                    <w:rPr>
                      <w:color w:val="auto"/>
                      <w:sz w:val="21"/>
                      <w:szCs w:val="21"/>
                      <w:lang w:val="en-US" w:eastAsia="zh-CN" w:bidi="ar-SA"/>
                    </w:rPr>
                  </w:pPr>
                  <w:r>
                    <w:rPr>
                      <w:color w:val="auto"/>
                      <w:sz w:val="21"/>
                      <w:szCs w:val="21"/>
                    </w:rPr>
                    <w:t>9</w:t>
                  </w:r>
                </w:p>
              </w:tc>
              <w:tc>
                <w:tcPr>
                  <w:tcW w:w="656" w:type="pct"/>
                  <w:vMerge w:val="continue"/>
                  <w:tcBorders>
                    <w:tl2br w:val="nil"/>
                    <w:tr2bl w:val="nil"/>
                  </w:tcBorders>
                  <w:noWrap w:val="0"/>
                  <w:vAlign w:val="center"/>
                </w:tcPr>
                <w:p w14:paraId="11F1F67C">
                  <w:pPr>
                    <w:widowControl/>
                    <w:tabs>
                      <w:tab w:val="left" w:pos="567"/>
                    </w:tabs>
                    <w:spacing w:line="240" w:lineRule="auto"/>
                    <w:ind w:firstLine="0" w:firstLineChars="0"/>
                    <w:jc w:val="center"/>
                    <w:rPr>
                      <w:color w:val="auto"/>
                      <w:sz w:val="21"/>
                      <w:szCs w:val="21"/>
                    </w:rPr>
                  </w:pPr>
                </w:p>
              </w:tc>
              <w:tc>
                <w:tcPr>
                  <w:tcW w:w="965" w:type="pct"/>
                  <w:tcBorders>
                    <w:tl2br w:val="nil"/>
                    <w:tr2bl w:val="nil"/>
                  </w:tcBorders>
                  <w:noWrap w:val="0"/>
                  <w:vAlign w:val="center"/>
                </w:tcPr>
                <w:p w14:paraId="2B217050">
                  <w:pPr>
                    <w:pStyle w:val="3935"/>
                    <w:keepNext w:val="0"/>
                    <w:keepLines w:val="0"/>
                    <w:suppressLineNumbers w:val="0"/>
                    <w:bidi w:val="0"/>
                    <w:spacing w:before="0" w:beforeAutospacing="0" w:after="0" w:afterAutospacing="0"/>
                    <w:ind w:left="0" w:leftChars="0" w:right="0" w:rightChars="0"/>
                    <w:rPr>
                      <w:rFonts w:hint="default" w:cs="Times New Roman"/>
                      <w:b w:val="0"/>
                      <w:bCs/>
                      <w:color w:val="auto"/>
                      <w:kern w:val="28"/>
                      <w:sz w:val="21"/>
                      <w:szCs w:val="21"/>
                      <w:lang w:val="en-US" w:eastAsia="zh-CN" w:bidi="ar-SA"/>
                    </w:rPr>
                  </w:pPr>
                  <w:r>
                    <w:rPr>
                      <w:rFonts w:hint="default" w:cs="Times New Roman"/>
                      <w:color w:val="auto"/>
                    </w:rPr>
                    <w:t>盐酸贮罐</w:t>
                  </w:r>
                </w:p>
              </w:tc>
              <w:tc>
                <w:tcPr>
                  <w:tcW w:w="667" w:type="pct"/>
                  <w:tcBorders>
                    <w:tl2br w:val="nil"/>
                    <w:tr2bl w:val="nil"/>
                  </w:tcBorders>
                  <w:noWrap w:val="0"/>
                  <w:vAlign w:val="center"/>
                </w:tcPr>
                <w:p w14:paraId="0231816C">
                  <w:pPr>
                    <w:pStyle w:val="3935"/>
                    <w:keepNext w:val="0"/>
                    <w:keepLines w:val="0"/>
                    <w:suppressLineNumbers w:val="0"/>
                    <w:bidi w:val="0"/>
                    <w:spacing w:before="0" w:beforeAutospacing="0" w:after="0" w:afterAutospacing="0"/>
                    <w:ind w:left="0" w:leftChars="0" w:right="0" w:rightChars="0"/>
                    <w:rPr>
                      <w:rFonts w:hint="default" w:cs="Times New Roman"/>
                      <w:b w:val="0"/>
                      <w:bCs/>
                      <w:color w:val="auto"/>
                      <w:kern w:val="28"/>
                      <w:sz w:val="21"/>
                      <w:szCs w:val="21"/>
                      <w:lang w:val="en-US" w:eastAsia="zh-CN" w:bidi="ar-SA"/>
                    </w:rPr>
                  </w:pPr>
                  <w:r>
                    <w:rPr>
                      <w:rFonts w:hint="eastAsia" w:cs="Times New Roman"/>
                      <w:color w:val="auto"/>
                      <w:lang w:val="en-US" w:eastAsia="zh-CN"/>
                    </w:rPr>
                    <w:t>6</w:t>
                  </w:r>
                  <w:r>
                    <w:rPr>
                      <w:rFonts w:hint="default" w:cs="Times New Roman"/>
                      <w:color w:val="auto"/>
                    </w:rPr>
                    <w:t>0m</w:t>
                  </w:r>
                  <w:r>
                    <w:rPr>
                      <w:rFonts w:hint="default" w:cs="Times New Roman"/>
                      <w:color w:val="auto"/>
                      <w:vertAlign w:val="superscript"/>
                    </w:rPr>
                    <w:t>3</w:t>
                  </w:r>
                </w:p>
              </w:tc>
              <w:tc>
                <w:tcPr>
                  <w:tcW w:w="359" w:type="pct"/>
                  <w:tcBorders>
                    <w:tl2br w:val="nil"/>
                    <w:tr2bl w:val="nil"/>
                  </w:tcBorders>
                  <w:noWrap w:val="0"/>
                  <w:vAlign w:val="center"/>
                </w:tcPr>
                <w:p w14:paraId="5173B149">
                  <w:pPr>
                    <w:pStyle w:val="3935"/>
                    <w:keepNext w:val="0"/>
                    <w:keepLines w:val="0"/>
                    <w:suppressLineNumbers w:val="0"/>
                    <w:bidi w:val="0"/>
                    <w:spacing w:before="0" w:beforeAutospacing="0" w:after="0" w:afterAutospacing="0"/>
                    <w:ind w:left="0" w:leftChars="0" w:right="0" w:rightChars="0"/>
                    <w:rPr>
                      <w:rFonts w:hint="default" w:cs="Times New Roman"/>
                      <w:b w:val="0"/>
                      <w:bCs/>
                      <w:color w:val="auto"/>
                      <w:kern w:val="28"/>
                      <w:sz w:val="21"/>
                      <w:szCs w:val="21"/>
                      <w:lang w:val="en-US" w:eastAsia="zh-CN" w:bidi="ar-SA"/>
                    </w:rPr>
                  </w:pPr>
                  <w:r>
                    <w:rPr>
                      <w:rFonts w:hint="default" w:cs="Times New Roman"/>
                      <w:color w:val="auto"/>
                    </w:rPr>
                    <w:t>1</w:t>
                  </w:r>
                </w:p>
              </w:tc>
              <w:tc>
                <w:tcPr>
                  <w:tcW w:w="359" w:type="pct"/>
                  <w:tcBorders>
                    <w:tl2br w:val="nil"/>
                    <w:tr2bl w:val="nil"/>
                  </w:tcBorders>
                  <w:shd w:val="clear" w:color="auto" w:fill="auto"/>
                  <w:noWrap w:val="0"/>
                  <w:vAlign w:val="center"/>
                </w:tcPr>
                <w:p w14:paraId="25E203D0">
                  <w:pPr>
                    <w:pStyle w:val="3935"/>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color w:val="auto"/>
                      <w:kern w:val="28"/>
                      <w:sz w:val="21"/>
                      <w:szCs w:val="21"/>
                      <w:lang w:val="en-US" w:eastAsia="zh-CN" w:bidi="ar-SA"/>
                    </w:rPr>
                  </w:pPr>
                  <w:r>
                    <w:rPr>
                      <w:rFonts w:hint="default" w:cs="Times New Roman"/>
                      <w:color w:val="auto"/>
                    </w:rPr>
                    <w:t>1</w:t>
                  </w:r>
                </w:p>
              </w:tc>
              <w:tc>
                <w:tcPr>
                  <w:tcW w:w="362" w:type="pct"/>
                  <w:tcBorders>
                    <w:tl2br w:val="nil"/>
                    <w:tr2bl w:val="nil"/>
                  </w:tcBorders>
                  <w:noWrap w:val="0"/>
                  <w:vAlign w:val="center"/>
                </w:tcPr>
                <w:p w14:paraId="24CB4F4E">
                  <w:pPr>
                    <w:pStyle w:val="3935"/>
                    <w:keepNext w:val="0"/>
                    <w:keepLines w:val="0"/>
                    <w:suppressLineNumbers w:val="0"/>
                    <w:bidi w:val="0"/>
                    <w:spacing w:before="0" w:beforeAutospacing="0" w:after="0" w:afterAutospacing="0"/>
                    <w:ind w:left="0" w:leftChars="0" w:right="0" w:rightChars="0"/>
                    <w:rPr>
                      <w:rFonts w:hint="eastAsia" w:eastAsia="宋体" w:cs="Times New Roman"/>
                      <w:color w:val="auto"/>
                      <w:lang w:val="en-US" w:eastAsia="zh-CN"/>
                    </w:rPr>
                  </w:pPr>
                  <w:r>
                    <w:rPr>
                      <w:rFonts w:hint="eastAsia" w:cs="Times New Roman"/>
                      <w:color w:val="auto"/>
                      <w:lang w:val="en-US" w:eastAsia="zh-CN"/>
                    </w:rPr>
                    <w:t>0</w:t>
                  </w:r>
                </w:p>
              </w:tc>
              <w:tc>
                <w:tcPr>
                  <w:tcW w:w="417" w:type="pct"/>
                  <w:tcBorders>
                    <w:tl2br w:val="nil"/>
                    <w:tr2bl w:val="nil"/>
                  </w:tcBorders>
                  <w:noWrap w:val="0"/>
                  <w:vAlign w:val="center"/>
                </w:tcPr>
                <w:p w14:paraId="3FF42C0F">
                  <w:pPr>
                    <w:pStyle w:val="3935"/>
                    <w:keepNext w:val="0"/>
                    <w:keepLines w:val="0"/>
                    <w:suppressLineNumbers w:val="0"/>
                    <w:bidi w:val="0"/>
                    <w:spacing w:before="0" w:beforeAutospacing="0" w:after="0" w:afterAutospacing="0"/>
                    <w:ind w:left="0" w:leftChars="0" w:right="0" w:rightChars="0"/>
                    <w:rPr>
                      <w:rFonts w:hint="default" w:cs="Times New Roman"/>
                      <w:b w:val="0"/>
                      <w:bCs/>
                      <w:color w:val="auto"/>
                      <w:kern w:val="28"/>
                      <w:sz w:val="21"/>
                      <w:szCs w:val="21"/>
                      <w:lang w:val="en-US" w:eastAsia="zh-CN" w:bidi="ar-SA"/>
                    </w:rPr>
                  </w:pPr>
                  <w:r>
                    <w:rPr>
                      <w:rFonts w:hint="default" w:cs="Times New Roman"/>
                      <w:color w:val="auto"/>
                    </w:rPr>
                    <w:t>玻璃钢</w:t>
                  </w:r>
                </w:p>
              </w:tc>
              <w:tc>
                <w:tcPr>
                  <w:tcW w:w="866" w:type="pct"/>
                  <w:tcBorders>
                    <w:tl2br w:val="nil"/>
                    <w:tr2bl w:val="nil"/>
                  </w:tcBorders>
                  <w:noWrap w:val="0"/>
                  <w:vAlign w:val="center"/>
                </w:tcPr>
                <w:p w14:paraId="66C4A43E">
                  <w:pPr>
                    <w:widowControl/>
                    <w:tabs>
                      <w:tab w:val="left" w:pos="567"/>
                    </w:tabs>
                    <w:spacing w:line="240" w:lineRule="auto"/>
                    <w:ind w:firstLine="0" w:firstLineChars="0"/>
                    <w:jc w:val="center"/>
                    <w:rPr>
                      <w:color w:val="auto"/>
                      <w:sz w:val="21"/>
                      <w:szCs w:val="21"/>
                    </w:rPr>
                  </w:pPr>
                  <w:r>
                    <w:rPr>
                      <w:rFonts w:hint="eastAsia"/>
                      <w:color w:val="auto"/>
                      <w:sz w:val="21"/>
                      <w:szCs w:val="21"/>
                      <w:lang w:val="en-US" w:eastAsia="zh-CN"/>
                    </w:rPr>
                    <w:t>戊类</w:t>
                  </w:r>
                </w:p>
              </w:tc>
            </w:tr>
            <w:tr w14:paraId="42604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pct"/>
                  <w:tcBorders>
                    <w:tl2br w:val="nil"/>
                    <w:tr2bl w:val="nil"/>
                  </w:tcBorders>
                  <w:noWrap w:val="0"/>
                  <w:vAlign w:val="center"/>
                </w:tcPr>
                <w:p w14:paraId="1BEF2C52">
                  <w:pPr>
                    <w:widowControl/>
                    <w:tabs>
                      <w:tab w:val="left" w:pos="567"/>
                    </w:tabs>
                    <w:spacing w:line="240" w:lineRule="auto"/>
                    <w:ind w:firstLine="0" w:firstLineChars="0"/>
                    <w:jc w:val="center"/>
                    <w:rPr>
                      <w:color w:val="auto"/>
                      <w:sz w:val="21"/>
                      <w:szCs w:val="21"/>
                      <w:lang w:val="en-US" w:eastAsia="zh-CN" w:bidi="ar-SA"/>
                    </w:rPr>
                  </w:pPr>
                  <w:r>
                    <w:rPr>
                      <w:color w:val="auto"/>
                      <w:sz w:val="21"/>
                      <w:szCs w:val="21"/>
                    </w:rPr>
                    <w:t>10</w:t>
                  </w:r>
                </w:p>
              </w:tc>
              <w:tc>
                <w:tcPr>
                  <w:tcW w:w="656" w:type="pct"/>
                  <w:vMerge w:val="continue"/>
                  <w:tcBorders>
                    <w:tl2br w:val="nil"/>
                    <w:tr2bl w:val="nil"/>
                  </w:tcBorders>
                  <w:noWrap w:val="0"/>
                  <w:vAlign w:val="center"/>
                </w:tcPr>
                <w:p w14:paraId="29963510">
                  <w:pPr>
                    <w:widowControl/>
                    <w:tabs>
                      <w:tab w:val="left" w:pos="567"/>
                    </w:tabs>
                    <w:spacing w:line="240" w:lineRule="auto"/>
                    <w:ind w:firstLine="0" w:firstLineChars="0"/>
                    <w:jc w:val="center"/>
                    <w:rPr>
                      <w:color w:val="auto"/>
                      <w:sz w:val="21"/>
                      <w:szCs w:val="21"/>
                    </w:rPr>
                  </w:pPr>
                </w:p>
              </w:tc>
              <w:tc>
                <w:tcPr>
                  <w:tcW w:w="965" w:type="pct"/>
                  <w:tcBorders>
                    <w:tl2br w:val="nil"/>
                    <w:tr2bl w:val="nil"/>
                  </w:tcBorders>
                  <w:noWrap w:val="0"/>
                  <w:vAlign w:val="center"/>
                </w:tcPr>
                <w:p w14:paraId="7C364019">
                  <w:pPr>
                    <w:pStyle w:val="3935"/>
                    <w:keepNext w:val="0"/>
                    <w:keepLines w:val="0"/>
                    <w:suppressLineNumbers w:val="0"/>
                    <w:bidi w:val="0"/>
                    <w:spacing w:before="0" w:beforeAutospacing="0" w:after="0" w:afterAutospacing="0"/>
                    <w:ind w:left="0" w:leftChars="0" w:right="0" w:rightChars="0"/>
                    <w:rPr>
                      <w:rFonts w:hint="default" w:cs="Times New Roman"/>
                      <w:b w:val="0"/>
                      <w:bCs/>
                      <w:color w:val="auto"/>
                      <w:kern w:val="28"/>
                      <w:sz w:val="21"/>
                      <w:szCs w:val="21"/>
                      <w:lang w:val="en-US" w:eastAsia="zh-CN" w:bidi="ar-SA"/>
                    </w:rPr>
                  </w:pPr>
                  <w:r>
                    <w:rPr>
                      <w:rFonts w:hint="default" w:cs="Times New Roman"/>
                      <w:color w:val="auto"/>
                    </w:rPr>
                    <w:t>磷酸贮罐</w:t>
                  </w:r>
                </w:p>
              </w:tc>
              <w:tc>
                <w:tcPr>
                  <w:tcW w:w="667" w:type="pct"/>
                  <w:tcBorders>
                    <w:tl2br w:val="nil"/>
                    <w:tr2bl w:val="nil"/>
                  </w:tcBorders>
                  <w:noWrap w:val="0"/>
                  <w:vAlign w:val="center"/>
                </w:tcPr>
                <w:p w14:paraId="0D6BD64D">
                  <w:pPr>
                    <w:pStyle w:val="3935"/>
                    <w:keepNext w:val="0"/>
                    <w:keepLines w:val="0"/>
                    <w:suppressLineNumbers w:val="0"/>
                    <w:bidi w:val="0"/>
                    <w:spacing w:before="0" w:beforeAutospacing="0" w:after="0" w:afterAutospacing="0"/>
                    <w:ind w:left="0" w:leftChars="0" w:right="0" w:rightChars="0"/>
                    <w:rPr>
                      <w:rFonts w:hint="default" w:cs="Times New Roman"/>
                      <w:b w:val="0"/>
                      <w:bCs/>
                      <w:color w:val="auto"/>
                      <w:kern w:val="28"/>
                      <w:sz w:val="21"/>
                      <w:szCs w:val="21"/>
                      <w:lang w:val="en-US" w:eastAsia="zh-CN" w:bidi="ar-SA"/>
                    </w:rPr>
                  </w:pPr>
                  <w:r>
                    <w:rPr>
                      <w:rFonts w:hint="eastAsia" w:cs="Times New Roman"/>
                      <w:color w:val="auto"/>
                      <w:lang w:val="en-US" w:eastAsia="zh-CN"/>
                    </w:rPr>
                    <w:t>6</w:t>
                  </w:r>
                  <w:r>
                    <w:rPr>
                      <w:rFonts w:hint="default" w:cs="Times New Roman"/>
                      <w:color w:val="auto"/>
                    </w:rPr>
                    <w:t>0m</w:t>
                  </w:r>
                  <w:r>
                    <w:rPr>
                      <w:rFonts w:hint="default" w:cs="Times New Roman"/>
                      <w:color w:val="auto"/>
                      <w:vertAlign w:val="superscript"/>
                    </w:rPr>
                    <w:t>3</w:t>
                  </w:r>
                </w:p>
              </w:tc>
              <w:tc>
                <w:tcPr>
                  <w:tcW w:w="359" w:type="pct"/>
                  <w:tcBorders>
                    <w:tl2br w:val="nil"/>
                    <w:tr2bl w:val="nil"/>
                  </w:tcBorders>
                  <w:noWrap w:val="0"/>
                  <w:vAlign w:val="center"/>
                </w:tcPr>
                <w:p w14:paraId="38286966">
                  <w:pPr>
                    <w:pStyle w:val="3935"/>
                    <w:keepNext w:val="0"/>
                    <w:keepLines w:val="0"/>
                    <w:suppressLineNumbers w:val="0"/>
                    <w:bidi w:val="0"/>
                    <w:spacing w:before="0" w:beforeAutospacing="0" w:after="0" w:afterAutospacing="0"/>
                    <w:ind w:left="0" w:leftChars="0" w:right="0" w:rightChars="0"/>
                    <w:rPr>
                      <w:rFonts w:hint="default" w:cs="Times New Roman"/>
                      <w:b w:val="0"/>
                      <w:bCs/>
                      <w:color w:val="auto"/>
                      <w:kern w:val="28"/>
                      <w:sz w:val="21"/>
                      <w:szCs w:val="21"/>
                      <w:lang w:val="en-US" w:eastAsia="zh-CN" w:bidi="ar-SA"/>
                    </w:rPr>
                  </w:pPr>
                  <w:bookmarkStart w:id="26" w:name="OLE_LINK36"/>
                  <w:r>
                    <w:rPr>
                      <w:rFonts w:hint="default" w:cs="Times New Roman"/>
                      <w:color w:val="auto"/>
                    </w:rPr>
                    <w:t>1</w:t>
                  </w:r>
                </w:p>
                <w:bookmarkEnd w:id="26"/>
              </w:tc>
              <w:tc>
                <w:tcPr>
                  <w:tcW w:w="359" w:type="pct"/>
                  <w:tcBorders>
                    <w:tl2br w:val="nil"/>
                    <w:tr2bl w:val="nil"/>
                  </w:tcBorders>
                  <w:shd w:val="clear" w:color="auto" w:fill="auto"/>
                  <w:noWrap w:val="0"/>
                  <w:vAlign w:val="center"/>
                </w:tcPr>
                <w:p w14:paraId="7E578894">
                  <w:pPr>
                    <w:pStyle w:val="3935"/>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color w:val="auto"/>
                      <w:kern w:val="28"/>
                      <w:sz w:val="21"/>
                      <w:szCs w:val="21"/>
                      <w:lang w:val="en-US" w:eastAsia="zh-CN" w:bidi="ar-SA"/>
                    </w:rPr>
                  </w:pPr>
                  <w:r>
                    <w:rPr>
                      <w:rFonts w:hint="default" w:cs="Times New Roman"/>
                      <w:color w:val="auto"/>
                    </w:rPr>
                    <w:t>1</w:t>
                  </w:r>
                </w:p>
              </w:tc>
              <w:tc>
                <w:tcPr>
                  <w:tcW w:w="362" w:type="pct"/>
                  <w:tcBorders>
                    <w:tl2br w:val="nil"/>
                    <w:tr2bl w:val="nil"/>
                  </w:tcBorders>
                  <w:noWrap w:val="0"/>
                  <w:vAlign w:val="center"/>
                </w:tcPr>
                <w:p w14:paraId="1FCB727B">
                  <w:pPr>
                    <w:pStyle w:val="3935"/>
                    <w:keepNext w:val="0"/>
                    <w:keepLines w:val="0"/>
                    <w:suppressLineNumbers w:val="0"/>
                    <w:bidi w:val="0"/>
                    <w:spacing w:before="0" w:beforeAutospacing="0" w:after="0" w:afterAutospacing="0"/>
                    <w:ind w:left="0" w:leftChars="0" w:right="0" w:rightChars="0"/>
                    <w:rPr>
                      <w:rFonts w:hint="eastAsia" w:eastAsia="宋体" w:cs="Times New Roman"/>
                      <w:color w:val="auto"/>
                      <w:lang w:val="en-US" w:eastAsia="zh-CN"/>
                    </w:rPr>
                  </w:pPr>
                  <w:r>
                    <w:rPr>
                      <w:rFonts w:hint="eastAsia" w:cs="Times New Roman"/>
                      <w:color w:val="auto"/>
                      <w:lang w:val="en-US" w:eastAsia="zh-CN"/>
                    </w:rPr>
                    <w:t>0</w:t>
                  </w:r>
                </w:p>
              </w:tc>
              <w:tc>
                <w:tcPr>
                  <w:tcW w:w="417" w:type="pct"/>
                  <w:tcBorders>
                    <w:tl2br w:val="nil"/>
                    <w:tr2bl w:val="nil"/>
                  </w:tcBorders>
                  <w:noWrap w:val="0"/>
                  <w:vAlign w:val="center"/>
                </w:tcPr>
                <w:p w14:paraId="399A3C19">
                  <w:pPr>
                    <w:pStyle w:val="3935"/>
                    <w:keepNext w:val="0"/>
                    <w:keepLines w:val="0"/>
                    <w:suppressLineNumbers w:val="0"/>
                    <w:bidi w:val="0"/>
                    <w:spacing w:before="0" w:beforeAutospacing="0" w:after="0" w:afterAutospacing="0"/>
                    <w:ind w:left="0" w:leftChars="0" w:right="0" w:rightChars="0"/>
                    <w:rPr>
                      <w:rFonts w:hint="default" w:cs="Times New Roman"/>
                      <w:b w:val="0"/>
                      <w:bCs/>
                      <w:color w:val="auto"/>
                      <w:kern w:val="28"/>
                      <w:sz w:val="21"/>
                      <w:szCs w:val="21"/>
                      <w:lang w:val="en-US" w:eastAsia="zh-CN" w:bidi="ar-SA"/>
                    </w:rPr>
                  </w:pPr>
                  <w:r>
                    <w:rPr>
                      <w:rFonts w:hint="default" w:cs="Times New Roman"/>
                      <w:color w:val="auto"/>
                    </w:rPr>
                    <w:t>PP</w:t>
                  </w:r>
                </w:p>
              </w:tc>
              <w:tc>
                <w:tcPr>
                  <w:tcW w:w="866" w:type="pct"/>
                  <w:tcBorders>
                    <w:tl2br w:val="nil"/>
                    <w:tr2bl w:val="nil"/>
                  </w:tcBorders>
                  <w:noWrap w:val="0"/>
                  <w:vAlign w:val="center"/>
                </w:tcPr>
                <w:p w14:paraId="6B6C74BA">
                  <w:pPr>
                    <w:widowControl/>
                    <w:tabs>
                      <w:tab w:val="left" w:pos="567"/>
                    </w:tabs>
                    <w:spacing w:line="240" w:lineRule="auto"/>
                    <w:ind w:firstLine="0" w:firstLineChars="0"/>
                    <w:jc w:val="center"/>
                    <w:rPr>
                      <w:color w:val="auto"/>
                      <w:sz w:val="21"/>
                      <w:szCs w:val="21"/>
                    </w:rPr>
                  </w:pPr>
                  <w:r>
                    <w:rPr>
                      <w:rFonts w:hint="eastAsia"/>
                      <w:color w:val="auto"/>
                      <w:sz w:val="21"/>
                      <w:szCs w:val="21"/>
                      <w:lang w:val="en-US" w:eastAsia="zh-CN"/>
                    </w:rPr>
                    <w:t>戊类</w:t>
                  </w:r>
                </w:p>
              </w:tc>
            </w:tr>
            <w:tr w14:paraId="34D4B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pct"/>
                  <w:tcBorders>
                    <w:tl2br w:val="nil"/>
                    <w:tr2bl w:val="nil"/>
                  </w:tcBorders>
                  <w:noWrap w:val="0"/>
                  <w:vAlign w:val="center"/>
                </w:tcPr>
                <w:p w14:paraId="5A4F8E0D">
                  <w:pPr>
                    <w:widowControl/>
                    <w:tabs>
                      <w:tab w:val="left" w:pos="567"/>
                    </w:tabs>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11</w:t>
                  </w:r>
                </w:p>
              </w:tc>
              <w:tc>
                <w:tcPr>
                  <w:tcW w:w="656" w:type="pct"/>
                  <w:vMerge w:val="continue"/>
                  <w:tcBorders>
                    <w:tl2br w:val="nil"/>
                    <w:tr2bl w:val="nil"/>
                  </w:tcBorders>
                  <w:noWrap w:val="0"/>
                  <w:vAlign w:val="center"/>
                </w:tcPr>
                <w:p w14:paraId="7590E33E">
                  <w:pPr>
                    <w:widowControl/>
                    <w:tabs>
                      <w:tab w:val="left" w:pos="567"/>
                    </w:tabs>
                    <w:spacing w:line="240" w:lineRule="auto"/>
                    <w:ind w:firstLine="0" w:firstLineChars="0"/>
                    <w:jc w:val="center"/>
                    <w:rPr>
                      <w:color w:val="auto"/>
                      <w:sz w:val="21"/>
                      <w:szCs w:val="21"/>
                    </w:rPr>
                  </w:pPr>
                </w:p>
              </w:tc>
              <w:tc>
                <w:tcPr>
                  <w:tcW w:w="965" w:type="pct"/>
                  <w:tcBorders>
                    <w:tl2br w:val="nil"/>
                    <w:tr2bl w:val="nil"/>
                  </w:tcBorders>
                  <w:noWrap w:val="0"/>
                  <w:vAlign w:val="center"/>
                </w:tcPr>
                <w:p w14:paraId="470AB128">
                  <w:pPr>
                    <w:pStyle w:val="3935"/>
                    <w:keepNext w:val="0"/>
                    <w:keepLines w:val="0"/>
                    <w:suppressLineNumbers w:val="0"/>
                    <w:bidi w:val="0"/>
                    <w:spacing w:before="0" w:beforeAutospacing="0" w:after="0" w:afterAutospacing="0"/>
                    <w:ind w:left="0" w:leftChars="0" w:right="0" w:rightChars="0"/>
                    <w:rPr>
                      <w:rFonts w:hint="default" w:cs="Times New Roman"/>
                      <w:b w:val="0"/>
                      <w:bCs/>
                      <w:color w:val="auto"/>
                      <w:kern w:val="28"/>
                      <w:sz w:val="21"/>
                      <w:szCs w:val="21"/>
                      <w:lang w:val="en-US" w:eastAsia="zh-CN" w:bidi="ar-SA"/>
                    </w:rPr>
                  </w:pPr>
                  <w:r>
                    <w:rPr>
                      <w:rFonts w:hint="default" w:cs="Times New Roman"/>
                      <w:color w:val="auto"/>
                    </w:rPr>
                    <w:t>液碱贮罐</w:t>
                  </w:r>
                </w:p>
              </w:tc>
              <w:tc>
                <w:tcPr>
                  <w:tcW w:w="667" w:type="pct"/>
                  <w:tcBorders>
                    <w:tl2br w:val="nil"/>
                    <w:tr2bl w:val="nil"/>
                  </w:tcBorders>
                  <w:noWrap w:val="0"/>
                  <w:vAlign w:val="center"/>
                </w:tcPr>
                <w:p w14:paraId="577B21D0">
                  <w:pPr>
                    <w:pStyle w:val="3935"/>
                    <w:keepNext w:val="0"/>
                    <w:keepLines w:val="0"/>
                    <w:suppressLineNumbers w:val="0"/>
                    <w:bidi w:val="0"/>
                    <w:spacing w:before="0" w:beforeAutospacing="0" w:after="0" w:afterAutospacing="0"/>
                    <w:ind w:left="0" w:leftChars="0" w:right="0" w:rightChars="0"/>
                    <w:rPr>
                      <w:rFonts w:hint="default" w:cs="Times New Roman"/>
                      <w:b w:val="0"/>
                      <w:bCs/>
                      <w:color w:val="auto"/>
                      <w:kern w:val="28"/>
                      <w:sz w:val="21"/>
                      <w:szCs w:val="21"/>
                      <w:lang w:val="en-US" w:eastAsia="zh-CN" w:bidi="ar-SA"/>
                    </w:rPr>
                  </w:pPr>
                  <w:r>
                    <w:rPr>
                      <w:rFonts w:hint="eastAsia" w:cs="Times New Roman"/>
                      <w:color w:val="auto"/>
                      <w:lang w:val="en-US" w:eastAsia="zh-CN"/>
                    </w:rPr>
                    <w:t>6</w:t>
                  </w:r>
                  <w:r>
                    <w:rPr>
                      <w:rFonts w:hint="default" w:cs="Times New Roman"/>
                      <w:color w:val="auto"/>
                    </w:rPr>
                    <w:t>0m</w:t>
                  </w:r>
                  <w:r>
                    <w:rPr>
                      <w:rFonts w:hint="default" w:cs="Times New Roman"/>
                      <w:color w:val="auto"/>
                      <w:vertAlign w:val="superscript"/>
                    </w:rPr>
                    <w:t>3</w:t>
                  </w:r>
                </w:p>
              </w:tc>
              <w:tc>
                <w:tcPr>
                  <w:tcW w:w="359" w:type="pct"/>
                  <w:tcBorders>
                    <w:tl2br w:val="nil"/>
                    <w:tr2bl w:val="nil"/>
                  </w:tcBorders>
                  <w:noWrap w:val="0"/>
                  <w:vAlign w:val="center"/>
                </w:tcPr>
                <w:p w14:paraId="6976D744">
                  <w:pPr>
                    <w:pStyle w:val="3935"/>
                    <w:keepNext w:val="0"/>
                    <w:keepLines w:val="0"/>
                    <w:suppressLineNumbers w:val="0"/>
                    <w:bidi w:val="0"/>
                    <w:spacing w:before="0" w:beforeAutospacing="0" w:after="0" w:afterAutospacing="0"/>
                    <w:ind w:left="0" w:leftChars="0" w:right="0" w:rightChars="0"/>
                    <w:rPr>
                      <w:rFonts w:hint="default" w:cs="Times New Roman"/>
                      <w:b w:val="0"/>
                      <w:bCs/>
                      <w:color w:val="auto"/>
                      <w:kern w:val="28"/>
                      <w:sz w:val="21"/>
                      <w:szCs w:val="21"/>
                      <w:lang w:val="en-US" w:eastAsia="zh-CN" w:bidi="ar-SA"/>
                    </w:rPr>
                  </w:pPr>
                  <w:r>
                    <w:rPr>
                      <w:rFonts w:hint="default" w:cs="Times New Roman"/>
                      <w:color w:val="auto"/>
                    </w:rPr>
                    <w:t>1</w:t>
                  </w:r>
                </w:p>
              </w:tc>
              <w:tc>
                <w:tcPr>
                  <w:tcW w:w="359" w:type="pct"/>
                  <w:tcBorders>
                    <w:tl2br w:val="nil"/>
                    <w:tr2bl w:val="nil"/>
                  </w:tcBorders>
                  <w:shd w:val="clear" w:color="auto" w:fill="auto"/>
                  <w:noWrap w:val="0"/>
                  <w:vAlign w:val="center"/>
                </w:tcPr>
                <w:p w14:paraId="68A5F2AE">
                  <w:pPr>
                    <w:pStyle w:val="3935"/>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color w:val="auto"/>
                      <w:kern w:val="28"/>
                      <w:sz w:val="21"/>
                      <w:szCs w:val="21"/>
                      <w:lang w:val="en-US" w:eastAsia="zh-CN" w:bidi="ar-SA"/>
                    </w:rPr>
                  </w:pPr>
                  <w:r>
                    <w:rPr>
                      <w:rFonts w:hint="default" w:cs="Times New Roman"/>
                      <w:color w:val="auto"/>
                    </w:rPr>
                    <w:t>1</w:t>
                  </w:r>
                </w:p>
              </w:tc>
              <w:tc>
                <w:tcPr>
                  <w:tcW w:w="362" w:type="pct"/>
                  <w:tcBorders>
                    <w:tl2br w:val="nil"/>
                    <w:tr2bl w:val="nil"/>
                  </w:tcBorders>
                  <w:noWrap w:val="0"/>
                  <w:vAlign w:val="center"/>
                </w:tcPr>
                <w:p w14:paraId="4BEAA3B1">
                  <w:pPr>
                    <w:pStyle w:val="3935"/>
                    <w:keepNext w:val="0"/>
                    <w:keepLines w:val="0"/>
                    <w:suppressLineNumbers w:val="0"/>
                    <w:bidi w:val="0"/>
                    <w:spacing w:before="0" w:beforeAutospacing="0" w:after="0" w:afterAutospacing="0"/>
                    <w:ind w:left="0" w:leftChars="0" w:right="0" w:rightChars="0"/>
                    <w:rPr>
                      <w:rFonts w:hint="eastAsia" w:eastAsia="宋体" w:cs="Times New Roman"/>
                      <w:color w:val="auto"/>
                      <w:lang w:val="en-US" w:eastAsia="zh-CN"/>
                    </w:rPr>
                  </w:pPr>
                  <w:r>
                    <w:rPr>
                      <w:rFonts w:hint="eastAsia" w:cs="Times New Roman"/>
                      <w:color w:val="auto"/>
                      <w:lang w:val="en-US" w:eastAsia="zh-CN"/>
                    </w:rPr>
                    <w:t>0</w:t>
                  </w:r>
                </w:p>
              </w:tc>
              <w:tc>
                <w:tcPr>
                  <w:tcW w:w="417" w:type="pct"/>
                  <w:tcBorders>
                    <w:tl2br w:val="nil"/>
                    <w:tr2bl w:val="nil"/>
                  </w:tcBorders>
                  <w:noWrap w:val="0"/>
                  <w:vAlign w:val="center"/>
                </w:tcPr>
                <w:p w14:paraId="517B402F">
                  <w:pPr>
                    <w:pStyle w:val="3935"/>
                    <w:keepNext w:val="0"/>
                    <w:keepLines w:val="0"/>
                    <w:suppressLineNumbers w:val="0"/>
                    <w:bidi w:val="0"/>
                    <w:spacing w:before="0" w:beforeAutospacing="0" w:after="0" w:afterAutospacing="0"/>
                    <w:ind w:left="0" w:leftChars="0" w:right="0" w:rightChars="0"/>
                    <w:rPr>
                      <w:rFonts w:hint="default" w:cs="Times New Roman"/>
                      <w:b w:val="0"/>
                      <w:bCs/>
                      <w:color w:val="auto"/>
                      <w:kern w:val="28"/>
                      <w:sz w:val="21"/>
                      <w:szCs w:val="21"/>
                      <w:lang w:val="en-US" w:eastAsia="zh-CN" w:bidi="ar-SA"/>
                    </w:rPr>
                  </w:pPr>
                  <w:r>
                    <w:rPr>
                      <w:rFonts w:hint="default" w:cs="Times New Roman"/>
                      <w:color w:val="auto"/>
                    </w:rPr>
                    <w:t>碳钢</w:t>
                  </w:r>
                </w:p>
              </w:tc>
              <w:tc>
                <w:tcPr>
                  <w:tcW w:w="866" w:type="pct"/>
                  <w:tcBorders>
                    <w:tl2br w:val="nil"/>
                    <w:tr2bl w:val="nil"/>
                  </w:tcBorders>
                  <w:noWrap w:val="0"/>
                  <w:vAlign w:val="center"/>
                </w:tcPr>
                <w:p w14:paraId="77981A3B">
                  <w:pPr>
                    <w:widowControl/>
                    <w:tabs>
                      <w:tab w:val="left" w:pos="567"/>
                    </w:tabs>
                    <w:spacing w:line="240" w:lineRule="auto"/>
                    <w:ind w:firstLine="0" w:firstLineChars="0"/>
                    <w:jc w:val="center"/>
                    <w:rPr>
                      <w:color w:val="auto"/>
                      <w:sz w:val="21"/>
                      <w:szCs w:val="21"/>
                    </w:rPr>
                  </w:pPr>
                  <w:r>
                    <w:rPr>
                      <w:rFonts w:hint="eastAsia"/>
                      <w:color w:val="auto"/>
                      <w:sz w:val="21"/>
                      <w:szCs w:val="21"/>
                      <w:lang w:val="en-US" w:eastAsia="zh-CN"/>
                    </w:rPr>
                    <w:t>戊类</w:t>
                  </w:r>
                </w:p>
              </w:tc>
            </w:tr>
            <w:tr w14:paraId="4714B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pct"/>
                  <w:tcBorders>
                    <w:tl2br w:val="nil"/>
                    <w:tr2bl w:val="nil"/>
                  </w:tcBorders>
                  <w:noWrap w:val="0"/>
                  <w:vAlign w:val="center"/>
                </w:tcPr>
                <w:p w14:paraId="59FD1E41">
                  <w:pPr>
                    <w:widowControl/>
                    <w:tabs>
                      <w:tab w:val="left" w:pos="567"/>
                    </w:tabs>
                    <w:spacing w:line="240" w:lineRule="auto"/>
                    <w:ind w:firstLine="0" w:firstLineChars="0"/>
                    <w:jc w:val="center"/>
                    <w:rPr>
                      <w:rFonts w:hint="default"/>
                      <w:b/>
                      <w:bCs/>
                      <w:color w:val="auto"/>
                      <w:sz w:val="21"/>
                      <w:szCs w:val="21"/>
                      <w:lang w:val="en-US" w:eastAsia="zh-CN"/>
                    </w:rPr>
                  </w:pPr>
                  <w:r>
                    <w:rPr>
                      <w:rFonts w:hint="eastAsia"/>
                      <w:b/>
                      <w:bCs/>
                      <w:color w:val="auto"/>
                      <w:sz w:val="21"/>
                      <w:szCs w:val="21"/>
                      <w:lang w:val="en-US" w:eastAsia="zh-CN"/>
                    </w:rPr>
                    <w:t>12</w:t>
                  </w:r>
                </w:p>
              </w:tc>
              <w:tc>
                <w:tcPr>
                  <w:tcW w:w="656" w:type="pct"/>
                  <w:tcBorders>
                    <w:tl2br w:val="nil"/>
                    <w:tr2bl w:val="nil"/>
                  </w:tcBorders>
                  <w:noWrap w:val="0"/>
                  <w:vAlign w:val="center"/>
                </w:tcPr>
                <w:p w14:paraId="50E55FA7">
                  <w:pPr>
                    <w:widowControl/>
                    <w:tabs>
                      <w:tab w:val="left" w:pos="567"/>
                    </w:tabs>
                    <w:spacing w:line="240" w:lineRule="auto"/>
                    <w:ind w:firstLine="0" w:firstLineChars="0"/>
                    <w:jc w:val="center"/>
                    <w:rPr>
                      <w:rFonts w:hint="eastAsia" w:eastAsia="宋体"/>
                      <w:b/>
                      <w:bCs/>
                      <w:color w:val="auto"/>
                      <w:sz w:val="21"/>
                      <w:szCs w:val="21"/>
                      <w:lang w:eastAsia="zh-CN"/>
                    </w:rPr>
                  </w:pPr>
                  <w:r>
                    <w:rPr>
                      <w:rFonts w:hint="eastAsia" w:eastAsia="宋体"/>
                      <w:b/>
                      <w:bCs/>
                      <w:color w:val="auto"/>
                      <w:sz w:val="21"/>
                      <w:szCs w:val="21"/>
                      <w:lang w:eastAsia="zh-CN"/>
                    </w:rPr>
                    <w:t>液氯罐式集装箱装卸场地</w:t>
                  </w:r>
                </w:p>
              </w:tc>
              <w:tc>
                <w:tcPr>
                  <w:tcW w:w="965" w:type="pct"/>
                  <w:tcBorders>
                    <w:tl2br w:val="nil"/>
                    <w:tr2bl w:val="nil"/>
                  </w:tcBorders>
                  <w:noWrap w:val="0"/>
                  <w:vAlign w:val="center"/>
                </w:tcPr>
                <w:p w14:paraId="529EA2B1">
                  <w:pPr>
                    <w:pStyle w:val="3935"/>
                    <w:keepNext w:val="0"/>
                    <w:keepLines w:val="0"/>
                    <w:suppressLineNumbers w:val="0"/>
                    <w:bidi w:val="0"/>
                    <w:spacing w:before="0" w:beforeAutospacing="0" w:after="0" w:afterAutospacing="0"/>
                    <w:ind w:left="0" w:leftChars="0" w:right="0" w:rightChars="0"/>
                    <w:rPr>
                      <w:rFonts w:hint="eastAsia" w:eastAsia="宋体" w:cs="Times New Roman"/>
                      <w:b/>
                      <w:bCs/>
                      <w:color w:val="auto"/>
                      <w:lang w:eastAsia="zh-CN"/>
                    </w:rPr>
                  </w:pPr>
                  <w:r>
                    <w:rPr>
                      <w:rFonts w:hint="eastAsia" w:cs="Times New Roman"/>
                      <w:b/>
                      <w:bCs/>
                      <w:color w:val="auto"/>
                      <w:lang w:eastAsia="zh-CN"/>
                    </w:rPr>
                    <w:t>液氯储罐</w:t>
                  </w:r>
                </w:p>
              </w:tc>
              <w:tc>
                <w:tcPr>
                  <w:tcW w:w="667" w:type="pct"/>
                  <w:tcBorders>
                    <w:tl2br w:val="nil"/>
                    <w:tr2bl w:val="nil"/>
                  </w:tcBorders>
                  <w:noWrap w:val="0"/>
                  <w:vAlign w:val="center"/>
                </w:tcPr>
                <w:p w14:paraId="5D77A2D8">
                  <w:pPr>
                    <w:pStyle w:val="3935"/>
                    <w:keepNext w:val="0"/>
                    <w:keepLines w:val="0"/>
                    <w:suppressLineNumbers w:val="0"/>
                    <w:bidi w:val="0"/>
                    <w:spacing w:before="0" w:beforeAutospacing="0" w:after="0" w:afterAutospacing="0"/>
                    <w:ind w:left="0" w:leftChars="0" w:right="0" w:rightChars="0"/>
                    <w:rPr>
                      <w:rFonts w:hint="eastAsia" w:eastAsia="宋体" w:cs="Times New Roman"/>
                      <w:b/>
                      <w:bCs/>
                      <w:color w:val="auto"/>
                      <w:lang w:val="en-US" w:eastAsia="zh-CN"/>
                    </w:rPr>
                  </w:pPr>
                  <w:r>
                    <w:rPr>
                      <w:rFonts w:hint="eastAsia"/>
                      <w:b/>
                      <w:bCs/>
                      <w:color w:val="auto"/>
                      <w:sz w:val="21"/>
                      <w:szCs w:val="21"/>
                      <w:lang w:val="en-US" w:eastAsia="zh-CN"/>
                    </w:rPr>
                    <w:t>57</w:t>
                  </w:r>
                  <w:r>
                    <w:rPr>
                      <w:rFonts w:hint="eastAsia"/>
                      <w:b/>
                      <w:bCs/>
                      <w:color w:val="auto"/>
                      <w:sz w:val="21"/>
                      <w:szCs w:val="21"/>
                    </w:rPr>
                    <w:t>m³</w:t>
                  </w:r>
                  <w:r>
                    <w:rPr>
                      <w:rFonts w:hint="eastAsia"/>
                      <w:b/>
                      <w:bCs/>
                      <w:color w:val="auto"/>
                      <w:sz w:val="21"/>
                      <w:szCs w:val="21"/>
                      <w:lang w:val="en-US" w:eastAsia="zh-CN"/>
                    </w:rPr>
                    <w:t>1个、79</w:t>
                  </w:r>
                  <w:r>
                    <w:rPr>
                      <w:rFonts w:hint="default" w:cs="Times New Roman"/>
                      <w:b/>
                      <w:bCs/>
                      <w:color w:val="auto"/>
                    </w:rPr>
                    <w:t>m</w:t>
                  </w:r>
                  <w:r>
                    <w:rPr>
                      <w:rFonts w:hint="default" w:cs="Times New Roman"/>
                      <w:b/>
                      <w:bCs/>
                      <w:color w:val="auto"/>
                      <w:vertAlign w:val="superscript"/>
                    </w:rPr>
                    <w:t>3</w:t>
                  </w:r>
                  <w:r>
                    <w:rPr>
                      <w:rFonts w:hint="eastAsia" w:cs="Times New Roman"/>
                      <w:b/>
                      <w:bCs/>
                      <w:color w:val="auto"/>
                      <w:vertAlign w:val="baseline"/>
                      <w:lang w:val="en-US" w:eastAsia="zh-CN"/>
                    </w:rPr>
                    <w:t>2个</w:t>
                  </w:r>
                </w:p>
              </w:tc>
              <w:tc>
                <w:tcPr>
                  <w:tcW w:w="359" w:type="pct"/>
                  <w:tcBorders>
                    <w:tl2br w:val="nil"/>
                    <w:tr2bl w:val="nil"/>
                  </w:tcBorders>
                  <w:noWrap w:val="0"/>
                  <w:vAlign w:val="center"/>
                </w:tcPr>
                <w:p w14:paraId="7D629AF0">
                  <w:pPr>
                    <w:pStyle w:val="3935"/>
                    <w:keepNext w:val="0"/>
                    <w:keepLines w:val="0"/>
                    <w:suppressLineNumbers w:val="0"/>
                    <w:bidi w:val="0"/>
                    <w:spacing w:before="0" w:beforeAutospacing="0" w:after="0" w:afterAutospacing="0"/>
                    <w:ind w:left="0" w:leftChars="0" w:right="0" w:rightChars="0"/>
                    <w:rPr>
                      <w:rFonts w:hint="eastAsia" w:eastAsia="宋体" w:cs="Times New Roman"/>
                      <w:b/>
                      <w:bCs/>
                      <w:color w:val="auto"/>
                      <w:lang w:val="en-US" w:eastAsia="zh-CN"/>
                    </w:rPr>
                  </w:pPr>
                  <w:r>
                    <w:rPr>
                      <w:rFonts w:hint="eastAsia" w:cs="Times New Roman"/>
                      <w:b/>
                      <w:bCs/>
                      <w:color w:val="auto"/>
                      <w:lang w:val="en-US" w:eastAsia="zh-CN"/>
                    </w:rPr>
                    <w:t>0</w:t>
                  </w:r>
                </w:p>
              </w:tc>
              <w:tc>
                <w:tcPr>
                  <w:tcW w:w="359" w:type="pct"/>
                  <w:tcBorders>
                    <w:tl2br w:val="nil"/>
                    <w:tr2bl w:val="nil"/>
                  </w:tcBorders>
                  <w:noWrap w:val="0"/>
                  <w:vAlign w:val="center"/>
                </w:tcPr>
                <w:p w14:paraId="37302610">
                  <w:pPr>
                    <w:pStyle w:val="3935"/>
                    <w:keepNext w:val="0"/>
                    <w:keepLines w:val="0"/>
                    <w:suppressLineNumbers w:val="0"/>
                    <w:bidi w:val="0"/>
                    <w:spacing w:before="0" w:beforeAutospacing="0" w:after="0" w:afterAutospacing="0"/>
                    <w:ind w:left="0" w:leftChars="0" w:right="0" w:rightChars="0"/>
                    <w:rPr>
                      <w:rFonts w:hint="eastAsia" w:eastAsia="宋体" w:cs="Times New Roman"/>
                      <w:b/>
                      <w:bCs/>
                      <w:color w:val="auto"/>
                      <w:lang w:val="en-US" w:eastAsia="zh-CN"/>
                    </w:rPr>
                  </w:pPr>
                  <w:r>
                    <w:rPr>
                      <w:rFonts w:hint="eastAsia" w:cs="Times New Roman"/>
                      <w:b/>
                      <w:bCs/>
                      <w:color w:val="auto"/>
                      <w:lang w:val="en-US" w:eastAsia="zh-CN"/>
                    </w:rPr>
                    <w:t>3</w:t>
                  </w:r>
                </w:p>
              </w:tc>
              <w:tc>
                <w:tcPr>
                  <w:tcW w:w="362" w:type="pct"/>
                  <w:tcBorders>
                    <w:tl2br w:val="nil"/>
                    <w:tr2bl w:val="nil"/>
                  </w:tcBorders>
                  <w:noWrap w:val="0"/>
                  <w:vAlign w:val="center"/>
                </w:tcPr>
                <w:p w14:paraId="152EAC1B">
                  <w:pPr>
                    <w:pStyle w:val="3935"/>
                    <w:keepNext w:val="0"/>
                    <w:keepLines w:val="0"/>
                    <w:suppressLineNumbers w:val="0"/>
                    <w:bidi w:val="0"/>
                    <w:spacing w:before="0" w:beforeAutospacing="0" w:after="0" w:afterAutospacing="0"/>
                    <w:ind w:left="0" w:leftChars="0" w:right="0" w:rightChars="0"/>
                    <w:rPr>
                      <w:rFonts w:hint="default" w:eastAsia="宋体" w:cs="Times New Roman"/>
                      <w:b/>
                      <w:bCs/>
                      <w:color w:val="auto"/>
                      <w:lang w:val="en-US" w:eastAsia="zh-CN"/>
                    </w:rPr>
                  </w:pPr>
                  <w:r>
                    <w:rPr>
                      <w:rFonts w:hint="eastAsia" w:cs="Times New Roman"/>
                      <w:b/>
                      <w:bCs/>
                      <w:color w:val="auto"/>
                      <w:lang w:val="en-US" w:eastAsia="zh-CN"/>
                    </w:rPr>
                    <w:t>+3</w:t>
                  </w:r>
                </w:p>
              </w:tc>
              <w:tc>
                <w:tcPr>
                  <w:tcW w:w="417" w:type="pct"/>
                  <w:tcBorders>
                    <w:tl2br w:val="nil"/>
                    <w:tr2bl w:val="nil"/>
                  </w:tcBorders>
                  <w:noWrap w:val="0"/>
                  <w:vAlign w:val="center"/>
                </w:tcPr>
                <w:p w14:paraId="31B11800">
                  <w:pPr>
                    <w:pStyle w:val="3935"/>
                    <w:keepNext w:val="0"/>
                    <w:keepLines w:val="0"/>
                    <w:suppressLineNumbers w:val="0"/>
                    <w:bidi w:val="0"/>
                    <w:spacing w:before="0" w:beforeAutospacing="0" w:after="0" w:afterAutospacing="0"/>
                    <w:ind w:left="0" w:leftChars="0" w:right="0" w:rightChars="0"/>
                    <w:rPr>
                      <w:rFonts w:hint="default" w:cs="Times New Roman"/>
                      <w:b/>
                      <w:bCs/>
                      <w:color w:val="auto"/>
                    </w:rPr>
                  </w:pPr>
                  <w:r>
                    <w:rPr>
                      <w:rFonts w:hint="eastAsia"/>
                      <w:b/>
                      <w:bCs w:val="0"/>
                      <w:color w:val="auto"/>
                    </w:rPr>
                    <w:t>16MmDR</w:t>
                  </w:r>
                </w:p>
              </w:tc>
              <w:tc>
                <w:tcPr>
                  <w:tcW w:w="866" w:type="pct"/>
                  <w:tcBorders>
                    <w:tl2br w:val="nil"/>
                    <w:tr2bl w:val="nil"/>
                  </w:tcBorders>
                  <w:noWrap w:val="0"/>
                  <w:vAlign w:val="center"/>
                </w:tcPr>
                <w:p w14:paraId="3D12CC86">
                  <w:pPr>
                    <w:widowControl/>
                    <w:tabs>
                      <w:tab w:val="left" w:pos="567"/>
                    </w:tabs>
                    <w:spacing w:line="240" w:lineRule="auto"/>
                    <w:ind w:firstLine="0" w:firstLineChars="0"/>
                    <w:jc w:val="center"/>
                    <w:rPr>
                      <w:rFonts w:hint="eastAsia"/>
                      <w:b/>
                      <w:bCs/>
                      <w:color w:val="auto"/>
                      <w:sz w:val="21"/>
                      <w:szCs w:val="21"/>
                      <w:lang w:val="en-US" w:eastAsia="zh-CN"/>
                    </w:rPr>
                  </w:pPr>
                  <w:r>
                    <w:rPr>
                      <w:rFonts w:hint="eastAsia"/>
                      <w:b/>
                      <w:bCs/>
                      <w:color w:val="auto"/>
                      <w:sz w:val="21"/>
                      <w:szCs w:val="21"/>
                      <w:lang w:val="en-US" w:eastAsia="zh-CN"/>
                    </w:rPr>
                    <w:t>乙类</w:t>
                  </w:r>
                </w:p>
              </w:tc>
            </w:tr>
          </w:tbl>
          <w:p w14:paraId="0F9BAFBA">
            <w:pPr>
              <w:adjustRightInd w:val="0"/>
              <w:snapToGrid w:val="0"/>
              <w:spacing w:beforeLines="50" w:line="360" w:lineRule="auto"/>
              <w:ind w:firstLine="482" w:firstLineChars="200"/>
              <w:rPr>
                <w:rFonts w:eastAsiaTheme="minorEastAsia"/>
                <w:b/>
                <w:color w:val="auto"/>
                <w:kern w:val="0"/>
                <w:sz w:val="24"/>
                <w:lang w:val="zh-CN"/>
              </w:rPr>
            </w:pPr>
            <w:r>
              <w:rPr>
                <w:rFonts w:hint="eastAsia" w:eastAsiaTheme="minorEastAsia"/>
                <w:b/>
                <w:color w:val="auto"/>
                <w:kern w:val="0"/>
                <w:sz w:val="24"/>
                <w:lang w:val="en-US" w:eastAsia="zh-CN"/>
              </w:rPr>
              <w:t>4</w:t>
            </w:r>
            <w:r>
              <w:rPr>
                <w:rFonts w:eastAsiaTheme="minorEastAsia"/>
                <w:b/>
                <w:color w:val="auto"/>
                <w:kern w:val="0"/>
                <w:sz w:val="24"/>
                <w:lang w:val="zh-CN"/>
              </w:rPr>
              <w:t>.劳动定员及工作制度</w:t>
            </w:r>
          </w:p>
          <w:p w14:paraId="59087027">
            <w:pPr>
              <w:autoSpaceDE w:val="0"/>
              <w:autoSpaceDN w:val="0"/>
              <w:adjustRightInd w:val="0"/>
              <w:spacing w:line="360" w:lineRule="auto"/>
              <w:ind w:firstLine="480" w:firstLineChars="200"/>
              <w:jc w:val="left"/>
              <w:rPr>
                <w:rFonts w:eastAsiaTheme="minorEastAsia"/>
                <w:color w:val="auto"/>
                <w:sz w:val="24"/>
              </w:rPr>
            </w:pPr>
            <w:r>
              <w:rPr>
                <w:rFonts w:hint="eastAsia" w:eastAsiaTheme="minorEastAsia"/>
                <w:color w:val="auto"/>
                <w:kern w:val="0"/>
                <w:sz w:val="24"/>
                <w:lang w:eastAsia="zh-CN"/>
              </w:rPr>
              <w:t>本项目为现有项目危险品配套仓储项目，不新增员工，所需员工在现有项目中调剂</w:t>
            </w:r>
            <w:r>
              <w:rPr>
                <w:rFonts w:eastAsiaTheme="minorEastAsia"/>
                <w:color w:val="auto"/>
                <w:sz w:val="24"/>
              </w:rPr>
              <w:t>。</w:t>
            </w:r>
          </w:p>
          <w:p w14:paraId="6F2D1838">
            <w:pPr>
              <w:adjustRightInd w:val="0"/>
              <w:snapToGrid w:val="0"/>
              <w:spacing w:line="360" w:lineRule="auto"/>
              <w:ind w:firstLine="482" w:firstLineChars="200"/>
              <w:rPr>
                <w:rFonts w:eastAsiaTheme="minorEastAsia"/>
                <w:b/>
                <w:color w:val="auto"/>
                <w:kern w:val="0"/>
                <w:sz w:val="24"/>
                <w:lang w:val="zh-CN"/>
              </w:rPr>
            </w:pPr>
            <w:r>
              <w:rPr>
                <w:rFonts w:hint="eastAsia" w:eastAsiaTheme="minorEastAsia"/>
                <w:b/>
                <w:color w:val="auto"/>
                <w:kern w:val="0"/>
                <w:sz w:val="24"/>
                <w:lang w:val="en-US" w:eastAsia="zh-CN"/>
              </w:rPr>
              <w:t>5</w:t>
            </w:r>
            <w:r>
              <w:rPr>
                <w:rFonts w:eastAsiaTheme="minorEastAsia"/>
                <w:b/>
                <w:color w:val="auto"/>
                <w:kern w:val="0"/>
                <w:sz w:val="24"/>
                <w:lang w:val="zh-CN"/>
              </w:rPr>
              <w:t>.平面布置</w:t>
            </w:r>
          </w:p>
          <w:p w14:paraId="05CD31AF">
            <w:pPr>
              <w:adjustRightInd w:val="0"/>
              <w:snapToGrid w:val="0"/>
              <w:spacing w:line="360" w:lineRule="auto"/>
              <w:ind w:firstLine="480" w:firstLineChars="200"/>
              <w:rPr>
                <w:rFonts w:hint="eastAsia"/>
                <w:color w:val="auto"/>
                <w:sz w:val="24"/>
              </w:rPr>
            </w:pPr>
            <w:r>
              <w:rPr>
                <w:rFonts w:hint="eastAsia"/>
                <w:color w:val="auto"/>
                <w:sz w:val="24"/>
              </w:rPr>
              <w:t>本项目厂区北侧隔纬十三路为淮安苏瑞精细化工有限公司以及淮安汇波材料科技有限公司，东侧为淮安市赛利化工有限公司，南侧隔纬十四路为江苏阿郎斯生物科技有限公司，西侧为涟水县新新化工厂有限公司（</w:t>
            </w:r>
            <w:r>
              <w:rPr>
                <w:rFonts w:hint="eastAsia"/>
                <w:color w:val="auto"/>
                <w:sz w:val="24"/>
                <w:lang w:val="en-US" w:eastAsia="zh-CN"/>
              </w:rPr>
              <w:t>现已</w:t>
            </w:r>
            <w:r>
              <w:rPr>
                <w:rFonts w:hint="eastAsia"/>
                <w:color w:val="auto"/>
                <w:sz w:val="24"/>
              </w:rPr>
              <w:t>停产）。</w:t>
            </w:r>
          </w:p>
          <w:p w14:paraId="39D3E6F0">
            <w:pPr>
              <w:adjustRightInd w:val="0"/>
              <w:snapToGrid w:val="0"/>
              <w:spacing w:line="360" w:lineRule="auto"/>
              <w:ind w:firstLine="480" w:firstLineChars="200"/>
              <w:rPr>
                <w:rFonts w:hint="eastAsia"/>
                <w:color w:val="auto"/>
                <w:sz w:val="24"/>
                <w:lang w:val="zh-CN"/>
              </w:rPr>
            </w:pPr>
            <w:r>
              <w:rPr>
                <w:rFonts w:hint="eastAsia"/>
                <w:color w:val="auto"/>
                <w:sz w:val="24"/>
                <w:lang w:val="zh-CN"/>
              </w:rPr>
              <w:t>华源化工分为南北两部分，南侧为办公区，设置有门卫、办公楼、停车场等设施，北侧为生产设施区，之间用两道门分隔，生产车间位于生产设施区中部，自西北向东南依次为三氯氧磷生产车间（不含电子级）、三氯化磷生产车间、五氯化磷生产车间和电子级三氯氧磷生产车间；液氧液氮罐区、丁类仓库、冷却塔、在生产车间东南方向；三氯化磷/三氯氧磷罐区、循环水池、蓄水池、黄磷池、丙类仓库、事故池、危废仓库、污水处理站、盐酸/磷酸罐区设置在生产车间东北方向。</w:t>
            </w:r>
            <w:bookmarkStart w:id="27" w:name="_Toc1979"/>
          </w:p>
          <w:p w14:paraId="6853E7C6">
            <w:pPr>
              <w:adjustRightInd w:val="0"/>
              <w:snapToGrid w:val="0"/>
              <w:spacing w:line="360" w:lineRule="auto"/>
              <w:ind w:firstLine="482" w:firstLineChars="200"/>
              <w:rPr>
                <w:rFonts w:hint="eastAsia" w:cs="Times New Roman" w:eastAsiaTheme="minorEastAsia"/>
                <w:b/>
                <w:color w:val="auto"/>
                <w:sz w:val="24"/>
                <w:szCs w:val="24"/>
                <w:lang w:eastAsia="zh-CN"/>
              </w:rPr>
            </w:pPr>
            <w:r>
              <w:rPr>
                <w:rFonts w:hint="eastAsia" w:ascii="Times New Roman" w:hAnsi="Times New Roman" w:cs="Times New Roman" w:eastAsiaTheme="minorEastAsia"/>
                <w:b/>
                <w:color w:val="auto"/>
                <w:sz w:val="24"/>
                <w:szCs w:val="24"/>
                <w:lang w:eastAsia="zh-CN"/>
              </w:rPr>
              <w:t>平面布置</w:t>
            </w:r>
            <w:bookmarkEnd w:id="27"/>
            <w:r>
              <w:rPr>
                <w:rFonts w:hint="eastAsia" w:cs="Times New Roman" w:eastAsiaTheme="minorEastAsia"/>
                <w:b/>
                <w:color w:val="auto"/>
                <w:sz w:val="24"/>
                <w:szCs w:val="24"/>
                <w:lang w:eastAsia="zh-CN"/>
              </w:rPr>
              <w:t>合理性分析</w:t>
            </w:r>
            <w:bookmarkStart w:id="28" w:name="_Toc18889"/>
            <w:r>
              <w:rPr>
                <w:rFonts w:hint="eastAsia" w:cs="Times New Roman" w:eastAsiaTheme="minorEastAsia"/>
                <w:b/>
                <w:color w:val="auto"/>
                <w:sz w:val="24"/>
                <w:szCs w:val="24"/>
                <w:lang w:eastAsia="zh-CN"/>
              </w:rPr>
              <w:t>：</w:t>
            </w:r>
          </w:p>
          <w:p w14:paraId="483DE4DB">
            <w:pPr>
              <w:adjustRightInd w:val="0"/>
              <w:snapToGrid w:val="0"/>
              <w:spacing w:line="360" w:lineRule="auto"/>
              <w:ind w:firstLine="480" w:firstLineChars="200"/>
              <w:rPr>
                <w:rFonts w:hint="eastAsia" w:ascii="宋体" w:hAnsi="宋体" w:eastAsia="宋体" w:cs="Times New Roman"/>
                <w:color w:val="auto"/>
                <w:sz w:val="24"/>
                <w:szCs w:val="24"/>
                <w:lang w:val="en-US" w:eastAsia="zh-CN" w:bidi="ar-SA"/>
              </w:rPr>
            </w:pPr>
            <w:r>
              <w:rPr>
                <w:rFonts w:hint="eastAsia" w:ascii="宋体" w:hAnsi="宋体" w:cs="Times New Roman"/>
                <w:color w:val="auto"/>
                <w:sz w:val="24"/>
                <w:szCs w:val="24"/>
                <w:lang w:val="en-US" w:eastAsia="zh-CN" w:bidi="ar-SA"/>
              </w:rPr>
              <w:t>（1）</w:t>
            </w:r>
            <w:r>
              <w:rPr>
                <w:rFonts w:hint="eastAsia" w:ascii="宋体" w:hAnsi="宋体" w:eastAsia="宋体" w:cs="Times New Roman"/>
                <w:color w:val="auto"/>
                <w:sz w:val="24"/>
                <w:szCs w:val="24"/>
                <w:lang w:val="en-US" w:eastAsia="zh-CN" w:bidi="ar-SA"/>
              </w:rPr>
              <w:t>建设项目与厂/界外设施的主要间距、标准规范符合性及采取的防护措施</w:t>
            </w:r>
            <w:bookmarkEnd w:id="28"/>
          </w:p>
          <w:p w14:paraId="01B87F14">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华源化工</w:t>
            </w:r>
            <w:r>
              <w:rPr>
                <w:rFonts w:hint="default" w:ascii="Times New Roman" w:hAnsi="Times New Roman" w:eastAsia="宋体" w:cs="Times New Roman"/>
                <w:color w:val="auto"/>
                <w:sz w:val="24"/>
                <w:szCs w:val="24"/>
              </w:rPr>
              <w:t>位于</w:t>
            </w:r>
            <w:r>
              <w:rPr>
                <w:rFonts w:hint="eastAsia" w:cs="Times New Roman"/>
                <w:color w:val="auto"/>
                <w:sz w:val="24"/>
                <w:szCs w:val="24"/>
                <w:lang w:eastAsia="zh-CN"/>
              </w:rPr>
              <w:t>江苏涟水经济开发区循环经济产业园</w:t>
            </w:r>
            <w:r>
              <w:rPr>
                <w:rFonts w:hint="default" w:ascii="Times New Roman" w:hAnsi="Times New Roman" w:eastAsia="宋体" w:cs="Times New Roman"/>
                <w:color w:val="auto"/>
                <w:sz w:val="24"/>
                <w:szCs w:val="24"/>
              </w:rPr>
              <w:t>，公司周边1000m内范围内无居民区、商业中心、公园等人口密集区域，无医院、学校、影剧院、体育场（馆）等公共设施，企业周边的道路交通情况能够满足企业外部应急救援的需要。</w:t>
            </w:r>
          </w:p>
          <w:p w14:paraId="68736A6C">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华源化工围墙东侧为赛利化工（与赛利化工共用围墙）；南侧为纬十四路（路宽12m），路南为江苏阿朗斯生物科技有限公司；西侧为新新化工（已停产）；北侧为纬十三路（路宽12m），路北为苏瑞精细化工。厂区人流出入口大门开在南侧，正对园区纬十四路；厂区物流出入口大门开在北侧，正对园区纬十三路，均与本项目保持足够的安全间距，因此周边企业正常生产不会对本项目产生影响。</w:t>
            </w:r>
          </w:p>
          <w:p w14:paraId="2D7933C6">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根据国家安全监管总局 </w:t>
            </w:r>
            <w:r>
              <w:rPr>
                <w:rFonts w:hint="eastAsia" w:cs="Times New Roman"/>
                <w:color w:val="auto"/>
                <w:sz w:val="24"/>
                <w:szCs w:val="24"/>
                <w:lang w:eastAsia="zh-CN"/>
              </w:rPr>
              <w:t>住房和城乡建设部</w:t>
            </w:r>
            <w:r>
              <w:rPr>
                <w:rFonts w:hint="default" w:ascii="Times New Roman" w:hAnsi="Times New Roman" w:eastAsia="宋体" w:cs="Times New Roman"/>
                <w:color w:val="auto"/>
                <w:sz w:val="24"/>
                <w:szCs w:val="24"/>
              </w:rPr>
              <w:t>《关于进一步加强危险化学品建设项目安全设计管理的通知》（安监总管三〔2013〕76号）、《国家安全监管总局办公厅关于具有爆炸危险性危险化学品建设项目界定标准的复函》（安监总厅管三函</w:t>
            </w:r>
            <w:r>
              <w:rPr>
                <w:rFonts w:hint="eastAsia" w:cs="Times New Roman"/>
                <w:color w:val="auto"/>
                <w:sz w:val="24"/>
                <w:szCs w:val="24"/>
                <w:lang w:eastAsia="zh-CN"/>
              </w:rPr>
              <w:t>〔2014〕5号</w:t>
            </w:r>
            <w:r>
              <w:rPr>
                <w:rFonts w:hint="default" w:ascii="Times New Roman" w:hAnsi="Times New Roman" w:eastAsia="宋体" w:cs="Times New Roman"/>
                <w:color w:val="auto"/>
                <w:sz w:val="24"/>
                <w:szCs w:val="24"/>
              </w:rPr>
              <w:t>）要求界定，本项目</w:t>
            </w:r>
            <w:r>
              <w:rPr>
                <w:rFonts w:hint="default" w:ascii="Times New Roman" w:hAnsi="Times New Roman" w:eastAsia="宋体" w:cs="Times New Roman"/>
                <w:color w:val="auto"/>
                <w:sz w:val="24"/>
                <w:szCs w:val="24"/>
                <w:lang w:val="en-US" w:eastAsia="zh-CN"/>
              </w:rPr>
              <w:t>主要涉及液氯、黄磷，</w:t>
            </w:r>
            <w:r>
              <w:rPr>
                <w:rFonts w:hint="default" w:ascii="Times New Roman" w:hAnsi="Times New Roman" w:eastAsia="宋体" w:cs="Times New Roman"/>
                <w:color w:val="auto"/>
                <w:sz w:val="24"/>
                <w:szCs w:val="24"/>
              </w:rPr>
              <w:t>不涉及上述文件中的易燃易爆物质，故本项目不属于爆炸危险性化学品建设项目。</w:t>
            </w:r>
          </w:p>
          <w:p w14:paraId="6D76A1B5">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本项目的</w:t>
            </w:r>
            <w:r>
              <w:rPr>
                <w:rFonts w:hint="default" w:ascii="Times New Roman" w:hAnsi="Times New Roman" w:eastAsia="宋体" w:cs="Times New Roman"/>
                <w:color w:val="auto"/>
                <w:sz w:val="24"/>
                <w:szCs w:val="24"/>
                <w:lang w:val="en-US" w:eastAsia="zh-CN"/>
              </w:rPr>
              <w:t>液氯</w:t>
            </w:r>
            <w:r>
              <w:rPr>
                <w:rFonts w:hint="eastAsia" w:cs="Times New Roman"/>
                <w:color w:val="auto"/>
                <w:sz w:val="24"/>
                <w:szCs w:val="24"/>
                <w:lang w:val="en-US" w:eastAsia="zh-CN"/>
              </w:rPr>
              <w:t>集装箱装卸场地</w:t>
            </w:r>
            <w:r>
              <w:rPr>
                <w:rFonts w:hint="default" w:ascii="Times New Roman" w:hAnsi="Times New Roman" w:eastAsia="宋体" w:cs="Times New Roman"/>
                <w:color w:val="auto"/>
                <w:sz w:val="24"/>
                <w:szCs w:val="24"/>
                <w:lang w:val="en-US" w:eastAsia="zh-CN"/>
              </w:rPr>
              <w:t>、黄磷池</w:t>
            </w:r>
            <w:r>
              <w:rPr>
                <w:rFonts w:hint="default" w:ascii="Times New Roman" w:hAnsi="Times New Roman" w:eastAsia="宋体" w:cs="Times New Roman"/>
                <w:color w:val="auto"/>
                <w:sz w:val="24"/>
                <w:szCs w:val="24"/>
              </w:rPr>
              <w:t>装置设施与周边企业装置设施的距离按照《建筑防火通用规范》（GB55037-2022）、《精细化工企业工程设计防火标准》（GB51283-2020）、《建筑设计防火规范》（2018年版）（GB50016-2014）要求。</w:t>
            </w:r>
          </w:p>
          <w:p w14:paraId="6DF78F1F">
            <w:pPr>
              <w:pStyle w:val="8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lang w:val="en-US" w:eastAsia="zh-CN"/>
              </w:rPr>
              <w:t>2-7</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本项目液氯集装箱装卸场地</w:t>
            </w:r>
            <w:r>
              <w:rPr>
                <w:rFonts w:hint="default" w:ascii="Times New Roman" w:hAnsi="Times New Roman" w:eastAsia="宋体" w:cs="Times New Roman"/>
                <w:b/>
                <w:bCs/>
                <w:color w:val="auto"/>
                <w:sz w:val="24"/>
                <w:szCs w:val="24"/>
              </w:rPr>
              <w:t>与周边企业设施防火间距及符合性一览表</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833"/>
              <w:gridCol w:w="1969"/>
              <w:gridCol w:w="870"/>
              <w:gridCol w:w="2316"/>
              <w:gridCol w:w="690"/>
            </w:tblGrid>
            <w:tr w14:paraId="5ED2DB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6" w:type="pct"/>
                  <w:tcBorders>
                    <w:tl2br w:val="nil"/>
                    <w:tr2bl w:val="nil"/>
                  </w:tcBorders>
                  <w:vAlign w:val="center"/>
                </w:tcPr>
                <w:p w14:paraId="3AC677C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rPr>
                    <w:t>方位</w:t>
                  </w:r>
                </w:p>
              </w:tc>
              <w:tc>
                <w:tcPr>
                  <w:tcW w:w="1089" w:type="pct"/>
                  <w:tcBorders>
                    <w:tl2br w:val="nil"/>
                    <w:tr2bl w:val="nil"/>
                  </w:tcBorders>
                  <w:vAlign w:val="center"/>
                </w:tcPr>
                <w:p w14:paraId="5D5423E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rPr>
                    <w:t>建（构）筑物名称</w:t>
                  </w:r>
                </w:p>
              </w:tc>
              <w:tc>
                <w:tcPr>
                  <w:tcW w:w="1170" w:type="pct"/>
                  <w:tcBorders>
                    <w:tl2br w:val="nil"/>
                    <w:tr2bl w:val="nil"/>
                  </w:tcBorders>
                  <w:vAlign w:val="center"/>
                </w:tcPr>
                <w:p w14:paraId="394DEF2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rPr>
                    <w:t>相邻企业设施名称</w:t>
                  </w:r>
                </w:p>
              </w:tc>
              <w:tc>
                <w:tcPr>
                  <w:tcW w:w="517" w:type="pct"/>
                  <w:tcBorders>
                    <w:tl2br w:val="nil"/>
                    <w:tr2bl w:val="nil"/>
                  </w:tcBorders>
                  <w:vAlign w:val="center"/>
                </w:tcPr>
                <w:p w14:paraId="1DA3D5D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rPr>
                    <w:t>设计距离</w:t>
                  </w:r>
                  <w:r>
                    <w:rPr>
                      <w:rFonts w:hint="default" w:ascii="Times New Roman" w:hAnsi="Times New Roman" w:eastAsia="宋体" w:cs="Times New Roman"/>
                      <w:b/>
                      <w:bCs/>
                      <w:color w:val="auto"/>
                      <w:kern w:val="0"/>
                      <w:sz w:val="21"/>
                      <w:szCs w:val="21"/>
                      <w:lang w:val="en-US" w:eastAsia="zh-CN"/>
                    </w:rPr>
                    <w:t>m</w:t>
                  </w:r>
                </w:p>
              </w:tc>
              <w:tc>
                <w:tcPr>
                  <w:tcW w:w="1376" w:type="pct"/>
                  <w:tcBorders>
                    <w:tl2br w:val="nil"/>
                    <w:tr2bl w:val="nil"/>
                  </w:tcBorders>
                  <w:vAlign w:val="center"/>
                </w:tcPr>
                <w:p w14:paraId="243F7FD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rPr>
                    <w:t>规范</w:t>
                  </w:r>
                  <w:r>
                    <w:rPr>
                      <w:rFonts w:hint="default" w:ascii="Times New Roman" w:hAnsi="Times New Roman" w:eastAsia="宋体" w:cs="Times New Roman"/>
                      <w:b/>
                      <w:bCs/>
                      <w:color w:val="auto"/>
                      <w:kern w:val="0"/>
                      <w:sz w:val="21"/>
                      <w:szCs w:val="21"/>
                    </w:rPr>
                    <w:t>条款/距离</w:t>
                  </w:r>
                  <w:r>
                    <w:rPr>
                      <w:rFonts w:hint="default" w:ascii="Times New Roman" w:hAnsi="Times New Roman" w:eastAsia="宋体" w:cs="Times New Roman"/>
                      <w:b/>
                      <w:bCs/>
                      <w:color w:val="auto"/>
                      <w:kern w:val="0"/>
                      <w:sz w:val="21"/>
                      <w:szCs w:val="21"/>
                      <w:lang w:val="en-US" w:eastAsia="zh-CN"/>
                    </w:rPr>
                    <w:t>m</w:t>
                  </w:r>
                </w:p>
              </w:tc>
              <w:tc>
                <w:tcPr>
                  <w:tcW w:w="410" w:type="pct"/>
                  <w:tcBorders>
                    <w:tl2br w:val="nil"/>
                    <w:tr2bl w:val="nil"/>
                  </w:tcBorders>
                  <w:vAlign w:val="center"/>
                </w:tcPr>
                <w:p w14:paraId="5178AD8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rPr>
                    <w:t>结论</w:t>
                  </w:r>
                </w:p>
              </w:tc>
            </w:tr>
            <w:tr w14:paraId="260DAA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6" w:type="pct"/>
                  <w:vMerge w:val="restart"/>
                  <w:tcBorders>
                    <w:tl2br w:val="nil"/>
                    <w:tr2bl w:val="nil"/>
                  </w:tcBorders>
                  <w:vAlign w:val="center"/>
                </w:tcPr>
                <w:p w14:paraId="45B762F5">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w:t>
                  </w:r>
                </w:p>
              </w:tc>
              <w:tc>
                <w:tcPr>
                  <w:tcW w:w="1089" w:type="pct"/>
                  <w:vMerge w:val="restart"/>
                  <w:tcBorders>
                    <w:tl2br w:val="nil"/>
                    <w:tr2bl w:val="nil"/>
                  </w:tcBorders>
                  <w:vAlign w:val="center"/>
                </w:tcPr>
                <w:p w14:paraId="248BA098">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液氯集装箱装卸场地（</w:t>
                  </w:r>
                  <w:r>
                    <w:rPr>
                      <w:rFonts w:hint="default" w:ascii="Times New Roman" w:hAnsi="Times New Roman" w:eastAsia="宋体" w:cs="Times New Roman"/>
                      <w:color w:val="auto"/>
                      <w:sz w:val="21"/>
                      <w:szCs w:val="21"/>
                      <w:lang w:val="en-US" w:eastAsia="zh-CN"/>
                    </w:rPr>
                    <w:t>乙类</w:t>
                  </w:r>
                  <w:r>
                    <w:rPr>
                      <w:rFonts w:hint="default" w:ascii="Times New Roman" w:hAnsi="Times New Roman" w:eastAsia="宋体" w:cs="Times New Roman"/>
                      <w:color w:val="auto"/>
                      <w:sz w:val="21"/>
                      <w:szCs w:val="21"/>
                    </w:rPr>
                    <w:t>）</w:t>
                  </w:r>
                </w:p>
              </w:tc>
              <w:tc>
                <w:tcPr>
                  <w:tcW w:w="1170" w:type="pct"/>
                  <w:tcBorders>
                    <w:tl2br w:val="nil"/>
                    <w:tr2bl w:val="nil"/>
                  </w:tcBorders>
                  <w:vAlign w:val="center"/>
                </w:tcPr>
                <w:p w14:paraId="0269D1F6">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赛利化工</w:t>
                  </w:r>
                  <w:r>
                    <w:rPr>
                      <w:rFonts w:hint="default" w:ascii="Times New Roman" w:hAnsi="Times New Roman" w:eastAsia="宋体" w:cs="Times New Roman"/>
                      <w:color w:val="auto"/>
                      <w:sz w:val="21"/>
                      <w:szCs w:val="21"/>
                    </w:rPr>
                    <w:t>生产车间（丙类）</w:t>
                  </w:r>
                </w:p>
              </w:tc>
              <w:tc>
                <w:tcPr>
                  <w:tcW w:w="517" w:type="pct"/>
                  <w:tcBorders>
                    <w:tl2br w:val="nil"/>
                    <w:tr2bl w:val="nil"/>
                  </w:tcBorders>
                  <w:vAlign w:val="center"/>
                </w:tcPr>
                <w:p w14:paraId="0E3A93F6">
                  <w:pPr>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107.5</w:t>
                  </w:r>
                </w:p>
              </w:tc>
              <w:tc>
                <w:tcPr>
                  <w:tcW w:w="1376" w:type="pct"/>
                  <w:tcBorders>
                    <w:tl2br w:val="nil"/>
                    <w:tr2bl w:val="nil"/>
                  </w:tcBorders>
                  <w:vAlign w:val="center"/>
                </w:tcPr>
                <w:p w14:paraId="377BA656">
                  <w:pPr>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GB51283表</w:t>
                  </w:r>
                  <w:r>
                    <w:rPr>
                      <w:rFonts w:hint="default" w:ascii="Times New Roman" w:hAnsi="Times New Roman" w:eastAsia="宋体" w:cs="Times New Roman"/>
                      <w:color w:val="auto"/>
                      <w:kern w:val="0"/>
                      <w:sz w:val="21"/>
                      <w:szCs w:val="21"/>
                      <w:lang w:val="en-US" w:eastAsia="zh-CN"/>
                    </w:rPr>
                    <w:t>4.1.6</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30</w:t>
                  </w:r>
                </w:p>
              </w:tc>
              <w:tc>
                <w:tcPr>
                  <w:tcW w:w="410" w:type="pct"/>
                  <w:tcBorders>
                    <w:tl2br w:val="nil"/>
                    <w:tr2bl w:val="nil"/>
                  </w:tcBorders>
                  <w:vAlign w:val="center"/>
                </w:tcPr>
                <w:p w14:paraId="6EF89FDE">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24D93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6" w:type="pct"/>
                  <w:vMerge w:val="continue"/>
                  <w:tcBorders>
                    <w:tl2br w:val="nil"/>
                    <w:tr2bl w:val="nil"/>
                  </w:tcBorders>
                  <w:vAlign w:val="center"/>
                </w:tcPr>
                <w:p w14:paraId="2FFA2251">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1089" w:type="pct"/>
                  <w:vMerge w:val="continue"/>
                  <w:tcBorders>
                    <w:tl2br w:val="nil"/>
                    <w:tr2bl w:val="nil"/>
                  </w:tcBorders>
                  <w:vAlign w:val="center"/>
                </w:tcPr>
                <w:p w14:paraId="5302DF07">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170" w:type="pct"/>
                  <w:tcBorders>
                    <w:tl2br w:val="nil"/>
                    <w:tr2bl w:val="nil"/>
                  </w:tcBorders>
                  <w:vAlign w:val="center"/>
                </w:tcPr>
                <w:p w14:paraId="45393F13">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赛利化工锅炉房</w:t>
                  </w:r>
                </w:p>
              </w:tc>
              <w:tc>
                <w:tcPr>
                  <w:tcW w:w="517" w:type="pct"/>
                  <w:tcBorders>
                    <w:tl2br w:val="nil"/>
                    <w:tr2bl w:val="nil"/>
                  </w:tcBorders>
                  <w:vAlign w:val="center"/>
                </w:tcPr>
                <w:p w14:paraId="54FFF9D7">
                  <w:pPr>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120.5</w:t>
                  </w:r>
                </w:p>
              </w:tc>
              <w:tc>
                <w:tcPr>
                  <w:tcW w:w="1376" w:type="pct"/>
                  <w:tcBorders>
                    <w:tl2br w:val="nil"/>
                    <w:tr2bl w:val="nil"/>
                  </w:tcBorders>
                  <w:vAlign w:val="center"/>
                </w:tcPr>
                <w:p w14:paraId="55AE9E93">
                  <w:pPr>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GB51283表</w:t>
                  </w:r>
                  <w:r>
                    <w:rPr>
                      <w:rFonts w:hint="default" w:ascii="Times New Roman" w:hAnsi="Times New Roman" w:eastAsia="宋体" w:cs="Times New Roman"/>
                      <w:color w:val="auto"/>
                      <w:kern w:val="0"/>
                      <w:sz w:val="21"/>
                      <w:szCs w:val="21"/>
                      <w:lang w:val="en-US" w:eastAsia="zh-CN"/>
                    </w:rPr>
                    <w:t>4.1.6</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30</w:t>
                  </w:r>
                </w:p>
              </w:tc>
              <w:tc>
                <w:tcPr>
                  <w:tcW w:w="410" w:type="pct"/>
                  <w:tcBorders>
                    <w:tl2br w:val="nil"/>
                    <w:tr2bl w:val="nil"/>
                  </w:tcBorders>
                  <w:vAlign w:val="center"/>
                </w:tcPr>
                <w:p w14:paraId="227D7158">
                  <w:pPr>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D8B0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6" w:type="pct"/>
                  <w:vMerge w:val="continue"/>
                  <w:tcBorders>
                    <w:tl2br w:val="nil"/>
                    <w:tr2bl w:val="nil"/>
                  </w:tcBorders>
                  <w:vAlign w:val="center"/>
                </w:tcPr>
                <w:p w14:paraId="26EFBC14">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1089" w:type="pct"/>
                  <w:vMerge w:val="restart"/>
                  <w:tcBorders>
                    <w:tl2br w:val="nil"/>
                    <w:tr2bl w:val="nil"/>
                  </w:tcBorders>
                  <w:vAlign w:val="center"/>
                </w:tcPr>
                <w:p w14:paraId="3307F5A7">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黄磷池（甲类埋地）</w:t>
                  </w:r>
                </w:p>
              </w:tc>
              <w:tc>
                <w:tcPr>
                  <w:tcW w:w="1170" w:type="pct"/>
                  <w:tcBorders>
                    <w:tl2br w:val="nil"/>
                    <w:tr2bl w:val="nil"/>
                  </w:tcBorders>
                  <w:vAlign w:val="center"/>
                </w:tcPr>
                <w:p w14:paraId="3802F51A">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赛利化工</w:t>
                  </w:r>
                  <w:r>
                    <w:rPr>
                      <w:rFonts w:hint="default" w:ascii="Times New Roman" w:hAnsi="Times New Roman" w:eastAsia="宋体" w:cs="Times New Roman"/>
                      <w:color w:val="auto"/>
                      <w:sz w:val="21"/>
                      <w:szCs w:val="21"/>
                    </w:rPr>
                    <w:t>生产车间（丙类）</w:t>
                  </w:r>
                </w:p>
              </w:tc>
              <w:tc>
                <w:tcPr>
                  <w:tcW w:w="517" w:type="pct"/>
                  <w:tcBorders>
                    <w:tl2br w:val="nil"/>
                    <w:tr2bl w:val="nil"/>
                  </w:tcBorders>
                  <w:vAlign w:val="center"/>
                </w:tcPr>
                <w:p w14:paraId="0E4F26ED">
                  <w:pPr>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132.5</w:t>
                  </w:r>
                </w:p>
              </w:tc>
              <w:tc>
                <w:tcPr>
                  <w:tcW w:w="1376" w:type="pct"/>
                  <w:tcBorders>
                    <w:tl2br w:val="nil"/>
                    <w:tr2bl w:val="nil"/>
                  </w:tcBorders>
                  <w:vAlign w:val="center"/>
                </w:tcPr>
                <w:p w14:paraId="4F551B10">
                  <w:pPr>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GB51283表</w:t>
                  </w:r>
                  <w:r>
                    <w:rPr>
                      <w:rFonts w:hint="default" w:ascii="Times New Roman" w:hAnsi="Times New Roman" w:eastAsia="宋体" w:cs="Times New Roman"/>
                      <w:color w:val="auto"/>
                      <w:kern w:val="0"/>
                      <w:sz w:val="21"/>
                      <w:szCs w:val="21"/>
                      <w:lang w:val="en-US" w:eastAsia="zh-CN"/>
                    </w:rPr>
                    <w:t>4.1.6</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30</w:t>
                  </w:r>
                </w:p>
              </w:tc>
              <w:tc>
                <w:tcPr>
                  <w:tcW w:w="410" w:type="pct"/>
                  <w:tcBorders>
                    <w:tl2br w:val="nil"/>
                    <w:tr2bl w:val="nil"/>
                  </w:tcBorders>
                  <w:vAlign w:val="center"/>
                </w:tcPr>
                <w:p w14:paraId="0B2DB1D1">
                  <w:pPr>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2D9E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6" w:type="pct"/>
                  <w:vMerge w:val="continue"/>
                  <w:tcBorders>
                    <w:tl2br w:val="nil"/>
                    <w:tr2bl w:val="nil"/>
                  </w:tcBorders>
                  <w:vAlign w:val="center"/>
                </w:tcPr>
                <w:p w14:paraId="1FA4A65A">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1089" w:type="pct"/>
                  <w:vMerge w:val="continue"/>
                  <w:tcBorders>
                    <w:tl2br w:val="nil"/>
                    <w:tr2bl w:val="nil"/>
                  </w:tcBorders>
                  <w:vAlign w:val="center"/>
                </w:tcPr>
                <w:p w14:paraId="0DE33492">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170" w:type="pct"/>
                  <w:tcBorders>
                    <w:tl2br w:val="nil"/>
                    <w:tr2bl w:val="nil"/>
                  </w:tcBorders>
                  <w:vAlign w:val="center"/>
                </w:tcPr>
                <w:p w14:paraId="0454DF55">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赛利化工锅炉房</w:t>
                  </w:r>
                </w:p>
              </w:tc>
              <w:tc>
                <w:tcPr>
                  <w:tcW w:w="517" w:type="pct"/>
                  <w:tcBorders>
                    <w:tl2br w:val="nil"/>
                    <w:tr2bl w:val="nil"/>
                  </w:tcBorders>
                  <w:vAlign w:val="center"/>
                </w:tcPr>
                <w:p w14:paraId="0220BC74">
                  <w:pPr>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114</w:t>
                  </w:r>
                </w:p>
              </w:tc>
              <w:tc>
                <w:tcPr>
                  <w:tcW w:w="1376" w:type="pct"/>
                  <w:tcBorders>
                    <w:tl2br w:val="nil"/>
                    <w:tr2bl w:val="nil"/>
                  </w:tcBorders>
                  <w:vAlign w:val="center"/>
                </w:tcPr>
                <w:p w14:paraId="44D8CB6D">
                  <w:pPr>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GB51283表</w:t>
                  </w:r>
                  <w:r>
                    <w:rPr>
                      <w:rFonts w:hint="default" w:ascii="Times New Roman" w:hAnsi="Times New Roman" w:eastAsia="宋体" w:cs="Times New Roman"/>
                      <w:color w:val="auto"/>
                      <w:kern w:val="0"/>
                      <w:sz w:val="21"/>
                      <w:szCs w:val="21"/>
                      <w:lang w:val="en-US" w:eastAsia="zh-CN"/>
                    </w:rPr>
                    <w:t>4.1.6</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30</w:t>
                  </w:r>
                </w:p>
              </w:tc>
              <w:tc>
                <w:tcPr>
                  <w:tcW w:w="410" w:type="pct"/>
                  <w:tcBorders>
                    <w:tl2br w:val="nil"/>
                    <w:tr2bl w:val="nil"/>
                  </w:tcBorders>
                  <w:vAlign w:val="center"/>
                </w:tcPr>
                <w:p w14:paraId="6071F272">
                  <w:pPr>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601B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6" w:type="pct"/>
                  <w:vMerge w:val="restart"/>
                  <w:tcBorders>
                    <w:tl2br w:val="nil"/>
                    <w:tr2bl w:val="nil"/>
                  </w:tcBorders>
                  <w:vAlign w:val="center"/>
                </w:tcPr>
                <w:p w14:paraId="36312536">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南</w:t>
                  </w:r>
                </w:p>
              </w:tc>
              <w:tc>
                <w:tcPr>
                  <w:tcW w:w="1089" w:type="pct"/>
                  <w:vMerge w:val="restart"/>
                  <w:tcBorders>
                    <w:tl2br w:val="nil"/>
                    <w:tr2bl w:val="nil"/>
                  </w:tcBorders>
                  <w:vAlign w:val="center"/>
                </w:tcPr>
                <w:p w14:paraId="59460251">
                  <w:pPr>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液氯集装箱装卸场地（</w:t>
                  </w:r>
                  <w:r>
                    <w:rPr>
                      <w:rFonts w:hint="default" w:ascii="Times New Roman" w:hAnsi="Times New Roman" w:eastAsia="宋体" w:cs="Times New Roman"/>
                      <w:color w:val="auto"/>
                      <w:sz w:val="21"/>
                      <w:szCs w:val="21"/>
                      <w:lang w:val="en-US" w:eastAsia="zh-CN"/>
                    </w:rPr>
                    <w:t>乙类</w:t>
                  </w:r>
                  <w:r>
                    <w:rPr>
                      <w:rFonts w:hint="default" w:ascii="Times New Roman" w:hAnsi="Times New Roman" w:eastAsia="宋体" w:cs="Times New Roman"/>
                      <w:color w:val="auto"/>
                      <w:sz w:val="21"/>
                      <w:szCs w:val="21"/>
                    </w:rPr>
                    <w:t>）</w:t>
                  </w:r>
                </w:p>
              </w:tc>
              <w:tc>
                <w:tcPr>
                  <w:tcW w:w="1170" w:type="pct"/>
                  <w:tcBorders>
                    <w:tl2br w:val="nil"/>
                    <w:tr2bl w:val="nil"/>
                  </w:tcBorders>
                  <w:vAlign w:val="center"/>
                </w:tcPr>
                <w:p w14:paraId="58E37B94">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园区纬十四路</w:t>
                  </w:r>
                </w:p>
              </w:tc>
              <w:tc>
                <w:tcPr>
                  <w:tcW w:w="517" w:type="pct"/>
                  <w:tcBorders>
                    <w:tl2br w:val="nil"/>
                    <w:tr2bl w:val="nil"/>
                  </w:tcBorders>
                  <w:vAlign w:val="center"/>
                </w:tcPr>
                <w:p w14:paraId="0D5A0678">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49.5</w:t>
                  </w:r>
                </w:p>
              </w:tc>
              <w:tc>
                <w:tcPr>
                  <w:tcW w:w="1376" w:type="pct"/>
                  <w:tcBorders>
                    <w:tl2br w:val="nil"/>
                    <w:tr2bl w:val="nil"/>
                  </w:tcBorders>
                  <w:vAlign w:val="center"/>
                </w:tcPr>
                <w:p w14:paraId="67B7F691">
                  <w:pPr>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GB51283表</w:t>
                  </w:r>
                  <w:r>
                    <w:rPr>
                      <w:rFonts w:hint="default" w:ascii="Times New Roman" w:hAnsi="Times New Roman" w:eastAsia="宋体" w:cs="Times New Roman"/>
                      <w:color w:val="auto"/>
                      <w:kern w:val="0"/>
                      <w:sz w:val="21"/>
                      <w:szCs w:val="21"/>
                      <w:lang w:val="en-US" w:eastAsia="zh-CN"/>
                    </w:rPr>
                    <w:t>4.1.5</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15</w:t>
                  </w:r>
                </w:p>
              </w:tc>
              <w:tc>
                <w:tcPr>
                  <w:tcW w:w="410" w:type="pct"/>
                  <w:tcBorders>
                    <w:tl2br w:val="nil"/>
                    <w:tr2bl w:val="nil"/>
                  </w:tcBorders>
                  <w:vAlign w:val="center"/>
                </w:tcPr>
                <w:p w14:paraId="7E6DE4E5">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sz w:val="21"/>
                      <w:szCs w:val="21"/>
                    </w:rPr>
                    <w:t>符合</w:t>
                  </w:r>
                </w:p>
              </w:tc>
            </w:tr>
            <w:tr w14:paraId="6C8B72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6" w:type="pct"/>
                  <w:vMerge w:val="continue"/>
                  <w:tcBorders>
                    <w:tl2br w:val="nil"/>
                    <w:tr2bl w:val="nil"/>
                  </w:tcBorders>
                  <w:vAlign w:val="center"/>
                </w:tcPr>
                <w:p w14:paraId="065FFC8E">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089" w:type="pct"/>
                  <w:vMerge w:val="continue"/>
                  <w:tcBorders>
                    <w:tl2br w:val="nil"/>
                    <w:tr2bl w:val="nil"/>
                  </w:tcBorders>
                  <w:vAlign w:val="center"/>
                </w:tcPr>
                <w:p w14:paraId="40D6667F">
                  <w:pPr>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170" w:type="pct"/>
                  <w:tcBorders>
                    <w:tl2br w:val="nil"/>
                    <w:tr2bl w:val="nil"/>
                  </w:tcBorders>
                  <w:vAlign w:val="center"/>
                </w:tcPr>
                <w:p w14:paraId="37E86316">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rPr>
                    <w:t>阿朗斯格生物</w:t>
                  </w:r>
                  <w:r>
                    <w:rPr>
                      <w:rFonts w:hint="default" w:ascii="Times New Roman" w:hAnsi="Times New Roman" w:eastAsia="宋体" w:cs="Times New Roman"/>
                      <w:color w:val="auto"/>
                      <w:sz w:val="21"/>
                      <w:szCs w:val="21"/>
                      <w:lang w:val="en-US" w:eastAsia="zh-CN"/>
                    </w:rPr>
                    <w:t>丁类车间</w:t>
                  </w:r>
                </w:p>
              </w:tc>
              <w:tc>
                <w:tcPr>
                  <w:tcW w:w="517" w:type="pct"/>
                  <w:tcBorders>
                    <w:tl2br w:val="nil"/>
                    <w:tr2bl w:val="nil"/>
                  </w:tcBorders>
                  <w:vAlign w:val="center"/>
                </w:tcPr>
                <w:p w14:paraId="4B81242D">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78</w:t>
                  </w:r>
                </w:p>
              </w:tc>
              <w:tc>
                <w:tcPr>
                  <w:tcW w:w="1376" w:type="pct"/>
                  <w:tcBorders>
                    <w:tl2br w:val="nil"/>
                    <w:tr2bl w:val="nil"/>
                  </w:tcBorders>
                  <w:vAlign w:val="center"/>
                </w:tcPr>
                <w:p w14:paraId="194FC7CB">
                  <w:pPr>
                    <w:keepNext w:val="0"/>
                    <w:keepLines w:val="0"/>
                    <w:pageBreakBefore w:val="0"/>
                    <w:widowControl/>
                    <w:kinsoku/>
                    <w:wordWrap/>
                    <w:overflowPunct/>
                    <w:topLinePunct w:val="0"/>
                    <w:autoSpaceDE/>
                    <w:autoSpaceDN/>
                    <w:bidi w:val="0"/>
                    <w:adjustRightInd w:val="0"/>
                    <w:snapToGrid w:val="0"/>
                    <w:spacing w:line="240" w:lineRule="auto"/>
                    <w:ind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GB51283表</w:t>
                  </w:r>
                  <w:r>
                    <w:rPr>
                      <w:rFonts w:hint="default" w:ascii="Times New Roman" w:hAnsi="Times New Roman" w:eastAsia="宋体" w:cs="Times New Roman"/>
                      <w:color w:val="auto"/>
                      <w:kern w:val="0"/>
                      <w:sz w:val="21"/>
                      <w:szCs w:val="21"/>
                      <w:lang w:val="en-US" w:eastAsia="zh-CN"/>
                    </w:rPr>
                    <w:t>4.1.5</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30</w:t>
                  </w:r>
                </w:p>
              </w:tc>
              <w:tc>
                <w:tcPr>
                  <w:tcW w:w="410" w:type="pct"/>
                  <w:tcBorders>
                    <w:tl2br w:val="nil"/>
                    <w:tr2bl w:val="nil"/>
                  </w:tcBorders>
                  <w:vAlign w:val="center"/>
                </w:tcPr>
                <w:p w14:paraId="2B46D702">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sz w:val="21"/>
                      <w:szCs w:val="21"/>
                    </w:rPr>
                    <w:t>符合</w:t>
                  </w:r>
                </w:p>
              </w:tc>
            </w:tr>
            <w:tr w14:paraId="2727F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6" w:type="pct"/>
                  <w:vMerge w:val="restart"/>
                  <w:tcBorders>
                    <w:tl2br w:val="nil"/>
                    <w:tr2bl w:val="nil"/>
                  </w:tcBorders>
                  <w:vAlign w:val="center"/>
                </w:tcPr>
                <w:p w14:paraId="67999980">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w:t>
                  </w:r>
                </w:p>
              </w:tc>
              <w:tc>
                <w:tcPr>
                  <w:tcW w:w="1089" w:type="pct"/>
                  <w:tcBorders>
                    <w:tl2br w:val="nil"/>
                    <w:tr2bl w:val="nil"/>
                  </w:tcBorders>
                  <w:vAlign w:val="center"/>
                </w:tcPr>
                <w:p w14:paraId="7874BB19">
                  <w:pPr>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液氯集装箱装卸场地（</w:t>
                  </w:r>
                  <w:r>
                    <w:rPr>
                      <w:rFonts w:hint="default" w:ascii="Times New Roman" w:hAnsi="Times New Roman" w:eastAsia="宋体" w:cs="Times New Roman"/>
                      <w:color w:val="auto"/>
                      <w:sz w:val="21"/>
                      <w:szCs w:val="21"/>
                      <w:lang w:val="en-US" w:eastAsia="zh-CN"/>
                    </w:rPr>
                    <w:t>乙类</w:t>
                  </w:r>
                  <w:r>
                    <w:rPr>
                      <w:rFonts w:hint="default" w:ascii="Times New Roman" w:hAnsi="Times New Roman" w:eastAsia="宋体" w:cs="Times New Roman"/>
                      <w:color w:val="auto"/>
                      <w:sz w:val="21"/>
                      <w:szCs w:val="21"/>
                    </w:rPr>
                    <w:t>）</w:t>
                  </w:r>
                </w:p>
              </w:tc>
              <w:tc>
                <w:tcPr>
                  <w:tcW w:w="1170" w:type="pct"/>
                  <w:vMerge w:val="restart"/>
                  <w:tcBorders>
                    <w:tl2br w:val="nil"/>
                    <w:tr2bl w:val="nil"/>
                  </w:tcBorders>
                  <w:vAlign w:val="center"/>
                </w:tcPr>
                <w:p w14:paraId="52F3C827">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新新化工厂</w:t>
                  </w:r>
                  <w:r>
                    <w:rPr>
                      <w:rFonts w:hint="default" w:ascii="Times New Roman" w:hAnsi="Times New Roman" w:eastAsia="宋体" w:cs="Times New Roman"/>
                      <w:color w:val="auto"/>
                      <w:sz w:val="21"/>
                      <w:szCs w:val="21"/>
                      <w:lang w:val="en-US" w:eastAsia="zh-CN"/>
                    </w:rPr>
                    <w:t>围墙</w:t>
                  </w:r>
                  <w:r>
                    <w:rPr>
                      <w:rFonts w:hint="default" w:ascii="Times New Roman" w:hAnsi="Times New Roman" w:eastAsia="宋体" w:cs="Times New Roman"/>
                      <w:color w:val="auto"/>
                      <w:sz w:val="21"/>
                      <w:szCs w:val="21"/>
                    </w:rPr>
                    <w:t>（停产）</w:t>
                  </w:r>
                </w:p>
              </w:tc>
              <w:tc>
                <w:tcPr>
                  <w:tcW w:w="517" w:type="pct"/>
                  <w:tcBorders>
                    <w:tl2br w:val="nil"/>
                    <w:tr2bl w:val="nil"/>
                  </w:tcBorders>
                  <w:vAlign w:val="center"/>
                </w:tcPr>
                <w:p w14:paraId="50B3752A">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40.5</w:t>
                  </w:r>
                </w:p>
              </w:tc>
              <w:tc>
                <w:tcPr>
                  <w:tcW w:w="1376" w:type="pct"/>
                  <w:tcBorders>
                    <w:tl2br w:val="nil"/>
                    <w:tr2bl w:val="nil"/>
                  </w:tcBorders>
                  <w:vAlign w:val="center"/>
                </w:tcPr>
                <w:p w14:paraId="536AC69E">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410" w:type="pct"/>
                  <w:tcBorders>
                    <w:tl2br w:val="nil"/>
                    <w:tr2bl w:val="nil"/>
                  </w:tcBorders>
                  <w:vAlign w:val="center"/>
                </w:tcPr>
                <w:p w14:paraId="05D9A5AB">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B73A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6" w:type="pct"/>
                  <w:vMerge w:val="continue"/>
                  <w:tcBorders>
                    <w:tl2br w:val="nil"/>
                    <w:tr2bl w:val="nil"/>
                  </w:tcBorders>
                  <w:vAlign w:val="center"/>
                </w:tcPr>
                <w:p w14:paraId="4AB0FE1A">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089" w:type="pct"/>
                  <w:tcBorders>
                    <w:tl2br w:val="nil"/>
                    <w:tr2bl w:val="nil"/>
                  </w:tcBorders>
                  <w:vAlign w:val="center"/>
                </w:tcPr>
                <w:p w14:paraId="575F0EF8">
                  <w:pPr>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黄磷池（甲类埋地）</w:t>
                  </w:r>
                </w:p>
              </w:tc>
              <w:tc>
                <w:tcPr>
                  <w:tcW w:w="1170" w:type="pct"/>
                  <w:vMerge w:val="continue"/>
                  <w:tcBorders>
                    <w:tl2br w:val="nil"/>
                    <w:tr2bl w:val="nil"/>
                  </w:tcBorders>
                  <w:vAlign w:val="center"/>
                </w:tcPr>
                <w:p w14:paraId="65EE228B">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517" w:type="pct"/>
                  <w:tcBorders>
                    <w:tl2br w:val="nil"/>
                    <w:tr2bl w:val="nil"/>
                  </w:tcBorders>
                  <w:vAlign w:val="center"/>
                </w:tcPr>
                <w:p w14:paraId="3AB327DB">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37.5</w:t>
                  </w:r>
                </w:p>
              </w:tc>
              <w:tc>
                <w:tcPr>
                  <w:tcW w:w="1376" w:type="pct"/>
                  <w:tcBorders>
                    <w:tl2br w:val="nil"/>
                    <w:tr2bl w:val="nil"/>
                  </w:tcBorders>
                  <w:vAlign w:val="center"/>
                </w:tcPr>
                <w:p w14:paraId="75068F2E">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410" w:type="pct"/>
                  <w:tcBorders>
                    <w:tl2br w:val="nil"/>
                    <w:tr2bl w:val="nil"/>
                  </w:tcBorders>
                  <w:vAlign w:val="center"/>
                </w:tcPr>
                <w:p w14:paraId="2B74F3D0">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D7055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6" w:type="pct"/>
                  <w:vMerge w:val="restart"/>
                  <w:tcBorders>
                    <w:tl2br w:val="nil"/>
                    <w:tr2bl w:val="nil"/>
                  </w:tcBorders>
                  <w:vAlign w:val="center"/>
                </w:tcPr>
                <w:p w14:paraId="3635A839">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北</w:t>
                  </w:r>
                </w:p>
              </w:tc>
              <w:tc>
                <w:tcPr>
                  <w:tcW w:w="1089" w:type="pct"/>
                  <w:vMerge w:val="restart"/>
                  <w:tcBorders>
                    <w:tl2br w:val="nil"/>
                    <w:tr2bl w:val="nil"/>
                  </w:tcBorders>
                  <w:vAlign w:val="center"/>
                </w:tcPr>
                <w:p w14:paraId="1A0A91CC">
                  <w:pPr>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黄磷池（甲类埋地）</w:t>
                  </w:r>
                </w:p>
              </w:tc>
              <w:tc>
                <w:tcPr>
                  <w:tcW w:w="1170" w:type="pct"/>
                  <w:tcBorders>
                    <w:tl2br w:val="nil"/>
                    <w:tr2bl w:val="nil"/>
                  </w:tcBorders>
                  <w:vAlign w:val="center"/>
                </w:tcPr>
                <w:p w14:paraId="25A7B448">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园区纬十三路</w:t>
                  </w:r>
                </w:p>
              </w:tc>
              <w:tc>
                <w:tcPr>
                  <w:tcW w:w="517" w:type="pct"/>
                  <w:tcBorders>
                    <w:tl2br w:val="nil"/>
                    <w:tr2bl w:val="nil"/>
                  </w:tcBorders>
                  <w:vAlign w:val="center"/>
                </w:tcPr>
                <w:p w14:paraId="7B605C21">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w:t>
                  </w:r>
                </w:p>
              </w:tc>
              <w:tc>
                <w:tcPr>
                  <w:tcW w:w="1376" w:type="pct"/>
                  <w:tcBorders>
                    <w:tl2br w:val="nil"/>
                    <w:tr2bl w:val="nil"/>
                  </w:tcBorders>
                  <w:vAlign w:val="center"/>
                </w:tcPr>
                <w:p w14:paraId="7AC527B9">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GB51283表</w:t>
                  </w:r>
                  <w:r>
                    <w:rPr>
                      <w:rFonts w:hint="default" w:ascii="Times New Roman" w:hAnsi="Times New Roman" w:eastAsia="宋体" w:cs="Times New Roman"/>
                      <w:color w:val="auto"/>
                      <w:sz w:val="21"/>
                      <w:szCs w:val="21"/>
                      <w:lang w:val="en-US" w:eastAsia="zh-CN"/>
                    </w:rPr>
                    <w:t>4.1.5</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15</w:t>
                  </w:r>
                </w:p>
              </w:tc>
              <w:tc>
                <w:tcPr>
                  <w:tcW w:w="410" w:type="pct"/>
                  <w:tcBorders>
                    <w:tl2br w:val="nil"/>
                    <w:tr2bl w:val="nil"/>
                  </w:tcBorders>
                  <w:vAlign w:val="center"/>
                </w:tcPr>
                <w:p w14:paraId="215C5C6B">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49876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6" w:type="pct"/>
                  <w:vMerge w:val="continue"/>
                  <w:tcBorders>
                    <w:tl2br w:val="nil"/>
                    <w:tr2bl w:val="nil"/>
                  </w:tcBorders>
                  <w:vAlign w:val="center"/>
                </w:tcPr>
                <w:p w14:paraId="17D0AEA1">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089" w:type="pct"/>
                  <w:vMerge w:val="continue"/>
                  <w:tcBorders>
                    <w:tl2br w:val="nil"/>
                    <w:tr2bl w:val="nil"/>
                  </w:tcBorders>
                  <w:vAlign w:val="center"/>
                </w:tcPr>
                <w:p w14:paraId="595D3D77">
                  <w:pPr>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170" w:type="pct"/>
                  <w:tcBorders>
                    <w:tl2br w:val="nil"/>
                    <w:tr2bl w:val="nil"/>
                  </w:tcBorders>
                  <w:vAlign w:val="center"/>
                </w:tcPr>
                <w:p w14:paraId="0A8EC689">
                  <w:pPr>
                    <w:pStyle w:val="3935"/>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right="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高压线（10kV，杆高12m）</w:t>
                  </w:r>
                </w:p>
              </w:tc>
              <w:tc>
                <w:tcPr>
                  <w:tcW w:w="517" w:type="pct"/>
                  <w:tcBorders>
                    <w:tl2br w:val="nil"/>
                    <w:tr2bl w:val="nil"/>
                  </w:tcBorders>
                  <w:vAlign w:val="center"/>
                </w:tcPr>
                <w:p w14:paraId="72F02FD4">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43</w:t>
                  </w:r>
                </w:p>
              </w:tc>
              <w:tc>
                <w:tcPr>
                  <w:tcW w:w="1376" w:type="pct"/>
                  <w:tcBorders>
                    <w:tl2br w:val="nil"/>
                    <w:tr2bl w:val="nil"/>
                  </w:tcBorders>
                  <w:vAlign w:val="center"/>
                </w:tcPr>
                <w:p w14:paraId="323F8AE9">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GB51283表</w:t>
                  </w:r>
                  <w:r>
                    <w:rPr>
                      <w:rFonts w:hint="default" w:ascii="Times New Roman" w:hAnsi="Times New Roman" w:eastAsia="宋体" w:cs="Times New Roman"/>
                      <w:color w:val="auto"/>
                      <w:kern w:val="0"/>
                      <w:sz w:val="21"/>
                      <w:szCs w:val="21"/>
                      <w:lang w:val="en-US" w:eastAsia="zh-CN"/>
                    </w:rPr>
                    <w:t>4.1.5</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18</w:t>
                  </w:r>
                </w:p>
              </w:tc>
              <w:tc>
                <w:tcPr>
                  <w:tcW w:w="410" w:type="pct"/>
                  <w:tcBorders>
                    <w:tl2br w:val="nil"/>
                    <w:tr2bl w:val="nil"/>
                  </w:tcBorders>
                  <w:vAlign w:val="center"/>
                </w:tcPr>
                <w:p w14:paraId="0595DF14">
                  <w:pPr>
                    <w:pStyle w:val="87"/>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sz w:val="21"/>
                      <w:szCs w:val="21"/>
                    </w:rPr>
                    <w:t>符合</w:t>
                  </w:r>
                </w:p>
              </w:tc>
            </w:tr>
          </w:tbl>
          <w:p w14:paraId="29ECE95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textAlignment w:val="auto"/>
              <w:rPr>
                <w:rFonts w:ascii="Times New Roman" w:hAnsi="Times New Roman"/>
                <w:color w:val="auto"/>
                <w:sz w:val="24"/>
                <w:szCs w:val="24"/>
              </w:rPr>
            </w:pPr>
            <w:bookmarkStart w:id="29" w:name="_Toc6990"/>
            <w:r>
              <w:rPr>
                <w:rFonts w:hint="eastAsia"/>
                <w:color w:val="auto"/>
                <w:sz w:val="24"/>
                <w:szCs w:val="24"/>
                <w:lang w:val="en-US" w:eastAsia="zh-CN"/>
              </w:rPr>
              <w:t>（2）</w:t>
            </w:r>
            <w:r>
              <w:rPr>
                <w:rFonts w:ascii="Times New Roman" w:hAnsi="Times New Roman"/>
                <w:color w:val="auto"/>
                <w:sz w:val="24"/>
                <w:szCs w:val="24"/>
              </w:rPr>
              <w:t>全厂及装置（设施）平面及竖向布置的主要安全考虑</w:t>
            </w:r>
            <w:bookmarkEnd w:id="29"/>
          </w:p>
          <w:p w14:paraId="59611B47">
            <w:pPr>
              <w:shd w:val="clear" w:color="000000" w:fill="auto"/>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华源化工</w:t>
            </w:r>
            <w:r>
              <w:rPr>
                <w:rFonts w:hint="eastAsia" w:ascii="Times New Roman" w:hAnsi="Times New Roman" w:eastAsia="宋体" w:cs="Times New Roman"/>
                <w:color w:val="auto"/>
                <w:sz w:val="24"/>
                <w:szCs w:val="24"/>
              </w:rPr>
              <w:t>位于</w:t>
            </w:r>
            <w:r>
              <w:rPr>
                <w:rFonts w:hint="eastAsia" w:cs="Times New Roman"/>
                <w:color w:val="auto"/>
                <w:sz w:val="24"/>
                <w:szCs w:val="24"/>
                <w:lang w:eastAsia="zh-CN"/>
              </w:rPr>
              <w:t>江苏涟水经济开发区循环经济产业园</w:t>
            </w:r>
            <w:r>
              <w:rPr>
                <w:rFonts w:hint="eastAsia" w:ascii="Times New Roman" w:hAnsi="Times New Roman" w:eastAsia="宋体" w:cs="Times New Roman"/>
                <w:color w:val="auto"/>
                <w:sz w:val="24"/>
                <w:szCs w:val="24"/>
              </w:rPr>
              <w:t>。根据工程用地条件结合厂址周边环境，按照功能分区的原则，将厂区划分为主要两个区域，即生产区、生活办公区。厂区的建筑物为南北朝向。</w:t>
            </w:r>
          </w:p>
          <w:p w14:paraId="7F54027A">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cs="Times New Roman"/>
                <w:color w:val="auto"/>
                <w:sz w:val="24"/>
                <w:szCs w:val="24"/>
              </w:rPr>
              <w:t>华源化工分为南北两部分，南侧为办公区，设置有门卫、办公楼、停车场等设施，北侧为生产设施区，之间用</w:t>
            </w:r>
            <w:r>
              <w:rPr>
                <w:rFonts w:hint="eastAsia" w:cs="Times New Roman"/>
                <w:color w:val="auto"/>
                <w:sz w:val="24"/>
                <w:szCs w:val="24"/>
                <w:lang w:eastAsia="zh-CN"/>
              </w:rPr>
              <w:t>两道</w:t>
            </w:r>
            <w:r>
              <w:rPr>
                <w:rFonts w:hint="eastAsia" w:ascii="Times New Roman" w:hAnsi="Times New Roman" w:cs="Times New Roman"/>
                <w:color w:val="auto"/>
                <w:sz w:val="24"/>
                <w:szCs w:val="24"/>
              </w:rPr>
              <w:t>门分隔。北侧</w:t>
            </w:r>
            <w:r>
              <w:rPr>
                <w:rFonts w:ascii="Times New Roman" w:hAnsi="Times New Roman" w:cs="Times New Roman"/>
                <w:color w:val="auto"/>
                <w:sz w:val="24"/>
                <w:szCs w:val="24"/>
              </w:rPr>
              <w:t>厂区中间有一条南北向的宽7m的主干道将生产区分为东、西两部分</w:t>
            </w:r>
            <w:r>
              <w:rPr>
                <w:rFonts w:hint="eastAsia" w:ascii="Times New Roman" w:hAnsi="Times New Roman" w:cs="Times New Roman"/>
                <w:color w:val="auto"/>
                <w:sz w:val="24"/>
                <w:szCs w:val="24"/>
              </w:rPr>
              <w:t>，</w:t>
            </w:r>
            <w:r>
              <w:rPr>
                <w:rFonts w:ascii="Times New Roman" w:hAnsi="Times New Roman" w:cs="Times New Roman"/>
                <w:color w:val="auto"/>
                <w:sz w:val="24"/>
                <w:szCs w:val="24"/>
              </w:rPr>
              <w:t>路东由南向北主要布置有丁类仓库、五氯化磷生产车间（乙类）、罐区二（</w:t>
            </w:r>
            <w:r>
              <w:rPr>
                <w:rFonts w:hint="eastAsia" w:ascii="Times New Roman" w:hAnsi="Times New Roman" w:cs="Times New Roman"/>
                <w:color w:val="auto"/>
                <w:sz w:val="24"/>
                <w:szCs w:val="24"/>
              </w:rPr>
              <w:t>戊类</w:t>
            </w:r>
            <w:r>
              <w:rPr>
                <w:rFonts w:ascii="Times New Roman" w:hAnsi="Times New Roman" w:cs="Times New Roman"/>
                <w:color w:val="auto"/>
                <w:sz w:val="24"/>
                <w:szCs w:val="24"/>
              </w:rPr>
              <w:t>）、仓库（丙类）、应急处理池（有效容积960</w:t>
            </w:r>
            <w:r>
              <w:rPr>
                <w:rFonts w:hint="eastAsia" w:ascii="Calibri" w:hAnsi="Calibri" w:cs="Times New Roman"/>
                <w:color w:val="auto"/>
                <w:kern w:val="0"/>
                <w:sz w:val="24"/>
                <w:szCs w:val="24"/>
              </w:rPr>
              <w:t>m</w:t>
            </w:r>
            <w:r>
              <w:rPr>
                <w:rFonts w:hint="eastAsia" w:ascii="Calibri" w:hAnsi="Calibri" w:cs="Times New Roman"/>
                <w:color w:val="auto"/>
                <w:kern w:val="0"/>
                <w:sz w:val="24"/>
                <w:szCs w:val="24"/>
                <w:vertAlign w:val="superscript"/>
              </w:rPr>
              <w:t>3</w:t>
            </w:r>
            <w:r>
              <w:rPr>
                <w:rFonts w:ascii="Times New Roman" w:hAnsi="Times New Roman" w:cs="Times New Roman"/>
                <w:color w:val="auto"/>
                <w:sz w:val="24"/>
                <w:szCs w:val="24"/>
              </w:rPr>
              <w:t>）、污水处理池（有效容积1152</w:t>
            </w:r>
            <w:r>
              <w:rPr>
                <w:rFonts w:hint="eastAsia" w:ascii="Calibri" w:hAnsi="Calibri" w:cs="Times New Roman"/>
                <w:color w:val="auto"/>
                <w:kern w:val="0"/>
                <w:sz w:val="24"/>
                <w:szCs w:val="24"/>
              </w:rPr>
              <w:t>m</w:t>
            </w:r>
            <w:r>
              <w:rPr>
                <w:rFonts w:hint="eastAsia" w:ascii="Calibri" w:hAnsi="Calibri" w:cs="Times New Roman"/>
                <w:color w:val="auto"/>
                <w:kern w:val="0"/>
                <w:sz w:val="24"/>
                <w:szCs w:val="24"/>
                <w:vertAlign w:val="superscript"/>
              </w:rPr>
              <w:t>3</w:t>
            </w:r>
            <w:r>
              <w:rPr>
                <w:rFonts w:ascii="Times New Roman" w:hAnsi="Times New Roman" w:cs="Times New Roman"/>
                <w:color w:val="auto"/>
                <w:sz w:val="24"/>
                <w:szCs w:val="24"/>
              </w:rPr>
              <w:t>）、危废库（丙类）、公用工程间（丙类）、变配电房/门卫二。路西由南向北主要布置有循环冷却塔（戊类）、</w:t>
            </w:r>
            <w:r>
              <w:rPr>
                <w:rFonts w:hint="eastAsia" w:ascii="Times New Roman" w:hAnsi="Times New Roman" w:cs="Times New Roman"/>
                <w:color w:val="auto"/>
                <w:sz w:val="24"/>
                <w:szCs w:val="24"/>
                <w:lang w:val="en-US" w:eastAsia="zh-CN"/>
              </w:rPr>
              <w:t>液氯气化区</w:t>
            </w:r>
            <w:r>
              <w:rPr>
                <w:rFonts w:ascii="Times New Roman" w:hAnsi="Times New Roman" w:cs="Times New Roman"/>
                <w:color w:val="auto"/>
                <w:sz w:val="24"/>
                <w:szCs w:val="24"/>
              </w:rPr>
              <w:t>（乙类）、</w:t>
            </w:r>
            <w:r>
              <w:rPr>
                <w:rFonts w:hint="eastAsia" w:ascii="Times New Roman" w:hAnsi="Times New Roman" w:cs="Times New Roman"/>
                <w:color w:val="auto"/>
                <w:sz w:val="24"/>
                <w:szCs w:val="24"/>
              </w:rPr>
              <w:t>液氯集装箱装卸场地（乙类）</w:t>
            </w:r>
            <w:r>
              <w:rPr>
                <w:rFonts w:hint="eastAsia" w:cs="Times New Roman"/>
                <w:color w:val="auto"/>
                <w:sz w:val="24"/>
                <w:szCs w:val="24"/>
                <w:lang w:eastAsia="zh-CN"/>
              </w:rPr>
              <w:t>、</w:t>
            </w:r>
            <w:r>
              <w:rPr>
                <w:rFonts w:ascii="Times New Roman" w:hAnsi="Times New Roman" w:cs="Times New Roman"/>
                <w:color w:val="auto"/>
                <w:sz w:val="24"/>
                <w:szCs w:val="24"/>
              </w:rPr>
              <w:t>液氧罐区（乙类）、三氯化磷（甲类）/三氯氧磷车间、黄磷池（甲类）、循环水池（有效容积980</w:t>
            </w:r>
            <w:r>
              <w:rPr>
                <w:rFonts w:hint="eastAsia" w:ascii="Calibri" w:hAnsi="Calibri" w:cs="Times New Roman"/>
                <w:color w:val="auto"/>
                <w:kern w:val="0"/>
                <w:sz w:val="24"/>
                <w:szCs w:val="24"/>
              </w:rPr>
              <w:t>m</w:t>
            </w:r>
            <w:r>
              <w:rPr>
                <w:rFonts w:hint="eastAsia" w:ascii="Calibri" w:hAnsi="Calibri" w:cs="Times New Roman"/>
                <w:color w:val="auto"/>
                <w:kern w:val="0"/>
                <w:sz w:val="24"/>
                <w:szCs w:val="24"/>
                <w:vertAlign w:val="superscript"/>
              </w:rPr>
              <w:t>3</w:t>
            </w:r>
            <w:r>
              <w:rPr>
                <w:rFonts w:ascii="Times New Roman" w:hAnsi="Times New Roman" w:cs="Times New Roman"/>
                <w:color w:val="auto"/>
                <w:sz w:val="24"/>
                <w:szCs w:val="24"/>
              </w:rPr>
              <w:t>）、罐区一（戊类）等。</w:t>
            </w:r>
          </w:p>
          <w:p w14:paraId="4895C079">
            <w:pPr>
              <w:spacing w:line="360" w:lineRule="auto"/>
              <w:ind w:firstLine="480" w:firstLineChars="200"/>
              <w:rPr>
                <w:rFonts w:hint="eastAsia" w:ascii="Times New Roman" w:hAnsi="Times New Roman" w:eastAsia="宋体" w:cs="Times New Roman"/>
                <w:color w:val="auto"/>
                <w:sz w:val="24"/>
                <w:szCs w:val="24"/>
                <w:lang w:eastAsia="zh-CN"/>
              </w:rPr>
            </w:pPr>
            <w:r>
              <w:rPr>
                <w:rFonts w:ascii="Times New Roman" w:hAnsi="Times New Roman"/>
                <w:color w:val="auto"/>
                <w:kern w:val="0"/>
                <w:sz w:val="24"/>
                <w:szCs w:val="24"/>
              </w:rPr>
              <w:t>厂区设</w:t>
            </w:r>
            <w:r>
              <w:rPr>
                <w:rFonts w:hint="eastAsia" w:ascii="Times New Roman" w:hAnsi="Times New Roman"/>
                <w:color w:val="auto"/>
                <w:kern w:val="0"/>
                <w:sz w:val="24"/>
                <w:szCs w:val="24"/>
              </w:rPr>
              <w:t>南侧人流出入口、北侧物流出入口</w:t>
            </w:r>
            <w:r>
              <w:rPr>
                <w:rFonts w:ascii="Times New Roman" w:hAnsi="Times New Roman"/>
                <w:color w:val="auto"/>
                <w:kern w:val="0"/>
                <w:sz w:val="24"/>
                <w:szCs w:val="24"/>
              </w:rPr>
              <w:t>两个出入口，</w:t>
            </w:r>
            <w:r>
              <w:rPr>
                <w:rFonts w:hint="eastAsia" w:ascii="Times New Roman" w:hAnsi="Times New Roman"/>
                <w:color w:val="auto"/>
                <w:kern w:val="0"/>
                <w:sz w:val="24"/>
                <w:szCs w:val="24"/>
              </w:rPr>
              <w:t>两侧</w:t>
            </w:r>
            <w:r>
              <w:rPr>
                <w:rFonts w:ascii="Times New Roman" w:hAnsi="Times New Roman"/>
                <w:color w:val="auto"/>
                <w:kern w:val="0"/>
                <w:sz w:val="24"/>
                <w:szCs w:val="24"/>
              </w:rPr>
              <w:t>路上车辆行人不多，交通便利，</w:t>
            </w:r>
            <w:r>
              <w:rPr>
                <w:rFonts w:hint="eastAsia" w:ascii="Times New Roman" w:hAnsi="Times New Roman" w:eastAsia="宋体" w:cs="Times New Roman"/>
                <w:color w:val="auto"/>
                <w:sz w:val="24"/>
                <w:szCs w:val="24"/>
                <w:lang w:eastAsia="zh-CN"/>
              </w:rPr>
              <w:t>企业内道路可保证事故状态下，消防车辆可以到达各装置和建筑物的周围</w:t>
            </w:r>
            <w:r>
              <w:rPr>
                <w:rFonts w:hint="eastAsia" w:ascii="Times New Roman" w:hAnsi="Times New Roman" w:cs="Times New Roman"/>
                <w:color w:val="auto"/>
                <w:sz w:val="24"/>
                <w:szCs w:val="24"/>
                <w:lang w:eastAsia="zh-CN"/>
              </w:rPr>
              <w:t>，</w:t>
            </w:r>
            <w:r>
              <w:rPr>
                <w:rFonts w:ascii="Times New Roman" w:hAnsi="Times New Roman"/>
                <w:color w:val="auto"/>
                <w:kern w:val="0"/>
                <w:sz w:val="24"/>
                <w:szCs w:val="24"/>
              </w:rPr>
              <w:t>可以满足安全疏散要求。</w:t>
            </w:r>
          </w:p>
          <w:p w14:paraId="757CAC84">
            <w:pPr>
              <w:spacing w:line="360" w:lineRule="auto"/>
              <w:ind w:firstLine="480" w:firstLineChars="200"/>
              <w:rPr>
                <w:rFonts w:ascii="Times New Roman" w:hAnsi="Times New Roman"/>
                <w:color w:val="auto"/>
                <w:sz w:val="24"/>
                <w:szCs w:val="24"/>
              </w:rPr>
            </w:pPr>
            <w:r>
              <w:rPr>
                <w:rFonts w:hint="eastAsia" w:ascii="Times New Roman" w:hAnsi="Times New Roman"/>
                <w:color w:val="auto"/>
                <w:sz w:val="24"/>
                <w:szCs w:val="24"/>
              </w:rPr>
              <w:t>厂区</w:t>
            </w:r>
            <w:r>
              <w:rPr>
                <w:rFonts w:ascii="Times New Roman" w:hAnsi="Times New Roman"/>
                <w:color w:val="auto"/>
                <w:sz w:val="24"/>
                <w:szCs w:val="24"/>
              </w:rPr>
              <w:t>已根据《</w:t>
            </w:r>
            <w:r>
              <w:rPr>
                <w:rFonts w:hint="eastAsia" w:ascii="Times New Roman" w:hAnsi="Times New Roman"/>
                <w:color w:val="auto"/>
                <w:sz w:val="24"/>
                <w:szCs w:val="24"/>
              </w:rPr>
              <w:t>化工</w:t>
            </w:r>
            <w:r>
              <w:rPr>
                <w:rFonts w:ascii="Times New Roman" w:hAnsi="Times New Roman"/>
                <w:color w:val="auto"/>
                <w:sz w:val="24"/>
                <w:szCs w:val="24"/>
              </w:rPr>
              <w:t>企业</w:t>
            </w:r>
            <w:r>
              <w:rPr>
                <w:rFonts w:hint="eastAsia" w:ascii="Times New Roman" w:hAnsi="Times New Roman"/>
                <w:color w:val="auto"/>
                <w:sz w:val="24"/>
                <w:szCs w:val="24"/>
              </w:rPr>
              <w:t>总图运输</w:t>
            </w:r>
            <w:r>
              <w:rPr>
                <w:rFonts w:ascii="Times New Roman" w:hAnsi="Times New Roman"/>
                <w:color w:val="auto"/>
                <w:sz w:val="24"/>
                <w:szCs w:val="24"/>
              </w:rPr>
              <w:t>设计规范》（GB 50489-2009）等规范以及当地最大降雨量，在总图设计中通过设计标高、场地布置和布置排水管道排放系统等方式，减轻暴雨、洪水带来的影响</w:t>
            </w:r>
            <w:r>
              <w:rPr>
                <w:rFonts w:hint="eastAsia" w:ascii="Times New Roman" w:hAnsi="Times New Roman"/>
                <w:color w:val="auto"/>
                <w:sz w:val="24"/>
                <w:szCs w:val="24"/>
              </w:rPr>
              <w:t>。</w:t>
            </w:r>
            <w:r>
              <w:rPr>
                <w:rFonts w:ascii="Times New Roman" w:hAnsi="Times New Roman"/>
                <w:color w:val="auto"/>
                <w:sz w:val="24"/>
                <w:szCs w:val="24"/>
              </w:rPr>
              <w:t>厂区内竖向布置以平坡为主，场地雨水采用明沟系统的排水方式</w:t>
            </w:r>
            <w:r>
              <w:rPr>
                <w:rFonts w:hint="eastAsia" w:ascii="Times New Roman" w:hAnsi="Times New Roman"/>
                <w:color w:val="auto"/>
                <w:sz w:val="24"/>
                <w:szCs w:val="24"/>
              </w:rPr>
              <w:t>排放至初期雨水池，后期符合排放要求雨水收集排至市政雨水管网。</w:t>
            </w:r>
          </w:p>
          <w:p w14:paraId="5772362D">
            <w:pPr>
              <w:spacing w:line="360" w:lineRule="auto"/>
              <w:ind w:firstLine="480"/>
              <w:rPr>
                <w:rFonts w:ascii="Times New Roman" w:hAnsi="Times New Roman"/>
                <w:color w:val="auto"/>
                <w:sz w:val="24"/>
                <w:szCs w:val="24"/>
              </w:rPr>
            </w:pPr>
            <w:bookmarkStart w:id="30" w:name="_Toc6054"/>
            <w:r>
              <w:rPr>
                <w:rFonts w:hint="eastAsia"/>
                <w:color w:val="auto"/>
                <w:sz w:val="24"/>
                <w:szCs w:val="24"/>
                <w:lang w:eastAsia="zh-CN"/>
              </w:rPr>
              <w:t>（</w:t>
            </w:r>
            <w:r>
              <w:rPr>
                <w:rFonts w:hint="eastAsia"/>
                <w:color w:val="auto"/>
                <w:sz w:val="24"/>
                <w:szCs w:val="24"/>
                <w:lang w:val="en-US" w:eastAsia="zh-CN"/>
              </w:rPr>
              <w:t>3</w:t>
            </w:r>
            <w:r>
              <w:rPr>
                <w:rFonts w:hint="eastAsia"/>
                <w:color w:val="auto"/>
                <w:sz w:val="24"/>
                <w:szCs w:val="24"/>
                <w:lang w:eastAsia="zh-CN"/>
              </w:rPr>
              <w:t>）</w:t>
            </w:r>
            <w:r>
              <w:rPr>
                <w:rFonts w:ascii="Times New Roman" w:hAnsi="Times New Roman"/>
                <w:color w:val="auto"/>
                <w:sz w:val="24"/>
                <w:szCs w:val="24"/>
              </w:rPr>
              <w:t>平面布置的主要防火间距及标准规范符合情况</w:t>
            </w:r>
            <w:bookmarkEnd w:id="30"/>
          </w:p>
          <w:p w14:paraId="0C7D8BC9">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本项目</w:t>
            </w:r>
            <w:r>
              <w:rPr>
                <w:rFonts w:hint="eastAsia" w:ascii="Times New Roman" w:hAnsi="Times New Roman"/>
                <w:color w:val="auto"/>
                <w:sz w:val="24"/>
                <w:szCs w:val="24"/>
              </w:rPr>
              <w:t>与周边相邻装置（设施）</w:t>
            </w:r>
            <w:r>
              <w:rPr>
                <w:rFonts w:ascii="Times New Roman" w:hAnsi="Times New Roman"/>
                <w:color w:val="auto"/>
                <w:sz w:val="24"/>
                <w:szCs w:val="24"/>
              </w:rPr>
              <w:t>之间的防火</w:t>
            </w:r>
            <w:r>
              <w:rPr>
                <w:rFonts w:hint="eastAsia" w:ascii="Times New Roman" w:hAnsi="Times New Roman"/>
                <w:color w:val="auto"/>
                <w:sz w:val="24"/>
                <w:szCs w:val="24"/>
              </w:rPr>
              <w:t>间距</w:t>
            </w:r>
            <w:r>
              <w:rPr>
                <w:rFonts w:ascii="Times New Roman" w:hAnsi="Times New Roman"/>
                <w:color w:val="auto"/>
                <w:sz w:val="24"/>
                <w:szCs w:val="24"/>
              </w:rPr>
              <w:t>符合</w:t>
            </w:r>
            <w:r>
              <w:rPr>
                <w:rFonts w:hint="eastAsia"/>
                <w:color w:val="auto"/>
                <w:sz w:val="24"/>
                <w:szCs w:val="24"/>
              </w:rPr>
              <w:t>《</w:t>
            </w:r>
            <w:r>
              <w:rPr>
                <w:color w:val="auto"/>
                <w:sz w:val="24"/>
                <w:szCs w:val="24"/>
              </w:rPr>
              <w:t>建筑防火通用规范</w:t>
            </w:r>
            <w:r>
              <w:rPr>
                <w:rFonts w:hint="eastAsia"/>
                <w:color w:val="auto"/>
                <w:sz w:val="24"/>
                <w:szCs w:val="24"/>
              </w:rPr>
              <w:t>》（</w:t>
            </w:r>
            <w:r>
              <w:rPr>
                <w:color w:val="auto"/>
                <w:sz w:val="24"/>
                <w:szCs w:val="24"/>
              </w:rPr>
              <w:t>GB55037-2022</w:t>
            </w:r>
            <w:r>
              <w:rPr>
                <w:rFonts w:hint="eastAsia"/>
                <w:color w:val="auto"/>
                <w:sz w:val="24"/>
                <w:szCs w:val="24"/>
              </w:rPr>
              <w:t>）、</w:t>
            </w:r>
            <w:r>
              <w:rPr>
                <w:rFonts w:hint="eastAsia" w:ascii="Times New Roman" w:hAnsi="Times New Roman"/>
                <w:color w:val="auto"/>
                <w:sz w:val="24"/>
                <w:szCs w:val="24"/>
              </w:rPr>
              <w:t>《精细化工企业工程设计防火标准》（GB51283-2020）</w:t>
            </w:r>
            <w:r>
              <w:rPr>
                <w:rFonts w:ascii="Times New Roman" w:hAnsi="Times New Roman"/>
                <w:color w:val="auto"/>
                <w:sz w:val="24"/>
                <w:szCs w:val="24"/>
              </w:rPr>
              <w:t>的</w:t>
            </w:r>
            <w:r>
              <w:rPr>
                <w:rFonts w:hint="eastAsia"/>
                <w:color w:val="auto"/>
                <w:sz w:val="24"/>
                <w:szCs w:val="24"/>
                <w:lang w:eastAsia="zh-CN"/>
              </w:rPr>
              <w:t>要求</w:t>
            </w:r>
            <w:r>
              <w:rPr>
                <w:rFonts w:ascii="Times New Roman" w:hAnsi="Times New Roman"/>
                <w:color w:val="auto"/>
                <w:sz w:val="24"/>
                <w:szCs w:val="24"/>
              </w:rPr>
              <w:t>，</w:t>
            </w:r>
            <w:r>
              <w:rPr>
                <w:rFonts w:hint="eastAsia" w:ascii="Times New Roman" w:hAnsi="Times New Roman"/>
                <w:color w:val="auto"/>
                <w:sz w:val="24"/>
                <w:szCs w:val="24"/>
              </w:rPr>
              <w:t>其他装置（设施）与周边相邻装置（设施）</w:t>
            </w:r>
            <w:r>
              <w:rPr>
                <w:rFonts w:ascii="Times New Roman" w:hAnsi="Times New Roman"/>
                <w:color w:val="auto"/>
                <w:sz w:val="24"/>
                <w:szCs w:val="24"/>
              </w:rPr>
              <w:t>之间的防火间距</w:t>
            </w:r>
            <w:r>
              <w:rPr>
                <w:rFonts w:hint="eastAsia" w:ascii="Times New Roman" w:hAnsi="Times New Roman"/>
                <w:color w:val="auto"/>
                <w:sz w:val="24"/>
                <w:szCs w:val="24"/>
              </w:rPr>
              <w:t>均符合</w:t>
            </w:r>
            <w:r>
              <w:rPr>
                <w:rFonts w:ascii="Times New Roman" w:hAnsi="Times New Roman"/>
                <w:color w:val="auto"/>
                <w:sz w:val="24"/>
                <w:szCs w:val="24"/>
              </w:rPr>
              <w:t>《建筑设计防火规范（2018年版）》</w:t>
            </w:r>
            <w:r>
              <w:rPr>
                <w:rFonts w:hint="eastAsia" w:ascii="Times New Roman" w:hAnsi="Times New Roman"/>
                <w:color w:val="auto"/>
                <w:sz w:val="24"/>
                <w:szCs w:val="24"/>
              </w:rPr>
              <w:t>（</w:t>
            </w:r>
            <w:r>
              <w:rPr>
                <w:rFonts w:ascii="Times New Roman" w:hAnsi="Times New Roman"/>
                <w:color w:val="auto"/>
                <w:sz w:val="24"/>
                <w:szCs w:val="24"/>
              </w:rPr>
              <w:t>GB 50016-2014</w:t>
            </w:r>
            <w:r>
              <w:rPr>
                <w:rFonts w:hint="eastAsia" w:ascii="Times New Roman" w:hAnsi="Times New Roman"/>
                <w:color w:val="auto"/>
                <w:sz w:val="24"/>
                <w:szCs w:val="24"/>
              </w:rPr>
              <w:t>）</w:t>
            </w:r>
            <w:r>
              <w:rPr>
                <w:rFonts w:hint="eastAsia" w:ascii="Times New Roman" w:hAnsi="Times New Roman"/>
                <w:color w:val="auto"/>
                <w:sz w:val="24"/>
                <w:szCs w:val="24"/>
                <w:lang w:eastAsia="zh-CN"/>
              </w:rPr>
              <w:t>、《氧气站设计规范》（GB 50030-2013）</w:t>
            </w:r>
            <w:r>
              <w:rPr>
                <w:rFonts w:ascii="Times New Roman" w:hAnsi="Times New Roman"/>
                <w:color w:val="auto"/>
                <w:sz w:val="24"/>
                <w:szCs w:val="24"/>
              </w:rPr>
              <w:t>的要求。厂区建</w:t>
            </w:r>
            <w:r>
              <w:rPr>
                <w:rFonts w:hint="eastAsia"/>
                <w:color w:val="auto"/>
                <w:sz w:val="24"/>
                <w:szCs w:val="24"/>
                <w:lang w:eastAsia="zh-CN"/>
              </w:rPr>
              <w:t>（</w:t>
            </w:r>
            <w:r>
              <w:rPr>
                <w:rFonts w:ascii="Times New Roman" w:hAnsi="Times New Roman"/>
                <w:color w:val="auto"/>
                <w:sz w:val="24"/>
                <w:szCs w:val="24"/>
              </w:rPr>
              <w:t>构</w:t>
            </w:r>
            <w:r>
              <w:rPr>
                <w:rFonts w:hint="eastAsia"/>
                <w:color w:val="auto"/>
                <w:sz w:val="24"/>
                <w:szCs w:val="24"/>
                <w:lang w:eastAsia="zh-CN"/>
              </w:rPr>
              <w:t>）</w:t>
            </w:r>
            <w:r>
              <w:rPr>
                <w:rFonts w:ascii="Times New Roman" w:hAnsi="Times New Roman"/>
                <w:color w:val="auto"/>
                <w:sz w:val="24"/>
                <w:szCs w:val="24"/>
              </w:rPr>
              <w:t>筑物的布置见</w:t>
            </w:r>
            <w:r>
              <w:rPr>
                <w:rFonts w:hint="eastAsia" w:ascii="Times New Roman" w:hAnsi="Times New Roman"/>
                <w:color w:val="auto"/>
                <w:sz w:val="24"/>
                <w:szCs w:val="24"/>
              </w:rPr>
              <w:t>总</w:t>
            </w:r>
            <w:r>
              <w:rPr>
                <w:rFonts w:ascii="Times New Roman" w:hAnsi="Times New Roman"/>
                <w:color w:val="auto"/>
                <w:sz w:val="24"/>
                <w:szCs w:val="24"/>
              </w:rPr>
              <w:t>平面布置图（详见附图）所示。</w:t>
            </w:r>
          </w:p>
          <w:p w14:paraId="290F4EF6">
            <w:pPr>
              <w:spacing w:line="360" w:lineRule="auto"/>
              <w:ind w:firstLine="480" w:firstLineChars="200"/>
              <w:rPr>
                <w:rFonts w:ascii="Times New Roman" w:hAnsi="Times New Roman"/>
                <w:bCs/>
                <w:color w:val="auto"/>
                <w:kern w:val="0"/>
                <w:sz w:val="24"/>
                <w:szCs w:val="24"/>
              </w:rPr>
            </w:pPr>
            <w:r>
              <w:rPr>
                <w:rFonts w:ascii="Times New Roman" w:hAnsi="Times New Roman"/>
                <w:bCs/>
                <w:color w:val="auto"/>
                <w:kern w:val="0"/>
                <w:sz w:val="24"/>
                <w:szCs w:val="24"/>
              </w:rPr>
              <w:t>本项目涉及的建（构）筑物之间的安全防火距离及符合性见</w:t>
            </w:r>
            <w:r>
              <w:rPr>
                <w:rFonts w:hint="eastAsia" w:ascii="Times New Roman" w:hAnsi="Times New Roman"/>
                <w:bCs/>
                <w:color w:val="auto"/>
                <w:kern w:val="0"/>
                <w:sz w:val="24"/>
                <w:szCs w:val="24"/>
              </w:rPr>
              <w:t>下</w:t>
            </w:r>
            <w:r>
              <w:rPr>
                <w:rFonts w:ascii="Times New Roman" w:hAnsi="Times New Roman"/>
                <w:bCs/>
                <w:color w:val="auto"/>
                <w:kern w:val="0"/>
                <w:sz w:val="24"/>
                <w:szCs w:val="24"/>
              </w:rPr>
              <w:t>表。</w:t>
            </w:r>
          </w:p>
          <w:p w14:paraId="5246AA4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b/>
                <w:bCs/>
                <w:color w:val="auto"/>
                <w:kern w:val="28"/>
                <w:sz w:val="24"/>
                <w:szCs w:val="32"/>
              </w:rPr>
            </w:pPr>
            <w:r>
              <w:rPr>
                <w:rFonts w:ascii="Times New Roman" w:hAnsi="Times New Roman"/>
                <w:b/>
                <w:bCs/>
                <w:color w:val="auto"/>
                <w:kern w:val="28"/>
                <w:sz w:val="24"/>
                <w:szCs w:val="32"/>
              </w:rPr>
              <w:t>表</w:t>
            </w:r>
            <w:r>
              <w:rPr>
                <w:rFonts w:hint="eastAsia"/>
                <w:b/>
                <w:bCs/>
                <w:color w:val="auto"/>
                <w:kern w:val="28"/>
                <w:sz w:val="24"/>
                <w:szCs w:val="32"/>
                <w:lang w:val="en-US" w:eastAsia="zh-CN"/>
              </w:rPr>
              <w:t>2-8</w:t>
            </w:r>
            <w:r>
              <w:rPr>
                <w:rFonts w:ascii="Times New Roman" w:hAnsi="Times New Roman"/>
                <w:b/>
                <w:bCs/>
                <w:color w:val="auto"/>
                <w:kern w:val="28"/>
                <w:sz w:val="24"/>
                <w:szCs w:val="32"/>
              </w:rPr>
              <w:t xml:space="preserve">  本项目涉及的建（构）筑物之间的安全防火距离符合性检查表</w:t>
            </w:r>
          </w:p>
          <w:tbl>
            <w:tblPr>
              <w:tblStyle w:val="8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28"/>
              <w:gridCol w:w="1013"/>
              <w:gridCol w:w="520"/>
              <w:gridCol w:w="510"/>
              <w:gridCol w:w="1994"/>
              <w:gridCol w:w="717"/>
              <w:gridCol w:w="2475"/>
              <w:gridCol w:w="652"/>
            </w:tblGrid>
            <w:tr w14:paraId="7D4C5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blHeader/>
                <w:jc w:val="center"/>
              </w:trPr>
              <w:tc>
                <w:tcPr>
                  <w:tcW w:w="314" w:type="pct"/>
                  <w:tcBorders>
                    <w:tl2br w:val="nil"/>
                    <w:tr2bl w:val="nil"/>
                  </w:tcBorders>
                  <w:tcMar>
                    <w:left w:w="28" w:type="dxa"/>
                    <w:right w:w="28" w:type="dxa"/>
                  </w:tcMar>
                  <w:vAlign w:val="center"/>
                </w:tcPr>
                <w:p w14:paraId="1D60BD45">
                  <w:pPr>
                    <w:widowControl/>
                    <w:snapToGrid w:val="0"/>
                    <w:spacing w:line="240" w:lineRule="atLeas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602" w:type="pct"/>
                  <w:tcBorders>
                    <w:tl2br w:val="nil"/>
                    <w:tr2bl w:val="nil"/>
                  </w:tcBorders>
                  <w:tcMar>
                    <w:left w:w="28" w:type="dxa"/>
                    <w:right w:w="28" w:type="dxa"/>
                  </w:tcMar>
                  <w:vAlign w:val="center"/>
                </w:tcPr>
                <w:p w14:paraId="73ADF33C">
                  <w:pPr>
                    <w:widowControl/>
                    <w:snapToGrid w:val="0"/>
                    <w:spacing w:line="240" w:lineRule="atLeas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建（构）筑名称</w:t>
                  </w:r>
                </w:p>
              </w:tc>
              <w:tc>
                <w:tcPr>
                  <w:tcW w:w="309" w:type="pct"/>
                  <w:tcBorders>
                    <w:tl2br w:val="nil"/>
                    <w:tr2bl w:val="nil"/>
                  </w:tcBorders>
                  <w:tcMar>
                    <w:left w:w="28" w:type="dxa"/>
                    <w:right w:w="28" w:type="dxa"/>
                  </w:tcMar>
                  <w:vAlign w:val="center"/>
                </w:tcPr>
                <w:p w14:paraId="046CE2FB">
                  <w:pPr>
                    <w:widowControl/>
                    <w:snapToGrid w:val="0"/>
                    <w:spacing w:line="24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rPr>
                    <w:t>耐火</w:t>
                  </w:r>
                </w:p>
                <w:p w14:paraId="3A13982F">
                  <w:pPr>
                    <w:widowControl/>
                    <w:snapToGrid w:val="0"/>
                    <w:spacing w:line="240" w:lineRule="atLeas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等级</w:t>
                  </w:r>
                </w:p>
              </w:tc>
              <w:tc>
                <w:tcPr>
                  <w:tcW w:w="303" w:type="pct"/>
                  <w:tcBorders>
                    <w:tl2br w:val="nil"/>
                    <w:tr2bl w:val="nil"/>
                  </w:tcBorders>
                  <w:tcMar>
                    <w:left w:w="28" w:type="dxa"/>
                    <w:right w:w="28" w:type="dxa"/>
                  </w:tcMar>
                  <w:vAlign w:val="center"/>
                </w:tcPr>
                <w:p w14:paraId="42B90632">
                  <w:pPr>
                    <w:widowControl/>
                    <w:snapToGrid w:val="0"/>
                    <w:spacing w:line="24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rPr>
                    <w:t>方位</w:t>
                  </w:r>
                </w:p>
              </w:tc>
              <w:tc>
                <w:tcPr>
                  <w:tcW w:w="1185" w:type="pct"/>
                  <w:tcBorders>
                    <w:tl2br w:val="nil"/>
                    <w:tr2bl w:val="nil"/>
                  </w:tcBorders>
                  <w:tcMar>
                    <w:left w:w="28" w:type="dxa"/>
                    <w:right w:w="28" w:type="dxa"/>
                  </w:tcMar>
                  <w:vAlign w:val="center"/>
                </w:tcPr>
                <w:p w14:paraId="16095FD3">
                  <w:pPr>
                    <w:widowControl/>
                    <w:snapToGrid w:val="0"/>
                    <w:spacing w:line="240" w:lineRule="atLeas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周边建（构）筑物、设施名称</w:t>
                  </w:r>
                </w:p>
              </w:tc>
              <w:tc>
                <w:tcPr>
                  <w:tcW w:w="426" w:type="pct"/>
                  <w:tcBorders>
                    <w:tl2br w:val="nil"/>
                    <w:tr2bl w:val="nil"/>
                  </w:tcBorders>
                  <w:tcMar>
                    <w:left w:w="28" w:type="dxa"/>
                    <w:right w:w="28" w:type="dxa"/>
                  </w:tcMar>
                  <w:vAlign w:val="center"/>
                </w:tcPr>
                <w:p w14:paraId="41BB3759">
                  <w:pPr>
                    <w:widowControl/>
                    <w:snapToGrid w:val="0"/>
                    <w:spacing w:line="240" w:lineRule="atLeast"/>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rPr>
                    <w:t>设计距离</w:t>
                  </w:r>
                  <w:r>
                    <w:rPr>
                      <w:rFonts w:hint="default" w:ascii="Times New Roman" w:hAnsi="Times New Roman" w:eastAsia="宋体" w:cs="Times New Roman"/>
                      <w:b/>
                      <w:bCs/>
                      <w:color w:val="auto"/>
                      <w:kern w:val="0"/>
                      <w:sz w:val="21"/>
                      <w:szCs w:val="21"/>
                      <w:lang w:val="en-US" w:eastAsia="zh-CN"/>
                    </w:rPr>
                    <w:t>m</w:t>
                  </w:r>
                </w:p>
              </w:tc>
              <w:tc>
                <w:tcPr>
                  <w:tcW w:w="1471" w:type="pct"/>
                  <w:tcBorders>
                    <w:tl2br w:val="nil"/>
                    <w:tr2bl w:val="nil"/>
                  </w:tcBorders>
                  <w:tcMar>
                    <w:left w:w="28" w:type="dxa"/>
                    <w:right w:w="28" w:type="dxa"/>
                  </w:tcMar>
                  <w:vAlign w:val="center"/>
                </w:tcPr>
                <w:p w14:paraId="7507D890">
                  <w:pPr>
                    <w:widowControl/>
                    <w:snapToGrid w:val="0"/>
                    <w:spacing w:line="240" w:lineRule="atLeast"/>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规范</w:t>
                  </w:r>
                  <w:r>
                    <w:rPr>
                      <w:rFonts w:hint="default" w:ascii="Times New Roman" w:hAnsi="Times New Roman" w:eastAsia="宋体" w:cs="Times New Roman"/>
                      <w:b/>
                      <w:bCs/>
                      <w:color w:val="auto"/>
                      <w:kern w:val="0"/>
                      <w:sz w:val="21"/>
                      <w:szCs w:val="21"/>
                    </w:rPr>
                    <w:t>条款/距离</w:t>
                  </w:r>
                  <w:r>
                    <w:rPr>
                      <w:rFonts w:hint="default" w:ascii="Times New Roman" w:hAnsi="Times New Roman" w:eastAsia="宋体" w:cs="Times New Roman"/>
                      <w:b/>
                      <w:bCs/>
                      <w:color w:val="auto"/>
                      <w:kern w:val="0"/>
                      <w:sz w:val="21"/>
                      <w:szCs w:val="21"/>
                      <w:lang w:val="en-US" w:eastAsia="zh-CN"/>
                    </w:rPr>
                    <w:t>m</w:t>
                  </w:r>
                </w:p>
              </w:tc>
              <w:tc>
                <w:tcPr>
                  <w:tcW w:w="387" w:type="pct"/>
                  <w:tcBorders>
                    <w:tl2br w:val="nil"/>
                    <w:tr2bl w:val="nil"/>
                  </w:tcBorders>
                  <w:tcMar>
                    <w:left w:w="28" w:type="dxa"/>
                    <w:right w:w="28" w:type="dxa"/>
                  </w:tcMar>
                  <w:vAlign w:val="center"/>
                </w:tcPr>
                <w:p w14:paraId="062DDEED">
                  <w:pPr>
                    <w:widowControl/>
                    <w:snapToGrid w:val="0"/>
                    <w:spacing w:line="240" w:lineRule="atLeas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结论</w:t>
                  </w:r>
                </w:p>
              </w:tc>
            </w:tr>
            <w:tr w14:paraId="2CE298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4" w:type="pct"/>
                  <w:vMerge w:val="restart"/>
                  <w:tcBorders>
                    <w:tl2br w:val="nil"/>
                    <w:tr2bl w:val="nil"/>
                  </w:tcBorders>
                  <w:tcMar>
                    <w:left w:w="28" w:type="dxa"/>
                    <w:right w:w="28" w:type="dxa"/>
                  </w:tcMar>
                  <w:vAlign w:val="center"/>
                </w:tcPr>
                <w:p w14:paraId="14002EAF">
                  <w:pPr>
                    <w:widowControl/>
                    <w:snapToGrid w:val="0"/>
                    <w:spacing w:line="240" w:lineRule="atLeas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602" w:type="pct"/>
                  <w:vMerge w:val="restart"/>
                  <w:tcBorders>
                    <w:tl2br w:val="nil"/>
                    <w:tr2bl w:val="nil"/>
                  </w:tcBorders>
                  <w:tcMar>
                    <w:left w:w="28" w:type="dxa"/>
                    <w:right w:w="28" w:type="dxa"/>
                  </w:tcMar>
                  <w:vAlign w:val="center"/>
                </w:tcPr>
                <w:p w14:paraId="6544CED3">
                  <w:pPr>
                    <w:pStyle w:val="87"/>
                    <w:wordWrap/>
                    <w:adjustRightInd/>
                    <w:spacing w:after="0" w:line="0" w:lineRule="atLeast"/>
                    <w:ind w:left="0" w:leftChars="0" w:firstLine="0" w:firstLineChars="0"/>
                    <w:jc w:val="center"/>
                    <w:textAlignment w:val="auto"/>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sz w:val="21"/>
                      <w:szCs w:val="21"/>
                    </w:rPr>
                    <w:t>液氯集装箱装卸场地（</w:t>
                  </w:r>
                  <w:r>
                    <w:rPr>
                      <w:rFonts w:hint="default" w:ascii="Times New Roman" w:hAnsi="Times New Roman" w:eastAsia="宋体" w:cs="Times New Roman"/>
                      <w:color w:val="auto"/>
                      <w:sz w:val="21"/>
                      <w:szCs w:val="21"/>
                      <w:lang w:val="en-US" w:eastAsia="zh-CN"/>
                    </w:rPr>
                    <w:t>乙类</w:t>
                  </w:r>
                  <w:r>
                    <w:rPr>
                      <w:rFonts w:hint="default" w:ascii="Times New Roman" w:hAnsi="Times New Roman" w:eastAsia="宋体" w:cs="Times New Roman"/>
                      <w:color w:val="auto"/>
                      <w:sz w:val="21"/>
                      <w:szCs w:val="21"/>
                    </w:rPr>
                    <w:t>）</w:t>
                  </w:r>
                </w:p>
              </w:tc>
              <w:tc>
                <w:tcPr>
                  <w:tcW w:w="309" w:type="pct"/>
                  <w:vMerge w:val="restart"/>
                  <w:tcBorders>
                    <w:tl2br w:val="nil"/>
                    <w:tr2bl w:val="nil"/>
                  </w:tcBorders>
                  <w:tcMar>
                    <w:left w:w="28" w:type="dxa"/>
                    <w:right w:w="28" w:type="dxa"/>
                  </w:tcMar>
                  <w:vAlign w:val="center"/>
                </w:tcPr>
                <w:p w14:paraId="7A2F4D83">
                  <w:pPr>
                    <w:widowControl/>
                    <w:snapToGrid w:val="0"/>
                    <w:spacing w:line="240" w:lineRule="atLeas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二级</w:t>
                  </w:r>
                </w:p>
              </w:tc>
              <w:tc>
                <w:tcPr>
                  <w:tcW w:w="303" w:type="pct"/>
                  <w:vMerge w:val="restart"/>
                  <w:tcBorders>
                    <w:tl2br w:val="nil"/>
                    <w:tr2bl w:val="nil"/>
                  </w:tcBorders>
                  <w:tcMar>
                    <w:left w:w="28" w:type="dxa"/>
                    <w:right w:w="28" w:type="dxa"/>
                  </w:tcMar>
                  <w:vAlign w:val="center"/>
                </w:tcPr>
                <w:p w14:paraId="05A646CB">
                  <w:pPr>
                    <w:widowControl/>
                    <w:snapToGrid w:val="0"/>
                    <w:spacing w:line="240" w:lineRule="atLeas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东</w:t>
                  </w:r>
                </w:p>
              </w:tc>
              <w:tc>
                <w:tcPr>
                  <w:tcW w:w="1185" w:type="pct"/>
                  <w:tcBorders>
                    <w:tl2br w:val="nil"/>
                    <w:tr2bl w:val="nil"/>
                  </w:tcBorders>
                  <w:tcMar>
                    <w:left w:w="28" w:type="dxa"/>
                    <w:right w:w="28" w:type="dxa"/>
                  </w:tcMar>
                  <w:vAlign w:val="center"/>
                </w:tcPr>
                <w:p w14:paraId="1A97F60F">
                  <w:pPr>
                    <w:widowControl/>
                    <w:snapToGrid w:val="0"/>
                    <w:spacing w:line="240" w:lineRule="atLeast"/>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办公楼</w:t>
                  </w:r>
                </w:p>
              </w:tc>
              <w:tc>
                <w:tcPr>
                  <w:tcW w:w="426" w:type="pct"/>
                  <w:tcBorders>
                    <w:tl2br w:val="nil"/>
                    <w:tr2bl w:val="nil"/>
                  </w:tcBorders>
                  <w:tcMar>
                    <w:left w:w="28" w:type="dxa"/>
                    <w:right w:w="28" w:type="dxa"/>
                  </w:tcMar>
                  <w:vAlign w:val="center"/>
                </w:tcPr>
                <w:p w14:paraId="5943B037">
                  <w:pPr>
                    <w:widowControl/>
                    <w:snapToGrid w:val="0"/>
                    <w:spacing w:line="240" w:lineRule="atLeas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33.2</w:t>
                  </w:r>
                </w:p>
              </w:tc>
              <w:tc>
                <w:tcPr>
                  <w:tcW w:w="1471" w:type="pct"/>
                  <w:tcBorders>
                    <w:tl2br w:val="nil"/>
                    <w:tr2bl w:val="nil"/>
                  </w:tcBorders>
                  <w:tcMar>
                    <w:left w:w="28" w:type="dxa"/>
                    <w:right w:w="28" w:type="dxa"/>
                  </w:tcMar>
                  <w:vAlign w:val="center"/>
                </w:tcPr>
                <w:p w14:paraId="769F147D">
                  <w:pPr>
                    <w:widowControl/>
                    <w:snapToGrid w:val="0"/>
                    <w:spacing w:line="240" w:lineRule="atLeas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GB51283表4.2.9/</w:t>
                  </w:r>
                  <w:r>
                    <w:rPr>
                      <w:rFonts w:hint="default" w:ascii="Times New Roman" w:hAnsi="Times New Roman" w:eastAsia="宋体" w:cs="Times New Roman"/>
                      <w:color w:val="auto"/>
                      <w:kern w:val="0"/>
                      <w:sz w:val="21"/>
                      <w:szCs w:val="21"/>
                      <w:lang w:val="en-US" w:eastAsia="zh-CN"/>
                    </w:rPr>
                    <w:t>25</w:t>
                  </w:r>
                </w:p>
              </w:tc>
              <w:tc>
                <w:tcPr>
                  <w:tcW w:w="387" w:type="pct"/>
                  <w:tcBorders>
                    <w:tl2br w:val="nil"/>
                    <w:tr2bl w:val="nil"/>
                  </w:tcBorders>
                  <w:tcMar>
                    <w:left w:w="28" w:type="dxa"/>
                    <w:right w:w="28" w:type="dxa"/>
                  </w:tcMar>
                  <w:vAlign w:val="center"/>
                </w:tcPr>
                <w:p w14:paraId="01BC8CCA">
                  <w:pPr>
                    <w:widowControl/>
                    <w:snapToGrid w:val="0"/>
                    <w:spacing w:line="240" w:lineRule="atLeas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19F87C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4" w:type="pct"/>
                  <w:vMerge w:val="continue"/>
                  <w:tcBorders>
                    <w:tl2br w:val="nil"/>
                    <w:tr2bl w:val="nil"/>
                  </w:tcBorders>
                  <w:tcMar>
                    <w:left w:w="28" w:type="dxa"/>
                    <w:right w:w="28" w:type="dxa"/>
                  </w:tcMar>
                  <w:vAlign w:val="center"/>
                </w:tcPr>
                <w:p w14:paraId="67004DB2">
                  <w:pPr>
                    <w:widowControl/>
                    <w:snapToGrid w:val="0"/>
                    <w:spacing w:line="240" w:lineRule="atLeast"/>
                    <w:jc w:val="center"/>
                    <w:rPr>
                      <w:rFonts w:hint="default" w:ascii="Times New Roman" w:hAnsi="Times New Roman" w:eastAsia="宋体" w:cs="Times New Roman"/>
                      <w:color w:val="auto"/>
                      <w:kern w:val="0"/>
                      <w:sz w:val="21"/>
                      <w:szCs w:val="21"/>
                    </w:rPr>
                  </w:pPr>
                </w:p>
              </w:tc>
              <w:tc>
                <w:tcPr>
                  <w:tcW w:w="602" w:type="pct"/>
                  <w:vMerge w:val="continue"/>
                  <w:tcBorders>
                    <w:tl2br w:val="nil"/>
                    <w:tr2bl w:val="nil"/>
                  </w:tcBorders>
                  <w:tcMar>
                    <w:left w:w="28" w:type="dxa"/>
                    <w:right w:w="28" w:type="dxa"/>
                  </w:tcMar>
                  <w:vAlign w:val="center"/>
                </w:tcPr>
                <w:p w14:paraId="7B19FBC8">
                  <w:pPr>
                    <w:pStyle w:val="87"/>
                    <w:wordWrap/>
                    <w:adjustRightInd/>
                    <w:spacing w:after="0" w:line="0" w:lineRule="atLeast"/>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309" w:type="pct"/>
                  <w:vMerge w:val="continue"/>
                  <w:tcBorders>
                    <w:tl2br w:val="nil"/>
                    <w:tr2bl w:val="nil"/>
                  </w:tcBorders>
                  <w:tcMar>
                    <w:left w:w="28" w:type="dxa"/>
                    <w:right w:w="28" w:type="dxa"/>
                  </w:tcMar>
                  <w:vAlign w:val="center"/>
                </w:tcPr>
                <w:p w14:paraId="1F678DAC">
                  <w:pPr>
                    <w:widowControl/>
                    <w:snapToGrid w:val="0"/>
                    <w:spacing w:line="240" w:lineRule="atLeast"/>
                    <w:jc w:val="center"/>
                    <w:rPr>
                      <w:rFonts w:hint="default" w:ascii="Times New Roman" w:hAnsi="Times New Roman" w:eastAsia="宋体" w:cs="Times New Roman"/>
                      <w:color w:val="auto"/>
                      <w:kern w:val="0"/>
                      <w:sz w:val="21"/>
                      <w:szCs w:val="21"/>
                    </w:rPr>
                  </w:pPr>
                </w:p>
              </w:tc>
              <w:tc>
                <w:tcPr>
                  <w:tcW w:w="303" w:type="pct"/>
                  <w:vMerge w:val="continue"/>
                  <w:tcBorders>
                    <w:tl2br w:val="nil"/>
                    <w:tr2bl w:val="nil"/>
                  </w:tcBorders>
                  <w:tcMar>
                    <w:left w:w="28" w:type="dxa"/>
                    <w:right w:w="28" w:type="dxa"/>
                  </w:tcMar>
                  <w:vAlign w:val="center"/>
                </w:tcPr>
                <w:p w14:paraId="35584EC4">
                  <w:pPr>
                    <w:widowControl/>
                    <w:snapToGrid w:val="0"/>
                    <w:spacing w:line="240" w:lineRule="atLeast"/>
                    <w:jc w:val="center"/>
                    <w:rPr>
                      <w:rFonts w:hint="default" w:ascii="Times New Roman" w:hAnsi="Times New Roman" w:eastAsia="宋体" w:cs="Times New Roman"/>
                      <w:color w:val="auto"/>
                      <w:kern w:val="0"/>
                      <w:sz w:val="21"/>
                      <w:szCs w:val="21"/>
                    </w:rPr>
                  </w:pPr>
                </w:p>
              </w:tc>
              <w:tc>
                <w:tcPr>
                  <w:tcW w:w="1185" w:type="pct"/>
                  <w:tcBorders>
                    <w:tl2br w:val="nil"/>
                    <w:tr2bl w:val="nil"/>
                  </w:tcBorders>
                  <w:tcMar>
                    <w:left w:w="28" w:type="dxa"/>
                    <w:right w:w="28" w:type="dxa"/>
                  </w:tcMar>
                  <w:vAlign w:val="center"/>
                </w:tcPr>
                <w:p w14:paraId="20EEFF0A">
                  <w:pPr>
                    <w:widowControl/>
                    <w:snapToGrid w:val="0"/>
                    <w:spacing w:line="240" w:lineRule="atLeas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五氯化磷生产单元（乙类）</w:t>
                  </w:r>
                </w:p>
              </w:tc>
              <w:tc>
                <w:tcPr>
                  <w:tcW w:w="426" w:type="pct"/>
                  <w:tcBorders>
                    <w:tl2br w:val="nil"/>
                    <w:tr2bl w:val="nil"/>
                  </w:tcBorders>
                  <w:tcMar>
                    <w:left w:w="28" w:type="dxa"/>
                    <w:right w:w="28" w:type="dxa"/>
                  </w:tcMar>
                  <w:vAlign w:val="center"/>
                </w:tcPr>
                <w:p w14:paraId="1BB5A5EE">
                  <w:pPr>
                    <w:widowControl/>
                    <w:snapToGrid w:val="0"/>
                    <w:spacing w:line="240" w:lineRule="atLeas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pacing w:val="-8"/>
                      <w:kern w:val="0"/>
                      <w:sz w:val="21"/>
                      <w:szCs w:val="21"/>
                    </w:rPr>
                    <w:t>28.7</w:t>
                  </w:r>
                </w:p>
              </w:tc>
              <w:tc>
                <w:tcPr>
                  <w:tcW w:w="1471" w:type="pct"/>
                  <w:tcBorders>
                    <w:tl2br w:val="nil"/>
                    <w:tr2bl w:val="nil"/>
                  </w:tcBorders>
                  <w:tcMar>
                    <w:left w:w="28" w:type="dxa"/>
                    <w:right w:w="28" w:type="dxa"/>
                  </w:tcMar>
                  <w:vAlign w:val="center"/>
                </w:tcPr>
                <w:p w14:paraId="493F86AB">
                  <w:pPr>
                    <w:widowControl/>
                    <w:snapToGrid w:val="0"/>
                    <w:spacing w:line="240" w:lineRule="atLeas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表4.2.9/10m</w:t>
                  </w:r>
                </w:p>
              </w:tc>
              <w:tc>
                <w:tcPr>
                  <w:tcW w:w="387" w:type="pct"/>
                  <w:tcBorders>
                    <w:tl2br w:val="nil"/>
                    <w:tr2bl w:val="nil"/>
                  </w:tcBorders>
                  <w:tcMar>
                    <w:left w:w="28" w:type="dxa"/>
                    <w:right w:w="28" w:type="dxa"/>
                  </w:tcMar>
                  <w:vAlign w:val="center"/>
                </w:tcPr>
                <w:p w14:paraId="652C6A02">
                  <w:pPr>
                    <w:widowControl/>
                    <w:snapToGrid w:val="0"/>
                    <w:spacing w:line="240" w:lineRule="atLeas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64918A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4" w:type="pct"/>
                  <w:vMerge w:val="continue"/>
                  <w:tcBorders>
                    <w:tl2br w:val="nil"/>
                    <w:tr2bl w:val="nil"/>
                  </w:tcBorders>
                  <w:tcMar>
                    <w:left w:w="28" w:type="dxa"/>
                    <w:right w:w="28" w:type="dxa"/>
                  </w:tcMar>
                  <w:vAlign w:val="center"/>
                </w:tcPr>
                <w:p w14:paraId="5CF4335E">
                  <w:pPr>
                    <w:widowControl/>
                    <w:snapToGrid w:val="0"/>
                    <w:spacing w:line="240" w:lineRule="atLeast"/>
                    <w:jc w:val="center"/>
                    <w:rPr>
                      <w:rFonts w:hint="default" w:ascii="Times New Roman" w:hAnsi="Times New Roman" w:eastAsia="宋体" w:cs="Times New Roman"/>
                      <w:color w:val="auto"/>
                      <w:kern w:val="0"/>
                      <w:sz w:val="21"/>
                      <w:szCs w:val="21"/>
                    </w:rPr>
                  </w:pPr>
                </w:p>
              </w:tc>
              <w:tc>
                <w:tcPr>
                  <w:tcW w:w="602" w:type="pct"/>
                  <w:vMerge w:val="continue"/>
                  <w:tcBorders>
                    <w:tl2br w:val="nil"/>
                    <w:tr2bl w:val="nil"/>
                  </w:tcBorders>
                  <w:tcMar>
                    <w:left w:w="28" w:type="dxa"/>
                    <w:right w:w="28" w:type="dxa"/>
                  </w:tcMar>
                  <w:vAlign w:val="center"/>
                </w:tcPr>
                <w:p w14:paraId="50DE211D">
                  <w:pPr>
                    <w:pStyle w:val="87"/>
                    <w:wordWrap/>
                    <w:adjustRightInd/>
                    <w:spacing w:after="0" w:line="0" w:lineRule="atLeast"/>
                    <w:ind w:left="0" w:lef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309" w:type="pct"/>
                  <w:vMerge w:val="continue"/>
                  <w:tcBorders>
                    <w:tl2br w:val="nil"/>
                    <w:tr2bl w:val="nil"/>
                  </w:tcBorders>
                  <w:tcMar>
                    <w:left w:w="28" w:type="dxa"/>
                    <w:right w:w="28" w:type="dxa"/>
                  </w:tcMar>
                  <w:vAlign w:val="center"/>
                </w:tcPr>
                <w:p w14:paraId="6F7A1E6F">
                  <w:pPr>
                    <w:widowControl/>
                    <w:snapToGrid w:val="0"/>
                    <w:spacing w:line="240" w:lineRule="atLeast"/>
                    <w:jc w:val="center"/>
                    <w:rPr>
                      <w:rFonts w:hint="default" w:ascii="Times New Roman" w:hAnsi="Times New Roman" w:eastAsia="宋体" w:cs="Times New Roman"/>
                      <w:color w:val="auto"/>
                      <w:kern w:val="0"/>
                      <w:sz w:val="21"/>
                      <w:szCs w:val="21"/>
                    </w:rPr>
                  </w:pPr>
                </w:p>
              </w:tc>
              <w:tc>
                <w:tcPr>
                  <w:tcW w:w="303" w:type="pct"/>
                  <w:vMerge w:val="continue"/>
                  <w:tcBorders>
                    <w:tl2br w:val="nil"/>
                    <w:tr2bl w:val="nil"/>
                  </w:tcBorders>
                  <w:tcMar>
                    <w:left w:w="28" w:type="dxa"/>
                    <w:right w:w="28" w:type="dxa"/>
                  </w:tcMar>
                  <w:vAlign w:val="center"/>
                </w:tcPr>
                <w:p w14:paraId="7FCBDB9C">
                  <w:pPr>
                    <w:widowControl/>
                    <w:snapToGrid w:val="0"/>
                    <w:spacing w:line="240" w:lineRule="atLeast"/>
                    <w:jc w:val="center"/>
                    <w:rPr>
                      <w:rFonts w:hint="default" w:ascii="Times New Roman" w:hAnsi="Times New Roman" w:eastAsia="宋体" w:cs="Times New Roman"/>
                      <w:color w:val="auto"/>
                      <w:kern w:val="0"/>
                      <w:sz w:val="21"/>
                      <w:szCs w:val="21"/>
                    </w:rPr>
                  </w:pPr>
                </w:p>
              </w:tc>
              <w:tc>
                <w:tcPr>
                  <w:tcW w:w="1185" w:type="pct"/>
                  <w:tcBorders>
                    <w:tl2br w:val="nil"/>
                    <w:tr2bl w:val="nil"/>
                  </w:tcBorders>
                  <w:tcMar>
                    <w:left w:w="28" w:type="dxa"/>
                    <w:right w:w="28" w:type="dxa"/>
                  </w:tcMar>
                  <w:vAlign w:val="center"/>
                </w:tcPr>
                <w:p w14:paraId="5B01D0A3">
                  <w:pPr>
                    <w:pStyle w:val="3935"/>
                    <w:snapToGrid w:val="0"/>
                    <w:spacing w:before="0" w:beforeAutospacing="0" w:after="0" w:afterAutospacing="0"/>
                    <w:ind w:left="0" w:leftChars="0" w:right="0"/>
                    <w:jc w:val="center"/>
                    <w:rPr>
                      <w:rFonts w:hint="default" w:ascii="Times New Roman" w:hAnsi="Times New Roman" w:eastAsia="宋体" w:cs="Times New Roman"/>
                      <w:b w:val="0"/>
                      <w:bCs/>
                      <w:color w:val="auto"/>
                      <w:kern w:val="28"/>
                      <w:sz w:val="21"/>
                      <w:szCs w:val="21"/>
                      <w:lang w:val="en-US" w:eastAsia="zh-CN" w:bidi="ar-SA"/>
                    </w:rPr>
                  </w:pPr>
                  <w:r>
                    <w:rPr>
                      <w:rFonts w:hint="default" w:ascii="Times New Roman" w:hAnsi="Times New Roman" w:eastAsia="宋体" w:cs="Times New Roman"/>
                      <w:color w:val="auto"/>
                      <w:sz w:val="21"/>
                      <w:szCs w:val="21"/>
                    </w:rPr>
                    <w:t>丁类仓库</w:t>
                  </w:r>
                </w:p>
              </w:tc>
              <w:tc>
                <w:tcPr>
                  <w:tcW w:w="426" w:type="pct"/>
                  <w:tcBorders>
                    <w:tl2br w:val="nil"/>
                    <w:tr2bl w:val="nil"/>
                  </w:tcBorders>
                  <w:tcMar>
                    <w:left w:w="28" w:type="dxa"/>
                    <w:right w:w="28" w:type="dxa"/>
                  </w:tcMar>
                  <w:vAlign w:val="center"/>
                </w:tcPr>
                <w:p w14:paraId="39DEE429">
                  <w:pPr>
                    <w:pStyle w:val="3935"/>
                    <w:snapToGrid w:val="0"/>
                    <w:spacing w:before="0" w:beforeAutospacing="0" w:after="0" w:afterAutospacing="0"/>
                    <w:ind w:left="0" w:leftChars="0" w:right="0"/>
                    <w:jc w:val="center"/>
                    <w:rPr>
                      <w:rFonts w:hint="default" w:ascii="Times New Roman" w:hAnsi="Times New Roman" w:eastAsia="宋体" w:cs="Times New Roman"/>
                      <w:b w:val="0"/>
                      <w:bCs/>
                      <w:color w:val="auto"/>
                      <w:kern w:val="28"/>
                      <w:sz w:val="21"/>
                      <w:szCs w:val="21"/>
                      <w:lang w:val="en-US" w:eastAsia="zh-CN" w:bidi="ar-SA"/>
                    </w:rPr>
                  </w:pPr>
                  <w:r>
                    <w:rPr>
                      <w:rFonts w:hint="default" w:ascii="Times New Roman" w:hAnsi="Times New Roman" w:eastAsia="宋体" w:cs="Times New Roman"/>
                      <w:color w:val="auto"/>
                      <w:sz w:val="21"/>
                      <w:szCs w:val="21"/>
                    </w:rPr>
                    <w:t>21.6</w:t>
                  </w:r>
                </w:p>
              </w:tc>
              <w:tc>
                <w:tcPr>
                  <w:tcW w:w="1471" w:type="pct"/>
                  <w:tcBorders>
                    <w:tl2br w:val="nil"/>
                    <w:tr2bl w:val="nil"/>
                  </w:tcBorders>
                  <w:tcMar>
                    <w:left w:w="28" w:type="dxa"/>
                    <w:right w:w="28" w:type="dxa"/>
                  </w:tcMar>
                  <w:vAlign w:val="center"/>
                </w:tcPr>
                <w:p w14:paraId="34F638B5">
                  <w:pPr>
                    <w:widowControl/>
                    <w:snapToGrid w:val="0"/>
                    <w:spacing w:line="240" w:lineRule="atLeast"/>
                    <w:jc w:val="center"/>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rPr>
                    <w:t>GB51283表</w:t>
                  </w:r>
                  <w:r>
                    <w:rPr>
                      <w:rFonts w:hint="default" w:ascii="Times New Roman" w:hAnsi="Times New Roman" w:eastAsia="宋体" w:cs="Times New Roman"/>
                      <w:color w:val="auto"/>
                      <w:kern w:val="0"/>
                      <w:sz w:val="21"/>
                      <w:szCs w:val="21"/>
                      <w:lang w:val="en-US" w:eastAsia="zh-CN"/>
                    </w:rPr>
                    <w:t>4.2.9</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10</w:t>
                  </w:r>
                </w:p>
              </w:tc>
              <w:tc>
                <w:tcPr>
                  <w:tcW w:w="387" w:type="pct"/>
                  <w:tcBorders>
                    <w:tl2br w:val="nil"/>
                    <w:tr2bl w:val="nil"/>
                  </w:tcBorders>
                  <w:tcMar>
                    <w:left w:w="28" w:type="dxa"/>
                    <w:right w:w="28" w:type="dxa"/>
                  </w:tcMar>
                  <w:vAlign w:val="center"/>
                </w:tcPr>
                <w:p w14:paraId="42614FBB">
                  <w:pPr>
                    <w:widowControl/>
                    <w:snapToGrid w:val="0"/>
                    <w:spacing w:line="240" w:lineRule="atLeas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730FF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4" w:type="pct"/>
                  <w:vMerge w:val="continue"/>
                  <w:tcBorders>
                    <w:tl2br w:val="nil"/>
                    <w:tr2bl w:val="nil"/>
                  </w:tcBorders>
                  <w:tcMar>
                    <w:left w:w="28" w:type="dxa"/>
                    <w:right w:w="28" w:type="dxa"/>
                  </w:tcMar>
                  <w:vAlign w:val="center"/>
                </w:tcPr>
                <w:p w14:paraId="2532D626">
                  <w:pPr>
                    <w:widowControl/>
                    <w:snapToGrid w:val="0"/>
                    <w:spacing w:line="240" w:lineRule="atLeast"/>
                    <w:jc w:val="center"/>
                    <w:rPr>
                      <w:rFonts w:hint="default" w:ascii="Times New Roman" w:hAnsi="Times New Roman" w:eastAsia="宋体" w:cs="Times New Roman"/>
                      <w:color w:val="auto"/>
                      <w:kern w:val="0"/>
                      <w:sz w:val="21"/>
                      <w:szCs w:val="21"/>
                    </w:rPr>
                  </w:pPr>
                </w:p>
              </w:tc>
              <w:tc>
                <w:tcPr>
                  <w:tcW w:w="602" w:type="pct"/>
                  <w:vMerge w:val="continue"/>
                  <w:tcBorders>
                    <w:tl2br w:val="nil"/>
                    <w:tr2bl w:val="nil"/>
                  </w:tcBorders>
                  <w:tcMar>
                    <w:left w:w="28" w:type="dxa"/>
                    <w:right w:w="28" w:type="dxa"/>
                  </w:tcMar>
                  <w:vAlign w:val="center"/>
                </w:tcPr>
                <w:p w14:paraId="7A5018DB">
                  <w:pPr>
                    <w:widowControl/>
                    <w:snapToGrid w:val="0"/>
                    <w:spacing w:line="240" w:lineRule="atLeast"/>
                    <w:jc w:val="center"/>
                    <w:rPr>
                      <w:rFonts w:hint="default" w:ascii="Times New Roman" w:hAnsi="Times New Roman" w:eastAsia="宋体" w:cs="Times New Roman"/>
                      <w:color w:val="auto"/>
                      <w:kern w:val="0"/>
                      <w:sz w:val="21"/>
                      <w:szCs w:val="21"/>
                    </w:rPr>
                  </w:pPr>
                </w:p>
              </w:tc>
              <w:tc>
                <w:tcPr>
                  <w:tcW w:w="309" w:type="pct"/>
                  <w:vMerge w:val="continue"/>
                  <w:tcBorders>
                    <w:tl2br w:val="nil"/>
                    <w:tr2bl w:val="nil"/>
                  </w:tcBorders>
                  <w:tcMar>
                    <w:left w:w="28" w:type="dxa"/>
                    <w:right w:w="28" w:type="dxa"/>
                  </w:tcMar>
                  <w:vAlign w:val="center"/>
                </w:tcPr>
                <w:p w14:paraId="6EEE51D1">
                  <w:pPr>
                    <w:widowControl/>
                    <w:snapToGrid w:val="0"/>
                    <w:spacing w:line="240" w:lineRule="atLeast"/>
                    <w:jc w:val="center"/>
                    <w:rPr>
                      <w:rFonts w:hint="default" w:ascii="Times New Roman" w:hAnsi="Times New Roman" w:eastAsia="宋体" w:cs="Times New Roman"/>
                      <w:color w:val="auto"/>
                      <w:kern w:val="0"/>
                      <w:sz w:val="21"/>
                      <w:szCs w:val="21"/>
                    </w:rPr>
                  </w:pPr>
                </w:p>
              </w:tc>
              <w:tc>
                <w:tcPr>
                  <w:tcW w:w="303" w:type="pct"/>
                  <w:tcBorders>
                    <w:tl2br w:val="nil"/>
                    <w:tr2bl w:val="nil"/>
                  </w:tcBorders>
                  <w:tcMar>
                    <w:left w:w="28" w:type="dxa"/>
                    <w:right w:w="28" w:type="dxa"/>
                  </w:tcMar>
                  <w:vAlign w:val="center"/>
                </w:tcPr>
                <w:p w14:paraId="6164B159">
                  <w:pPr>
                    <w:widowControl/>
                    <w:snapToGrid w:val="0"/>
                    <w:spacing w:line="240" w:lineRule="atLeas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南</w:t>
                  </w:r>
                </w:p>
              </w:tc>
              <w:tc>
                <w:tcPr>
                  <w:tcW w:w="1185" w:type="pct"/>
                  <w:tcBorders>
                    <w:tl2br w:val="nil"/>
                    <w:tr2bl w:val="nil"/>
                  </w:tcBorders>
                  <w:tcMar>
                    <w:left w:w="28" w:type="dxa"/>
                    <w:right w:w="28" w:type="dxa"/>
                  </w:tcMar>
                  <w:vAlign w:val="center"/>
                </w:tcPr>
                <w:p w14:paraId="630D8C59">
                  <w:pPr>
                    <w:widowControl/>
                    <w:snapToGrid w:val="0"/>
                    <w:spacing w:line="240" w:lineRule="atLeast"/>
                    <w:jc w:val="center"/>
                    <w:rPr>
                      <w:rFonts w:hint="default" w:ascii="Times New Roman" w:hAnsi="Times New Roman" w:eastAsia="宋体" w:cs="Times New Roman"/>
                      <w:b w:val="0"/>
                      <w:bCs/>
                      <w:color w:val="auto"/>
                      <w:kern w:val="28"/>
                      <w:sz w:val="21"/>
                      <w:szCs w:val="21"/>
                      <w:lang w:val="en-US" w:eastAsia="zh-CN" w:bidi="ar-SA"/>
                    </w:rPr>
                  </w:pPr>
                  <w:r>
                    <w:rPr>
                      <w:rFonts w:hint="default" w:ascii="Times New Roman" w:hAnsi="Times New Roman" w:eastAsia="宋体" w:cs="Times New Roman"/>
                      <w:color w:val="auto"/>
                      <w:kern w:val="0"/>
                      <w:sz w:val="21"/>
                      <w:szCs w:val="21"/>
                    </w:rPr>
                    <w:t>门卫一</w:t>
                  </w:r>
                </w:p>
              </w:tc>
              <w:tc>
                <w:tcPr>
                  <w:tcW w:w="426" w:type="pct"/>
                  <w:tcBorders>
                    <w:tl2br w:val="nil"/>
                    <w:tr2bl w:val="nil"/>
                  </w:tcBorders>
                  <w:tcMar>
                    <w:left w:w="28" w:type="dxa"/>
                    <w:right w:w="28" w:type="dxa"/>
                  </w:tcMar>
                  <w:vAlign w:val="center"/>
                </w:tcPr>
                <w:p w14:paraId="50425711">
                  <w:pPr>
                    <w:pStyle w:val="3935"/>
                    <w:snapToGrid w:val="0"/>
                    <w:spacing w:before="0" w:beforeAutospacing="0" w:after="0" w:afterAutospacing="0"/>
                    <w:ind w:left="0" w:leftChars="0" w:right="0"/>
                    <w:jc w:val="center"/>
                    <w:rPr>
                      <w:rFonts w:hint="default" w:ascii="Times New Roman" w:hAnsi="Times New Roman" w:eastAsia="宋体" w:cs="Times New Roman"/>
                      <w:b w:val="0"/>
                      <w:bCs/>
                      <w:color w:val="auto"/>
                      <w:kern w:val="28"/>
                      <w:sz w:val="21"/>
                      <w:szCs w:val="21"/>
                      <w:lang w:val="en-US" w:eastAsia="zh-CN" w:bidi="ar-SA"/>
                    </w:rPr>
                  </w:pPr>
                  <w:r>
                    <w:rPr>
                      <w:rFonts w:hint="default" w:ascii="Times New Roman" w:hAnsi="Times New Roman" w:eastAsia="宋体" w:cs="Times New Roman"/>
                      <w:color w:val="auto"/>
                      <w:sz w:val="21"/>
                      <w:szCs w:val="21"/>
                    </w:rPr>
                    <w:t>40.1</w:t>
                  </w:r>
                </w:p>
              </w:tc>
              <w:tc>
                <w:tcPr>
                  <w:tcW w:w="1471" w:type="pct"/>
                  <w:tcBorders>
                    <w:tl2br w:val="nil"/>
                    <w:tr2bl w:val="nil"/>
                  </w:tcBorders>
                  <w:tcMar>
                    <w:left w:w="28" w:type="dxa"/>
                    <w:right w:w="28" w:type="dxa"/>
                  </w:tcMar>
                  <w:vAlign w:val="center"/>
                </w:tcPr>
                <w:p w14:paraId="64BC915F">
                  <w:pPr>
                    <w:widowControl/>
                    <w:snapToGrid w:val="0"/>
                    <w:spacing w:line="240" w:lineRule="atLeas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pacing w:val="-8"/>
                      <w:kern w:val="0"/>
                      <w:sz w:val="21"/>
                      <w:szCs w:val="21"/>
                    </w:rPr>
                    <w:t>GB51283表</w:t>
                  </w:r>
                  <w:r>
                    <w:rPr>
                      <w:rFonts w:hint="default" w:ascii="Times New Roman" w:hAnsi="Times New Roman" w:eastAsia="宋体" w:cs="Times New Roman"/>
                      <w:color w:val="auto"/>
                      <w:kern w:val="0"/>
                      <w:sz w:val="21"/>
                      <w:szCs w:val="21"/>
                      <w:lang w:val="en-US" w:eastAsia="zh-CN"/>
                    </w:rPr>
                    <w:t>4.2.9</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15</w:t>
                  </w:r>
                </w:p>
              </w:tc>
              <w:tc>
                <w:tcPr>
                  <w:tcW w:w="387" w:type="pct"/>
                  <w:tcBorders>
                    <w:tl2br w:val="nil"/>
                    <w:tr2bl w:val="nil"/>
                  </w:tcBorders>
                  <w:tcMar>
                    <w:left w:w="28" w:type="dxa"/>
                    <w:right w:w="28" w:type="dxa"/>
                  </w:tcMar>
                  <w:vAlign w:val="center"/>
                </w:tcPr>
                <w:p w14:paraId="35D7736F">
                  <w:pPr>
                    <w:widowControl/>
                    <w:snapToGrid w:val="0"/>
                    <w:spacing w:line="240" w:lineRule="atLeas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2B35C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314" w:type="pct"/>
                  <w:vMerge w:val="continue"/>
                  <w:tcBorders>
                    <w:tl2br w:val="nil"/>
                    <w:tr2bl w:val="nil"/>
                  </w:tcBorders>
                  <w:tcMar>
                    <w:left w:w="28" w:type="dxa"/>
                    <w:right w:w="28" w:type="dxa"/>
                  </w:tcMar>
                  <w:vAlign w:val="center"/>
                </w:tcPr>
                <w:p w14:paraId="14C9E6AD">
                  <w:pPr>
                    <w:widowControl/>
                    <w:snapToGrid w:val="0"/>
                    <w:spacing w:line="240" w:lineRule="atLeast"/>
                    <w:jc w:val="center"/>
                    <w:rPr>
                      <w:rFonts w:hint="default" w:ascii="Times New Roman" w:hAnsi="Times New Roman" w:eastAsia="宋体" w:cs="Times New Roman"/>
                      <w:color w:val="auto"/>
                      <w:kern w:val="0"/>
                      <w:sz w:val="21"/>
                      <w:szCs w:val="21"/>
                    </w:rPr>
                  </w:pPr>
                </w:p>
              </w:tc>
              <w:tc>
                <w:tcPr>
                  <w:tcW w:w="602" w:type="pct"/>
                  <w:vMerge w:val="continue"/>
                  <w:tcBorders>
                    <w:tl2br w:val="nil"/>
                    <w:tr2bl w:val="nil"/>
                  </w:tcBorders>
                  <w:tcMar>
                    <w:left w:w="28" w:type="dxa"/>
                    <w:right w:w="28" w:type="dxa"/>
                  </w:tcMar>
                  <w:vAlign w:val="center"/>
                </w:tcPr>
                <w:p w14:paraId="62DC272F">
                  <w:pPr>
                    <w:widowControl/>
                    <w:snapToGrid w:val="0"/>
                    <w:spacing w:line="240" w:lineRule="atLeast"/>
                    <w:jc w:val="center"/>
                    <w:rPr>
                      <w:rFonts w:hint="default" w:ascii="Times New Roman" w:hAnsi="Times New Roman" w:eastAsia="宋体" w:cs="Times New Roman"/>
                      <w:color w:val="auto"/>
                      <w:kern w:val="0"/>
                      <w:sz w:val="21"/>
                      <w:szCs w:val="21"/>
                    </w:rPr>
                  </w:pPr>
                </w:p>
              </w:tc>
              <w:tc>
                <w:tcPr>
                  <w:tcW w:w="309" w:type="pct"/>
                  <w:vMerge w:val="continue"/>
                  <w:tcBorders>
                    <w:tl2br w:val="nil"/>
                    <w:tr2bl w:val="nil"/>
                  </w:tcBorders>
                  <w:tcMar>
                    <w:left w:w="28" w:type="dxa"/>
                    <w:right w:w="28" w:type="dxa"/>
                  </w:tcMar>
                  <w:vAlign w:val="center"/>
                </w:tcPr>
                <w:p w14:paraId="4C1F8AA9">
                  <w:pPr>
                    <w:widowControl/>
                    <w:snapToGrid w:val="0"/>
                    <w:spacing w:line="240" w:lineRule="atLeast"/>
                    <w:jc w:val="center"/>
                    <w:rPr>
                      <w:rFonts w:hint="default" w:ascii="Times New Roman" w:hAnsi="Times New Roman" w:eastAsia="宋体" w:cs="Times New Roman"/>
                      <w:color w:val="auto"/>
                      <w:kern w:val="0"/>
                      <w:sz w:val="21"/>
                      <w:szCs w:val="21"/>
                    </w:rPr>
                  </w:pPr>
                </w:p>
              </w:tc>
              <w:tc>
                <w:tcPr>
                  <w:tcW w:w="303" w:type="pct"/>
                  <w:tcBorders>
                    <w:tl2br w:val="nil"/>
                    <w:tr2bl w:val="nil"/>
                  </w:tcBorders>
                  <w:tcMar>
                    <w:left w:w="28" w:type="dxa"/>
                    <w:right w:w="28" w:type="dxa"/>
                  </w:tcMar>
                  <w:vAlign w:val="center"/>
                </w:tcPr>
                <w:p w14:paraId="3F0513E4">
                  <w:pPr>
                    <w:widowControl/>
                    <w:snapToGrid w:val="0"/>
                    <w:spacing w:line="240" w:lineRule="atLeas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西</w:t>
                  </w:r>
                </w:p>
              </w:tc>
              <w:tc>
                <w:tcPr>
                  <w:tcW w:w="1185" w:type="pct"/>
                  <w:tcBorders>
                    <w:tl2br w:val="nil"/>
                    <w:tr2bl w:val="nil"/>
                  </w:tcBorders>
                  <w:tcMar>
                    <w:left w:w="28" w:type="dxa"/>
                    <w:right w:w="28" w:type="dxa"/>
                  </w:tcMar>
                  <w:vAlign w:val="center"/>
                </w:tcPr>
                <w:p w14:paraId="6169FA8A">
                  <w:pPr>
                    <w:widowControl/>
                    <w:snapToGrid w:val="0"/>
                    <w:spacing w:line="240" w:lineRule="atLeast"/>
                    <w:jc w:val="center"/>
                    <w:rPr>
                      <w:rFonts w:hint="default" w:ascii="Times New Roman" w:hAnsi="Times New Roman" w:eastAsia="宋体" w:cs="Times New Roman"/>
                      <w:b w:val="0"/>
                      <w:bCs/>
                      <w:color w:val="auto"/>
                      <w:kern w:val="28"/>
                      <w:sz w:val="21"/>
                      <w:szCs w:val="21"/>
                      <w:lang w:val="en-US" w:eastAsia="zh-CN" w:bidi="ar-SA"/>
                    </w:rPr>
                  </w:pPr>
                  <w:r>
                    <w:rPr>
                      <w:rFonts w:hint="default" w:ascii="Times New Roman" w:hAnsi="Times New Roman" w:eastAsia="宋体" w:cs="Times New Roman"/>
                      <w:color w:val="auto"/>
                      <w:kern w:val="0"/>
                      <w:sz w:val="21"/>
                      <w:szCs w:val="21"/>
                    </w:rPr>
                    <w:t>液氧罐区（乙类）</w:t>
                  </w:r>
                </w:p>
              </w:tc>
              <w:tc>
                <w:tcPr>
                  <w:tcW w:w="426" w:type="pct"/>
                  <w:tcBorders>
                    <w:tl2br w:val="nil"/>
                    <w:tr2bl w:val="nil"/>
                  </w:tcBorders>
                  <w:tcMar>
                    <w:left w:w="28" w:type="dxa"/>
                    <w:right w:w="28" w:type="dxa"/>
                  </w:tcMar>
                  <w:vAlign w:val="center"/>
                </w:tcPr>
                <w:p w14:paraId="2B446B41">
                  <w:pPr>
                    <w:pStyle w:val="3935"/>
                    <w:snapToGrid w:val="0"/>
                    <w:spacing w:before="0" w:beforeAutospacing="0" w:after="0" w:afterAutospacing="0"/>
                    <w:ind w:left="0" w:leftChars="0" w:right="0"/>
                    <w:jc w:val="center"/>
                    <w:rPr>
                      <w:rFonts w:hint="default" w:ascii="Times New Roman" w:hAnsi="Times New Roman" w:eastAsia="宋体" w:cs="Times New Roman"/>
                      <w:b w:val="0"/>
                      <w:bCs/>
                      <w:color w:val="auto"/>
                      <w:kern w:val="28"/>
                      <w:sz w:val="21"/>
                      <w:szCs w:val="21"/>
                      <w:lang w:val="en-US" w:eastAsia="zh-CN" w:bidi="ar-SA"/>
                    </w:rPr>
                  </w:pPr>
                  <w:r>
                    <w:rPr>
                      <w:rFonts w:hint="default" w:ascii="Times New Roman" w:hAnsi="Times New Roman" w:eastAsia="宋体" w:cs="Times New Roman"/>
                      <w:color w:val="auto"/>
                      <w:sz w:val="21"/>
                      <w:szCs w:val="21"/>
                      <w:lang w:val="en-US" w:eastAsia="zh-CN"/>
                    </w:rPr>
                    <w:t>19.6</w:t>
                  </w:r>
                </w:p>
              </w:tc>
              <w:tc>
                <w:tcPr>
                  <w:tcW w:w="1471" w:type="pct"/>
                  <w:tcBorders>
                    <w:tl2br w:val="nil"/>
                    <w:tr2bl w:val="nil"/>
                  </w:tcBorders>
                  <w:tcMar>
                    <w:left w:w="28" w:type="dxa"/>
                    <w:right w:w="28" w:type="dxa"/>
                  </w:tcMar>
                  <w:vAlign w:val="center"/>
                </w:tcPr>
                <w:p w14:paraId="3D731540">
                  <w:pPr>
                    <w:widowControl/>
                    <w:snapToGrid w:val="0"/>
                    <w:spacing w:line="240" w:lineRule="atLeast"/>
                    <w:jc w:val="center"/>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spacing w:val="-8"/>
                      <w:kern w:val="0"/>
                      <w:sz w:val="21"/>
                      <w:szCs w:val="21"/>
                    </w:rPr>
                    <w:t>GB 50030表</w:t>
                  </w:r>
                  <w:r>
                    <w:rPr>
                      <w:rFonts w:hint="default" w:ascii="Times New Roman" w:hAnsi="Times New Roman" w:eastAsia="宋体" w:cs="Times New Roman"/>
                      <w:color w:val="auto"/>
                      <w:spacing w:val="-8"/>
                      <w:kern w:val="0"/>
                      <w:sz w:val="21"/>
                      <w:szCs w:val="21"/>
                      <w:lang w:val="en-US" w:eastAsia="zh-CN"/>
                    </w:rPr>
                    <w:t>3.0.4</w:t>
                  </w:r>
                  <w:r>
                    <w:rPr>
                      <w:rFonts w:hint="default" w:ascii="Times New Roman" w:hAnsi="Times New Roman" w:eastAsia="宋体" w:cs="Times New Roman"/>
                      <w:color w:val="auto"/>
                      <w:spacing w:val="-8"/>
                      <w:kern w:val="0"/>
                      <w:sz w:val="21"/>
                      <w:szCs w:val="21"/>
                    </w:rPr>
                    <w:t>/</w:t>
                  </w:r>
                  <w:r>
                    <w:rPr>
                      <w:rFonts w:hint="default" w:ascii="Times New Roman" w:hAnsi="Times New Roman" w:eastAsia="宋体" w:cs="Times New Roman"/>
                      <w:color w:val="auto"/>
                      <w:spacing w:val="-8"/>
                      <w:kern w:val="0"/>
                      <w:sz w:val="21"/>
                      <w:szCs w:val="21"/>
                      <w:lang w:val="en-US" w:eastAsia="zh-CN"/>
                    </w:rPr>
                    <w:t>14</w:t>
                  </w:r>
                </w:p>
              </w:tc>
              <w:tc>
                <w:tcPr>
                  <w:tcW w:w="387" w:type="pct"/>
                  <w:tcBorders>
                    <w:tl2br w:val="nil"/>
                    <w:tr2bl w:val="nil"/>
                  </w:tcBorders>
                  <w:tcMar>
                    <w:left w:w="28" w:type="dxa"/>
                    <w:right w:w="28" w:type="dxa"/>
                  </w:tcMar>
                  <w:vAlign w:val="center"/>
                </w:tcPr>
                <w:p w14:paraId="7192FC38">
                  <w:pPr>
                    <w:widowControl/>
                    <w:snapToGrid w:val="0"/>
                    <w:spacing w:line="240" w:lineRule="atLeas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0A217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4" w:type="pct"/>
                  <w:vMerge w:val="continue"/>
                  <w:tcBorders>
                    <w:tl2br w:val="nil"/>
                    <w:tr2bl w:val="nil"/>
                  </w:tcBorders>
                  <w:tcMar>
                    <w:left w:w="28" w:type="dxa"/>
                    <w:right w:w="28" w:type="dxa"/>
                  </w:tcMar>
                  <w:vAlign w:val="center"/>
                </w:tcPr>
                <w:p w14:paraId="4F8DEE08">
                  <w:pPr>
                    <w:widowControl/>
                    <w:snapToGrid w:val="0"/>
                    <w:spacing w:line="240" w:lineRule="atLeast"/>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tcMar>
                    <w:left w:w="28" w:type="dxa"/>
                    <w:right w:w="28" w:type="dxa"/>
                  </w:tcMar>
                  <w:vAlign w:val="center"/>
                </w:tcPr>
                <w:p w14:paraId="0025B7DA">
                  <w:pPr>
                    <w:widowControl/>
                    <w:snapToGrid w:val="0"/>
                    <w:spacing w:line="240" w:lineRule="atLeast"/>
                    <w:jc w:val="center"/>
                    <w:rPr>
                      <w:rFonts w:hint="default" w:ascii="Times New Roman" w:hAnsi="Times New Roman" w:eastAsia="宋体" w:cs="Times New Roman"/>
                      <w:color w:val="auto"/>
                      <w:sz w:val="21"/>
                      <w:szCs w:val="21"/>
                    </w:rPr>
                  </w:pPr>
                </w:p>
              </w:tc>
              <w:tc>
                <w:tcPr>
                  <w:tcW w:w="309" w:type="pct"/>
                  <w:vMerge w:val="continue"/>
                  <w:tcBorders>
                    <w:tl2br w:val="nil"/>
                    <w:tr2bl w:val="nil"/>
                  </w:tcBorders>
                  <w:tcMar>
                    <w:left w:w="28" w:type="dxa"/>
                    <w:right w:w="28" w:type="dxa"/>
                  </w:tcMar>
                  <w:vAlign w:val="center"/>
                </w:tcPr>
                <w:p w14:paraId="5CBE85A3">
                  <w:pPr>
                    <w:widowControl/>
                    <w:snapToGrid w:val="0"/>
                    <w:spacing w:line="240" w:lineRule="atLeast"/>
                    <w:jc w:val="center"/>
                    <w:rPr>
                      <w:rFonts w:hint="default" w:ascii="Times New Roman" w:hAnsi="Times New Roman" w:eastAsia="宋体" w:cs="Times New Roman"/>
                      <w:color w:val="auto"/>
                      <w:sz w:val="21"/>
                      <w:szCs w:val="21"/>
                    </w:rPr>
                  </w:pPr>
                </w:p>
              </w:tc>
              <w:tc>
                <w:tcPr>
                  <w:tcW w:w="303" w:type="pct"/>
                  <w:tcBorders>
                    <w:tl2br w:val="nil"/>
                    <w:tr2bl w:val="nil"/>
                  </w:tcBorders>
                  <w:tcMar>
                    <w:left w:w="28" w:type="dxa"/>
                    <w:right w:w="28" w:type="dxa"/>
                  </w:tcMar>
                  <w:vAlign w:val="center"/>
                </w:tcPr>
                <w:p w14:paraId="2A99F0F8">
                  <w:pPr>
                    <w:widowControl/>
                    <w:snapToGrid w:val="0"/>
                    <w:spacing w:line="240" w:lineRule="atLeas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北</w:t>
                  </w:r>
                </w:p>
              </w:tc>
              <w:tc>
                <w:tcPr>
                  <w:tcW w:w="1185" w:type="pct"/>
                  <w:tcBorders>
                    <w:tl2br w:val="nil"/>
                    <w:tr2bl w:val="nil"/>
                  </w:tcBorders>
                  <w:tcMar>
                    <w:left w:w="28" w:type="dxa"/>
                    <w:right w:w="28" w:type="dxa"/>
                  </w:tcMar>
                  <w:vAlign w:val="center"/>
                </w:tcPr>
                <w:p w14:paraId="224E8489">
                  <w:pPr>
                    <w:widowControl/>
                    <w:snapToGrid w:val="0"/>
                    <w:spacing w:line="240" w:lineRule="atLeast"/>
                    <w:jc w:val="center"/>
                    <w:rPr>
                      <w:rFonts w:hint="default" w:ascii="Times New Roman" w:hAnsi="Times New Roman" w:eastAsia="宋体" w:cs="Times New Roman"/>
                      <w:b w:val="0"/>
                      <w:bCs/>
                      <w:color w:val="auto"/>
                      <w:kern w:val="28"/>
                      <w:sz w:val="21"/>
                      <w:szCs w:val="21"/>
                      <w:lang w:val="en-US" w:eastAsia="zh-CN" w:bidi="ar-SA"/>
                    </w:rPr>
                  </w:pPr>
                  <w:r>
                    <w:rPr>
                      <w:rFonts w:hint="default" w:ascii="Times New Roman" w:hAnsi="Times New Roman" w:eastAsia="宋体" w:cs="Times New Roman"/>
                      <w:color w:val="auto"/>
                      <w:kern w:val="0"/>
                      <w:sz w:val="21"/>
                      <w:szCs w:val="21"/>
                    </w:rPr>
                    <w:t>三氯化磷/三氯氧磷车间（甲类）</w:t>
                  </w:r>
                </w:p>
              </w:tc>
              <w:tc>
                <w:tcPr>
                  <w:tcW w:w="426" w:type="pct"/>
                  <w:tcBorders>
                    <w:tl2br w:val="nil"/>
                    <w:tr2bl w:val="nil"/>
                  </w:tcBorders>
                  <w:tcMar>
                    <w:left w:w="28" w:type="dxa"/>
                    <w:right w:w="28" w:type="dxa"/>
                  </w:tcMar>
                  <w:vAlign w:val="center"/>
                </w:tcPr>
                <w:p w14:paraId="3B596341">
                  <w:pPr>
                    <w:pStyle w:val="3935"/>
                    <w:snapToGrid w:val="0"/>
                    <w:spacing w:before="0" w:beforeAutospacing="0" w:after="0" w:afterAutospacing="0"/>
                    <w:ind w:left="0" w:leftChars="0" w:right="0"/>
                    <w:jc w:val="center"/>
                    <w:rPr>
                      <w:rFonts w:hint="default" w:ascii="Times New Roman" w:hAnsi="Times New Roman" w:eastAsia="宋体" w:cs="Times New Roman"/>
                      <w:b w:val="0"/>
                      <w:bCs/>
                      <w:color w:val="auto"/>
                      <w:kern w:val="28"/>
                      <w:sz w:val="21"/>
                      <w:szCs w:val="21"/>
                      <w:lang w:val="en-US" w:eastAsia="zh-CN" w:bidi="ar-SA"/>
                    </w:rPr>
                  </w:pPr>
                  <w:r>
                    <w:rPr>
                      <w:rFonts w:hint="default" w:ascii="Times New Roman" w:hAnsi="Times New Roman" w:eastAsia="宋体" w:cs="Times New Roman"/>
                      <w:color w:val="auto"/>
                      <w:sz w:val="21"/>
                      <w:szCs w:val="21"/>
                    </w:rPr>
                    <w:t>23.4</w:t>
                  </w:r>
                </w:p>
              </w:tc>
              <w:tc>
                <w:tcPr>
                  <w:tcW w:w="1471" w:type="pct"/>
                  <w:tcBorders>
                    <w:tl2br w:val="nil"/>
                    <w:tr2bl w:val="nil"/>
                  </w:tcBorders>
                  <w:tcMar>
                    <w:left w:w="28" w:type="dxa"/>
                    <w:right w:w="28" w:type="dxa"/>
                  </w:tcMar>
                  <w:vAlign w:val="center"/>
                </w:tcPr>
                <w:p w14:paraId="4C5135D2">
                  <w:pPr>
                    <w:widowControl/>
                    <w:snapToGrid w:val="0"/>
                    <w:spacing w:line="240" w:lineRule="atLeast"/>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pacing w:val="-8"/>
                      <w:kern w:val="0"/>
                      <w:sz w:val="21"/>
                      <w:szCs w:val="21"/>
                    </w:rPr>
                    <w:t>GB51283</w:t>
                  </w:r>
                  <w:r>
                    <w:rPr>
                      <w:rFonts w:hint="default" w:ascii="Times New Roman" w:hAnsi="Times New Roman" w:eastAsia="宋体" w:cs="Times New Roman"/>
                      <w:color w:val="auto"/>
                      <w:kern w:val="0"/>
                      <w:sz w:val="21"/>
                      <w:szCs w:val="21"/>
                    </w:rPr>
                    <w:t>表4.2.9/1</w:t>
                  </w:r>
                  <w:r>
                    <w:rPr>
                      <w:rFonts w:hint="default" w:ascii="Times New Roman" w:hAnsi="Times New Roman" w:eastAsia="宋体" w:cs="Times New Roman"/>
                      <w:color w:val="auto"/>
                      <w:kern w:val="0"/>
                      <w:sz w:val="21"/>
                      <w:szCs w:val="21"/>
                      <w:lang w:val="en-US" w:eastAsia="zh-CN"/>
                    </w:rPr>
                    <w:t>8</w:t>
                  </w:r>
                </w:p>
              </w:tc>
              <w:tc>
                <w:tcPr>
                  <w:tcW w:w="387" w:type="pct"/>
                  <w:tcBorders>
                    <w:tl2br w:val="nil"/>
                    <w:tr2bl w:val="nil"/>
                  </w:tcBorders>
                  <w:tcMar>
                    <w:left w:w="28" w:type="dxa"/>
                    <w:right w:w="28" w:type="dxa"/>
                  </w:tcMar>
                  <w:vAlign w:val="center"/>
                </w:tcPr>
                <w:p w14:paraId="1E499711">
                  <w:pPr>
                    <w:widowControl/>
                    <w:snapToGrid w:val="0"/>
                    <w:spacing w:line="240" w:lineRule="atLeas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2E28CF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4" w:type="pct"/>
                  <w:vMerge w:val="restart"/>
                  <w:tcBorders>
                    <w:tl2br w:val="nil"/>
                    <w:tr2bl w:val="nil"/>
                  </w:tcBorders>
                  <w:tcMar>
                    <w:left w:w="28" w:type="dxa"/>
                    <w:right w:w="28" w:type="dxa"/>
                  </w:tcMar>
                  <w:vAlign w:val="center"/>
                </w:tcPr>
                <w:p w14:paraId="43038B43">
                  <w:pPr>
                    <w:widowControl/>
                    <w:snapToGrid w:val="0"/>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02" w:type="pct"/>
                  <w:vMerge w:val="restart"/>
                  <w:tcBorders>
                    <w:tl2br w:val="nil"/>
                    <w:tr2bl w:val="nil"/>
                  </w:tcBorders>
                  <w:tcMar>
                    <w:left w:w="28" w:type="dxa"/>
                    <w:right w:w="28" w:type="dxa"/>
                  </w:tcMar>
                  <w:vAlign w:val="center"/>
                </w:tcPr>
                <w:p w14:paraId="13E4829F">
                  <w:pPr>
                    <w:widowControl/>
                    <w:snapToGrid w:val="0"/>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黄磷池（甲类埋地）</w:t>
                  </w:r>
                </w:p>
              </w:tc>
              <w:tc>
                <w:tcPr>
                  <w:tcW w:w="309" w:type="pct"/>
                  <w:vMerge w:val="restart"/>
                  <w:tcBorders>
                    <w:tl2br w:val="nil"/>
                    <w:tr2bl w:val="nil"/>
                  </w:tcBorders>
                  <w:tcMar>
                    <w:left w:w="28" w:type="dxa"/>
                    <w:right w:w="28" w:type="dxa"/>
                  </w:tcMar>
                  <w:vAlign w:val="center"/>
                </w:tcPr>
                <w:p w14:paraId="5DC690A5">
                  <w:pPr>
                    <w:widowControl/>
                    <w:snapToGrid w:val="0"/>
                    <w:spacing w:line="240" w:lineRule="atLeast"/>
                    <w:jc w:val="center"/>
                    <w:rPr>
                      <w:rFonts w:hint="default" w:ascii="Times New Roman" w:hAnsi="Times New Roman" w:eastAsia="宋体" w:cs="Times New Roman"/>
                      <w:color w:val="auto"/>
                      <w:sz w:val="21"/>
                      <w:szCs w:val="21"/>
                    </w:rPr>
                  </w:pPr>
                </w:p>
              </w:tc>
              <w:tc>
                <w:tcPr>
                  <w:tcW w:w="303" w:type="pct"/>
                  <w:tcBorders>
                    <w:tl2br w:val="nil"/>
                    <w:tr2bl w:val="nil"/>
                  </w:tcBorders>
                  <w:tcMar>
                    <w:left w:w="28" w:type="dxa"/>
                    <w:right w:w="28" w:type="dxa"/>
                  </w:tcMar>
                  <w:vAlign w:val="center"/>
                </w:tcPr>
                <w:p w14:paraId="1A285BAF">
                  <w:pPr>
                    <w:pStyle w:val="3935"/>
                    <w:snapToGrid w:val="0"/>
                    <w:spacing w:before="0" w:beforeAutospacing="0" w:after="0" w:afterAutospacing="0"/>
                    <w:ind w:left="0" w:leftChars="0" w:right="0"/>
                    <w:jc w:val="center"/>
                    <w:rPr>
                      <w:rFonts w:hint="default" w:ascii="Times New Roman" w:hAnsi="Times New Roman" w:eastAsia="宋体" w:cs="Times New Roman"/>
                      <w:b w:val="0"/>
                      <w:bCs/>
                      <w:color w:val="auto"/>
                      <w:kern w:val="28"/>
                      <w:sz w:val="21"/>
                      <w:szCs w:val="21"/>
                      <w:lang w:val="en-US" w:eastAsia="zh-CN" w:bidi="ar-SA"/>
                    </w:rPr>
                  </w:pPr>
                  <w:r>
                    <w:rPr>
                      <w:rFonts w:hint="default" w:ascii="Times New Roman" w:hAnsi="Times New Roman" w:eastAsia="宋体" w:cs="Times New Roman"/>
                      <w:color w:val="auto"/>
                      <w:sz w:val="21"/>
                      <w:szCs w:val="21"/>
                    </w:rPr>
                    <w:t>东</w:t>
                  </w:r>
                </w:p>
              </w:tc>
              <w:tc>
                <w:tcPr>
                  <w:tcW w:w="1185" w:type="pct"/>
                  <w:tcBorders>
                    <w:tl2br w:val="nil"/>
                    <w:tr2bl w:val="nil"/>
                  </w:tcBorders>
                  <w:tcMar>
                    <w:left w:w="28" w:type="dxa"/>
                    <w:right w:w="28" w:type="dxa"/>
                  </w:tcMar>
                  <w:vAlign w:val="center"/>
                </w:tcPr>
                <w:p w14:paraId="45E9AFDA">
                  <w:pPr>
                    <w:pStyle w:val="3935"/>
                    <w:snapToGrid w:val="0"/>
                    <w:spacing w:before="0" w:beforeAutospacing="0" w:after="0" w:afterAutospacing="0"/>
                    <w:ind w:left="0" w:leftChars="0" w:right="0"/>
                    <w:jc w:val="center"/>
                    <w:rPr>
                      <w:rFonts w:hint="default" w:ascii="Times New Roman" w:hAnsi="Times New Roman" w:eastAsia="宋体" w:cs="Times New Roman"/>
                      <w:b w:val="0"/>
                      <w:bCs/>
                      <w:color w:val="auto"/>
                      <w:kern w:val="28"/>
                      <w:sz w:val="21"/>
                      <w:szCs w:val="21"/>
                      <w:lang w:val="en-US" w:eastAsia="zh-CN" w:bidi="ar-SA"/>
                    </w:rPr>
                  </w:pPr>
                  <w:r>
                    <w:rPr>
                      <w:rFonts w:hint="default" w:ascii="Times New Roman" w:hAnsi="Times New Roman" w:eastAsia="宋体" w:cs="Times New Roman"/>
                      <w:color w:val="auto"/>
                      <w:sz w:val="21"/>
                      <w:szCs w:val="21"/>
                    </w:rPr>
                    <w:t>仓库（丙类）</w:t>
                  </w:r>
                </w:p>
              </w:tc>
              <w:tc>
                <w:tcPr>
                  <w:tcW w:w="426" w:type="pct"/>
                  <w:tcBorders>
                    <w:tl2br w:val="nil"/>
                    <w:tr2bl w:val="nil"/>
                  </w:tcBorders>
                  <w:tcMar>
                    <w:left w:w="28" w:type="dxa"/>
                    <w:right w:w="28" w:type="dxa"/>
                  </w:tcMar>
                  <w:vAlign w:val="center"/>
                </w:tcPr>
                <w:p w14:paraId="52BD0839">
                  <w:pPr>
                    <w:pStyle w:val="3935"/>
                    <w:snapToGrid w:val="0"/>
                    <w:spacing w:before="0" w:beforeAutospacing="0" w:after="0" w:afterAutospacing="0"/>
                    <w:ind w:left="0" w:leftChars="0" w:right="0"/>
                    <w:jc w:val="center"/>
                    <w:rPr>
                      <w:rFonts w:hint="default" w:ascii="Times New Roman" w:hAnsi="Times New Roman" w:eastAsia="宋体" w:cs="Times New Roman"/>
                      <w:b w:val="0"/>
                      <w:bCs/>
                      <w:color w:val="auto"/>
                      <w:spacing w:val="-8"/>
                      <w:kern w:val="28"/>
                      <w:sz w:val="21"/>
                      <w:szCs w:val="21"/>
                      <w:lang w:val="en-US" w:eastAsia="zh-CN" w:bidi="ar-SA"/>
                    </w:rPr>
                  </w:pPr>
                  <w:r>
                    <w:rPr>
                      <w:rFonts w:hint="default" w:ascii="Times New Roman" w:hAnsi="Times New Roman" w:eastAsia="宋体" w:cs="Times New Roman"/>
                      <w:color w:val="auto"/>
                      <w:sz w:val="21"/>
                      <w:szCs w:val="21"/>
                    </w:rPr>
                    <w:t>19.</w:t>
                  </w:r>
                  <w:r>
                    <w:rPr>
                      <w:rFonts w:hint="default" w:ascii="Times New Roman" w:hAnsi="Times New Roman" w:eastAsia="宋体" w:cs="Times New Roman"/>
                      <w:color w:val="auto"/>
                      <w:sz w:val="21"/>
                      <w:szCs w:val="21"/>
                      <w:lang w:val="en-US" w:eastAsia="zh-CN"/>
                    </w:rPr>
                    <w:t>5</w:t>
                  </w:r>
                </w:p>
              </w:tc>
              <w:tc>
                <w:tcPr>
                  <w:tcW w:w="1471" w:type="pct"/>
                  <w:tcBorders>
                    <w:tl2br w:val="nil"/>
                    <w:tr2bl w:val="nil"/>
                  </w:tcBorders>
                  <w:tcMar>
                    <w:left w:w="28" w:type="dxa"/>
                    <w:right w:w="28" w:type="dxa"/>
                  </w:tcMar>
                  <w:vAlign w:val="center"/>
                </w:tcPr>
                <w:p w14:paraId="67B0557A">
                  <w:pPr>
                    <w:widowControl/>
                    <w:snapToGrid w:val="0"/>
                    <w:spacing w:line="240" w:lineRule="atLeast"/>
                    <w:jc w:val="center"/>
                    <w:rPr>
                      <w:rFonts w:hint="default" w:ascii="Times New Roman" w:hAnsi="Times New Roman" w:eastAsia="宋体" w:cs="Times New Roman"/>
                      <w:color w:val="auto"/>
                      <w:spacing w:val="-8"/>
                      <w:kern w:val="0"/>
                      <w:sz w:val="21"/>
                      <w:szCs w:val="21"/>
                      <w:lang w:val="en-US" w:eastAsia="zh-CN"/>
                    </w:rPr>
                  </w:pPr>
                  <w:r>
                    <w:rPr>
                      <w:rFonts w:hint="default" w:ascii="Times New Roman" w:hAnsi="Times New Roman" w:eastAsia="宋体" w:cs="Times New Roman"/>
                      <w:color w:val="auto"/>
                      <w:spacing w:val="-8"/>
                      <w:kern w:val="0"/>
                      <w:sz w:val="21"/>
                      <w:szCs w:val="21"/>
                    </w:rPr>
                    <w:t>GB51283</w:t>
                  </w:r>
                  <w:r>
                    <w:rPr>
                      <w:rFonts w:hint="default" w:ascii="Times New Roman" w:hAnsi="Times New Roman" w:eastAsia="宋体" w:cs="Times New Roman"/>
                      <w:color w:val="auto"/>
                      <w:kern w:val="0"/>
                      <w:sz w:val="21"/>
                      <w:szCs w:val="21"/>
                    </w:rPr>
                    <w:t>表4.2.9/</w:t>
                  </w:r>
                  <w:r>
                    <w:rPr>
                      <w:rFonts w:hint="default" w:ascii="Times New Roman" w:hAnsi="Times New Roman" w:eastAsia="宋体" w:cs="Times New Roman"/>
                      <w:color w:val="auto"/>
                      <w:kern w:val="0"/>
                      <w:sz w:val="21"/>
                      <w:szCs w:val="21"/>
                      <w:lang w:val="en-US" w:eastAsia="zh-CN"/>
                    </w:rPr>
                    <w:t>12.5</w:t>
                  </w:r>
                </w:p>
              </w:tc>
              <w:tc>
                <w:tcPr>
                  <w:tcW w:w="387" w:type="pct"/>
                  <w:tcBorders>
                    <w:tl2br w:val="nil"/>
                    <w:tr2bl w:val="nil"/>
                  </w:tcBorders>
                  <w:tcMar>
                    <w:left w:w="28" w:type="dxa"/>
                    <w:right w:w="28" w:type="dxa"/>
                  </w:tcMar>
                  <w:vAlign w:val="center"/>
                </w:tcPr>
                <w:p w14:paraId="58ABFA0F">
                  <w:pPr>
                    <w:widowControl/>
                    <w:snapToGrid w:val="0"/>
                    <w:spacing w:line="240" w:lineRule="atLeas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3D0E39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4" w:type="pct"/>
                  <w:vMerge w:val="continue"/>
                  <w:tcBorders>
                    <w:tl2br w:val="nil"/>
                    <w:tr2bl w:val="nil"/>
                  </w:tcBorders>
                  <w:vAlign w:val="center"/>
                </w:tcPr>
                <w:p w14:paraId="7E58D91E">
                  <w:pPr>
                    <w:widowControl/>
                    <w:snapToGrid w:val="0"/>
                    <w:spacing w:line="240" w:lineRule="atLeast"/>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2642E125">
                  <w:pPr>
                    <w:widowControl/>
                    <w:snapToGrid w:val="0"/>
                    <w:spacing w:line="240" w:lineRule="atLeast"/>
                    <w:jc w:val="center"/>
                    <w:rPr>
                      <w:rFonts w:hint="default" w:ascii="Times New Roman" w:hAnsi="Times New Roman" w:eastAsia="宋体" w:cs="Times New Roman"/>
                      <w:color w:val="auto"/>
                      <w:sz w:val="21"/>
                      <w:szCs w:val="21"/>
                      <w:lang w:val="en-US" w:eastAsia="zh-CN"/>
                    </w:rPr>
                  </w:pPr>
                </w:p>
              </w:tc>
              <w:tc>
                <w:tcPr>
                  <w:tcW w:w="309" w:type="pct"/>
                  <w:vMerge w:val="continue"/>
                  <w:tcBorders>
                    <w:tl2br w:val="nil"/>
                    <w:tr2bl w:val="nil"/>
                  </w:tcBorders>
                  <w:vAlign w:val="center"/>
                </w:tcPr>
                <w:p w14:paraId="6133CE3F">
                  <w:pPr>
                    <w:widowControl/>
                    <w:snapToGrid w:val="0"/>
                    <w:spacing w:line="240" w:lineRule="atLeast"/>
                    <w:jc w:val="center"/>
                    <w:rPr>
                      <w:rFonts w:hint="default" w:ascii="Times New Roman" w:hAnsi="Times New Roman" w:eastAsia="宋体" w:cs="Times New Roman"/>
                      <w:color w:val="auto"/>
                      <w:sz w:val="21"/>
                      <w:szCs w:val="21"/>
                    </w:rPr>
                  </w:pPr>
                </w:p>
              </w:tc>
              <w:tc>
                <w:tcPr>
                  <w:tcW w:w="303" w:type="pct"/>
                  <w:vMerge w:val="restart"/>
                  <w:tcBorders>
                    <w:tl2br w:val="nil"/>
                    <w:tr2bl w:val="nil"/>
                  </w:tcBorders>
                  <w:vAlign w:val="center"/>
                </w:tcPr>
                <w:p w14:paraId="7A58051E">
                  <w:pPr>
                    <w:pStyle w:val="3935"/>
                    <w:snapToGrid w:val="0"/>
                    <w:spacing w:before="0" w:beforeAutospacing="0" w:after="0" w:afterAutospacing="0"/>
                    <w:ind w:left="0" w:leftChars="0" w:right="0"/>
                    <w:jc w:val="center"/>
                    <w:rPr>
                      <w:rFonts w:hint="default" w:ascii="Times New Roman" w:hAnsi="Times New Roman" w:eastAsia="宋体" w:cs="Times New Roman"/>
                      <w:b w:val="0"/>
                      <w:bCs/>
                      <w:color w:val="auto"/>
                      <w:kern w:val="28"/>
                      <w:sz w:val="21"/>
                      <w:szCs w:val="21"/>
                      <w:lang w:val="en-US" w:eastAsia="zh-CN" w:bidi="ar-SA"/>
                    </w:rPr>
                  </w:pPr>
                  <w:r>
                    <w:rPr>
                      <w:rFonts w:hint="default" w:ascii="Times New Roman" w:hAnsi="Times New Roman" w:eastAsia="宋体" w:cs="Times New Roman"/>
                      <w:color w:val="auto"/>
                      <w:sz w:val="21"/>
                      <w:szCs w:val="21"/>
                    </w:rPr>
                    <w:t>南</w:t>
                  </w:r>
                </w:p>
              </w:tc>
              <w:tc>
                <w:tcPr>
                  <w:tcW w:w="1185" w:type="pct"/>
                  <w:tcBorders>
                    <w:tl2br w:val="nil"/>
                    <w:tr2bl w:val="nil"/>
                  </w:tcBorders>
                  <w:vAlign w:val="center"/>
                </w:tcPr>
                <w:p w14:paraId="0A5E1D5B">
                  <w:pPr>
                    <w:pStyle w:val="3935"/>
                    <w:snapToGrid w:val="0"/>
                    <w:spacing w:before="0" w:beforeAutospacing="0" w:after="0" w:afterAutospacing="0"/>
                    <w:ind w:left="0" w:leftChars="0" w:right="0"/>
                    <w:jc w:val="center"/>
                    <w:rPr>
                      <w:rFonts w:hint="default" w:ascii="Times New Roman" w:hAnsi="Times New Roman" w:eastAsia="宋体" w:cs="Times New Roman"/>
                      <w:b w:val="0"/>
                      <w:bCs/>
                      <w:color w:val="auto"/>
                      <w:kern w:val="28"/>
                      <w:sz w:val="21"/>
                      <w:szCs w:val="21"/>
                      <w:lang w:val="en-US" w:eastAsia="zh-CN" w:bidi="ar-SA"/>
                    </w:rPr>
                  </w:pPr>
                  <w:r>
                    <w:rPr>
                      <w:rFonts w:hint="default" w:ascii="Times New Roman" w:hAnsi="Times New Roman" w:eastAsia="宋体" w:cs="Times New Roman"/>
                      <w:color w:val="auto"/>
                      <w:sz w:val="21"/>
                      <w:szCs w:val="21"/>
                    </w:rPr>
                    <w:t>三氯化磷</w:t>
                  </w:r>
                  <w:r>
                    <w:rPr>
                      <w:rFonts w:hint="default" w:ascii="Times New Roman" w:hAnsi="Times New Roman" w:eastAsia="宋体" w:cs="Times New Roman"/>
                      <w:color w:val="auto"/>
                      <w:sz w:val="21"/>
                      <w:szCs w:val="21"/>
                      <w:lang w:val="en-US" w:eastAsia="zh-CN"/>
                    </w:rPr>
                    <w:t>生产区</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甲类</w:t>
                  </w:r>
                  <w:r>
                    <w:rPr>
                      <w:rFonts w:hint="default" w:ascii="Times New Roman" w:hAnsi="Times New Roman" w:eastAsia="宋体" w:cs="Times New Roman"/>
                      <w:color w:val="auto"/>
                      <w:sz w:val="21"/>
                      <w:szCs w:val="21"/>
                    </w:rPr>
                    <w:t>）</w:t>
                  </w:r>
                </w:p>
              </w:tc>
              <w:tc>
                <w:tcPr>
                  <w:tcW w:w="426" w:type="pct"/>
                  <w:tcBorders>
                    <w:tl2br w:val="nil"/>
                    <w:tr2bl w:val="nil"/>
                  </w:tcBorders>
                  <w:vAlign w:val="center"/>
                </w:tcPr>
                <w:p w14:paraId="1EA035D9">
                  <w:pPr>
                    <w:pStyle w:val="3935"/>
                    <w:snapToGrid w:val="0"/>
                    <w:spacing w:before="0" w:beforeAutospacing="0" w:after="0" w:afterAutospacing="0"/>
                    <w:ind w:left="0" w:leftChars="0" w:right="0"/>
                    <w:jc w:val="center"/>
                    <w:rPr>
                      <w:rFonts w:hint="default" w:ascii="Times New Roman" w:hAnsi="Times New Roman" w:eastAsia="宋体" w:cs="Times New Roman"/>
                      <w:b w:val="0"/>
                      <w:bCs/>
                      <w:color w:val="auto"/>
                      <w:spacing w:val="-8"/>
                      <w:kern w:val="28"/>
                      <w:sz w:val="21"/>
                      <w:szCs w:val="21"/>
                      <w:lang w:val="en-US" w:eastAsia="zh-CN" w:bidi="ar-SA"/>
                    </w:rPr>
                  </w:pPr>
                  <w:r>
                    <w:rPr>
                      <w:rFonts w:hint="default" w:ascii="Times New Roman" w:hAnsi="Times New Roman" w:eastAsia="宋体" w:cs="Times New Roman"/>
                      <w:color w:val="auto"/>
                      <w:sz w:val="21"/>
                      <w:szCs w:val="21"/>
                    </w:rPr>
                    <w:t>17.8</w:t>
                  </w:r>
                </w:p>
              </w:tc>
              <w:tc>
                <w:tcPr>
                  <w:tcW w:w="1471" w:type="pct"/>
                  <w:tcBorders>
                    <w:tl2br w:val="nil"/>
                    <w:tr2bl w:val="nil"/>
                  </w:tcBorders>
                  <w:vAlign w:val="center"/>
                </w:tcPr>
                <w:p w14:paraId="77057E27">
                  <w:pPr>
                    <w:widowControl/>
                    <w:snapToGrid w:val="0"/>
                    <w:spacing w:line="240" w:lineRule="atLeast"/>
                    <w:jc w:val="center"/>
                    <w:rPr>
                      <w:rFonts w:hint="default" w:ascii="Times New Roman" w:hAnsi="Times New Roman" w:eastAsia="宋体" w:cs="Times New Roman"/>
                      <w:color w:val="auto"/>
                      <w:spacing w:val="-8"/>
                      <w:kern w:val="0"/>
                      <w:sz w:val="21"/>
                      <w:szCs w:val="21"/>
                    </w:rPr>
                  </w:pPr>
                  <w:r>
                    <w:rPr>
                      <w:rFonts w:hint="default" w:ascii="Times New Roman" w:hAnsi="Times New Roman" w:eastAsia="宋体" w:cs="Times New Roman"/>
                      <w:color w:val="auto"/>
                      <w:spacing w:val="-8"/>
                      <w:kern w:val="0"/>
                      <w:sz w:val="21"/>
                      <w:szCs w:val="21"/>
                    </w:rPr>
                    <w:t>GB51283</w:t>
                  </w:r>
                  <w:r>
                    <w:rPr>
                      <w:rFonts w:hint="default" w:ascii="Times New Roman" w:hAnsi="Times New Roman" w:eastAsia="宋体" w:cs="Times New Roman"/>
                      <w:color w:val="auto"/>
                      <w:kern w:val="0"/>
                      <w:sz w:val="21"/>
                      <w:szCs w:val="21"/>
                    </w:rPr>
                    <w:t>表4.2.9/</w:t>
                  </w:r>
                  <w:r>
                    <w:rPr>
                      <w:rFonts w:hint="default" w:ascii="Times New Roman" w:hAnsi="Times New Roman" w:eastAsia="宋体" w:cs="Times New Roman"/>
                      <w:color w:val="auto"/>
                      <w:kern w:val="0"/>
                      <w:sz w:val="21"/>
                      <w:szCs w:val="21"/>
                      <w:lang w:val="en-US" w:eastAsia="zh-CN"/>
                    </w:rPr>
                    <w:t>12.5</w:t>
                  </w:r>
                </w:p>
              </w:tc>
              <w:tc>
                <w:tcPr>
                  <w:tcW w:w="387" w:type="pct"/>
                  <w:tcBorders>
                    <w:tl2br w:val="nil"/>
                    <w:tr2bl w:val="nil"/>
                  </w:tcBorders>
                  <w:vAlign w:val="center"/>
                </w:tcPr>
                <w:p w14:paraId="63AB415F">
                  <w:pPr>
                    <w:widowControl/>
                    <w:snapToGrid w:val="0"/>
                    <w:spacing w:line="240" w:lineRule="atLeas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44BDF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4" w:type="pct"/>
                  <w:vMerge w:val="continue"/>
                  <w:tcBorders>
                    <w:tl2br w:val="nil"/>
                    <w:tr2bl w:val="nil"/>
                  </w:tcBorders>
                  <w:vAlign w:val="center"/>
                </w:tcPr>
                <w:p w14:paraId="0AAB8D2E">
                  <w:pPr>
                    <w:widowControl/>
                    <w:snapToGrid w:val="0"/>
                    <w:spacing w:line="240" w:lineRule="atLeast"/>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2C645FE1">
                  <w:pPr>
                    <w:widowControl/>
                    <w:snapToGrid w:val="0"/>
                    <w:spacing w:line="240" w:lineRule="atLeast"/>
                    <w:jc w:val="center"/>
                    <w:rPr>
                      <w:rFonts w:hint="default" w:ascii="Times New Roman" w:hAnsi="Times New Roman" w:eastAsia="宋体" w:cs="Times New Roman"/>
                      <w:color w:val="auto"/>
                      <w:sz w:val="21"/>
                      <w:szCs w:val="21"/>
                      <w:lang w:val="en-US" w:eastAsia="zh-CN"/>
                    </w:rPr>
                  </w:pPr>
                </w:p>
              </w:tc>
              <w:tc>
                <w:tcPr>
                  <w:tcW w:w="309" w:type="pct"/>
                  <w:vMerge w:val="continue"/>
                  <w:tcBorders>
                    <w:tl2br w:val="nil"/>
                    <w:tr2bl w:val="nil"/>
                  </w:tcBorders>
                  <w:vAlign w:val="center"/>
                </w:tcPr>
                <w:p w14:paraId="233F7049">
                  <w:pPr>
                    <w:widowControl/>
                    <w:snapToGrid w:val="0"/>
                    <w:spacing w:line="240" w:lineRule="atLeast"/>
                    <w:jc w:val="center"/>
                    <w:rPr>
                      <w:rFonts w:hint="default" w:ascii="Times New Roman" w:hAnsi="Times New Roman" w:eastAsia="宋体" w:cs="Times New Roman"/>
                      <w:color w:val="auto"/>
                      <w:sz w:val="21"/>
                      <w:szCs w:val="21"/>
                    </w:rPr>
                  </w:pPr>
                </w:p>
              </w:tc>
              <w:tc>
                <w:tcPr>
                  <w:tcW w:w="303" w:type="pct"/>
                  <w:vMerge w:val="continue"/>
                  <w:tcBorders>
                    <w:tl2br w:val="nil"/>
                    <w:tr2bl w:val="nil"/>
                  </w:tcBorders>
                  <w:vAlign w:val="center"/>
                </w:tcPr>
                <w:p w14:paraId="58AF00EC">
                  <w:pPr>
                    <w:pStyle w:val="3935"/>
                    <w:snapToGrid w:val="0"/>
                    <w:spacing w:before="0" w:beforeAutospacing="0" w:after="0" w:afterAutospacing="0"/>
                    <w:ind w:left="0" w:leftChars="0" w:right="0"/>
                    <w:jc w:val="center"/>
                    <w:rPr>
                      <w:rFonts w:hint="default" w:ascii="Times New Roman" w:hAnsi="Times New Roman" w:eastAsia="宋体" w:cs="Times New Roman"/>
                      <w:color w:val="auto"/>
                      <w:sz w:val="21"/>
                      <w:szCs w:val="21"/>
                    </w:rPr>
                  </w:pPr>
                </w:p>
              </w:tc>
              <w:tc>
                <w:tcPr>
                  <w:tcW w:w="1185" w:type="pct"/>
                  <w:tcBorders>
                    <w:tl2br w:val="nil"/>
                    <w:tr2bl w:val="nil"/>
                  </w:tcBorders>
                  <w:vAlign w:val="center"/>
                </w:tcPr>
                <w:p w14:paraId="25B39641">
                  <w:pPr>
                    <w:pStyle w:val="3935"/>
                    <w:snapToGrid w:val="0"/>
                    <w:spacing w:before="0" w:beforeAutospacing="0" w:after="0" w:afterAutospacing="0"/>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三氯氧磷车间（</w:t>
                  </w:r>
                  <w:r>
                    <w:rPr>
                      <w:rFonts w:hint="default" w:ascii="Times New Roman" w:hAnsi="Times New Roman" w:eastAsia="宋体" w:cs="Times New Roman"/>
                      <w:color w:val="auto"/>
                      <w:kern w:val="0"/>
                      <w:sz w:val="21"/>
                      <w:szCs w:val="21"/>
                      <w:lang w:val="en-US" w:eastAsia="zh-CN"/>
                    </w:rPr>
                    <w:t>乙类</w:t>
                  </w:r>
                  <w:r>
                    <w:rPr>
                      <w:rFonts w:hint="default" w:ascii="Times New Roman" w:hAnsi="Times New Roman" w:eastAsia="宋体" w:cs="Times New Roman"/>
                      <w:color w:val="auto"/>
                      <w:kern w:val="0"/>
                      <w:sz w:val="21"/>
                      <w:szCs w:val="21"/>
                    </w:rPr>
                    <w:t>）</w:t>
                  </w:r>
                </w:p>
              </w:tc>
              <w:tc>
                <w:tcPr>
                  <w:tcW w:w="426" w:type="pct"/>
                  <w:tcBorders>
                    <w:tl2br w:val="nil"/>
                    <w:tr2bl w:val="nil"/>
                  </w:tcBorders>
                  <w:vAlign w:val="center"/>
                </w:tcPr>
                <w:p w14:paraId="3F42BA31">
                  <w:pPr>
                    <w:pStyle w:val="3935"/>
                    <w:snapToGrid w:val="0"/>
                    <w:spacing w:before="0" w:beforeAutospacing="0" w:after="0" w:afterAutospacing="0"/>
                    <w:ind w:left="0" w:leftChars="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w:t>
                  </w:r>
                </w:p>
              </w:tc>
              <w:tc>
                <w:tcPr>
                  <w:tcW w:w="1471" w:type="pct"/>
                  <w:tcBorders>
                    <w:tl2br w:val="nil"/>
                    <w:tr2bl w:val="nil"/>
                  </w:tcBorders>
                  <w:vAlign w:val="center"/>
                </w:tcPr>
                <w:p w14:paraId="000F4E31">
                  <w:pPr>
                    <w:widowControl/>
                    <w:snapToGrid w:val="0"/>
                    <w:spacing w:line="240" w:lineRule="atLeas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GB51283表</w:t>
                  </w:r>
                  <w:r>
                    <w:rPr>
                      <w:rFonts w:hint="default" w:ascii="Times New Roman" w:hAnsi="Times New Roman" w:eastAsia="宋体" w:cs="Times New Roman"/>
                      <w:color w:val="auto"/>
                      <w:kern w:val="0"/>
                      <w:sz w:val="21"/>
                      <w:szCs w:val="21"/>
                      <w:lang w:val="en-US" w:eastAsia="zh-CN"/>
                    </w:rPr>
                    <w:t>4.2.9</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10</w:t>
                  </w:r>
                </w:p>
              </w:tc>
              <w:tc>
                <w:tcPr>
                  <w:tcW w:w="387" w:type="pct"/>
                  <w:tcBorders>
                    <w:tl2br w:val="nil"/>
                    <w:tr2bl w:val="nil"/>
                  </w:tcBorders>
                  <w:vAlign w:val="center"/>
                </w:tcPr>
                <w:p w14:paraId="7B5CC7CE">
                  <w:pPr>
                    <w:widowControl/>
                    <w:snapToGrid w:val="0"/>
                    <w:spacing w:line="240" w:lineRule="atLeas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符合</w:t>
                  </w:r>
                </w:p>
              </w:tc>
            </w:tr>
            <w:tr w14:paraId="5734D5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4" w:type="pct"/>
                  <w:vMerge w:val="continue"/>
                  <w:tcBorders>
                    <w:tl2br w:val="nil"/>
                    <w:tr2bl w:val="nil"/>
                  </w:tcBorders>
                  <w:vAlign w:val="center"/>
                </w:tcPr>
                <w:p w14:paraId="7001FD11">
                  <w:pPr>
                    <w:widowControl/>
                    <w:snapToGrid w:val="0"/>
                    <w:spacing w:line="240" w:lineRule="atLeast"/>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35804913">
                  <w:pPr>
                    <w:widowControl/>
                    <w:snapToGrid w:val="0"/>
                    <w:spacing w:line="240" w:lineRule="atLeast"/>
                    <w:jc w:val="center"/>
                    <w:rPr>
                      <w:rFonts w:hint="default" w:ascii="Times New Roman" w:hAnsi="Times New Roman" w:eastAsia="宋体" w:cs="Times New Roman"/>
                      <w:color w:val="auto"/>
                      <w:sz w:val="21"/>
                      <w:szCs w:val="21"/>
                      <w:lang w:val="en-US" w:eastAsia="zh-CN"/>
                    </w:rPr>
                  </w:pPr>
                </w:p>
              </w:tc>
              <w:tc>
                <w:tcPr>
                  <w:tcW w:w="309" w:type="pct"/>
                  <w:vMerge w:val="continue"/>
                  <w:tcBorders>
                    <w:tl2br w:val="nil"/>
                    <w:tr2bl w:val="nil"/>
                  </w:tcBorders>
                  <w:vAlign w:val="center"/>
                </w:tcPr>
                <w:p w14:paraId="0CB62301">
                  <w:pPr>
                    <w:widowControl/>
                    <w:snapToGrid w:val="0"/>
                    <w:spacing w:line="240" w:lineRule="atLeast"/>
                    <w:jc w:val="center"/>
                    <w:rPr>
                      <w:rFonts w:hint="default" w:ascii="Times New Roman" w:hAnsi="Times New Roman" w:eastAsia="宋体" w:cs="Times New Roman"/>
                      <w:color w:val="auto"/>
                      <w:sz w:val="21"/>
                      <w:szCs w:val="21"/>
                    </w:rPr>
                  </w:pPr>
                </w:p>
              </w:tc>
              <w:tc>
                <w:tcPr>
                  <w:tcW w:w="303" w:type="pct"/>
                  <w:tcBorders>
                    <w:tl2br w:val="nil"/>
                    <w:tr2bl w:val="nil"/>
                  </w:tcBorders>
                  <w:vAlign w:val="center"/>
                </w:tcPr>
                <w:p w14:paraId="634CDABE">
                  <w:pPr>
                    <w:pStyle w:val="3935"/>
                    <w:snapToGrid w:val="0"/>
                    <w:spacing w:before="0" w:beforeAutospacing="0" w:after="0" w:afterAutospacing="0"/>
                    <w:ind w:left="0" w:leftChars="0" w:right="0"/>
                    <w:jc w:val="center"/>
                    <w:rPr>
                      <w:rFonts w:hint="default" w:ascii="Times New Roman" w:hAnsi="Times New Roman" w:eastAsia="宋体" w:cs="Times New Roman"/>
                      <w:b w:val="0"/>
                      <w:bCs/>
                      <w:color w:val="auto"/>
                      <w:kern w:val="28"/>
                      <w:sz w:val="21"/>
                      <w:szCs w:val="21"/>
                      <w:lang w:val="en-US" w:eastAsia="zh-CN" w:bidi="ar-SA"/>
                    </w:rPr>
                  </w:pPr>
                  <w:r>
                    <w:rPr>
                      <w:rFonts w:hint="default" w:ascii="Times New Roman" w:hAnsi="Times New Roman" w:eastAsia="宋体" w:cs="Times New Roman"/>
                      <w:color w:val="auto"/>
                      <w:sz w:val="21"/>
                      <w:szCs w:val="21"/>
                    </w:rPr>
                    <w:t>西</w:t>
                  </w:r>
                </w:p>
              </w:tc>
              <w:tc>
                <w:tcPr>
                  <w:tcW w:w="1185" w:type="pct"/>
                  <w:tcBorders>
                    <w:tl2br w:val="nil"/>
                    <w:tr2bl w:val="nil"/>
                  </w:tcBorders>
                  <w:vAlign w:val="center"/>
                </w:tcPr>
                <w:p w14:paraId="022E4AC4">
                  <w:pPr>
                    <w:pStyle w:val="3935"/>
                    <w:snapToGrid w:val="0"/>
                    <w:spacing w:before="0" w:beforeAutospacing="0" w:after="0" w:afterAutospacing="0"/>
                    <w:ind w:left="0" w:leftChars="0" w:right="0"/>
                    <w:jc w:val="center"/>
                    <w:rPr>
                      <w:rFonts w:hint="default" w:ascii="Times New Roman" w:hAnsi="Times New Roman" w:eastAsia="宋体" w:cs="Times New Roman"/>
                      <w:b w:val="0"/>
                      <w:bCs/>
                      <w:color w:val="auto"/>
                      <w:kern w:val="28"/>
                      <w:sz w:val="21"/>
                      <w:szCs w:val="21"/>
                      <w:lang w:val="en-US" w:eastAsia="zh-CN" w:bidi="ar-SA"/>
                    </w:rPr>
                  </w:pPr>
                  <w:r>
                    <w:rPr>
                      <w:rFonts w:hint="default" w:ascii="Times New Roman" w:hAnsi="Times New Roman" w:eastAsia="宋体" w:cs="Times New Roman"/>
                      <w:color w:val="auto"/>
                      <w:sz w:val="21"/>
                      <w:szCs w:val="21"/>
                      <w:lang w:val="en-US" w:eastAsia="zh-CN"/>
                    </w:rPr>
                    <w:t>蓄水池</w:t>
                  </w:r>
                </w:p>
              </w:tc>
              <w:tc>
                <w:tcPr>
                  <w:tcW w:w="426" w:type="pct"/>
                  <w:tcBorders>
                    <w:tl2br w:val="nil"/>
                    <w:tr2bl w:val="nil"/>
                  </w:tcBorders>
                  <w:vAlign w:val="center"/>
                </w:tcPr>
                <w:p w14:paraId="20A00241">
                  <w:pPr>
                    <w:pStyle w:val="3935"/>
                    <w:snapToGrid w:val="0"/>
                    <w:spacing w:before="0" w:beforeAutospacing="0" w:after="0" w:afterAutospacing="0"/>
                    <w:ind w:left="0" w:leftChars="0" w:right="0"/>
                    <w:jc w:val="center"/>
                    <w:rPr>
                      <w:rFonts w:hint="default" w:ascii="Times New Roman" w:hAnsi="Times New Roman" w:eastAsia="宋体" w:cs="Times New Roman"/>
                      <w:b w:val="0"/>
                      <w:bCs/>
                      <w:color w:val="auto"/>
                      <w:spacing w:val="-8"/>
                      <w:kern w:val="28"/>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1471" w:type="pct"/>
                  <w:tcBorders>
                    <w:tl2br w:val="nil"/>
                    <w:tr2bl w:val="nil"/>
                  </w:tcBorders>
                  <w:vAlign w:val="center"/>
                </w:tcPr>
                <w:p w14:paraId="1BA47E22">
                  <w:pPr>
                    <w:widowControl/>
                    <w:snapToGrid w:val="0"/>
                    <w:spacing w:line="240" w:lineRule="atLeast"/>
                    <w:jc w:val="center"/>
                    <w:rPr>
                      <w:rFonts w:hint="default" w:ascii="Times New Roman" w:hAnsi="Times New Roman" w:eastAsia="宋体" w:cs="Times New Roman"/>
                      <w:color w:val="auto"/>
                      <w:spacing w:val="-8"/>
                      <w:kern w:val="0"/>
                      <w:sz w:val="21"/>
                      <w:szCs w:val="21"/>
                      <w:lang w:val="en-US" w:eastAsia="zh-CN"/>
                    </w:rPr>
                  </w:pPr>
                  <w:r>
                    <w:rPr>
                      <w:rFonts w:hint="default" w:ascii="Times New Roman" w:hAnsi="Times New Roman" w:eastAsia="宋体" w:cs="Times New Roman"/>
                      <w:color w:val="auto"/>
                      <w:spacing w:val="-8"/>
                      <w:kern w:val="0"/>
                      <w:sz w:val="21"/>
                      <w:szCs w:val="21"/>
                      <w:lang w:val="en-US" w:eastAsia="zh-CN"/>
                    </w:rPr>
                    <w:t>/</w:t>
                  </w:r>
                </w:p>
              </w:tc>
              <w:tc>
                <w:tcPr>
                  <w:tcW w:w="387" w:type="pct"/>
                  <w:tcBorders>
                    <w:tl2br w:val="nil"/>
                    <w:tr2bl w:val="nil"/>
                  </w:tcBorders>
                  <w:vAlign w:val="center"/>
                </w:tcPr>
                <w:p w14:paraId="29517052">
                  <w:pPr>
                    <w:widowControl/>
                    <w:snapToGrid w:val="0"/>
                    <w:spacing w:line="240" w:lineRule="atLeas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119FA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4" w:type="pct"/>
                  <w:vMerge w:val="continue"/>
                  <w:tcBorders>
                    <w:tl2br w:val="nil"/>
                    <w:tr2bl w:val="nil"/>
                  </w:tcBorders>
                  <w:vAlign w:val="center"/>
                </w:tcPr>
                <w:p w14:paraId="7509AF07">
                  <w:pPr>
                    <w:widowControl/>
                    <w:snapToGrid w:val="0"/>
                    <w:spacing w:line="240" w:lineRule="atLeast"/>
                    <w:jc w:val="center"/>
                    <w:rPr>
                      <w:rFonts w:hint="default" w:ascii="Times New Roman" w:hAnsi="Times New Roman" w:eastAsia="宋体" w:cs="Times New Roman"/>
                      <w:color w:val="auto"/>
                      <w:sz w:val="21"/>
                      <w:szCs w:val="21"/>
                    </w:rPr>
                  </w:pPr>
                </w:p>
              </w:tc>
              <w:tc>
                <w:tcPr>
                  <w:tcW w:w="602" w:type="pct"/>
                  <w:vMerge w:val="continue"/>
                  <w:tcBorders>
                    <w:tl2br w:val="nil"/>
                    <w:tr2bl w:val="nil"/>
                  </w:tcBorders>
                  <w:vAlign w:val="center"/>
                </w:tcPr>
                <w:p w14:paraId="0A358147">
                  <w:pPr>
                    <w:widowControl/>
                    <w:snapToGrid w:val="0"/>
                    <w:spacing w:line="240" w:lineRule="atLeast"/>
                    <w:jc w:val="center"/>
                    <w:rPr>
                      <w:rFonts w:hint="default" w:ascii="Times New Roman" w:hAnsi="Times New Roman" w:eastAsia="宋体" w:cs="Times New Roman"/>
                      <w:color w:val="auto"/>
                      <w:sz w:val="21"/>
                      <w:szCs w:val="21"/>
                      <w:lang w:val="en-US" w:eastAsia="zh-CN"/>
                    </w:rPr>
                  </w:pPr>
                </w:p>
              </w:tc>
              <w:tc>
                <w:tcPr>
                  <w:tcW w:w="309" w:type="pct"/>
                  <w:vMerge w:val="continue"/>
                  <w:tcBorders>
                    <w:tl2br w:val="nil"/>
                    <w:tr2bl w:val="nil"/>
                  </w:tcBorders>
                  <w:vAlign w:val="center"/>
                </w:tcPr>
                <w:p w14:paraId="7D003DA5">
                  <w:pPr>
                    <w:widowControl/>
                    <w:snapToGrid w:val="0"/>
                    <w:spacing w:line="240" w:lineRule="atLeast"/>
                    <w:jc w:val="center"/>
                    <w:rPr>
                      <w:rFonts w:hint="default" w:ascii="Times New Roman" w:hAnsi="Times New Roman" w:eastAsia="宋体" w:cs="Times New Roman"/>
                      <w:color w:val="auto"/>
                      <w:sz w:val="21"/>
                      <w:szCs w:val="21"/>
                    </w:rPr>
                  </w:pPr>
                </w:p>
              </w:tc>
              <w:tc>
                <w:tcPr>
                  <w:tcW w:w="303" w:type="pct"/>
                  <w:tcBorders>
                    <w:tl2br w:val="nil"/>
                    <w:tr2bl w:val="nil"/>
                  </w:tcBorders>
                  <w:vAlign w:val="center"/>
                </w:tcPr>
                <w:p w14:paraId="4EE78B50">
                  <w:pPr>
                    <w:pStyle w:val="3935"/>
                    <w:snapToGrid w:val="0"/>
                    <w:spacing w:before="0" w:beforeAutospacing="0" w:after="0" w:afterAutospacing="0"/>
                    <w:ind w:left="0" w:leftChars="0" w:right="0"/>
                    <w:jc w:val="center"/>
                    <w:rPr>
                      <w:rFonts w:hint="default" w:ascii="Times New Roman" w:hAnsi="Times New Roman" w:eastAsia="宋体" w:cs="Times New Roman"/>
                      <w:b w:val="0"/>
                      <w:bCs/>
                      <w:color w:val="auto"/>
                      <w:kern w:val="28"/>
                      <w:sz w:val="21"/>
                      <w:szCs w:val="21"/>
                      <w:lang w:val="en-US" w:eastAsia="zh-CN" w:bidi="ar-SA"/>
                    </w:rPr>
                  </w:pPr>
                  <w:r>
                    <w:rPr>
                      <w:rFonts w:hint="default" w:ascii="Times New Roman" w:hAnsi="Times New Roman" w:eastAsia="宋体" w:cs="Times New Roman"/>
                      <w:color w:val="auto"/>
                      <w:sz w:val="21"/>
                      <w:szCs w:val="21"/>
                    </w:rPr>
                    <w:t>北</w:t>
                  </w:r>
                </w:p>
              </w:tc>
              <w:tc>
                <w:tcPr>
                  <w:tcW w:w="1185" w:type="pct"/>
                  <w:tcBorders>
                    <w:tl2br w:val="nil"/>
                    <w:tr2bl w:val="nil"/>
                  </w:tcBorders>
                  <w:vAlign w:val="center"/>
                </w:tcPr>
                <w:p w14:paraId="78C3D67B">
                  <w:pPr>
                    <w:pStyle w:val="3935"/>
                    <w:snapToGrid w:val="0"/>
                    <w:spacing w:before="0" w:beforeAutospacing="0" w:after="0" w:afterAutospacing="0"/>
                    <w:ind w:left="0" w:leftChars="0" w:right="0"/>
                    <w:jc w:val="center"/>
                    <w:rPr>
                      <w:rFonts w:hint="default" w:ascii="Times New Roman" w:hAnsi="Times New Roman" w:eastAsia="宋体" w:cs="Times New Roman"/>
                      <w:b w:val="0"/>
                      <w:bCs/>
                      <w:color w:val="auto"/>
                      <w:kern w:val="28"/>
                      <w:sz w:val="21"/>
                      <w:szCs w:val="21"/>
                      <w:lang w:val="en-US" w:eastAsia="zh-CN" w:bidi="ar-SA"/>
                    </w:rPr>
                  </w:pPr>
                  <w:r>
                    <w:rPr>
                      <w:rFonts w:hint="default" w:ascii="Times New Roman" w:hAnsi="Times New Roman" w:eastAsia="宋体" w:cs="Times New Roman"/>
                      <w:color w:val="auto"/>
                      <w:sz w:val="21"/>
                      <w:szCs w:val="21"/>
                    </w:rPr>
                    <w:t>罐区一（戊类）</w:t>
                  </w:r>
                </w:p>
              </w:tc>
              <w:tc>
                <w:tcPr>
                  <w:tcW w:w="426" w:type="pct"/>
                  <w:tcBorders>
                    <w:tl2br w:val="nil"/>
                    <w:tr2bl w:val="nil"/>
                  </w:tcBorders>
                  <w:vAlign w:val="center"/>
                </w:tcPr>
                <w:p w14:paraId="6899BB83">
                  <w:pPr>
                    <w:pStyle w:val="3935"/>
                    <w:snapToGrid w:val="0"/>
                    <w:spacing w:before="0" w:beforeAutospacing="0" w:after="0" w:afterAutospacing="0"/>
                    <w:ind w:left="0" w:leftChars="0" w:right="0"/>
                    <w:jc w:val="center"/>
                    <w:rPr>
                      <w:rFonts w:hint="default" w:ascii="Times New Roman" w:hAnsi="Times New Roman" w:eastAsia="宋体" w:cs="Times New Roman"/>
                      <w:b w:val="0"/>
                      <w:bCs/>
                      <w:color w:val="auto"/>
                      <w:spacing w:val="-8"/>
                      <w:kern w:val="28"/>
                      <w:sz w:val="21"/>
                      <w:szCs w:val="21"/>
                      <w:lang w:val="en-US" w:eastAsia="zh-CN" w:bidi="ar-SA"/>
                    </w:rPr>
                  </w:pPr>
                  <w:r>
                    <w:rPr>
                      <w:rFonts w:hint="default" w:ascii="Times New Roman" w:hAnsi="Times New Roman" w:eastAsia="宋体" w:cs="Times New Roman"/>
                      <w:color w:val="auto"/>
                      <w:sz w:val="21"/>
                      <w:szCs w:val="21"/>
                    </w:rPr>
                    <w:t>13.3m</w:t>
                  </w:r>
                </w:p>
              </w:tc>
              <w:tc>
                <w:tcPr>
                  <w:tcW w:w="1471" w:type="pct"/>
                  <w:tcBorders>
                    <w:tl2br w:val="nil"/>
                    <w:tr2bl w:val="nil"/>
                  </w:tcBorders>
                  <w:vAlign w:val="center"/>
                </w:tcPr>
                <w:p w14:paraId="069D4D7F">
                  <w:pPr>
                    <w:widowControl/>
                    <w:snapToGrid w:val="0"/>
                    <w:spacing w:line="240" w:lineRule="atLeast"/>
                    <w:jc w:val="center"/>
                    <w:rPr>
                      <w:rFonts w:hint="default" w:ascii="Times New Roman" w:hAnsi="Times New Roman" w:eastAsia="宋体" w:cs="Times New Roman"/>
                      <w:color w:val="auto"/>
                      <w:spacing w:val="-8"/>
                      <w:kern w:val="0"/>
                      <w:sz w:val="21"/>
                      <w:szCs w:val="21"/>
                      <w:lang w:eastAsia="zh-CN"/>
                    </w:rPr>
                  </w:pPr>
                  <w:r>
                    <w:rPr>
                      <w:rFonts w:hint="default" w:ascii="Times New Roman" w:hAnsi="Times New Roman" w:eastAsia="宋体" w:cs="Times New Roman"/>
                      <w:color w:val="auto"/>
                      <w:kern w:val="0"/>
                      <w:sz w:val="21"/>
                      <w:szCs w:val="21"/>
                      <w:lang w:val="en-US" w:eastAsia="zh-CN"/>
                    </w:rPr>
                    <w:t>/</w:t>
                  </w:r>
                </w:p>
              </w:tc>
              <w:tc>
                <w:tcPr>
                  <w:tcW w:w="387" w:type="pct"/>
                  <w:tcBorders>
                    <w:tl2br w:val="nil"/>
                    <w:tr2bl w:val="nil"/>
                  </w:tcBorders>
                  <w:vAlign w:val="center"/>
                </w:tcPr>
                <w:p w14:paraId="38A7136A">
                  <w:pPr>
                    <w:widowControl/>
                    <w:snapToGrid w:val="0"/>
                    <w:spacing w:line="240" w:lineRule="atLeas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bl>
          <w:p w14:paraId="1ED079A3">
            <w:pPr>
              <w:spacing w:line="360" w:lineRule="auto"/>
              <w:ind w:firstLine="480"/>
              <w:rPr>
                <w:rFonts w:ascii="Times New Roman" w:hAnsi="Times New Roman"/>
                <w:color w:val="auto"/>
              </w:rPr>
            </w:pPr>
            <w:bookmarkStart w:id="31" w:name="_Toc26647"/>
            <w:r>
              <w:rPr>
                <w:rFonts w:ascii="Times New Roman" w:hAnsi="Times New Roman"/>
                <w:color w:val="auto"/>
              </w:rPr>
              <w:t>厂区消防道路、安全疏散通道及出口的设置情况</w:t>
            </w:r>
            <w:bookmarkEnd w:id="31"/>
          </w:p>
          <w:p w14:paraId="302D6429">
            <w:pPr>
              <w:spacing w:line="360" w:lineRule="auto"/>
              <w:ind w:firstLine="480" w:firstLineChars="200"/>
              <w:rPr>
                <w:rFonts w:ascii="Times New Roman" w:hAnsi="Times New Roman"/>
                <w:color w:val="auto"/>
                <w:sz w:val="24"/>
                <w:szCs w:val="24"/>
              </w:rPr>
            </w:pPr>
            <w:r>
              <w:rPr>
                <w:rFonts w:hint="eastAsia" w:ascii="Times New Roman" w:hAnsi="Times New Roman"/>
                <w:color w:val="auto"/>
                <w:sz w:val="24"/>
                <w:szCs w:val="24"/>
              </w:rPr>
              <w:t>华源化工</w:t>
            </w:r>
            <w:r>
              <w:rPr>
                <w:rFonts w:ascii="Times New Roman" w:hAnsi="Times New Roman"/>
                <w:color w:val="auto"/>
                <w:sz w:val="24"/>
                <w:szCs w:val="24"/>
              </w:rPr>
              <w:t>厂区内设有环形</w:t>
            </w:r>
            <w:r>
              <w:rPr>
                <w:rFonts w:hint="eastAsia" w:ascii="Times New Roman" w:hAnsi="Times New Roman"/>
                <w:color w:val="auto"/>
                <w:sz w:val="24"/>
                <w:szCs w:val="24"/>
              </w:rPr>
              <w:t>道路</w:t>
            </w:r>
            <w:r>
              <w:rPr>
                <w:rFonts w:ascii="Times New Roman" w:hAnsi="Times New Roman"/>
                <w:color w:val="auto"/>
                <w:sz w:val="24"/>
                <w:szCs w:val="24"/>
              </w:rPr>
              <w:t>，交通方便，道路宽</w:t>
            </w:r>
            <w:r>
              <w:rPr>
                <w:rFonts w:hint="eastAsia" w:ascii="Times New Roman" w:hAnsi="Times New Roman"/>
                <w:color w:val="auto"/>
                <w:sz w:val="24"/>
                <w:szCs w:val="24"/>
              </w:rPr>
              <w:t>≥</w:t>
            </w:r>
            <w:r>
              <w:rPr>
                <w:rFonts w:ascii="Times New Roman" w:hAnsi="Times New Roman"/>
                <w:color w:val="auto"/>
                <w:sz w:val="24"/>
                <w:szCs w:val="24"/>
              </w:rPr>
              <w:t>6米，</w:t>
            </w:r>
            <w:r>
              <w:rPr>
                <w:rFonts w:hint="eastAsia" w:ascii="Times New Roman" w:hAnsi="Times New Roman"/>
                <w:color w:val="auto"/>
                <w:sz w:val="24"/>
                <w:szCs w:val="24"/>
              </w:rPr>
              <w:t>主要</w:t>
            </w:r>
            <w:r>
              <w:rPr>
                <w:rFonts w:ascii="Times New Roman" w:hAnsi="Times New Roman"/>
                <w:color w:val="auto"/>
                <w:sz w:val="24"/>
                <w:szCs w:val="24"/>
              </w:rPr>
              <w:t>道路转弯半径</w:t>
            </w:r>
            <w:r>
              <w:rPr>
                <w:rFonts w:hint="eastAsia" w:ascii="Times New Roman" w:hAnsi="Times New Roman"/>
                <w:color w:val="auto"/>
                <w:sz w:val="24"/>
                <w:szCs w:val="24"/>
              </w:rPr>
              <w:t>≥</w:t>
            </w:r>
            <w:r>
              <w:rPr>
                <w:rFonts w:ascii="Times New Roman" w:hAnsi="Times New Roman"/>
                <w:color w:val="auto"/>
                <w:sz w:val="24"/>
                <w:szCs w:val="24"/>
              </w:rPr>
              <w:t>9米，路面上净空高度</w:t>
            </w:r>
            <w:r>
              <w:rPr>
                <w:rFonts w:hint="eastAsia" w:ascii="Times New Roman" w:hAnsi="Times New Roman"/>
                <w:color w:val="auto"/>
                <w:sz w:val="24"/>
                <w:szCs w:val="24"/>
              </w:rPr>
              <w:t>≥</w:t>
            </w:r>
            <w:r>
              <w:rPr>
                <w:rFonts w:ascii="Times New Roman" w:hAnsi="Times New Roman"/>
                <w:color w:val="auto"/>
                <w:sz w:val="24"/>
                <w:szCs w:val="24"/>
              </w:rPr>
              <w:t>5米，满足消防及安全疏散对道路的要求。</w:t>
            </w:r>
          </w:p>
          <w:p w14:paraId="40874784">
            <w:pPr>
              <w:spacing w:line="360" w:lineRule="auto"/>
              <w:ind w:firstLine="480" w:firstLineChars="200"/>
              <w:rPr>
                <w:rFonts w:hint="eastAsia" w:ascii="Times New Roman" w:hAnsi="Times New Roman"/>
                <w:color w:val="auto"/>
                <w:sz w:val="24"/>
                <w:szCs w:val="24"/>
                <w:lang w:eastAsia="zh-CN"/>
              </w:rPr>
            </w:pPr>
            <w:r>
              <w:rPr>
                <w:rFonts w:ascii="Times New Roman" w:hAnsi="Times New Roman"/>
                <w:color w:val="auto"/>
                <w:kern w:val="0"/>
                <w:sz w:val="24"/>
                <w:szCs w:val="24"/>
              </w:rPr>
              <w:t>从本项目的总平面图看，本项目在厂区</w:t>
            </w:r>
            <w:r>
              <w:rPr>
                <w:rFonts w:hint="eastAsia" w:ascii="Times New Roman" w:hAnsi="Times New Roman"/>
                <w:color w:val="auto"/>
                <w:kern w:val="0"/>
                <w:sz w:val="24"/>
                <w:szCs w:val="24"/>
              </w:rPr>
              <w:t>南</w:t>
            </w:r>
            <w:r>
              <w:rPr>
                <w:rFonts w:ascii="Times New Roman" w:hAnsi="Times New Roman"/>
                <w:color w:val="auto"/>
                <w:kern w:val="0"/>
                <w:sz w:val="24"/>
                <w:szCs w:val="24"/>
              </w:rPr>
              <w:t>北侧设置2个出入口，分别为人流出入口和物流出入口。门前28m外为宽15m的园区张码路。路上车辆行人不多，交通便利，可以满足安全疏散要求，</w:t>
            </w:r>
            <w:r>
              <w:rPr>
                <w:rFonts w:hint="eastAsia" w:ascii="Times New Roman" w:hAnsi="Times New Roman"/>
                <w:color w:val="auto"/>
                <w:kern w:val="0"/>
                <w:sz w:val="24"/>
                <w:szCs w:val="24"/>
              </w:rPr>
              <w:t>两侧</w:t>
            </w:r>
            <w:r>
              <w:rPr>
                <w:rFonts w:ascii="Times New Roman" w:hAnsi="Times New Roman"/>
                <w:color w:val="auto"/>
                <w:kern w:val="0"/>
                <w:sz w:val="24"/>
                <w:szCs w:val="24"/>
              </w:rPr>
              <w:t>路上车辆行人不多，交通便利，可以满足安全疏散要求</w:t>
            </w:r>
            <w:r>
              <w:rPr>
                <w:rFonts w:ascii="Times New Roman" w:hAnsi="Times New Roman"/>
                <w:color w:val="auto"/>
                <w:sz w:val="24"/>
                <w:szCs w:val="24"/>
              </w:rPr>
              <w:t>。</w:t>
            </w:r>
          </w:p>
          <w:p w14:paraId="45AE6C43">
            <w:pPr>
              <w:spacing w:line="360" w:lineRule="auto"/>
              <w:ind w:firstLine="480" w:firstLineChars="200"/>
              <w:rPr>
                <w:rFonts w:hint="eastAsia" w:ascii="Times New Roman" w:hAnsi="Times New Roman"/>
                <w:color w:val="auto"/>
                <w:sz w:val="24"/>
                <w:szCs w:val="24"/>
                <w:lang w:eastAsia="zh-CN"/>
              </w:rPr>
            </w:pPr>
            <w:r>
              <w:rPr>
                <w:rFonts w:hint="eastAsia" w:ascii="Times New Roman" w:hAnsi="Times New Roman"/>
                <w:color w:val="auto"/>
                <w:sz w:val="24"/>
                <w:szCs w:val="24"/>
                <w:lang w:eastAsia="zh-CN"/>
              </w:rPr>
              <w:t>整个厂区道路呈网状分布，各生产厂房、危险品仓库周边均设环形道路，道路宽度达到消防道路的规定，消防、应急救援车辆能够直达各危险源点，可以满足消防及应急救援的需要</w:t>
            </w:r>
            <w:r>
              <w:rPr>
                <w:rFonts w:hint="eastAsia"/>
                <w:color w:val="auto"/>
                <w:sz w:val="24"/>
                <w:szCs w:val="24"/>
                <w:lang w:eastAsia="zh-CN"/>
              </w:rPr>
              <w:t>，平面布置合理</w:t>
            </w:r>
            <w:r>
              <w:rPr>
                <w:rFonts w:hint="eastAsia"/>
                <w:color w:val="auto"/>
                <w:sz w:val="24"/>
                <w:szCs w:val="24"/>
                <w:lang w:val="en-US" w:eastAsia="zh-CN"/>
              </w:rPr>
              <w:t>，</w:t>
            </w:r>
            <w:r>
              <w:rPr>
                <w:rFonts w:hint="eastAsia"/>
                <w:color w:val="auto"/>
                <w:sz w:val="24"/>
                <w:szCs w:val="24"/>
                <w:lang w:eastAsia="zh-CN"/>
              </w:rPr>
              <w:t>项目安全设施设计专篇批复见附件16</w:t>
            </w:r>
          </w:p>
          <w:p w14:paraId="705ED1D3">
            <w:pPr>
              <w:adjustRightInd w:val="0"/>
              <w:snapToGrid w:val="0"/>
              <w:spacing w:line="360" w:lineRule="auto"/>
              <w:ind w:firstLine="480" w:firstLineChars="200"/>
              <w:rPr>
                <w:color w:val="auto"/>
                <w:sz w:val="24"/>
                <w:lang w:val="zh-CN"/>
              </w:rPr>
            </w:pPr>
            <w:r>
              <w:rPr>
                <w:color w:val="auto"/>
                <w:sz w:val="24"/>
                <w:lang w:val="zh-CN"/>
              </w:rPr>
              <w:t>项目地理位置图见</w:t>
            </w:r>
            <w:r>
              <w:rPr>
                <w:b/>
                <w:color w:val="auto"/>
                <w:sz w:val="24"/>
                <w:lang w:val="zh-CN"/>
              </w:rPr>
              <w:t>附图2、</w:t>
            </w:r>
            <w:r>
              <w:rPr>
                <w:color w:val="auto"/>
                <w:sz w:val="24"/>
                <w:lang w:val="zh-CN"/>
              </w:rPr>
              <w:t>项目周边状况图见</w:t>
            </w:r>
            <w:r>
              <w:rPr>
                <w:b/>
                <w:color w:val="auto"/>
                <w:sz w:val="24"/>
                <w:lang w:val="zh-CN"/>
              </w:rPr>
              <w:t>附图3</w:t>
            </w:r>
            <w:r>
              <w:rPr>
                <w:color w:val="auto"/>
                <w:sz w:val="24"/>
                <w:lang w:val="zh-CN"/>
              </w:rPr>
              <w:t>、平面布置见</w:t>
            </w:r>
            <w:r>
              <w:rPr>
                <w:b/>
                <w:color w:val="auto"/>
                <w:sz w:val="24"/>
                <w:lang w:val="zh-CN"/>
              </w:rPr>
              <w:t>附图4</w:t>
            </w:r>
            <w:r>
              <w:rPr>
                <w:color w:val="auto"/>
                <w:sz w:val="24"/>
                <w:lang w:val="zh-CN"/>
              </w:rPr>
              <w:t>。</w:t>
            </w:r>
          </w:p>
          <w:p w14:paraId="45BAE545">
            <w:pPr>
              <w:numPr>
                <w:ilvl w:val="0"/>
                <w:numId w:val="0"/>
              </w:numPr>
              <w:adjustRightInd w:val="0"/>
              <w:snapToGrid w:val="0"/>
              <w:spacing w:line="360" w:lineRule="auto"/>
              <w:ind w:firstLine="480" w:firstLineChars="200"/>
              <w:rPr>
                <w:rFonts w:hint="eastAsia"/>
                <w:color w:val="auto"/>
                <w:sz w:val="24"/>
                <w:lang w:val="en-US" w:eastAsia="zh-CN"/>
              </w:rPr>
            </w:pPr>
            <w:r>
              <w:rPr>
                <w:rFonts w:hint="eastAsia" w:ascii="Times New Roman" w:hAnsi="Times New Roman" w:eastAsia="宋体" w:cs="Times New Roman"/>
                <w:color w:val="auto"/>
                <w:kern w:val="2"/>
                <w:sz w:val="24"/>
                <w:szCs w:val="24"/>
                <w:lang w:val="en-US" w:eastAsia="zh-CN" w:bidi="ar-SA"/>
              </w:rPr>
              <w:t>6.</w:t>
            </w:r>
            <w:r>
              <w:rPr>
                <w:rFonts w:hint="eastAsia"/>
                <w:color w:val="auto"/>
                <w:sz w:val="24"/>
                <w:lang w:val="en-US" w:eastAsia="zh-CN"/>
              </w:rPr>
              <w:t>水平衡及蒸汽平衡</w:t>
            </w:r>
          </w:p>
          <w:p w14:paraId="3A6B98D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（1）水平衡</w:t>
            </w:r>
          </w:p>
          <w:p w14:paraId="44077EB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center"/>
              <w:textAlignment w:val="auto"/>
              <w:rPr>
                <w:rFonts w:hint="eastAsia"/>
                <w:color w:val="auto"/>
                <w:sz w:val="24"/>
                <w:lang w:val="en-US" w:eastAsia="zh-CN"/>
              </w:rPr>
            </w:pPr>
            <w:r>
              <w:rPr>
                <w:rFonts w:hint="eastAsia"/>
                <w:color w:val="auto"/>
                <w:sz w:val="24"/>
                <w:lang w:val="en-US" w:eastAsia="zh-CN"/>
              </w:rPr>
              <w:object>
                <v:shape id="_x0000_i1025" o:spt="75" type="#_x0000_t75" style="height:98.25pt;width:289.5pt;" o:ole="t" filled="f" o:preferrelative="t" stroked="f" coordsize="21600,21600">
                  <v:path/>
                  <v:fill on="f" focussize="0,0"/>
                  <v:stroke on="f"/>
                  <v:imagedata r:id="rId12" o:title=""/>
                  <o:lock v:ext="edit" aspectratio="t"/>
                  <w10:wrap type="none"/>
                  <w10:anchorlock/>
                </v:shape>
                <o:OLEObject Type="Link" ProgID="Visio.Drawing.11" ShapeID="_x0000_i1025" UpdateMode="Always" DrawAspect="Content" ObjectID="_1468075725" r:id="rId13">
                  <o:LinkType>EnhancedMetaFile</o:LinkType>
                  <o:LockedField>false</o:LockedField>
                  <o:FieldCodes>\f 0</o:FieldCodes>
                </o:OLEObject>
              </w:object>
            </w:r>
          </w:p>
          <w:p w14:paraId="5D60989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center"/>
              <w:textAlignment w:val="auto"/>
              <w:rPr>
                <w:rFonts w:hint="eastAsia"/>
                <w:b/>
                <w:bCs/>
                <w:color w:val="auto"/>
                <w:sz w:val="24"/>
                <w:lang w:val="en-US" w:eastAsia="zh-CN"/>
              </w:rPr>
            </w:pPr>
            <w:r>
              <w:rPr>
                <w:rFonts w:hint="eastAsia"/>
                <w:b/>
                <w:bCs/>
                <w:color w:val="auto"/>
                <w:sz w:val="24"/>
                <w:lang w:val="en-US" w:eastAsia="zh-CN"/>
              </w:rPr>
              <w:t>图2-1  本项目水平衡图</w:t>
            </w:r>
          </w:p>
          <w:p w14:paraId="1294F6C1">
            <w:pPr>
              <w:pStyle w:val="2"/>
              <w:rPr>
                <w:rFonts w:hint="eastAsia"/>
                <w:color w:val="auto"/>
                <w:lang w:val="en-US" w:eastAsia="zh-CN"/>
              </w:rPr>
            </w:pPr>
            <w:r>
              <w:rPr>
                <w:rFonts w:hint="eastAsia"/>
                <w:color w:val="auto"/>
                <w:lang w:val="en-US" w:eastAsia="zh-CN"/>
              </w:rPr>
              <w:object>
                <v:shape id="_x0000_i1026" o:spt="75" type="#_x0000_t75" style="height:302.25pt;width:420.45pt;" o:ole="t" filled="f" o:preferrelative="t" stroked="f" coordsize="21600,21600">
                  <v:path/>
                  <v:fill on="f" focussize="0,0"/>
                  <v:stroke on="f"/>
                  <v:imagedata r:id="rId14" o:title=""/>
                  <o:lock v:ext="edit" aspectratio="t"/>
                  <w10:wrap type="none"/>
                  <w10:anchorlock/>
                </v:shape>
                <o:OLEObject Type="Link" ProgID="Visio.Drawing.11" ShapeID="_x0000_i1026" UpdateMode="Always" DrawAspect="Content" ObjectID="_1468075726" r:id="rId15">
                  <o:LinkType>EnhancedMetaFile</o:LinkType>
                  <o:LockedField>false</o:LockedField>
                  <o:FieldCodes>\f 0</o:FieldCodes>
                </o:OLEObject>
              </w:object>
            </w:r>
          </w:p>
          <w:p w14:paraId="13F80C0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center"/>
              <w:textAlignment w:val="auto"/>
              <w:rPr>
                <w:rFonts w:hint="eastAsia"/>
                <w:b/>
                <w:bCs/>
                <w:color w:val="auto"/>
                <w:sz w:val="24"/>
                <w:lang w:val="en-US" w:eastAsia="zh-CN"/>
              </w:rPr>
            </w:pPr>
            <w:r>
              <w:rPr>
                <w:rFonts w:hint="eastAsia"/>
                <w:b/>
                <w:bCs/>
                <w:color w:val="auto"/>
                <w:sz w:val="24"/>
                <w:lang w:val="en-US" w:eastAsia="zh-CN"/>
              </w:rPr>
              <w:t>图2-2  本项目建成后全厂水平衡图</w:t>
            </w:r>
          </w:p>
          <w:p w14:paraId="2CBBEAB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（2）蒸汽平衡</w:t>
            </w:r>
          </w:p>
          <w:p w14:paraId="038D80C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lang w:val="en-US" w:eastAsia="zh-CN"/>
              </w:rPr>
            </w:pPr>
            <w:r>
              <w:rPr>
                <w:rFonts w:hint="default"/>
                <w:color w:val="auto"/>
                <w:sz w:val="24"/>
                <w:lang w:val="en-US" w:eastAsia="zh-CN"/>
              </w:rPr>
              <w:object>
                <v:shape id="_x0000_i1027" o:spt="75" type="#_x0000_t75" style="height:42pt;width:289.5pt;" o:ole="t" filled="f" o:preferrelative="t" stroked="f" coordsize="21600,21600">
                  <v:path/>
                  <v:fill on="f" focussize="0,0"/>
                  <v:stroke on="f"/>
                  <v:imagedata r:id="rId16" o:title=""/>
                  <o:lock v:ext="edit" aspectratio="t"/>
                  <w10:wrap type="none"/>
                  <w10:anchorlock/>
                </v:shape>
                <o:OLEObject Type="Link" ProgID="Visio.Drawing.11" ShapeID="_x0000_i1027" UpdateMode="Always" DrawAspect="Content" ObjectID="_1468075727" r:id="rId17">
                  <o:LinkType>EnhancedMetaFile</o:LinkType>
                  <o:LockedField>false</o:LockedField>
                  <o:FieldCodes>\f 0</o:FieldCodes>
                </o:OLEObject>
              </w:object>
            </w:r>
          </w:p>
          <w:p w14:paraId="331C49F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center"/>
              <w:textAlignment w:val="auto"/>
              <w:rPr>
                <w:rFonts w:hint="eastAsia"/>
                <w:b/>
                <w:bCs/>
                <w:color w:val="auto"/>
                <w:sz w:val="24"/>
                <w:lang w:val="en-US" w:eastAsia="zh-CN"/>
              </w:rPr>
            </w:pPr>
            <w:r>
              <w:rPr>
                <w:rFonts w:hint="eastAsia"/>
                <w:b/>
                <w:bCs/>
                <w:color w:val="auto"/>
                <w:sz w:val="24"/>
                <w:lang w:val="en-US" w:eastAsia="zh-CN"/>
              </w:rPr>
              <w:t>图2-3  本项目蒸汽平衡图</w:t>
            </w:r>
          </w:p>
          <w:p w14:paraId="1782CF4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b/>
                <w:bCs/>
                <w:color w:val="auto"/>
                <w:sz w:val="24"/>
                <w:lang w:val="en-US" w:eastAsia="zh-CN"/>
              </w:rPr>
            </w:pPr>
            <w:r>
              <w:rPr>
                <w:rFonts w:hint="default"/>
                <w:b/>
                <w:bCs/>
                <w:color w:val="auto"/>
                <w:sz w:val="24"/>
                <w:lang w:val="en-US" w:eastAsia="zh-CN"/>
              </w:rPr>
              <w:object>
                <v:shape id="_x0000_i1028" o:spt="75" type="#_x0000_t75" style="height:144.85pt;width:405.9pt;" o:ole="t" filled="f" o:preferrelative="t" stroked="f" coordsize="21600,21600">
                  <v:path/>
                  <v:fill on="f" focussize="0,0"/>
                  <v:stroke on="f"/>
                  <v:imagedata r:id="rId18" o:title=""/>
                  <o:lock v:ext="edit" aspectratio="t"/>
                  <w10:wrap type="none"/>
                  <w10:anchorlock/>
                </v:shape>
                <o:OLEObject Type="Link" ProgID="Visio.Drawing.11" ShapeID="_x0000_i1028" UpdateMode="Always" DrawAspect="Content" ObjectID="_1468075728" r:id="rId19">
                  <o:LinkType>EnhancedMetaFile</o:LinkType>
                  <o:LockedField>false</o:LockedField>
                </o:OLEObject>
              </w:object>
            </w:r>
          </w:p>
          <w:p w14:paraId="1D995D2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center"/>
              <w:textAlignment w:val="auto"/>
              <w:rPr>
                <w:rFonts w:hint="eastAsia"/>
                <w:b/>
                <w:bCs/>
                <w:color w:val="auto"/>
                <w:sz w:val="24"/>
                <w:lang w:val="en-US" w:eastAsia="zh-CN"/>
              </w:rPr>
            </w:pPr>
            <w:r>
              <w:rPr>
                <w:rFonts w:hint="eastAsia"/>
                <w:b/>
                <w:bCs/>
                <w:color w:val="auto"/>
                <w:sz w:val="24"/>
                <w:lang w:val="en-US" w:eastAsia="zh-CN"/>
              </w:rPr>
              <w:t>图2-4  本项目建成后全厂蒸汽平衡图</w:t>
            </w:r>
          </w:p>
          <w:p w14:paraId="650D38B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b/>
                <w:bCs/>
                <w:color w:val="auto"/>
                <w:sz w:val="24"/>
                <w:lang w:val="en-US" w:eastAsia="zh-CN"/>
              </w:rPr>
            </w:pPr>
          </w:p>
        </w:tc>
      </w:tr>
      <w:tr w14:paraId="255732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354" w:type="dxa"/>
            <w:vAlign w:val="center"/>
          </w:tcPr>
          <w:p w14:paraId="02D42AD9">
            <w:pPr>
              <w:pStyle w:val="81"/>
              <w:adjustRightInd w:val="0"/>
              <w:snapToGrid w:val="0"/>
              <w:spacing w:before="0" w:beforeAutospacing="0" w:after="0" w:afterAutospacing="0"/>
              <w:jc w:val="center"/>
              <w:rPr>
                <w:rFonts w:ascii="Times New Roman" w:hAnsi="Times New Roman" w:cs="Times New Roman"/>
                <w:color w:val="auto"/>
                <w:szCs w:val="24"/>
              </w:rPr>
            </w:pPr>
            <w:r>
              <w:rPr>
                <w:rFonts w:ascii="Times New Roman" w:hAnsi="Times New Roman" w:cs="Times New Roman"/>
                <w:color w:val="auto"/>
                <w:szCs w:val="24"/>
              </w:rPr>
              <w:t>工艺流程和产排污环节</w:t>
            </w:r>
          </w:p>
        </w:tc>
        <w:tc>
          <w:tcPr>
            <w:tcW w:w="8630" w:type="dxa"/>
          </w:tcPr>
          <w:p w14:paraId="5D611E96">
            <w:pPr>
              <w:adjustRightInd w:val="0"/>
              <w:snapToGrid w:val="0"/>
              <w:spacing w:line="360" w:lineRule="auto"/>
              <w:ind w:firstLine="482" w:firstLineChars="200"/>
              <w:rPr>
                <w:rFonts w:eastAsiaTheme="minorEastAsia"/>
                <w:b/>
                <w:color w:val="auto"/>
                <w:kern w:val="0"/>
                <w:sz w:val="24"/>
                <w:lang w:val="zh-CN"/>
              </w:rPr>
            </w:pPr>
            <w:r>
              <w:rPr>
                <w:rFonts w:hint="eastAsia" w:eastAsiaTheme="minorEastAsia"/>
                <w:b/>
                <w:color w:val="auto"/>
                <w:kern w:val="0"/>
                <w:sz w:val="24"/>
                <w:lang w:val="en-US" w:eastAsia="zh-CN"/>
              </w:rPr>
              <w:t>7</w:t>
            </w:r>
            <w:r>
              <w:rPr>
                <w:rFonts w:eastAsiaTheme="minorEastAsia"/>
                <w:b/>
                <w:color w:val="auto"/>
                <w:kern w:val="0"/>
                <w:sz w:val="24"/>
                <w:lang w:val="zh-CN"/>
              </w:rPr>
              <w:t>.工艺流程及产污环节</w:t>
            </w:r>
          </w:p>
          <w:p w14:paraId="042E9461">
            <w:pPr>
              <w:spacing w:line="360" w:lineRule="auto"/>
              <w:ind w:firstLine="560"/>
              <w:rPr>
                <w:rFonts w:hint="default"/>
                <w:color w:val="auto"/>
                <w:sz w:val="24"/>
                <w:szCs w:val="24"/>
                <w:lang w:val="en-US" w:eastAsia="zh-CN"/>
              </w:rPr>
            </w:pPr>
            <w:bookmarkStart w:id="32" w:name="_1677242071"/>
            <w:bookmarkEnd w:id="32"/>
            <w:bookmarkStart w:id="33" w:name="_1676054910"/>
            <w:bookmarkEnd w:id="33"/>
            <w:bookmarkStart w:id="34" w:name="_1677480878"/>
            <w:bookmarkEnd w:id="34"/>
            <w:bookmarkStart w:id="35" w:name="_1677351740"/>
            <w:bookmarkEnd w:id="35"/>
            <w:bookmarkStart w:id="36" w:name="_1677574275"/>
            <w:bookmarkEnd w:id="36"/>
            <w:bookmarkStart w:id="37" w:name="_1677655426"/>
            <w:bookmarkEnd w:id="37"/>
            <w:r>
              <w:rPr>
                <w:rFonts w:hint="eastAsia"/>
                <w:color w:val="auto"/>
                <w:sz w:val="24"/>
                <w:szCs w:val="24"/>
                <w:lang w:val="en-US" w:eastAsia="zh-CN"/>
              </w:rPr>
              <w:t>（1）液氯贮罐</w:t>
            </w:r>
          </w:p>
          <w:p w14:paraId="4EDC7453">
            <w:pPr>
              <w:spacing w:line="360" w:lineRule="auto"/>
              <w:ind w:firstLine="562"/>
              <w:rPr>
                <w:rFonts w:hint="eastAsia" w:cs="Times New Roman"/>
                <w:b/>
                <w:bCs/>
                <w:color w:val="auto"/>
                <w:sz w:val="24"/>
                <w:szCs w:val="24"/>
                <w:lang w:eastAsia="zh-CN"/>
              </w:rPr>
            </w:pPr>
            <w:r>
              <w:rPr>
                <w:rFonts w:hint="default" w:ascii="Times New Roman" w:hAnsi="Times New Roman" w:eastAsia="宋体" w:cs="Times New Roman"/>
                <w:b/>
                <w:bCs/>
                <w:color w:val="auto"/>
                <w:sz w:val="24"/>
                <w:szCs w:val="24"/>
              </w:rPr>
              <w:t>本项目新增三只（</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用</w:t>
            </w: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应急）固定式液氯贮罐，其他工艺未发生变化</w:t>
            </w:r>
            <w:r>
              <w:rPr>
                <w:rFonts w:hint="eastAsia" w:cs="Times New Roman"/>
                <w:b/>
                <w:bCs/>
                <w:color w:val="auto"/>
                <w:sz w:val="24"/>
                <w:szCs w:val="24"/>
                <w:lang w:eastAsia="zh-CN"/>
              </w:rPr>
              <w:t>。</w:t>
            </w:r>
          </w:p>
          <w:p w14:paraId="63187380">
            <w:pPr>
              <w:spacing w:line="360" w:lineRule="auto"/>
              <w:ind w:firstLine="562"/>
              <w:rPr>
                <w:rFonts w:hint="eastAsia"/>
                <w:color w:val="auto"/>
                <w:sz w:val="24"/>
                <w:szCs w:val="24"/>
                <w:lang w:eastAsia="zh-CN"/>
              </w:rPr>
            </w:pPr>
            <w:r>
              <w:rPr>
                <w:rFonts w:hint="eastAsia"/>
                <w:color w:val="auto"/>
                <w:sz w:val="24"/>
                <w:szCs w:val="24"/>
                <w:lang w:eastAsia="zh-CN"/>
              </w:rPr>
              <w:t>①液氯输送至储罐暂存</w:t>
            </w:r>
          </w:p>
          <w:p w14:paraId="762DADFF">
            <w:pPr>
              <w:spacing w:line="360" w:lineRule="auto"/>
              <w:ind w:firstLine="562"/>
              <w:rPr>
                <w:rFonts w:hint="eastAsia"/>
                <w:color w:val="auto"/>
                <w:sz w:val="24"/>
                <w:szCs w:val="24"/>
                <w:lang w:eastAsia="zh-CN"/>
              </w:rPr>
            </w:pPr>
            <w:r>
              <w:rPr>
                <w:rFonts w:hint="eastAsia"/>
                <w:color w:val="auto"/>
                <w:sz w:val="24"/>
                <w:szCs w:val="24"/>
                <w:lang w:eastAsia="zh-CN"/>
              </w:rPr>
              <w:t>液氯罐车进入液氯罐式集装箱装卸场地内固定停车位，可靠接地，并连接好液氯槽罐车液位计，打开小引风机和真空泵，然后槽罐车液相、气相分别与卸车液相、气相万向节连接，关闭真空，试压试漏，无漏点待卸车，真空泵抽取的残余氯气经过</w:t>
            </w:r>
            <w:r>
              <w:rPr>
                <w:rFonts w:hint="eastAsia"/>
                <w:bCs/>
                <w:color w:val="auto"/>
                <w:sz w:val="24"/>
                <w:lang w:eastAsia="zh-CN"/>
              </w:rPr>
              <w:t>一级水吸收+二级碱吸收</w:t>
            </w:r>
            <w:r>
              <w:rPr>
                <w:rFonts w:hint="eastAsia"/>
                <w:bCs/>
                <w:color w:val="auto"/>
                <w:sz w:val="24"/>
                <w:lang w:val="en-US" w:eastAsia="zh-CN"/>
              </w:rPr>
              <w:t>装置</w:t>
            </w:r>
            <w:r>
              <w:rPr>
                <w:rFonts w:hint="eastAsia"/>
                <w:color w:val="auto"/>
                <w:sz w:val="24"/>
                <w:szCs w:val="24"/>
                <w:lang w:eastAsia="zh-CN"/>
              </w:rPr>
              <w:t>进行吸收后通过排气筒（</w:t>
            </w:r>
            <w:r>
              <w:rPr>
                <w:rFonts w:hint="eastAsia"/>
                <w:color w:val="auto"/>
                <w:sz w:val="24"/>
                <w:szCs w:val="24"/>
                <w:lang w:val="en-US" w:eastAsia="zh-CN"/>
              </w:rPr>
              <w:t>DA001）</w:t>
            </w:r>
            <w:r>
              <w:rPr>
                <w:rFonts w:hint="eastAsia"/>
                <w:color w:val="auto"/>
                <w:sz w:val="24"/>
                <w:szCs w:val="24"/>
                <w:lang w:eastAsia="zh-CN"/>
              </w:rPr>
              <w:t>排空。</w:t>
            </w:r>
          </w:p>
          <w:p w14:paraId="64361869">
            <w:pPr>
              <w:spacing w:line="360" w:lineRule="auto"/>
              <w:ind w:firstLine="562"/>
              <w:rPr>
                <w:rFonts w:hint="eastAsia"/>
                <w:color w:val="auto"/>
                <w:sz w:val="24"/>
                <w:szCs w:val="24"/>
                <w:lang w:eastAsia="zh-CN"/>
              </w:rPr>
            </w:pPr>
            <w:r>
              <w:rPr>
                <w:rFonts w:hint="eastAsia"/>
                <w:color w:val="auto"/>
                <w:sz w:val="24"/>
                <w:szCs w:val="24"/>
                <w:lang w:eastAsia="zh-CN"/>
              </w:rPr>
              <w:t>液氯卸车时利用卸车气化器将液氯罐车增压至0.7MPa，利用压差将液氯罐车中的液氯卸至液氯储罐。</w:t>
            </w:r>
          </w:p>
          <w:p w14:paraId="4C8F28E7">
            <w:pPr>
              <w:spacing w:line="360" w:lineRule="auto"/>
              <w:ind w:firstLine="562"/>
              <w:rPr>
                <w:rFonts w:hint="eastAsia"/>
                <w:color w:val="auto"/>
                <w:sz w:val="24"/>
                <w:szCs w:val="24"/>
                <w:lang w:eastAsia="zh-CN"/>
              </w:rPr>
            </w:pPr>
            <w:r>
              <w:rPr>
                <w:rFonts w:hint="eastAsia"/>
                <w:color w:val="auto"/>
                <w:sz w:val="24"/>
                <w:szCs w:val="24"/>
                <w:lang w:eastAsia="zh-CN"/>
              </w:rPr>
              <w:t>向液氯储罐卸料时，打开液氯储罐底部开关阀、卸车气化器E1609进氯调节阀向卸车气化器进液氯，控制卸车气化器出口氯气压力小于1.0MPa，同时打开卸车气化器热水循环水或蒸汽开关阀、调节阀，控制卸车气化器出口氯气温度不超过40℃。打开卸车万向节气相阀、液相阀以及液氯储罐进氯阀，当液氯储罐压力达到0.3MPa时打开液氯储罐V1600a气相排放阀、气相调节阀泄压，控制液氯储罐压力在0.1MPa-0.3MPa。</w:t>
            </w:r>
          </w:p>
          <w:p w14:paraId="29559A02">
            <w:pPr>
              <w:spacing w:line="360" w:lineRule="auto"/>
              <w:ind w:firstLine="562"/>
              <w:rPr>
                <w:rFonts w:hint="eastAsia"/>
                <w:color w:val="auto"/>
                <w:sz w:val="24"/>
                <w:szCs w:val="24"/>
                <w:lang w:eastAsia="zh-CN"/>
              </w:rPr>
            </w:pPr>
            <w:r>
              <w:rPr>
                <w:rFonts w:hint="eastAsia"/>
                <w:color w:val="auto"/>
                <w:sz w:val="24"/>
                <w:szCs w:val="24"/>
                <w:lang w:eastAsia="zh-CN"/>
              </w:rPr>
              <w:t>卸车完毕打开液氯缓冲罐气相阀和调节阀，向缓冲罐卸除罐车内余压，调节阀后压力控制在0.3MPa，罐车压力降为0.3MPa时完成泄压，关闭气相阀，打开万向节气相、液相排放阀门真空抽管道余氯，排净连接三通内残余的液氯、氯气，氯气经过</w:t>
            </w:r>
            <w:r>
              <w:rPr>
                <w:rFonts w:hint="eastAsia"/>
                <w:bCs/>
                <w:color w:val="auto"/>
                <w:sz w:val="24"/>
                <w:lang w:eastAsia="zh-CN"/>
              </w:rPr>
              <w:t>一级水吸收+二级碱吸收</w:t>
            </w:r>
            <w:r>
              <w:rPr>
                <w:rFonts w:hint="eastAsia"/>
                <w:bCs/>
                <w:color w:val="auto"/>
                <w:sz w:val="24"/>
                <w:lang w:val="en-US" w:eastAsia="zh-CN"/>
              </w:rPr>
              <w:t>装置</w:t>
            </w:r>
            <w:r>
              <w:rPr>
                <w:rFonts w:hint="eastAsia"/>
                <w:color w:val="auto"/>
                <w:sz w:val="24"/>
                <w:szCs w:val="24"/>
                <w:lang w:eastAsia="zh-CN"/>
              </w:rPr>
              <w:t>进行吸收后通过</w:t>
            </w:r>
            <w:r>
              <w:rPr>
                <w:rFonts w:hint="eastAsia"/>
                <w:color w:val="auto"/>
                <w:sz w:val="24"/>
                <w:szCs w:val="24"/>
                <w:lang w:val="en-US" w:eastAsia="zh-CN"/>
              </w:rPr>
              <w:t>25米高</w:t>
            </w:r>
            <w:r>
              <w:rPr>
                <w:rFonts w:hint="eastAsia"/>
                <w:color w:val="auto"/>
                <w:sz w:val="24"/>
                <w:szCs w:val="24"/>
                <w:lang w:eastAsia="zh-CN"/>
              </w:rPr>
              <w:t>排气筒</w:t>
            </w:r>
            <w:r>
              <w:rPr>
                <w:rFonts w:hint="eastAsia"/>
                <w:bCs/>
                <w:color w:val="auto"/>
                <w:sz w:val="24"/>
                <w:lang w:val="en-US" w:eastAsia="zh-CN"/>
              </w:rPr>
              <w:t>（DA001）</w:t>
            </w:r>
            <w:r>
              <w:rPr>
                <w:rFonts w:hint="eastAsia"/>
                <w:color w:val="auto"/>
                <w:sz w:val="24"/>
                <w:szCs w:val="24"/>
                <w:lang w:eastAsia="zh-CN"/>
              </w:rPr>
              <w:t>排空，最后断开连接法兰，并在装卸臂连接法兰处装上盲法兰，将槽罐车液相、气相出口阀后对接口装上盲法兰；最后摘除静电释放器，摘除液位计。</w:t>
            </w:r>
          </w:p>
          <w:p w14:paraId="596D860C">
            <w:pPr>
              <w:spacing w:line="360" w:lineRule="auto"/>
              <w:ind w:firstLine="560"/>
              <w:rPr>
                <w:rFonts w:hint="eastAsia"/>
                <w:color w:val="auto"/>
                <w:sz w:val="24"/>
                <w:szCs w:val="24"/>
              </w:rPr>
            </w:pPr>
            <w:r>
              <w:rPr>
                <w:rFonts w:hint="eastAsia"/>
                <w:color w:val="auto"/>
                <w:sz w:val="24"/>
                <w:szCs w:val="24"/>
                <w:lang w:eastAsia="zh-CN"/>
              </w:rPr>
              <w:t>液氯集装箱装卸场地内</w:t>
            </w:r>
            <w:r>
              <w:rPr>
                <w:rFonts w:hint="eastAsia"/>
                <w:color w:val="auto"/>
                <w:sz w:val="24"/>
                <w:szCs w:val="24"/>
              </w:rPr>
              <w:t>设置事故氯处理设施，事故风机、两级碱液吸收处理装置、有毒气体检测报警装置，检测到有氯气泄漏，联锁启动事故氯应急处理设施，启动风机、碱液吸收循环泵、</w:t>
            </w:r>
            <w:r>
              <w:rPr>
                <w:rFonts w:hint="eastAsia"/>
                <w:color w:val="auto"/>
                <w:sz w:val="24"/>
                <w:szCs w:val="24"/>
                <w:lang w:val="en-US" w:eastAsia="zh-CN"/>
              </w:rPr>
              <w:t>水</w:t>
            </w:r>
            <w:r>
              <w:rPr>
                <w:rFonts w:hint="eastAsia"/>
                <w:color w:val="auto"/>
                <w:sz w:val="24"/>
                <w:szCs w:val="24"/>
              </w:rPr>
              <w:t>喷淋设施等。</w:t>
            </w:r>
          </w:p>
          <w:p w14:paraId="13D48820">
            <w:pPr>
              <w:pStyle w:val="6"/>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color w:val="auto"/>
              </w:rPr>
            </w:pPr>
            <w:r>
              <w:rPr>
                <w:color w:val="auto"/>
              </w:rPr>
              <mc:AlternateContent>
                <mc:Choice Requires="wpc">
                  <w:drawing>
                    <wp:inline distT="0" distB="0" distL="114300" distR="114300">
                      <wp:extent cx="5043170" cy="2397125"/>
                      <wp:effectExtent l="0" t="0" r="0" b="0"/>
                      <wp:docPr id="18" name="画布 2"/>
                      <wp:cNvGraphicFramePr/>
                      <a:graphic xmlns:a="http://schemas.openxmlformats.org/drawingml/2006/main">
                        <a:graphicData uri="http://schemas.microsoft.com/office/word/2010/wordprocessingCanvas">
                          <wpc:wpc>
                            <wpc:bg>
                              <a:noFill/>
                            </wpc:bg>
                            <wpc:whole>
                              <a:ln>
                                <a:noFill/>
                              </a:ln>
                            </wpc:whole>
                            <wps:wsp>
                              <wps:cNvPr id="3" name="矩形 4"/>
                              <wps:cNvSpPr/>
                              <wps:spPr>
                                <a:xfrm>
                                  <a:off x="227330" y="510540"/>
                                  <a:ext cx="1200785" cy="327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758D60">
                                    <w:pPr>
                                      <w:overflowPunct/>
                                      <w:adjustRightInd/>
                                      <w:snapToGrid/>
                                      <w:spacing w:line="240" w:lineRule="atLeast"/>
                                      <w:ind w:firstLine="0" w:firstLineChars="0"/>
                                      <w:jc w:val="center"/>
                                      <w:rPr>
                                        <w:rFonts w:hint="eastAsia"/>
                                        <w:sz w:val="21"/>
                                        <w:szCs w:val="21"/>
                                      </w:rPr>
                                    </w:pPr>
                                    <w:r>
                                      <w:rPr>
                                        <w:rFonts w:hint="eastAsia"/>
                                        <w:sz w:val="21"/>
                                        <w:szCs w:val="21"/>
                                      </w:rPr>
                                      <w:t>液氯罐式集装箱</w:t>
                                    </w:r>
                                  </w:p>
                                </w:txbxContent>
                              </wps:txbx>
                              <wps:bodyPr upright="1"/>
                            </wps:wsp>
                            <wps:wsp>
                              <wps:cNvPr id="4" name="矩形 5"/>
                              <wps:cNvSpPr/>
                              <wps:spPr>
                                <a:xfrm>
                                  <a:off x="1814830" y="525780"/>
                                  <a:ext cx="784225" cy="317500"/>
                                </a:xfrm>
                                <a:prstGeom prst="rect">
                                  <a:avLst/>
                                </a:prstGeom>
                                <a:solidFill>
                                  <a:srgbClr val="FFFFFF"/>
                                </a:solidFill>
                                <a:ln w="19050" cap="flat" cmpd="sng">
                                  <a:solidFill>
                                    <a:srgbClr val="FF0000"/>
                                  </a:solidFill>
                                  <a:prstDash val="solid"/>
                                  <a:miter/>
                                  <a:headEnd type="none" w="med" len="med"/>
                                  <a:tailEnd type="none" w="med" len="med"/>
                                </a:ln>
                              </wps:spPr>
                              <wps:txbx>
                                <w:txbxContent>
                                  <w:p w14:paraId="2A21A6EF">
                                    <w:pPr>
                                      <w:overflowPunct/>
                                      <w:adjustRightInd/>
                                      <w:snapToGrid/>
                                      <w:spacing w:line="240" w:lineRule="atLeast"/>
                                      <w:ind w:firstLine="0" w:firstLineChars="0"/>
                                      <w:jc w:val="center"/>
                                      <w:rPr>
                                        <w:rFonts w:hint="eastAsia" w:eastAsia="宋体"/>
                                        <w:sz w:val="21"/>
                                        <w:szCs w:val="21"/>
                                        <w:lang w:eastAsia="zh-CN"/>
                                      </w:rPr>
                                    </w:pPr>
                                    <w:r>
                                      <w:rPr>
                                        <w:rFonts w:hint="eastAsia"/>
                                        <w:sz w:val="21"/>
                                        <w:szCs w:val="21"/>
                                        <w:lang w:eastAsia="zh-CN"/>
                                      </w:rPr>
                                      <w:t>液氯储罐</w:t>
                                    </w:r>
                                  </w:p>
                                </w:txbxContent>
                              </wps:txbx>
                              <wps:bodyPr upright="1"/>
                            </wps:wsp>
                            <wps:wsp>
                              <wps:cNvPr id="5" name="矩形 6"/>
                              <wps:cNvSpPr/>
                              <wps:spPr>
                                <a:xfrm>
                                  <a:off x="2981325" y="560070"/>
                                  <a:ext cx="1329690" cy="276860"/>
                                </a:xfrm>
                                <a:prstGeom prst="rect">
                                  <a:avLst/>
                                </a:prstGeom>
                                <a:solidFill>
                                  <a:srgbClr val="FFFFFF"/>
                                </a:solidFill>
                                <a:ln w="9525" cap="flat" cmpd="sng">
                                  <a:noFill/>
                                  <a:prstDash val="solid"/>
                                  <a:miter/>
                                  <a:headEnd type="none" w="med" len="med"/>
                                  <a:tailEnd type="none" w="med" len="med"/>
                                </a:ln>
                              </wps:spPr>
                              <wps:txbx>
                                <w:txbxContent>
                                  <w:p w14:paraId="5912BE9C">
                                    <w:pPr>
                                      <w:overflowPunct/>
                                      <w:adjustRightInd/>
                                      <w:snapToGrid/>
                                      <w:spacing w:line="240" w:lineRule="atLeast"/>
                                      <w:ind w:firstLine="0" w:firstLineChars="0"/>
                                      <w:jc w:val="center"/>
                                      <w:rPr>
                                        <w:rFonts w:hint="eastAsia" w:eastAsia="宋体"/>
                                        <w:sz w:val="21"/>
                                        <w:szCs w:val="21"/>
                                        <w:lang w:eastAsia="zh-CN"/>
                                      </w:rPr>
                                    </w:pPr>
                                    <w:r>
                                      <w:rPr>
                                        <w:rFonts w:hint="eastAsia"/>
                                        <w:sz w:val="21"/>
                                        <w:szCs w:val="21"/>
                                        <w:lang w:eastAsia="zh-CN"/>
                                      </w:rPr>
                                      <w:t>进入现有气</w:t>
                                    </w:r>
                                    <w:r>
                                      <w:rPr>
                                        <w:rFonts w:hint="eastAsia"/>
                                        <w:sz w:val="21"/>
                                        <w:szCs w:val="21"/>
                                      </w:rPr>
                                      <w:t>化</w:t>
                                    </w:r>
                                    <w:r>
                                      <w:rPr>
                                        <w:rFonts w:hint="eastAsia"/>
                                        <w:sz w:val="21"/>
                                        <w:szCs w:val="21"/>
                                        <w:lang w:eastAsia="zh-CN"/>
                                      </w:rPr>
                                      <w:t>工序</w:t>
                                    </w:r>
                                  </w:p>
                                </w:txbxContent>
                              </wps:txbx>
                              <wps:bodyPr upright="1"/>
                            </wps:wsp>
                            <wps:wsp>
                              <wps:cNvPr id="12" name="直线 13"/>
                              <wps:cNvCnPr/>
                              <wps:spPr>
                                <a:xfrm>
                                  <a:off x="1437005" y="682626"/>
                                  <a:ext cx="381000" cy="0"/>
                                </a:xfrm>
                                <a:prstGeom prst="line">
                                  <a:avLst/>
                                </a:prstGeom>
                                <a:ln w="9525" cap="flat" cmpd="sng">
                                  <a:solidFill>
                                    <a:srgbClr val="000000"/>
                                  </a:solidFill>
                                  <a:prstDash val="solid"/>
                                  <a:headEnd type="none" w="med" len="sm"/>
                                  <a:tailEnd type="stealth" w="med" len="lg"/>
                                </a:ln>
                              </wps:spPr>
                              <wps:bodyPr upright="1"/>
                            </wps:wsp>
                            <wps:wsp>
                              <wps:cNvPr id="13" name="直线 14"/>
                              <wps:cNvCnPr/>
                              <wps:spPr>
                                <a:xfrm>
                                  <a:off x="2618105" y="675006"/>
                                  <a:ext cx="380999" cy="0"/>
                                </a:xfrm>
                                <a:prstGeom prst="line">
                                  <a:avLst/>
                                </a:prstGeom>
                                <a:ln w="9525" cap="flat" cmpd="sng">
                                  <a:solidFill>
                                    <a:srgbClr val="000000"/>
                                  </a:solidFill>
                                  <a:prstDash val="solid"/>
                                  <a:headEnd type="none" w="med" len="sm"/>
                                  <a:tailEnd type="stealth" w="med" len="lg"/>
                                </a:ln>
                              </wps:spPr>
                              <wps:bodyPr upright="1"/>
                            </wps:wsp>
                            <wps:wsp>
                              <wps:cNvPr id="14" name="文本框 15"/>
                              <wps:cNvSpPr txBox="1"/>
                              <wps:spPr>
                                <a:xfrm>
                                  <a:off x="175260" y="1825626"/>
                                  <a:ext cx="241300" cy="169545"/>
                                </a:xfrm>
                                <a:prstGeom prst="rect">
                                  <a:avLst/>
                                </a:prstGeom>
                                <a:solidFill>
                                  <a:srgbClr val="FFFFFF"/>
                                </a:solidFill>
                                <a:ln w="15875" cap="flat" cmpd="sng">
                                  <a:solidFill>
                                    <a:srgbClr val="FF0000"/>
                                  </a:solidFill>
                                  <a:prstDash val="solid"/>
                                  <a:miter/>
                                  <a:headEnd type="none" w="med" len="med"/>
                                  <a:tailEnd type="none" w="med" len="med"/>
                                </a:ln>
                              </wps:spPr>
                              <wps:txbx>
                                <w:txbxContent>
                                  <w:p w14:paraId="33F62C96"/>
                                </w:txbxContent>
                              </wps:txbx>
                              <wps:bodyPr upright="1"/>
                            </wps:wsp>
                            <wps:wsp>
                              <wps:cNvPr id="15" name="文本框 16"/>
                              <wps:cNvSpPr txBox="1"/>
                              <wps:spPr>
                                <a:xfrm>
                                  <a:off x="622300" y="1788796"/>
                                  <a:ext cx="1186815" cy="281940"/>
                                </a:xfrm>
                                <a:prstGeom prst="rect">
                                  <a:avLst/>
                                </a:prstGeom>
                                <a:noFill/>
                                <a:ln>
                                  <a:noFill/>
                                </a:ln>
                              </wps:spPr>
                              <wps:txbx>
                                <w:txbxContent>
                                  <w:p w14:paraId="7F2763C6">
                                    <w:pPr>
                                      <w:rPr>
                                        <w:rFonts w:hint="eastAsia" w:eastAsia="宋体"/>
                                        <w:lang w:eastAsia="zh-CN"/>
                                      </w:rPr>
                                    </w:pPr>
                                    <w:r>
                                      <w:rPr>
                                        <w:rFonts w:hint="eastAsia"/>
                                        <w:lang w:eastAsia="zh-CN"/>
                                      </w:rPr>
                                      <w:t>本项目新增</w:t>
                                    </w:r>
                                  </w:p>
                                </w:txbxContent>
                              </wps:txbx>
                              <wps:bodyPr upright="1"/>
                            </wps:wsp>
                            <wps:wsp>
                              <wps:cNvPr id="16" name="文本框 17"/>
                              <wps:cNvSpPr txBox="1"/>
                              <wps:spPr>
                                <a:xfrm>
                                  <a:off x="165100" y="2165351"/>
                                  <a:ext cx="241300" cy="165099"/>
                                </a:xfrm>
                                <a:prstGeom prst="rect">
                                  <a:avLst/>
                                </a:prstGeom>
                                <a:solidFill>
                                  <a:srgbClr val="FFFFFF"/>
                                </a:solidFill>
                                <a:ln w="15875" cap="flat" cmpd="sng">
                                  <a:solidFill>
                                    <a:srgbClr val="000000"/>
                                  </a:solidFill>
                                  <a:prstDash val="solid"/>
                                  <a:miter/>
                                  <a:headEnd type="none" w="med" len="med"/>
                                  <a:tailEnd type="none" w="med" len="med"/>
                                </a:ln>
                              </wps:spPr>
                              <wps:txbx>
                                <w:txbxContent>
                                  <w:p w14:paraId="7BFC0E93"/>
                                </w:txbxContent>
                              </wps:txbx>
                              <wps:bodyPr upright="1"/>
                            </wps:wsp>
                            <wps:wsp>
                              <wps:cNvPr id="17" name="文本框 18"/>
                              <wps:cNvSpPr txBox="1"/>
                              <wps:spPr>
                                <a:xfrm>
                                  <a:off x="604520" y="2106931"/>
                                  <a:ext cx="1181100" cy="279399"/>
                                </a:xfrm>
                                <a:prstGeom prst="rect">
                                  <a:avLst/>
                                </a:prstGeom>
                                <a:noFill/>
                                <a:ln>
                                  <a:noFill/>
                                </a:ln>
                              </wps:spPr>
                              <wps:txbx>
                                <w:txbxContent>
                                  <w:p w14:paraId="166AF179">
                                    <w:pPr>
                                      <w:rPr>
                                        <w:rFonts w:hint="eastAsia" w:eastAsia="宋体"/>
                                        <w:lang w:eastAsia="zh-CN"/>
                                      </w:rPr>
                                    </w:pPr>
                                    <w:r>
                                      <w:rPr>
                                        <w:rFonts w:hint="eastAsia"/>
                                        <w:lang w:eastAsia="zh-CN"/>
                                      </w:rPr>
                                      <w:t>现有项目工艺</w:t>
                                    </w:r>
                                  </w:p>
                                </w:txbxContent>
                              </wps:txbx>
                              <wps:bodyPr upright="1"/>
                            </wps:wsp>
                            <wps:wsp>
                              <wps:cNvPr id="2" name="直线 9"/>
                              <wps:cNvCnPr/>
                              <wps:spPr>
                                <a:xfrm flipH="1">
                                  <a:off x="2211705" y="838835"/>
                                  <a:ext cx="4445" cy="398145"/>
                                </a:xfrm>
                                <a:prstGeom prst="line">
                                  <a:avLst/>
                                </a:prstGeom>
                                <a:ln w="9525" cap="flat" cmpd="sng">
                                  <a:solidFill>
                                    <a:schemeClr val="tx1"/>
                                  </a:solidFill>
                                  <a:prstDash val="solid"/>
                                  <a:headEnd type="none" w="med" len="sm"/>
                                  <a:tailEnd type="stealth" w="med" len="lg"/>
                                </a:ln>
                              </wps:spPr>
                              <wps:bodyPr upright="1"/>
                            </wps:wsp>
                            <wps:wsp>
                              <wps:cNvPr id="20" name="矩形 10"/>
                              <wps:cNvSpPr/>
                              <wps:spPr>
                                <a:xfrm>
                                  <a:off x="1790700" y="1219835"/>
                                  <a:ext cx="876300" cy="317500"/>
                                </a:xfrm>
                                <a:prstGeom prst="rect">
                                  <a:avLst/>
                                </a:prstGeom>
                                <a:solidFill>
                                  <a:srgbClr val="FFFFFF"/>
                                </a:solidFill>
                                <a:ln w="9525" cap="flat" cmpd="sng">
                                  <a:solidFill>
                                    <a:schemeClr val="tx1"/>
                                  </a:solidFill>
                                  <a:prstDash val="solid"/>
                                  <a:miter/>
                                  <a:headEnd type="none" w="med" len="med"/>
                                  <a:tailEnd type="none" w="med" len="med"/>
                                </a:ln>
                              </wps:spPr>
                              <wps:txbx>
                                <w:txbxContent>
                                  <w:p w14:paraId="0FDC95F7">
                                    <w:pPr>
                                      <w:overflowPunct/>
                                      <w:adjustRightInd/>
                                      <w:snapToGrid/>
                                      <w:spacing w:line="240" w:lineRule="atLeast"/>
                                      <w:ind w:firstLine="0" w:firstLineChars="0"/>
                                      <w:jc w:val="center"/>
                                      <w:rPr>
                                        <w:rFonts w:hint="eastAsia" w:eastAsia="宋体"/>
                                        <w:sz w:val="21"/>
                                        <w:szCs w:val="21"/>
                                        <w:lang w:eastAsia="zh-CN"/>
                                      </w:rPr>
                                    </w:pPr>
                                    <w:r>
                                      <w:rPr>
                                        <w:rFonts w:hint="eastAsia"/>
                                        <w:sz w:val="21"/>
                                        <w:szCs w:val="21"/>
                                        <w:lang w:eastAsia="zh-CN"/>
                                      </w:rPr>
                                      <w:t>卸车气化器</w:t>
                                    </w:r>
                                  </w:p>
                                </w:txbxContent>
                              </wps:txbx>
                              <wps:bodyPr upright="1"/>
                            </wps:wsp>
                            <wps:wsp>
                              <wps:cNvPr id="23" name="肘形连接符 23"/>
                              <wps:cNvCnPr>
                                <a:stCxn id="20" idx="1"/>
                                <a:endCxn id="3" idx="2"/>
                              </wps:cNvCnPr>
                              <wps:spPr>
                                <a:xfrm rot="10800000">
                                  <a:off x="828040" y="837565"/>
                                  <a:ext cx="962660" cy="541020"/>
                                </a:xfrm>
                                <a:prstGeom prst="bentConnector2">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画布 2" o:spid="_x0000_s1026" o:spt="203" style="height:188.75pt;width:397.1pt;" coordsize="5043170,2397125" editas="canvas" o:gfxdata="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">
                      <o:lock v:ext="edit" aspectratio="f"/>
                      <v:shape id="画布 2" o:spid="_x0000_s1026" style="position:absolute;left:0;top:0;height:2397125;width:5043170;" filled="f" stroked="f" coordsize="21600,21600" o:gfxdata="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">
                        <v:fill on="f" focussize="0,0"/>
                        <v:stroke on="f"/>
                        <v:imagedata o:title=""/>
                        <o:lock v:ext="edit" aspectratio="f"/>
                      </v:shape>
                      <v:rect id="矩形 4" o:spid="_x0000_s1026" o:spt="1" style="position:absolute;left:227330;top:510540;height:327025;width:1200785;" fillcolor="#FFFFFF" filled="t" stroked="t" coordsize="21600,21600" o:gfxdata="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EU8O9UAAAAFAQAADwAAAAAAAAABACAAAAAiAAAA&#10;ZHJzL2Rvd25yZXYueG1sUEsBAhQAFAAAAAgAh07iQJSbaWMKAgAAMwQAAA4AAAAAAAAAAQAgAAAA&#10;JAEAAGRycy9lMm9Eb2MueG1sUEsFBgAAAAAGAAYAWQEAAKAFAAAAAA==&#10;">
                        <v:fill on="t" focussize="0,0"/>
                        <v:stroke color="#000000" joinstyle="miter"/>
                        <v:imagedata o:title=""/>
                        <o:lock v:ext="edit" aspectratio="f"/>
                        <v:textbox>
                          <w:txbxContent>
                            <w:p w14:paraId="79758D60">
                              <w:pPr>
                                <w:overflowPunct/>
                                <w:adjustRightInd/>
                                <w:snapToGrid/>
                                <w:spacing w:line="240" w:lineRule="atLeast"/>
                                <w:ind w:firstLine="0" w:firstLineChars="0"/>
                                <w:jc w:val="center"/>
                                <w:rPr>
                                  <w:rFonts w:hint="eastAsia"/>
                                  <w:sz w:val="21"/>
                                  <w:szCs w:val="21"/>
                                </w:rPr>
                              </w:pPr>
                              <w:r>
                                <w:rPr>
                                  <w:rFonts w:hint="eastAsia"/>
                                  <w:sz w:val="21"/>
                                  <w:szCs w:val="21"/>
                                </w:rPr>
                                <w:t>液氯罐式集装箱</w:t>
                              </w:r>
                            </w:p>
                          </w:txbxContent>
                        </v:textbox>
                      </v:rect>
                      <v:rect id="矩形 5" o:spid="_x0000_s1026" o:spt="1" style="position:absolute;left:1814830;top:525780;height:317500;width:784225;" fillcolor="#FFFFFF" filled="t" stroked="t" coordsize="21600,21600" o:gfxdata="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jJM1NYAAAAFAQAADwAAAAAAAAABACAA&#10;AAAiAAAAZHJzL2Rvd25yZXYueG1sUEsBAhQAFAAAAAgAh07iQIHYXDQPAgAANAQAAA4AAAAAAAAA&#10;AQAgAAAAJQEAAGRycy9lMm9Eb2MueG1sUEsFBgAAAAAGAAYAWQEAAKYFAAAAAA==&#10;">
                        <v:fill on="t" focussize="0,0"/>
                        <v:stroke weight="1.5pt" color="#FF0000" joinstyle="miter"/>
                        <v:imagedata o:title=""/>
                        <o:lock v:ext="edit" aspectratio="f"/>
                        <v:textbox>
                          <w:txbxContent>
                            <w:p w14:paraId="2A21A6EF">
                              <w:pPr>
                                <w:overflowPunct/>
                                <w:adjustRightInd/>
                                <w:snapToGrid/>
                                <w:spacing w:line="240" w:lineRule="atLeast"/>
                                <w:ind w:firstLine="0" w:firstLineChars="0"/>
                                <w:jc w:val="center"/>
                                <w:rPr>
                                  <w:rFonts w:hint="eastAsia" w:eastAsia="宋体"/>
                                  <w:sz w:val="21"/>
                                  <w:szCs w:val="21"/>
                                  <w:lang w:eastAsia="zh-CN"/>
                                </w:rPr>
                              </w:pPr>
                              <w:r>
                                <w:rPr>
                                  <w:rFonts w:hint="eastAsia"/>
                                  <w:sz w:val="21"/>
                                  <w:szCs w:val="21"/>
                                  <w:lang w:eastAsia="zh-CN"/>
                                </w:rPr>
                                <w:t>液氯储罐</w:t>
                              </w:r>
                            </w:p>
                          </w:txbxContent>
                        </v:textbox>
                      </v:rect>
                      <v:rect id="矩形 6" o:spid="_x0000_s1026" o:spt="1" style="position:absolute;left:2981325;top:560070;height:276860;width:1329690;" fillcolor="#FFFFFF" filled="t" stroked="f" coordsize="21600,21600" o:gfxdata="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2vPNl1QAAAAUBAAAPAAAAAAAAAAEAIAAAACIAAABkcnMv&#10;ZG93bnJldi54bWxQSwECFAAUAAAACACHTuJAEGs0dgYCAAALBAAADgAAAAAAAAABACAAAAAkAQAA&#10;ZHJzL2Uyb0RvYy54bWxQSwUGAAAAAAYABgBZAQAAnAUAAAAA&#10;">
                        <v:fill on="t" focussize="0,0"/>
                        <v:stroke on="f" joinstyle="miter"/>
                        <v:imagedata o:title=""/>
                        <o:lock v:ext="edit" aspectratio="f"/>
                        <v:textbox>
                          <w:txbxContent>
                            <w:p w14:paraId="5912BE9C">
                              <w:pPr>
                                <w:overflowPunct/>
                                <w:adjustRightInd/>
                                <w:snapToGrid/>
                                <w:spacing w:line="240" w:lineRule="atLeast"/>
                                <w:ind w:firstLine="0" w:firstLineChars="0"/>
                                <w:jc w:val="center"/>
                                <w:rPr>
                                  <w:rFonts w:hint="eastAsia" w:eastAsia="宋体"/>
                                  <w:sz w:val="21"/>
                                  <w:szCs w:val="21"/>
                                  <w:lang w:eastAsia="zh-CN"/>
                                </w:rPr>
                              </w:pPr>
                              <w:r>
                                <w:rPr>
                                  <w:rFonts w:hint="eastAsia"/>
                                  <w:sz w:val="21"/>
                                  <w:szCs w:val="21"/>
                                  <w:lang w:eastAsia="zh-CN"/>
                                </w:rPr>
                                <w:t>进入现有气</w:t>
                              </w:r>
                              <w:r>
                                <w:rPr>
                                  <w:rFonts w:hint="eastAsia"/>
                                  <w:sz w:val="21"/>
                                  <w:szCs w:val="21"/>
                                </w:rPr>
                                <w:t>化</w:t>
                              </w:r>
                              <w:r>
                                <w:rPr>
                                  <w:rFonts w:hint="eastAsia"/>
                                  <w:sz w:val="21"/>
                                  <w:szCs w:val="21"/>
                                  <w:lang w:eastAsia="zh-CN"/>
                                </w:rPr>
                                <w:t>工序</w:t>
                              </w:r>
                            </w:p>
                          </w:txbxContent>
                        </v:textbox>
                      </v:rect>
                      <v:line id="直线 13" o:spid="_x0000_s1026" o:spt="20" style="position:absolute;left:1437005;top:682626;height:0;width:381000;" filled="f" stroked="t" coordsize="21600,21600" o:gfxdata="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CtqJl1gAAAAUBAAAPAAAAAAAAAAEAIAAAACIAAABkcnMvZG93bnJldi54&#10;bWxQSwECFAAUAAAACACHTuJA7njLC/wBAADoAwAADgAAAAAAAAABACAAAAAlAQAAZHJzL2Uyb0Rv&#10;Yy54bWxQSwUGAAAAAAYABgBZAQAAkwUAAAAA&#10;">
                        <v:fill on="f" focussize="0,0"/>
                        <v:stroke color="#000000" joinstyle="round" startarrowlength="short" endarrow="classic" endarrowlength="long"/>
                        <v:imagedata o:title=""/>
                        <o:lock v:ext="edit" aspectratio="f"/>
                      </v:line>
                      <v:line id="直线 14" o:spid="_x0000_s1026" o:spt="20" style="position:absolute;left:2618105;top:675006;height:0;width:380999;" filled="f" stroked="t" coordsize="21600,21600" o:gfxdata="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K2omXWAAAABQEAAA8AAAAAAAAAAQAgAAAAIgAAAGRycy9kb3ducmV2&#10;LnhtbFBLAQIUABQAAAAIAIdO4kBlprpv/gEAAOgDAAAOAAAAAAAAAAEAIAAAACUBAABkcnMvZTJv&#10;RG9jLnhtbFBLBQYAAAAABgAGAFkBAACVBQAAAAA=&#10;">
                        <v:fill on="f" focussize="0,0"/>
                        <v:stroke color="#000000" joinstyle="round" startarrowlength="short" endarrow="classic" endarrowlength="long"/>
                        <v:imagedata o:title=""/>
                        <o:lock v:ext="edit" aspectratio="f"/>
                      </v:line>
                      <v:shape id="文本框 15" o:spid="_x0000_s1026" o:spt="202" type="#_x0000_t202" style="position:absolute;left:175260;top:1825626;height:169545;width:241300;" fillcolor="#FFFFFF" filled="t" stroked="t" coordsize="21600,21600" o:gfxdata="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ftI83WAAAABQEAAA8AAAAA&#10;AAAAAQAgAAAAIgAAAGRycy9kb3ducmV2LnhtbFBLAQIUABQAAAAIAIdO4kDLacFFFgIAAEMEAAAO&#10;AAAAAAAAAAEAIAAAACUBAABkcnMvZTJvRG9jLnhtbFBLBQYAAAAABgAGAFkBAACtBQAAAAA=&#10;">
                        <v:fill on="t" focussize="0,0"/>
                        <v:stroke weight="1.25pt" color="#FF0000" joinstyle="miter"/>
                        <v:imagedata o:title=""/>
                        <o:lock v:ext="edit" aspectratio="f"/>
                        <v:textbox>
                          <w:txbxContent>
                            <w:p w14:paraId="33F62C96"/>
                          </w:txbxContent>
                        </v:textbox>
                      </v:shape>
                      <v:shape id="文本框 16" o:spid="_x0000_s1026" o:spt="202" type="#_x0000_t202" style="position:absolute;left:622300;top:1788796;height:281940;width:1186815;" filled="f" stroked="f" coordsize="21600,21600" o:gfxdata="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fpfLNQAAAAFAQAADwAAAAAAAAABACAAAAAiAAAAZHJzL2Rvd25yZXYueG1sUEsBAhQAFAAAAAgA&#10;h07iQMRXW4G3AQAAWwMAAA4AAAAAAAAAAQAgAAAAIwEAAGRycy9lMm9Eb2MueG1sUEsFBgAAAAAG&#10;AAYAWQEAAEwFAAAAAA==&#10;">
                        <v:fill on="f" focussize="0,0"/>
                        <v:stroke on="f"/>
                        <v:imagedata o:title=""/>
                        <o:lock v:ext="edit" aspectratio="f"/>
                        <v:textbox>
                          <w:txbxContent>
                            <w:p w14:paraId="7F2763C6">
                              <w:pPr>
                                <w:rPr>
                                  <w:rFonts w:hint="eastAsia" w:eastAsia="宋体"/>
                                  <w:lang w:eastAsia="zh-CN"/>
                                </w:rPr>
                              </w:pPr>
                              <w:r>
                                <w:rPr>
                                  <w:rFonts w:hint="eastAsia"/>
                                  <w:lang w:eastAsia="zh-CN"/>
                                </w:rPr>
                                <w:t>本项目新增</w:t>
                              </w:r>
                            </w:p>
                          </w:txbxContent>
                        </v:textbox>
                      </v:shape>
                      <v:shape id="文本框 17" o:spid="_x0000_s1026" o:spt="202" type="#_x0000_t202" style="position:absolute;left:165100;top:2165351;height:165099;width:241300;" fillcolor="#FFFFFF" filled="t" stroked="t" coordsize="21600,21600" o:gfxdata="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SzF59YAAAAFAQAADwAAAAAAAAAB&#10;ACAAAAAiAAAAZHJzL2Rvd25yZXYueG1sUEsBAhQAFAAAAAgAh07iQH0cvAMSAgAAQwQAAA4AAAAA&#10;AAAAAQAgAAAAJQEAAGRycy9lMm9Eb2MueG1sUEsFBgAAAAAGAAYAWQEAAKkFAAAAAA==&#10;">
                        <v:fill on="t" focussize="0,0"/>
                        <v:stroke weight="1.25pt" color="#000000" joinstyle="miter"/>
                        <v:imagedata o:title=""/>
                        <o:lock v:ext="edit" aspectratio="f"/>
                        <v:textbox>
                          <w:txbxContent>
                            <w:p w14:paraId="7BFC0E93"/>
                          </w:txbxContent>
                        </v:textbox>
                      </v:shape>
                      <v:shape id="文本框 18" o:spid="_x0000_s1026" o:spt="202" type="#_x0000_t202" style="position:absolute;left:604520;top:2106931;height:279399;width:1181100;" filled="f" stroked="f" coordsize="21600,21600" o:gfxdata="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X6XyzUAAAABQEAAA8AAAAAAAAAAQAgAAAAIgAAAGRycy9kb3ducmV2LnhtbFBLAQIUABQAAAAI&#10;AIdO4kAlucdauAEAAFsDAAAOAAAAAAAAAAEAIAAAACMBAABkcnMvZTJvRG9jLnhtbFBLBQYAAAAA&#10;BgAGAFkBAABNBQAAAAA=&#10;">
                        <v:fill on="f" focussize="0,0"/>
                        <v:stroke on="f"/>
                        <v:imagedata o:title=""/>
                        <o:lock v:ext="edit" aspectratio="f"/>
                        <v:textbox>
                          <w:txbxContent>
                            <w:p w14:paraId="166AF179">
                              <w:pPr>
                                <w:rPr>
                                  <w:rFonts w:hint="eastAsia" w:eastAsia="宋体"/>
                                  <w:lang w:eastAsia="zh-CN"/>
                                </w:rPr>
                              </w:pPr>
                              <w:r>
                                <w:rPr>
                                  <w:rFonts w:hint="eastAsia"/>
                                  <w:lang w:eastAsia="zh-CN"/>
                                </w:rPr>
                                <w:t>现有项目工艺</w:t>
                              </w:r>
                            </w:p>
                          </w:txbxContent>
                        </v:textbox>
                      </v:shape>
                      <v:line id="直线 9" o:spid="_x0000_s1026" o:spt="20" style="position:absolute;left:2211705;top:838835;flip:x;height:398145;width:4445;" filled="f" stroked="t" coordsize="21600,21600" o:gfxdata="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ZU0l0wAAAAUBAAAPAAAAAAAAAAEAIAAAACIAAABkcnMvZG93bnJl&#10;di54bWxQSwECFAAUAAAACACHTuJANhOVLwICAADzAwAADgAAAAAAAAABACAAAAAiAQAAZHJzL2Uy&#10;b0RvYy54bWxQSwUGAAAAAAYABgBZAQAAlgUAAAAA&#10;">
                        <v:fill on="f" focussize="0,0"/>
                        <v:stroke color="#000000 [3213]" joinstyle="round" startarrowlength="short" endarrow="classic" endarrowlength="long"/>
                        <v:imagedata o:title=""/>
                        <o:lock v:ext="edit" aspectratio="f"/>
                      </v:line>
                      <v:rect id="矩形 10" o:spid="_x0000_s1026" o:spt="1" style="position:absolute;left:1790700;top:1219835;height:317500;width:876300;" fillcolor="#FFFFFF" filled="t" stroked="t" coordsize="21600,21600" o:gfxdata="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xFPDvVAAAABQEAAA8AAAAAAAAAAQAgAAAAIgAA&#10;AGRycy9kb3ducmV2LnhtbFBLAQIUABQAAAAIAIdO4kBGseA8CwIAADYEAAAOAAAAAAAAAAEAIAAA&#10;ACQBAABkcnMvZTJvRG9jLnhtbFBLBQYAAAAABgAGAFkBAAChBQAAAAA=&#10;">
                        <v:fill on="t" focussize="0,0"/>
                        <v:stroke color="#000000 [3213]" joinstyle="miter"/>
                        <v:imagedata o:title=""/>
                        <o:lock v:ext="edit" aspectratio="f"/>
                        <v:textbox>
                          <w:txbxContent>
                            <w:p w14:paraId="0FDC95F7">
                              <w:pPr>
                                <w:overflowPunct/>
                                <w:adjustRightInd/>
                                <w:snapToGrid/>
                                <w:spacing w:line="240" w:lineRule="atLeast"/>
                                <w:ind w:firstLine="0" w:firstLineChars="0"/>
                                <w:jc w:val="center"/>
                                <w:rPr>
                                  <w:rFonts w:hint="eastAsia" w:eastAsia="宋体"/>
                                  <w:sz w:val="21"/>
                                  <w:szCs w:val="21"/>
                                  <w:lang w:eastAsia="zh-CN"/>
                                </w:rPr>
                              </w:pPr>
                              <w:r>
                                <w:rPr>
                                  <w:rFonts w:hint="eastAsia"/>
                                  <w:sz w:val="21"/>
                                  <w:szCs w:val="21"/>
                                  <w:lang w:eastAsia="zh-CN"/>
                                </w:rPr>
                                <w:t>卸车气化器</w:t>
                              </w:r>
                            </w:p>
                          </w:txbxContent>
                        </v:textbox>
                      </v:rect>
                      <v:shape id="_x0000_s1026" o:spid="_x0000_s1026" o:spt="33" type="#_x0000_t33" style="position:absolute;left:828040;top:837565;height:541020;width:962660;rotation:11796480f;" filled="f" stroked="t" coordsize="21600,21600" o:gfxdata="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mk2&#10;c9QAAAAFAQAADwAAAAAAAAABACAAAAAiAAAAZHJzL2Rvd25yZXYueG1sUEsBAhQAFAAAAAgAh07i&#10;QHzZurUmAgAAHgQAAA4AAAAAAAAAAQAgAAAAIwEAAGRycy9lMm9Eb2MueG1sUEsFBgAAAAAGAAYA&#10;WQEAALsFAAAAAA==&#10;">
                        <v:fill on="f" focussize="0,0"/>
                        <v:stroke weight="1pt" color="#000000 [3213]" joinstyle="round" endarrow="open"/>
                        <v:imagedata o:title=""/>
                        <o:lock v:ext="edit" aspectratio="f"/>
                      </v:shape>
                      <w10:wrap type="none"/>
                      <w10:anchorlock/>
                    </v:group>
                  </w:pict>
                </mc:Fallback>
              </mc:AlternateContent>
            </w:r>
          </w:p>
          <w:p w14:paraId="7551B3B6">
            <w:pPr>
              <w:pStyle w:val="3934"/>
              <w:spacing w:line="360" w:lineRule="auto"/>
              <w:rPr>
                <w:rFonts w:hint="eastAsia"/>
                <w:color w:val="auto"/>
              </w:rPr>
            </w:pPr>
            <w:r>
              <w:rPr>
                <w:rFonts w:hint="eastAsia"/>
                <w:color w:val="auto"/>
              </w:rPr>
              <w:t>图</w:t>
            </w:r>
            <w:r>
              <w:rPr>
                <w:rFonts w:hint="eastAsia"/>
                <w:color w:val="auto"/>
                <w:lang w:val="en-US" w:eastAsia="zh-CN"/>
              </w:rPr>
              <w:t>2</w:t>
            </w:r>
            <w:r>
              <w:rPr>
                <w:rFonts w:hint="eastAsia"/>
                <w:color w:val="auto"/>
              </w:rPr>
              <w:t>-</w:t>
            </w:r>
            <w:r>
              <w:rPr>
                <w:rFonts w:hint="eastAsia"/>
                <w:color w:val="auto"/>
                <w:lang w:val="en-US" w:eastAsia="zh-CN"/>
              </w:rPr>
              <w:t>5</w:t>
            </w:r>
            <w:r>
              <w:rPr>
                <w:rFonts w:hint="eastAsia"/>
                <w:color w:val="auto"/>
              </w:rPr>
              <w:t xml:space="preserve"> 液氯</w:t>
            </w:r>
            <w:r>
              <w:rPr>
                <w:rFonts w:hint="eastAsia"/>
                <w:color w:val="auto"/>
                <w:lang w:eastAsia="zh-CN"/>
              </w:rPr>
              <w:t>暂存</w:t>
            </w:r>
            <w:r>
              <w:rPr>
                <w:rFonts w:hint="eastAsia"/>
                <w:color w:val="auto"/>
              </w:rPr>
              <w:t>工艺流程图</w:t>
            </w:r>
          </w:p>
          <w:p w14:paraId="2F393171">
            <w:pPr>
              <w:ind w:firstLine="482"/>
              <w:jc w:val="center"/>
              <w:rPr>
                <w:rFonts w:eastAsiaTheme="minorEastAsia"/>
                <w:b/>
                <w:color w:val="auto"/>
                <w:sz w:val="24"/>
              </w:rPr>
            </w:pPr>
            <w:r>
              <w:rPr>
                <w:rFonts w:eastAsiaTheme="minorEastAsia"/>
                <w:b/>
                <w:color w:val="auto"/>
                <w:sz w:val="24"/>
              </w:rPr>
              <w:t>表2-</w:t>
            </w:r>
            <w:r>
              <w:rPr>
                <w:rFonts w:hint="eastAsia" w:eastAsiaTheme="minorEastAsia"/>
                <w:b/>
                <w:color w:val="auto"/>
                <w:sz w:val="24"/>
                <w:lang w:val="en-US" w:eastAsia="zh-CN"/>
              </w:rPr>
              <w:t>9</w:t>
            </w:r>
            <w:r>
              <w:rPr>
                <w:rFonts w:eastAsiaTheme="minorEastAsia"/>
                <w:b/>
                <w:color w:val="auto"/>
                <w:sz w:val="24"/>
              </w:rPr>
              <w:t xml:space="preserve"> </w:t>
            </w:r>
            <w:r>
              <w:rPr>
                <w:rFonts w:hint="eastAsia" w:eastAsiaTheme="minorEastAsia"/>
                <w:b/>
                <w:color w:val="auto"/>
                <w:sz w:val="24"/>
                <w:lang w:eastAsia="zh-CN"/>
              </w:rPr>
              <w:t>液氯储罐</w:t>
            </w:r>
            <w:r>
              <w:rPr>
                <w:rFonts w:eastAsiaTheme="minorEastAsia"/>
                <w:b/>
                <w:color w:val="auto"/>
                <w:sz w:val="24"/>
              </w:rPr>
              <w:t>产污环节汇总表</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3"/>
              <w:gridCol w:w="651"/>
              <w:gridCol w:w="727"/>
              <w:gridCol w:w="931"/>
              <w:gridCol w:w="988"/>
              <w:gridCol w:w="1333"/>
              <w:gridCol w:w="870"/>
              <w:gridCol w:w="1168"/>
              <w:gridCol w:w="1170"/>
            </w:tblGrid>
            <w:tr w14:paraId="24E83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vMerge w:val="restart"/>
                  <w:tcMar>
                    <w:left w:w="28" w:type="dxa"/>
                    <w:right w:w="28" w:type="dxa"/>
                  </w:tcMar>
                  <w:vAlign w:val="center"/>
                </w:tcPr>
                <w:p w14:paraId="4676C99B">
                  <w:pPr>
                    <w:spacing w:before="100" w:beforeAutospacing="1" w:after="100" w:afterAutospacing="1"/>
                    <w:jc w:val="center"/>
                    <w:rPr>
                      <w:rFonts w:eastAsiaTheme="minorEastAsia"/>
                      <w:color w:val="auto"/>
                      <w:szCs w:val="21"/>
                    </w:rPr>
                  </w:pPr>
                  <w:r>
                    <w:rPr>
                      <w:rFonts w:eastAsiaTheme="minorEastAsia"/>
                      <w:color w:val="auto"/>
                      <w:szCs w:val="21"/>
                    </w:rPr>
                    <w:t>污染因素</w:t>
                  </w:r>
                </w:p>
              </w:tc>
              <w:tc>
                <w:tcPr>
                  <w:tcW w:w="387" w:type="pct"/>
                  <w:vMerge w:val="restart"/>
                  <w:tcMar>
                    <w:left w:w="28" w:type="dxa"/>
                    <w:right w:w="28" w:type="dxa"/>
                  </w:tcMar>
                  <w:vAlign w:val="center"/>
                </w:tcPr>
                <w:p w14:paraId="2FCB056E">
                  <w:pPr>
                    <w:spacing w:before="100" w:beforeAutospacing="1" w:after="100" w:afterAutospacing="1"/>
                    <w:jc w:val="center"/>
                    <w:rPr>
                      <w:rFonts w:eastAsiaTheme="minorEastAsia"/>
                      <w:color w:val="auto"/>
                      <w:szCs w:val="21"/>
                    </w:rPr>
                  </w:pPr>
                  <w:r>
                    <w:rPr>
                      <w:rFonts w:eastAsiaTheme="minorEastAsia"/>
                      <w:color w:val="auto"/>
                      <w:szCs w:val="21"/>
                    </w:rPr>
                    <w:t>名称</w:t>
                  </w:r>
                </w:p>
              </w:tc>
              <w:tc>
                <w:tcPr>
                  <w:tcW w:w="432" w:type="pct"/>
                  <w:vMerge w:val="restart"/>
                  <w:tcMar>
                    <w:left w:w="28" w:type="dxa"/>
                    <w:right w:w="28" w:type="dxa"/>
                  </w:tcMar>
                  <w:vAlign w:val="center"/>
                </w:tcPr>
                <w:p w14:paraId="1E3FA75C">
                  <w:pPr>
                    <w:spacing w:before="100" w:beforeAutospacing="1" w:after="100" w:afterAutospacing="1"/>
                    <w:jc w:val="center"/>
                    <w:rPr>
                      <w:rFonts w:eastAsiaTheme="minorEastAsia"/>
                      <w:color w:val="auto"/>
                      <w:szCs w:val="21"/>
                    </w:rPr>
                  </w:pPr>
                  <w:r>
                    <w:rPr>
                      <w:rFonts w:eastAsiaTheme="minorEastAsia"/>
                      <w:color w:val="auto"/>
                      <w:szCs w:val="21"/>
                    </w:rPr>
                    <w:t>产污环节</w:t>
                  </w:r>
                </w:p>
              </w:tc>
              <w:tc>
                <w:tcPr>
                  <w:tcW w:w="2449" w:type="pct"/>
                  <w:gridSpan w:val="4"/>
                  <w:tcMar>
                    <w:left w:w="28" w:type="dxa"/>
                    <w:right w:w="28" w:type="dxa"/>
                  </w:tcMar>
                  <w:vAlign w:val="center"/>
                </w:tcPr>
                <w:p w14:paraId="57D960C5">
                  <w:pPr>
                    <w:spacing w:before="100" w:beforeAutospacing="1" w:after="100" w:afterAutospacing="1"/>
                    <w:jc w:val="center"/>
                    <w:rPr>
                      <w:rFonts w:hint="default" w:eastAsiaTheme="minorEastAsia"/>
                      <w:color w:val="auto"/>
                      <w:szCs w:val="21"/>
                      <w:lang w:val="en-US"/>
                    </w:rPr>
                  </w:pPr>
                  <w:r>
                    <w:rPr>
                      <w:rFonts w:eastAsiaTheme="minorEastAsia"/>
                      <w:color w:val="auto"/>
                      <w:szCs w:val="21"/>
                    </w:rPr>
                    <w:t>产污环节</w:t>
                  </w:r>
                  <w:r>
                    <w:rPr>
                      <w:rFonts w:hint="eastAsia" w:eastAsiaTheme="minorEastAsia"/>
                      <w:color w:val="auto"/>
                      <w:szCs w:val="21"/>
                      <w:lang w:val="en-US" w:eastAsia="zh-CN"/>
                    </w:rPr>
                    <w:t>/频次</w:t>
                  </w:r>
                </w:p>
              </w:tc>
              <w:tc>
                <w:tcPr>
                  <w:tcW w:w="694" w:type="pct"/>
                  <w:vMerge w:val="restart"/>
                  <w:vAlign w:val="center"/>
                </w:tcPr>
                <w:p w14:paraId="323E525A">
                  <w:pPr>
                    <w:spacing w:before="100" w:beforeAutospacing="1" w:after="100" w:afterAutospacing="1"/>
                    <w:jc w:val="center"/>
                    <w:rPr>
                      <w:rFonts w:eastAsiaTheme="minorEastAsia"/>
                      <w:color w:val="auto"/>
                      <w:szCs w:val="21"/>
                    </w:rPr>
                  </w:pPr>
                  <w:r>
                    <w:rPr>
                      <w:rFonts w:eastAsiaTheme="minorEastAsia"/>
                      <w:color w:val="auto"/>
                      <w:szCs w:val="21"/>
                    </w:rPr>
                    <w:t>治理措施</w:t>
                  </w:r>
                </w:p>
              </w:tc>
              <w:tc>
                <w:tcPr>
                  <w:tcW w:w="695" w:type="pct"/>
                  <w:vMerge w:val="restart"/>
                  <w:vAlign w:val="center"/>
                </w:tcPr>
                <w:p w14:paraId="067BEA9C">
                  <w:pPr>
                    <w:spacing w:before="100" w:beforeAutospacing="1" w:after="100" w:afterAutospacing="1"/>
                    <w:jc w:val="center"/>
                    <w:rPr>
                      <w:rFonts w:hint="eastAsia" w:eastAsiaTheme="minorEastAsia"/>
                      <w:color w:val="auto"/>
                      <w:szCs w:val="21"/>
                      <w:lang w:eastAsia="zh-CN"/>
                    </w:rPr>
                  </w:pPr>
                  <w:r>
                    <w:rPr>
                      <w:rFonts w:hint="eastAsia" w:eastAsiaTheme="minorEastAsia"/>
                      <w:color w:val="auto"/>
                      <w:szCs w:val="21"/>
                      <w:lang w:eastAsia="zh-CN"/>
                    </w:rPr>
                    <w:t>备注</w:t>
                  </w:r>
                </w:p>
              </w:tc>
            </w:tr>
            <w:tr w14:paraId="0C654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vMerge w:val="continue"/>
                  <w:tcMar>
                    <w:left w:w="28" w:type="dxa"/>
                    <w:right w:w="28" w:type="dxa"/>
                  </w:tcMar>
                  <w:vAlign w:val="center"/>
                </w:tcPr>
                <w:p w14:paraId="7D0D4082">
                  <w:pPr>
                    <w:spacing w:before="100" w:beforeAutospacing="1" w:after="100" w:afterAutospacing="1"/>
                    <w:jc w:val="center"/>
                    <w:rPr>
                      <w:rFonts w:eastAsiaTheme="minorEastAsia"/>
                      <w:color w:val="auto"/>
                      <w:szCs w:val="21"/>
                    </w:rPr>
                  </w:pPr>
                </w:p>
              </w:tc>
              <w:tc>
                <w:tcPr>
                  <w:tcW w:w="387" w:type="pct"/>
                  <w:vMerge w:val="continue"/>
                  <w:tcMar>
                    <w:left w:w="28" w:type="dxa"/>
                    <w:right w:w="28" w:type="dxa"/>
                  </w:tcMar>
                  <w:vAlign w:val="center"/>
                </w:tcPr>
                <w:p w14:paraId="69E6F9DD">
                  <w:pPr>
                    <w:spacing w:before="100" w:beforeAutospacing="1" w:after="100" w:afterAutospacing="1"/>
                    <w:jc w:val="center"/>
                    <w:rPr>
                      <w:rFonts w:eastAsiaTheme="minorEastAsia"/>
                      <w:color w:val="auto"/>
                      <w:szCs w:val="21"/>
                    </w:rPr>
                  </w:pPr>
                </w:p>
              </w:tc>
              <w:tc>
                <w:tcPr>
                  <w:tcW w:w="432" w:type="pct"/>
                  <w:vMerge w:val="continue"/>
                  <w:tcMar>
                    <w:left w:w="28" w:type="dxa"/>
                    <w:right w:w="28" w:type="dxa"/>
                  </w:tcMar>
                  <w:vAlign w:val="center"/>
                </w:tcPr>
                <w:p w14:paraId="290BE2BE">
                  <w:pPr>
                    <w:spacing w:before="100" w:beforeAutospacing="1" w:after="100" w:afterAutospacing="1"/>
                    <w:jc w:val="center"/>
                    <w:rPr>
                      <w:rFonts w:eastAsiaTheme="minorEastAsia"/>
                      <w:color w:val="auto"/>
                      <w:szCs w:val="21"/>
                    </w:rPr>
                  </w:pPr>
                </w:p>
              </w:tc>
              <w:tc>
                <w:tcPr>
                  <w:tcW w:w="1140" w:type="pct"/>
                  <w:gridSpan w:val="2"/>
                  <w:tcMar>
                    <w:left w:w="28" w:type="dxa"/>
                    <w:right w:w="28" w:type="dxa"/>
                  </w:tcMar>
                  <w:vAlign w:val="center"/>
                </w:tcPr>
                <w:p w14:paraId="7671825C">
                  <w:pPr>
                    <w:spacing w:before="100" w:beforeAutospacing="1" w:after="100" w:afterAutospacing="1"/>
                    <w:jc w:val="center"/>
                    <w:rPr>
                      <w:rFonts w:hint="eastAsia" w:eastAsiaTheme="minorEastAsia"/>
                      <w:color w:val="auto"/>
                      <w:szCs w:val="21"/>
                      <w:lang w:eastAsia="zh-CN"/>
                    </w:rPr>
                  </w:pPr>
                  <w:r>
                    <w:rPr>
                      <w:rFonts w:hint="eastAsia" w:eastAsiaTheme="minorEastAsia"/>
                      <w:color w:val="auto"/>
                      <w:szCs w:val="21"/>
                      <w:lang w:eastAsia="zh-CN"/>
                    </w:rPr>
                    <w:t>技改前</w:t>
                  </w:r>
                </w:p>
              </w:tc>
              <w:tc>
                <w:tcPr>
                  <w:tcW w:w="1309" w:type="pct"/>
                  <w:gridSpan w:val="2"/>
                  <w:tcMar>
                    <w:left w:w="28" w:type="dxa"/>
                    <w:right w:w="28" w:type="dxa"/>
                  </w:tcMar>
                  <w:vAlign w:val="center"/>
                </w:tcPr>
                <w:p w14:paraId="50D7D7BF">
                  <w:pPr>
                    <w:spacing w:before="100" w:beforeAutospacing="1" w:after="100" w:afterAutospacing="1"/>
                    <w:jc w:val="center"/>
                    <w:rPr>
                      <w:rFonts w:hint="eastAsia" w:eastAsiaTheme="minorEastAsia"/>
                      <w:color w:val="auto"/>
                      <w:szCs w:val="21"/>
                      <w:lang w:eastAsia="zh-CN"/>
                    </w:rPr>
                  </w:pPr>
                  <w:r>
                    <w:rPr>
                      <w:rFonts w:hint="eastAsia" w:eastAsiaTheme="minorEastAsia"/>
                      <w:color w:val="auto"/>
                      <w:szCs w:val="21"/>
                      <w:lang w:eastAsia="zh-CN"/>
                    </w:rPr>
                    <w:t>技改后</w:t>
                  </w:r>
                </w:p>
              </w:tc>
              <w:tc>
                <w:tcPr>
                  <w:tcW w:w="694" w:type="pct"/>
                  <w:vMerge w:val="continue"/>
                  <w:vAlign w:val="center"/>
                </w:tcPr>
                <w:p w14:paraId="765D4102">
                  <w:pPr>
                    <w:spacing w:before="100" w:beforeAutospacing="1" w:after="100" w:afterAutospacing="1"/>
                    <w:jc w:val="center"/>
                    <w:rPr>
                      <w:rFonts w:eastAsiaTheme="minorEastAsia"/>
                      <w:color w:val="auto"/>
                      <w:szCs w:val="21"/>
                    </w:rPr>
                  </w:pPr>
                </w:p>
              </w:tc>
              <w:tc>
                <w:tcPr>
                  <w:tcW w:w="695" w:type="pct"/>
                  <w:vMerge w:val="continue"/>
                  <w:vAlign w:val="center"/>
                </w:tcPr>
                <w:p w14:paraId="414F8DD6">
                  <w:pPr>
                    <w:spacing w:before="100" w:beforeAutospacing="1" w:after="100" w:afterAutospacing="1"/>
                    <w:jc w:val="center"/>
                    <w:rPr>
                      <w:rFonts w:eastAsiaTheme="minorEastAsia"/>
                      <w:color w:val="auto"/>
                      <w:szCs w:val="21"/>
                    </w:rPr>
                  </w:pPr>
                </w:p>
              </w:tc>
            </w:tr>
            <w:tr w14:paraId="40FEA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vMerge w:val="continue"/>
                  <w:tcMar>
                    <w:left w:w="28" w:type="dxa"/>
                    <w:right w:w="28" w:type="dxa"/>
                  </w:tcMar>
                  <w:vAlign w:val="center"/>
                </w:tcPr>
                <w:p w14:paraId="7512FA05">
                  <w:pPr>
                    <w:spacing w:before="100" w:beforeAutospacing="1" w:after="100" w:afterAutospacing="1"/>
                    <w:jc w:val="center"/>
                    <w:rPr>
                      <w:rFonts w:eastAsiaTheme="minorEastAsia"/>
                      <w:color w:val="auto"/>
                      <w:szCs w:val="21"/>
                    </w:rPr>
                  </w:pPr>
                </w:p>
              </w:tc>
              <w:tc>
                <w:tcPr>
                  <w:tcW w:w="387" w:type="pct"/>
                  <w:vMerge w:val="continue"/>
                  <w:tcMar>
                    <w:left w:w="28" w:type="dxa"/>
                    <w:right w:w="28" w:type="dxa"/>
                  </w:tcMar>
                  <w:vAlign w:val="center"/>
                </w:tcPr>
                <w:p w14:paraId="1551F6A7">
                  <w:pPr>
                    <w:spacing w:before="100" w:beforeAutospacing="1" w:after="100" w:afterAutospacing="1"/>
                    <w:jc w:val="center"/>
                    <w:rPr>
                      <w:rFonts w:eastAsiaTheme="minorEastAsia"/>
                      <w:color w:val="auto"/>
                      <w:szCs w:val="21"/>
                    </w:rPr>
                  </w:pPr>
                </w:p>
              </w:tc>
              <w:tc>
                <w:tcPr>
                  <w:tcW w:w="432" w:type="pct"/>
                  <w:vMerge w:val="continue"/>
                  <w:tcMar>
                    <w:left w:w="28" w:type="dxa"/>
                    <w:right w:w="28" w:type="dxa"/>
                  </w:tcMar>
                  <w:vAlign w:val="center"/>
                </w:tcPr>
                <w:p w14:paraId="1B8628B0">
                  <w:pPr>
                    <w:spacing w:before="100" w:beforeAutospacing="1" w:after="100" w:afterAutospacing="1"/>
                    <w:jc w:val="center"/>
                    <w:rPr>
                      <w:rFonts w:eastAsiaTheme="minorEastAsia"/>
                      <w:color w:val="auto"/>
                      <w:szCs w:val="21"/>
                    </w:rPr>
                  </w:pPr>
                </w:p>
              </w:tc>
              <w:tc>
                <w:tcPr>
                  <w:tcW w:w="553" w:type="pct"/>
                  <w:tcMar>
                    <w:left w:w="28" w:type="dxa"/>
                    <w:right w:w="28" w:type="dxa"/>
                  </w:tcMar>
                  <w:vAlign w:val="center"/>
                </w:tcPr>
                <w:p w14:paraId="4F428CFC">
                  <w:pPr>
                    <w:spacing w:before="100" w:beforeAutospacing="1" w:after="100" w:afterAutospacing="1"/>
                    <w:jc w:val="center"/>
                    <w:rPr>
                      <w:rFonts w:hint="eastAsia" w:eastAsiaTheme="minorEastAsia"/>
                      <w:color w:val="auto"/>
                      <w:szCs w:val="21"/>
                      <w:lang w:eastAsia="zh-CN"/>
                    </w:rPr>
                  </w:pPr>
                  <w:r>
                    <w:rPr>
                      <w:rFonts w:hint="eastAsia" w:eastAsiaTheme="minorEastAsia"/>
                      <w:color w:val="auto"/>
                      <w:szCs w:val="21"/>
                      <w:lang w:eastAsia="zh-CN"/>
                    </w:rPr>
                    <w:t>设备</w:t>
                  </w:r>
                </w:p>
              </w:tc>
              <w:tc>
                <w:tcPr>
                  <w:tcW w:w="587" w:type="pct"/>
                  <w:tcMar>
                    <w:left w:w="28" w:type="dxa"/>
                    <w:right w:w="28" w:type="dxa"/>
                  </w:tcMar>
                  <w:vAlign w:val="center"/>
                </w:tcPr>
                <w:p w14:paraId="6E2C9F78">
                  <w:pPr>
                    <w:spacing w:before="100" w:beforeAutospacing="1" w:after="100" w:afterAutospacing="1"/>
                    <w:jc w:val="center"/>
                    <w:rPr>
                      <w:rFonts w:hint="eastAsia" w:eastAsiaTheme="minorEastAsia"/>
                      <w:color w:val="auto"/>
                      <w:szCs w:val="21"/>
                      <w:lang w:eastAsia="zh-CN"/>
                    </w:rPr>
                  </w:pPr>
                  <w:r>
                    <w:rPr>
                      <w:rFonts w:hint="eastAsia" w:eastAsiaTheme="minorEastAsia"/>
                      <w:color w:val="auto"/>
                      <w:szCs w:val="21"/>
                      <w:lang w:eastAsia="zh-CN"/>
                    </w:rPr>
                    <w:t>频次</w:t>
                  </w:r>
                </w:p>
              </w:tc>
              <w:tc>
                <w:tcPr>
                  <w:tcW w:w="792" w:type="pct"/>
                  <w:tcMar>
                    <w:left w:w="28" w:type="dxa"/>
                    <w:right w:w="28" w:type="dxa"/>
                  </w:tcMar>
                  <w:vAlign w:val="center"/>
                </w:tcPr>
                <w:p w14:paraId="455CA5BC">
                  <w:pPr>
                    <w:spacing w:before="100" w:beforeAutospacing="1" w:after="100" w:afterAutospacing="1"/>
                    <w:jc w:val="center"/>
                    <w:rPr>
                      <w:rFonts w:hint="eastAsia" w:eastAsiaTheme="minorEastAsia"/>
                      <w:color w:val="auto"/>
                      <w:szCs w:val="21"/>
                      <w:lang w:eastAsia="zh-CN"/>
                    </w:rPr>
                  </w:pPr>
                  <w:r>
                    <w:rPr>
                      <w:rFonts w:hint="eastAsia" w:eastAsiaTheme="minorEastAsia"/>
                      <w:color w:val="auto"/>
                      <w:szCs w:val="21"/>
                      <w:lang w:eastAsia="zh-CN"/>
                    </w:rPr>
                    <w:t>设备</w:t>
                  </w:r>
                </w:p>
              </w:tc>
              <w:tc>
                <w:tcPr>
                  <w:tcW w:w="517" w:type="pct"/>
                  <w:tcMar>
                    <w:left w:w="28" w:type="dxa"/>
                    <w:right w:w="28" w:type="dxa"/>
                  </w:tcMar>
                  <w:vAlign w:val="center"/>
                </w:tcPr>
                <w:p w14:paraId="4730D273">
                  <w:pPr>
                    <w:spacing w:before="100" w:beforeAutospacing="1" w:after="100" w:afterAutospacing="1"/>
                    <w:jc w:val="center"/>
                    <w:rPr>
                      <w:rFonts w:hint="eastAsia" w:eastAsiaTheme="minorEastAsia"/>
                      <w:color w:val="auto"/>
                      <w:szCs w:val="21"/>
                      <w:lang w:eastAsia="zh-CN"/>
                    </w:rPr>
                  </w:pPr>
                  <w:r>
                    <w:rPr>
                      <w:rFonts w:hint="eastAsia" w:eastAsiaTheme="minorEastAsia"/>
                      <w:color w:val="auto"/>
                      <w:szCs w:val="21"/>
                      <w:lang w:eastAsia="zh-CN"/>
                    </w:rPr>
                    <w:t>频次</w:t>
                  </w:r>
                </w:p>
              </w:tc>
              <w:tc>
                <w:tcPr>
                  <w:tcW w:w="694" w:type="pct"/>
                  <w:vMerge w:val="continue"/>
                  <w:vAlign w:val="center"/>
                </w:tcPr>
                <w:p w14:paraId="59AA5BD2">
                  <w:pPr>
                    <w:spacing w:before="100" w:beforeAutospacing="1" w:after="100" w:afterAutospacing="1"/>
                    <w:jc w:val="center"/>
                    <w:rPr>
                      <w:rFonts w:eastAsiaTheme="minorEastAsia"/>
                      <w:color w:val="auto"/>
                      <w:szCs w:val="21"/>
                    </w:rPr>
                  </w:pPr>
                </w:p>
              </w:tc>
              <w:tc>
                <w:tcPr>
                  <w:tcW w:w="695" w:type="pct"/>
                  <w:vMerge w:val="continue"/>
                  <w:vAlign w:val="center"/>
                </w:tcPr>
                <w:p w14:paraId="33822A14">
                  <w:pPr>
                    <w:spacing w:before="100" w:beforeAutospacing="1" w:after="100" w:afterAutospacing="1"/>
                    <w:jc w:val="center"/>
                    <w:rPr>
                      <w:rFonts w:eastAsiaTheme="minorEastAsia"/>
                      <w:color w:val="auto"/>
                      <w:szCs w:val="21"/>
                    </w:rPr>
                  </w:pPr>
                </w:p>
              </w:tc>
            </w:tr>
            <w:tr w14:paraId="2E4BCE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vMerge w:val="restart"/>
                  <w:tcMar>
                    <w:left w:w="28" w:type="dxa"/>
                    <w:right w:w="28" w:type="dxa"/>
                  </w:tcMar>
                  <w:vAlign w:val="center"/>
                </w:tcPr>
                <w:p w14:paraId="6591CA80">
                  <w:pPr>
                    <w:spacing w:before="100" w:beforeAutospacing="1" w:after="100" w:afterAutospacing="1"/>
                    <w:jc w:val="center"/>
                    <w:rPr>
                      <w:rFonts w:eastAsiaTheme="minorEastAsia"/>
                      <w:color w:val="auto"/>
                      <w:szCs w:val="21"/>
                    </w:rPr>
                  </w:pPr>
                  <w:r>
                    <w:rPr>
                      <w:rFonts w:eastAsiaTheme="minorEastAsia"/>
                      <w:color w:val="auto"/>
                      <w:szCs w:val="21"/>
                    </w:rPr>
                    <w:t>废气</w:t>
                  </w:r>
                </w:p>
              </w:tc>
              <w:tc>
                <w:tcPr>
                  <w:tcW w:w="387" w:type="pct"/>
                  <w:vMerge w:val="restart"/>
                  <w:tcMar>
                    <w:left w:w="28" w:type="dxa"/>
                    <w:right w:w="28" w:type="dxa"/>
                  </w:tcMar>
                  <w:vAlign w:val="center"/>
                </w:tcPr>
                <w:p w14:paraId="209B6807">
                  <w:pPr>
                    <w:spacing w:before="100" w:beforeAutospacing="1" w:after="100" w:afterAutospacing="1"/>
                    <w:jc w:val="center"/>
                    <w:rPr>
                      <w:rFonts w:hint="default" w:eastAsiaTheme="minorEastAsia"/>
                      <w:color w:val="auto"/>
                      <w:szCs w:val="21"/>
                      <w:lang w:val="en-US" w:eastAsia="zh-CN"/>
                    </w:rPr>
                  </w:pPr>
                  <w:r>
                    <w:rPr>
                      <w:rFonts w:hint="eastAsia" w:eastAsiaTheme="minorEastAsia"/>
                      <w:color w:val="auto"/>
                      <w:szCs w:val="21"/>
                      <w:lang w:val="en-US" w:eastAsia="zh-CN"/>
                    </w:rPr>
                    <w:t>氯气</w:t>
                  </w:r>
                </w:p>
              </w:tc>
              <w:tc>
                <w:tcPr>
                  <w:tcW w:w="432" w:type="pct"/>
                  <w:vMerge w:val="restart"/>
                  <w:tcMar>
                    <w:left w:w="28" w:type="dxa"/>
                    <w:right w:w="28" w:type="dxa"/>
                  </w:tcMar>
                  <w:vAlign w:val="center"/>
                </w:tcPr>
                <w:p w14:paraId="28F1B69B">
                  <w:pPr>
                    <w:spacing w:before="100" w:beforeAutospacing="1" w:after="100" w:afterAutospacing="1"/>
                    <w:jc w:val="center"/>
                    <w:rPr>
                      <w:rFonts w:hint="eastAsia" w:eastAsiaTheme="minorEastAsia"/>
                      <w:color w:val="auto"/>
                      <w:szCs w:val="21"/>
                      <w:lang w:eastAsia="zh-CN"/>
                    </w:rPr>
                  </w:pPr>
                  <w:r>
                    <w:rPr>
                      <w:rFonts w:hint="eastAsia" w:eastAsiaTheme="minorEastAsia"/>
                      <w:color w:val="auto"/>
                      <w:szCs w:val="21"/>
                      <w:lang w:val="en-US" w:eastAsia="zh-CN"/>
                    </w:rPr>
                    <w:t>液氯暂存</w:t>
                  </w:r>
                </w:p>
              </w:tc>
              <w:tc>
                <w:tcPr>
                  <w:tcW w:w="553" w:type="pct"/>
                  <w:tcMar>
                    <w:left w:w="28" w:type="dxa"/>
                    <w:right w:w="28" w:type="dxa"/>
                  </w:tcMar>
                  <w:vAlign w:val="center"/>
                </w:tcPr>
                <w:p w14:paraId="48781849">
                  <w:pPr>
                    <w:spacing w:before="100" w:beforeAutospacing="1" w:after="100" w:afterAutospacing="1"/>
                    <w:jc w:val="center"/>
                    <w:rPr>
                      <w:rFonts w:hint="eastAsia" w:eastAsiaTheme="minorEastAsia"/>
                      <w:color w:val="auto"/>
                      <w:szCs w:val="21"/>
                      <w:lang w:eastAsia="zh-CN"/>
                    </w:rPr>
                  </w:pPr>
                  <w:r>
                    <w:rPr>
                      <w:rFonts w:hint="eastAsia" w:eastAsiaTheme="minorEastAsia"/>
                      <w:color w:val="auto"/>
                      <w:szCs w:val="21"/>
                      <w:lang w:eastAsia="zh-CN"/>
                    </w:rPr>
                    <w:t>卸车前试压试漏：真空泵</w:t>
                  </w:r>
                </w:p>
              </w:tc>
              <w:tc>
                <w:tcPr>
                  <w:tcW w:w="587" w:type="pct"/>
                  <w:vMerge w:val="restart"/>
                  <w:tcMar>
                    <w:left w:w="28" w:type="dxa"/>
                    <w:right w:w="28" w:type="dxa"/>
                  </w:tcMar>
                  <w:vAlign w:val="center"/>
                </w:tcPr>
                <w:p w14:paraId="65153364">
                  <w:pPr>
                    <w:spacing w:before="100" w:beforeAutospacing="1" w:after="100" w:afterAutospacing="1"/>
                    <w:jc w:val="center"/>
                    <w:rPr>
                      <w:rFonts w:hint="default" w:eastAsiaTheme="minorEastAsia"/>
                      <w:color w:val="auto"/>
                      <w:szCs w:val="21"/>
                      <w:lang w:val="en-US" w:eastAsia="zh-CN"/>
                    </w:rPr>
                  </w:pPr>
                  <w:r>
                    <w:rPr>
                      <w:rFonts w:hint="eastAsia" w:eastAsiaTheme="minorEastAsia"/>
                      <w:color w:val="auto"/>
                      <w:szCs w:val="21"/>
                      <w:lang w:val="en-US" w:eastAsia="zh-CN"/>
                    </w:rPr>
                    <w:t>9559次/a</w:t>
                  </w:r>
                </w:p>
              </w:tc>
              <w:tc>
                <w:tcPr>
                  <w:tcW w:w="792" w:type="pct"/>
                  <w:tcMar>
                    <w:left w:w="28" w:type="dxa"/>
                    <w:right w:w="28" w:type="dxa"/>
                  </w:tcMar>
                  <w:vAlign w:val="center"/>
                </w:tcPr>
                <w:p w14:paraId="1D216CE2">
                  <w:pPr>
                    <w:spacing w:before="100" w:beforeAutospacing="1" w:after="100" w:afterAutospacing="1"/>
                    <w:jc w:val="center"/>
                    <w:rPr>
                      <w:rFonts w:hint="eastAsia" w:eastAsiaTheme="minorEastAsia"/>
                      <w:color w:val="auto"/>
                      <w:szCs w:val="21"/>
                      <w:lang w:eastAsia="zh-CN"/>
                    </w:rPr>
                  </w:pPr>
                  <w:r>
                    <w:rPr>
                      <w:rFonts w:hint="eastAsia" w:eastAsiaTheme="minorEastAsia"/>
                      <w:color w:val="auto"/>
                      <w:szCs w:val="21"/>
                      <w:lang w:eastAsia="zh-CN"/>
                    </w:rPr>
                    <w:t>卸车前试压试漏：真空泵</w:t>
                  </w:r>
                </w:p>
              </w:tc>
              <w:tc>
                <w:tcPr>
                  <w:tcW w:w="517" w:type="pct"/>
                  <w:vMerge w:val="restart"/>
                  <w:tcMar>
                    <w:left w:w="28" w:type="dxa"/>
                    <w:right w:w="28" w:type="dxa"/>
                  </w:tcMar>
                  <w:vAlign w:val="center"/>
                </w:tcPr>
                <w:p w14:paraId="56DCDDCF">
                  <w:pPr>
                    <w:spacing w:before="100" w:beforeAutospacing="1" w:after="100" w:afterAutospacing="1"/>
                    <w:jc w:val="center"/>
                    <w:rPr>
                      <w:rFonts w:hint="default" w:eastAsiaTheme="minorEastAsia"/>
                      <w:color w:val="auto"/>
                      <w:szCs w:val="21"/>
                      <w:lang w:val="en-US" w:eastAsia="zh-CN"/>
                    </w:rPr>
                  </w:pPr>
                  <w:r>
                    <w:rPr>
                      <w:rFonts w:hint="eastAsia" w:eastAsiaTheme="minorEastAsia"/>
                      <w:color w:val="auto"/>
                      <w:szCs w:val="21"/>
                      <w:lang w:val="en-US" w:eastAsia="zh-CN"/>
                    </w:rPr>
                    <w:t>3046次/a</w:t>
                  </w:r>
                </w:p>
              </w:tc>
              <w:tc>
                <w:tcPr>
                  <w:tcW w:w="694" w:type="pct"/>
                  <w:vMerge w:val="restart"/>
                  <w:vAlign w:val="center"/>
                </w:tcPr>
                <w:p w14:paraId="142A9CE6">
                  <w:pPr>
                    <w:spacing w:before="100" w:beforeAutospacing="1" w:after="100" w:afterAutospacing="1"/>
                    <w:jc w:val="center"/>
                    <w:rPr>
                      <w:rFonts w:hint="default" w:eastAsiaTheme="minorEastAsia"/>
                      <w:color w:val="auto"/>
                      <w:szCs w:val="21"/>
                      <w:lang w:val="en-US" w:eastAsia="zh-CN"/>
                    </w:rPr>
                  </w:pPr>
                  <w:r>
                    <w:rPr>
                      <w:rFonts w:hint="default" w:eastAsiaTheme="minorEastAsia"/>
                      <w:color w:val="auto"/>
                      <w:szCs w:val="21"/>
                      <w:lang w:val="en-US" w:eastAsia="zh-CN"/>
                    </w:rPr>
                    <w:t>一级水吸收+二级碱吸收装置</w:t>
                  </w:r>
                  <w:r>
                    <w:rPr>
                      <w:rFonts w:hint="eastAsia" w:eastAsiaTheme="minorEastAsia"/>
                      <w:color w:val="auto"/>
                      <w:szCs w:val="21"/>
                      <w:lang w:val="en-US" w:eastAsia="zh-CN"/>
                    </w:rPr>
                    <w:t>+25m</w:t>
                  </w:r>
                  <w:r>
                    <w:rPr>
                      <w:rFonts w:hint="default" w:eastAsiaTheme="minorEastAsia"/>
                      <w:color w:val="auto"/>
                      <w:szCs w:val="21"/>
                      <w:lang w:val="en-US" w:eastAsia="zh-CN"/>
                    </w:rPr>
                    <w:t>排气筒（DA001）</w:t>
                  </w:r>
                </w:p>
              </w:tc>
              <w:tc>
                <w:tcPr>
                  <w:tcW w:w="695" w:type="pct"/>
                  <w:vMerge w:val="restart"/>
                  <w:vAlign w:val="center"/>
                </w:tcPr>
                <w:p w14:paraId="439066A2">
                  <w:pPr>
                    <w:spacing w:before="100" w:beforeAutospacing="1" w:after="100" w:afterAutospacing="1"/>
                    <w:jc w:val="center"/>
                    <w:rPr>
                      <w:rFonts w:hint="default" w:eastAsiaTheme="minorEastAsia"/>
                      <w:color w:val="auto"/>
                      <w:szCs w:val="21"/>
                      <w:lang w:val="en-US" w:eastAsia="zh-CN"/>
                    </w:rPr>
                  </w:pPr>
                  <w:r>
                    <w:rPr>
                      <w:rFonts w:hint="eastAsia" w:eastAsiaTheme="minorEastAsia"/>
                      <w:color w:val="auto"/>
                      <w:szCs w:val="21"/>
                      <w:lang w:val="en-US" w:eastAsia="zh-CN"/>
                    </w:rPr>
                    <w:t>废气量减少，废气处理工艺未发生变化</w:t>
                  </w:r>
                </w:p>
              </w:tc>
            </w:tr>
            <w:tr w14:paraId="1CCAE6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vMerge w:val="continue"/>
                  <w:tcMar>
                    <w:left w:w="28" w:type="dxa"/>
                    <w:right w:w="28" w:type="dxa"/>
                  </w:tcMar>
                  <w:vAlign w:val="center"/>
                </w:tcPr>
                <w:p w14:paraId="08EFA0CF">
                  <w:pPr>
                    <w:spacing w:before="100" w:beforeAutospacing="1" w:after="100" w:afterAutospacing="1"/>
                    <w:jc w:val="center"/>
                    <w:rPr>
                      <w:rFonts w:eastAsiaTheme="minorEastAsia"/>
                      <w:color w:val="auto"/>
                      <w:szCs w:val="21"/>
                    </w:rPr>
                  </w:pPr>
                </w:p>
              </w:tc>
              <w:tc>
                <w:tcPr>
                  <w:tcW w:w="387" w:type="pct"/>
                  <w:vMerge w:val="continue"/>
                  <w:tcMar>
                    <w:left w:w="28" w:type="dxa"/>
                    <w:right w:w="28" w:type="dxa"/>
                  </w:tcMar>
                  <w:vAlign w:val="center"/>
                </w:tcPr>
                <w:p w14:paraId="38DFE1D4">
                  <w:pPr>
                    <w:spacing w:before="100" w:beforeAutospacing="1" w:after="100" w:afterAutospacing="1"/>
                    <w:jc w:val="center"/>
                    <w:rPr>
                      <w:rFonts w:hint="eastAsia" w:eastAsiaTheme="minorEastAsia"/>
                      <w:color w:val="auto"/>
                      <w:szCs w:val="21"/>
                      <w:lang w:val="en-US" w:eastAsia="zh-CN"/>
                    </w:rPr>
                  </w:pPr>
                </w:p>
              </w:tc>
              <w:tc>
                <w:tcPr>
                  <w:tcW w:w="432" w:type="pct"/>
                  <w:vMerge w:val="continue"/>
                  <w:tcMar>
                    <w:left w:w="28" w:type="dxa"/>
                    <w:right w:w="28" w:type="dxa"/>
                  </w:tcMar>
                  <w:vAlign w:val="center"/>
                </w:tcPr>
                <w:p w14:paraId="042ACF32">
                  <w:pPr>
                    <w:spacing w:before="100" w:beforeAutospacing="1" w:after="100" w:afterAutospacing="1"/>
                    <w:jc w:val="center"/>
                    <w:rPr>
                      <w:rFonts w:hint="eastAsia" w:eastAsiaTheme="minorEastAsia"/>
                      <w:color w:val="auto"/>
                      <w:szCs w:val="21"/>
                      <w:lang w:val="en-US" w:eastAsia="zh-CN"/>
                    </w:rPr>
                  </w:pPr>
                </w:p>
              </w:tc>
              <w:tc>
                <w:tcPr>
                  <w:tcW w:w="553" w:type="pct"/>
                  <w:tcMar>
                    <w:left w:w="28" w:type="dxa"/>
                    <w:right w:w="28" w:type="dxa"/>
                  </w:tcMar>
                  <w:vAlign w:val="center"/>
                </w:tcPr>
                <w:p w14:paraId="4E21987B">
                  <w:pPr>
                    <w:spacing w:before="100" w:beforeAutospacing="1" w:after="100" w:afterAutospacing="1"/>
                    <w:jc w:val="center"/>
                    <w:rPr>
                      <w:rFonts w:hint="eastAsia" w:eastAsiaTheme="minorEastAsia"/>
                      <w:color w:val="auto"/>
                      <w:szCs w:val="21"/>
                      <w:lang w:val="en-US" w:eastAsia="zh-CN"/>
                    </w:rPr>
                  </w:pPr>
                  <w:r>
                    <w:rPr>
                      <w:rFonts w:hint="eastAsia" w:eastAsiaTheme="minorEastAsia"/>
                      <w:color w:val="auto"/>
                      <w:szCs w:val="21"/>
                      <w:lang w:val="en-US" w:eastAsia="zh-CN"/>
                    </w:rPr>
                    <w:t>卸车过程中泄压</w:t>
                  </w:r>
                </w:p>
              </w:tc>
              <w:tc>
                <w:tcPr>
                  <w:tcW w:w="587" w:type="pct"/>
                  <w:vMerge w:val="continue"/>
                  <w:tcMar>
                    <w:left w:w="28" w:type="dxa"/>
                    <w:right w:w="28" w:type="dxa"/>
                  </w:tcMar>
                  <w:vAlign w:val="center"/>
                </w:tcPr>
                <w:p w14:paraId="400C281D">
                  <w:pPr>
                    <w:spacing w:before="100" w:beforeAutospacing="1" w:after="100" w:afterAutospacing="1"/>
                    <w:jc w:val="center"/>
                    <w:rPr>
                      <w:rFonts w:hint="eastAsia" w:eastAsiaTheme="minorEastAsia"/>
                      <w:color w:val="auto"/>
                      <w:szCs w:val="21"/>
                      <w:lang w:val="en-US" w:eastAsia="zh-CN"/>
                    </w:rPr>
                  </w:pPr>
                </w:p>
              </w:tc>
              <w:tc>
                <w:tcPr>
                  <w:tcW w:w="792" w:type="pct"/>
                  <w:tcMar>
                    <w:left w:w="28" w:type="dxa"/>
                    <w:right w:w="28" w:type="dxa"/>
                  </w:tcMar>
                  <w:vAlign w:val="center"/>
                </w:tcPr>
                <w:p w14:paraId="43F4A74E">
                  <w:pPr>
                    <w:spacing w:before="100" w:beforeAutospacing="1" w:after="100" w:afterAutospacing="1"/>
                    <w:jc w:val="center"/>
                    <w:rPr>
                      <w:rFonts w:hint="eastAsia" w:eastAsiaTheme="minorEastAsia"/>
                      <w:color w:val="auto"/>
                      <w:szCs w:val="21"/>
                      <w:lang w:val="en-US" w:eastAsia="zh-CN"/>
                    </w:rPr>
                  </w:pPr>
                  <w:r>
                    <w:rPr>
                      <w:rFonts w:hint="eastAsia" w:eastAsiaTheme="minorEastAsia"/>
                      <w:color w:val="auto"/>
                      <w:szCs w:val="21"/>
                      <w:lang w:val="en-US" w:eastAsia="zh-CN"/>
                    </w:rPr>
                    <w:t>卸车过程中泄压</w:t>
                  </w:r>
                </w:p>
              </w:tc>
              <w:tc>
                <w:tcPr>
                  <w:tcW w:w="517" w:type="pct"/>
                  <w:vMerge w:val="continue"/>
                  <w:tcMar>
                    <w:left w:w="28" w:type="dxa"/>
                    <w:right w:w="28" w:type="dxa"/>
                  </w:tcMar>
                  <w:vAlign w:val="center"/>
                </w:tcPr>
                <w:p w14:paraId="0D9DB6D5">
                  <w:pPr>
                    <w:spacing w:before="100" w:beforeAutospacing="1" w:after="100" w:afterAutospacing="1"/>
                    <w:jc w:val="center"/>
                    <w:rPr>
                      <w:rFonts w:hint="eastAsia" w:eastAsiaTheme="minorEastAsia"/>
                      <w:color w:val="auto"/>
                      <w:szCs w:val="21"/>
                      <w:lang w:val="en-US" w:eastAsia="zh-CN"/>
                    </w:rPr>
                  </w:pPr>
                </w:p>
              </w:tc>
              <w:tc>
                <w:tcPr>
                  <w:tcW w:w="694" w:type="pct"/>
                  <w:vMerge w:val="continue"/>
                  <w:vAlign w:val="center"/>
                </w:tcPr>
                <w:p w14:paraId="71DECDEA">
                  <w:pPr>
                    <w:spacing w:before="100" w:beforeAutospacing="1" w:after="100" w:afterAutospacing="1"/>
                    <w:jc w:val="center"/>
                    <w:rPr>
                      <w:rFonts w:hint="eastAsia" w:eastAsiaTheme="minorEastAsia"/>
                      <w:color w:val="auto"/>
                      <w:lang w:val="en-US" w:eastAsia="zh-CN"/>
                    </w:rPr>
                  </w:pPr>
                </w:p>
              </w:tc>
              <w:tc>
                <w:tcPr>
                  <w:tcW w:w="695" w:type="pct"/>
                  <w:vMerge w:val="continue"/>
                  <w:vAlign w:val="center"/>
                </w:tcPr>
                <w:p w14:paraId="7D41503B">
                  <w:pPr>
                    <w:spacing w:before="100" w:beforeAutospacing="1" w:after="100" w:afterAutospacing="1"/>
                    <w:jc w:val="center"/>
                    <w:rPr>
                      <w:rFonts w:hint="eastAsia" w:eastAsiaTheme="minorEastAsia"/>
                      <w:color w:val="auto"/>
                      <w:lang w:val="en-US" w:eastAsia="zh-CN"/>
                    </w:rPr>
                  </w:pPr>
                </w:p>
              </w:tc>
            </w:tr>
            <w:tr w14:paraId="4DD2F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vMerge w:val="continue"/>
                  <w:tcMar>
                    <w:left w:w="28" w:type="dxa"/>
                    <w:right w:w="28" w:type="dxa"/>
                  </w:tcMar>
                  <w:vAlign w:val="center"/>
                </w:tcPr>
                <w:p w14:paraId="0E58A47C">
                  <w:pPr>
                    <w:spacing w:before="100" w:beforeAutospacing="1" w:after="100" w:afterAutospacing="1"/>
                    <w:jc w:val="center"/>
                    <w:rPr>
                      <w:rFonts w:eastAsiaTheme="minorEastAsia"/>
                      <w:color w:val="auto"/>
                      <w:szCs w:val="21"/>
                    </w:rPr>
                  </w:pPr>
                </w:p>
              </w:tc>
              <w:tc>
                <w:tcPr>
                  <w:tcW w:w="387" w:type="pct"/>
                  <w:vMerge w:val="continue"/>
                  <w:tcMar>
                    <w:left w:w="28" w:type="dxa"/>
                    <w:right w:w="28" w:type="dxa"/>
                  </w:tcMar>
                  <w:vAlign w:val="center"/>
                </w:tcPr>
                <w:p w14:paraId="6D772D33">
                  <w:pPr>
                    <w:spacing w:before="100" w:beforeAutospacing="1" w:after="100" w:afterAutospacing="1"/>
                    <w:jc w:val="center"/>
                    <w:rPr>
                      <w:rFonts w:hint="eastAsia" w:eastAsiaTheme="minorEastAsia"/>
                      <w:color w:val="auto"/>
                      <w:szCs w:val="21"/>
                      <w:lang w:val="en-US" w:eastAsia="zh-CN"/>
                    </w:rPr>
                  </w:pPr>
                </w:p>
              </w:tc>
              <w:tc>
                <w:tcPr>
                  <w:tcW w:w="432" w:type="pct"/>
                  <w:vMerge w:val="continue"/>
                  <w:tcMar>
                    <w:left w:w="28" w:type="dxa"/>
                    <w:right w:w="28" w:type="dxa"/>
                  </w:tcMar>
                  <w:vAlign w:val="center"/>
                </w:tcPr>
                <w:p w14:paraId="4F017AFC">
                  <w:pPr>
                    <w:spacing w:before="100" w:beforeAutospacing="1" w:after="100" w:afterAutospacing="1"/>
                    <w:jc w:val="center"/>
                    <w:rPr>
                      <w:rFonts w:hint="eastAsia" w:eastAsiaTheme="minorEastAsia"/>
                      <w:color w:val="auto"/>
                      <w:szCs w:val="21"/>
                      <w:lang w:val="en-US" w:eastAsia="zh-CN"/>
                    </w:rPr>
                  </w:pPr>
                </w:p>
              </w:tc>
              <w:tc>
                <w:tcPr>
                  <w:tcW w:w="553" w:type="pct"/>
                  <w:tcMar>
                    <w:left w:w="28" w:type="dxa"/>
                    <w:right w:w="28" w:type="dxa"/>
                  </w:tcMar>
                  <w:vAlign w:val="center"/>
                </w:tcPr>
                <w:p w14:paraId="04EF00DE">
                  <w:pPr>
                    <w:spacing w:before="100" w:beforeAutospacing="1" w:after="100" w:afterAutospacing="1"/>
                    <w:jc w:val="center"/>
                    <w:rPr>
                      <w:rFonts w:hint="eastAsia" w:eastAsiaTheme="minorEastAsia"/>
                      <w:color w:val="auto"/>
                      <w:szCs w:val="21"/>
                      <w:lang w:val="en-US" w:eastAsia="zh-CN"/>
                    </w:rPr>
                  </w:pPr>
                  <w:r>
                    <w:rPr>
                      <w:rFonts w:hint="eastAsia" w:eastAsiaTheme="minorEastAsia"/>
                      <w:color w:val="auto"/>
                      <w:szCs w:val="21"/>
                      <w:lang w:val="en-US" w:eastAsia="zh-CN"/>
                    </w:rPr>
                    <w:t>日常储存泄压</w:t>
                  </w:r>
                </w:p>
              </w:tc>
              <w:tc>
                <w:tcPr>
                  <w:tcW w:w="587" w:type="pct"/>
                  <w:tcMar>
                    <w:left w:w="28" w:type="dxa"/>
                    <w:right w:w="28" w:type="dxa"/>
                  </w:tcMar>
                  <w:vAlign w:val="center"/>
                </w:tcPr>
                <w:p w14:paraId="63336904">
                  <w:pPr>
                    <w:spacing w:before="100" w:beforeAutospacing="1" w:after="100" w:afterAutospacing="1"/>
                    <w:jc w:val="center"/>
                    <w:rPr>
                      <w:rFonts w:hint="eastAsia" w:eastAsiaTheme="minorEastAsia"/>
                      <w:color w:val="auto"/>
                      <w:szCs w:val="21"/>
                      <w:lang w:val="en-US" w:eastAsia="zh-CN"/>
                    </w:rPr>
                  </w:pPr>
                  <w:r>
                    <w:rPr>
                      <w:rFonts w:hint="eastAsia" w:eastAsiaTheme="minorEastAsia"/>
                      <w:color w:val="auto"/>
                      <w:szCs w:val="21"/>
                      <w:lang w:val="en-US" w:eastAsia="zh-CN"/>
                    </w:rPr>
                    <w:t>不定时</w:t>
                  </w:r>
                </w:p>
              </w:tc>
              <w:tc>
                <w:tcPr>
                  <w:tcW w:w="792" w:type="pct"/>
                  <w:tcMar>
                    <w:left w:w="28" w:type="dxa"/>
                    <w:right w:w="28" w:type="dxa"/>
                  </w:tcMar>
                  <w:vAlign w:val="center"/>
                </w:tcPr>
                <w:p w14:paraId="61E95AEC">
                  <w:pPr>
                    <w:spacing w:before="100" w:beforeAutospacing="1" w:after="100" w:afterAutospacing="1"/>
                    <w:jc w:val="center"/>
                    <w:rPr>
                      <w:rFonts w:hint="eastAsia" w:eastAsiaTheme="minorEastAsia"/>
                      <w:color w:val="auto"/>
                      <w:szCs w:val="21"/>
                      <w:lang w:val="en-US" w:eastAsia="zh-CN"/>
                    </w:rPr>
                  </w:pPr>
                  <w:r>
                    <w:rPr>
                      <w:rFonts w:hint="eastAsia" w:eastAsiaTheme="minorEastAsia"/>
                      <w:color w:val="auto"/>
                      <w:szCs w:val="21"/>
                      <w:lang w:val="en-US" w:eastAsia="zh-CN"/>
                    </w:rPr>
                    <w:t>日常储存泄压</w:t>
                  </w:r>
                </w:p>
              </w:tc>
              <w:tc>
                <w:tcPr>
                  <w:tcW w:w="517" w:type="pct"/>
                  <w:tcMar>
                    <w:left w:w="28" w:type="dxa"/>
                    <w:right w:w="28" w:type="dxa"/>
                  </w:tcMar>
                  <w:vAlign w:val="center"/>
                </w:tcPr>
                <w:p w14:paraId="1A172C41">
                  <w:pPr>
                    <w:spacing w:before="100" w:beforeAutospacing="1" w:after="100" w:afterAutospacing="1"/>
                    <w:jc w:val="center"/>
                    <w:rPr>
                      <w:rFonts w:hint="eastAsia" w:eastAsiaTheme="minorEastAsia"/>
                      <w:color w:val="auto"/>
                      <w:szCs w:val="21"/>
                      <w:lang w:val="en-US" w:eastAsia="zh-CN"/>
                    </w:rPr>
                  </w:pPr>
                  <w:r>
                    <w:rPr>
                      <w:rFonts w:hint="eastAsia" w:eastAsiaTheme="minorEastAsia"/>
                      <w:color w:val="auto"/>
                      <w:szCs w:val="21"/>
                      <w:lang w:val="en-US" w:eastAsia="zh-CN"/>
                    </w:rPr>
                    <w:t>不定时</w:t>
                  </w:r>
                </w:p>
              </w:tc>
              <w:tc>
                <w:tcPr>
                  <w:tcW w:w="694" w:type="pct"/>
                  <w:vMerge w:val="continue"/>
                  <w:vAlign w:val="center"/>
                </w:tcPr>
                <w:p w14:paraId="5955D761">
                  <w:pPr>
                    <w:spacing w:before="100" w:beforeAutospacing="1" w:after="100" w:afterAutospacing="1"/>
                    <w:jc w:val="center"/>
                    <w:rPr>
                      <w:rFonts w:hint="eastAsia" w:eastAsiaTheme="minorEastAsia"/>
                      <w:color w:val="auto"/>
                      <w:lang w:val="en-US" w:eastAsia="zh-CN"/>
                    </w:rPr>
                  </w:pPr>
                </w:p>
              </w:tc>
              <w:tc>
                <w:tcPr>
                  <w:tcW w:w="695" w:type="pct"/>
                  <w:vMerge w:val="continue"/>
                  <w:vAlign w:val="center"/>
                </w:tcPr>
                <w:p w14:paraId="048405A8">
                  <w:pPr>
                    <w:spacing w:before="100" w:beforeAutospacing="1" w:after="100" w:afterAutospacing="1"/>
                    <w:jc w:val="center"/>
                    <w:rPr>
                      <w:rFonts w:hint="eastAsia" w:eastAsiaTheme="minorEastAsia"/>
                      <w:color w:val="auto"/>
                      <w:lang w:val="en-US" w:eastAsia="zh-CN"/>
                    </w:rPr>
                  </w:pPr>
                </w:p>
              </w:tc>
            </w:tr>
            <w:tr w14:paraId="0347A3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41" w:type="pct"/>
                  <w:tcMar>
                    <w:left w:w="28" w:type="dxa"/>
                    <w:right w:w="28" w:type="dxa"/>
                  </w:tcMar>
                  <w:vAlign w:val="center"/>
                </w:tcPr>
                <w:p w14:paraId="7AB8B510">
                  <w:pPr>
                    <w:spacing w:before="100" w:beforeAutospacing="1" w:after="100" w:afterAutospacing="1"/>
                    <w:jc w:val="center"/>
                    <w:rPr>
                      <w:rFonts w:eastAsiaTheme="minorEastAsia"/>
                      <w:color w:val="auto"/>
                      <w:szCs w:val="21"/>
                    </w:rPr>
                  </w:pPr>
                  <w:r>
                    <w:rPr>
                      <w:rFonts w:eastAsiaTheme="minorEastAsia"/>
                      <w:color w:val="auto"/>
                      <w:szCs w:val="21"/>
                    </w:rPr>
                    <w:t>废水</w:t>
                  </w:r>
                </w:p>
              </w:tc>
              <w:tc>
                <w:tcPr>
                  <w:tcW w:w="387" w:type="pct"/>
                  <w:vAlign w:val="center"/>
                </w:tcPr>
                <w:p w14:paraId="5B8AF9C5">
                  <w:pPr>
                    <w:spacing w:before="100" w:beforeAutospacing="1" w:after="100" w:afterAutospacing="1"/>
                    <w:jc w:val="center"/>
                    <w:rPr>
                      <w:rFonts w:eastAsiaTheme="minorEastAsia"/>
                      <w:color w:val="auto"/>
                      <w:szCs w:val="21"/>
                    </w:rPr>
                  </w:pPr>
                  <w:r>
                    <w:rPr>
                      <w:rFonts w:hint="eastAsia" w:eastAsiaTheme="minorEastAsia"/>
                      <w:color w:val="auto"/>
                      <w:szCs w:val="21"/>
                      <w:lang w:val="en-US" w:eastAsia="zh-CN"/>
                    </w:rPr>
                    <w:t>真空泵废水</w:t>
                  </w:r>
                </w:p>
              </w:tc>
              <w:tc>
                <w:tcPr>
                  <w:tcW w:w="432" w:type="pct"/>
                  <w:vMerge w:val="continue"/>
                  <w:vAlign w:val="center"/>
                </w:tcPr>
                <w:p w14:paraId="74E26946">
                  <w:pPr>
                    <w:spacing w:before="100" w:beforeAutospacing="1" w:after="100" w:afterAutospacing="1"/>
                    <w:jc w:val="center"/>
                    <w:rPr>
                      <w:rFonts w:hint="eastAsia" w:eastAsiaTheme="minorEastAsia"/>
                      <w:color w:val="auto"/>
                      <w:szCs w:val="21"/>
                      <w:lang w:eastAsia="zh-CN"/>
                    </w:rPr>
                  </w:pPr>
                </w:p>
              </w:tc>
              <w:tc>
                <w:tcPr>
                  <w:tcW w:w="553" w:type="pct"/>
                  <w:vAlign w:val="center"/>
                </w:tcPr>
                <w:p w14:paraId="015AA00D">
                  <w:pPr>
                    <w:spacing w:before="100" w:beforeAutospacing="1" w:after="100" w:afterAutospacing="1"/>
                    <w:jc w:val="center"/>
                    <w:rPr>
                      <w:rFonts w:hint="eastAsia" w:eastAsiaTheme="minorEastAsia"/>
                      <w:color w:val="auto"/>
                      <w:szCs w:val="21"/>
                      <w:lang w:eastAsia="zh-CN"/>
                    </w:rPr>
                  </w:pPr>
                  <w:r>
                    <w:rPr>
                      <w:rFonts w:hint="eastAsia" w:eastAsiaTheme="minorEastAsia"/>
                      <w:color w:val="auto"/>
                      <w:szCs w:val="21"/>
                      <w:lang w:eastAsia="zh-CN"/>
                    </w:rPr>
                    <w:t>卸车前试压试漏：真空泵</w:t>
                  </w:r>
                </w:p>
              </w:tc>
              <w:tc>
                <w:tcPr>
                  <w:tcW w:w="587" w:type="pct"/>
                  <w:vAlign w:val="center"/>
                </w:tcPr>
                <w:p w14:paraId="5EDCD328">
                  <w:pPr>
                    <w:spacing w:before="100" w:beforeAutospacing="1" w:after="100" w:afterAutospacing="1"/>
                    <w:jc w:val="center"/>
                    <w:rPr>
                      <w:rFonts w:hint="eastAsia" w:eastAsiaTheme="minorEastAsia"/>
                      <w:color w:val="auto"/>
                      <w:szCs w:val="21"/>
                      <w:lang w:val="en-US" w:eastAsia="zh-CN"/>
                    </w:rPr>
                  </w:pPr>
                  <w:r>
                    <w:rPr>
                      <w:rFonts w:hint="eastAsia" w:eastAsiaTheme="minorEastAsia"/>
                      <w:color w:val="auto"/>
                      <w:szCs w:val="21"/>
                      <w:lang w:val="en-US" w:eastAsia="zh-CN"/>
                    </w:rPr>
                    <w:t>9559次/a</w:t>
                  </w:r>
                </w:p>
              </w:tc>
              <w:tc>
                <w:tcPr>
                  <w:tcW w:w="792" w:type="pct"/>
                  <w:vAlign w:val="center"/>
                </w:tcPr>
                <w:p w14:paraId="7D9E4469">
                  <w:pPr>
                    <w:spacing w:before="100" w:beforeAutospacing="1" w:after="100" w:afterAutospacing="1"/>
                    <w:jc w:val="center"/>
                    <w:rPr>
                      <w:rFonts w:hint="eastAsia" w:eastAsiaTheme="minorEastAsia"/>
                      <w:color w:val="auto"/>
                      <w:szCs w:val="21"/>
                      <w:lang w:val="en-US" w:eastAsia="zh-CN"/>
                    </w:rPr>
                  </w:pPr>
                  <w:r>
                    <w:rPr>
                      <w:rFonts w:hint="eastAsia" w:eastAsiaTheme="minorEastAsia"/>
                      <w:color w:val="auto"/>
                      <w:szCs w:val="21"/>
                      <w:lang w:eastAsia="zh-CN"/>
                    </w:rPr>
                    <w:t>卸车前试压试漏：真空泵</w:t>
                  </w:r>
                </w:p>
              </w:tc>
              <w:tc>
                <w:tcPr>
                  <w:tcW w:w="517" w:type="pct"/>
                  <w:vAlign w:val="center"/>
                </w:tcPr>
                <w:p w14:paraId="74D5E993">
                  <w:pPr>
                    <w:spacing w:before="100" w:beforeAutospacing="1" w:after="100" w:afterAutospacing="1"/>
                    <w:jc w:val="center"/>
                    <w:rPr>
                      <w:rFonts w:hint="eastAsia" w:eastAsiaTheme="minorEastAsia"/>
                      <w:color w:val="auto"/>
                      <w:szCs w:val="21"/>
                      <w:lang w:val="en-US" w:eastAsia="zh-CN"/>
                    </w:rPr>
                  </w:pPr>
                  <w:r>
                    <w:rPr>
                      <w:rFonts w:hint="eastAsia" w:eastAsiaTheme="minorEastAsia"/>
                      <w:color w:val="auto"/>
                      <w:szCs w:val="21"/>
                      <w:lang w:val="en-US" w:eastAsia="zh-CN"/>
                    </w:rPr>
                    <w:t>3046次/a</w:t>
                  </w:r>
                </w:p>
              </w:tc>
              <w:tc>
                <w:tcPr>
                  <w:tcW w:w="694" w:type="pct"/>
                  <w:vAlign w:val="center"/>
                </w:tcPr>
                <w:p w14:paraId="11F73A17">
                  <w:pPr>
                    <w:spacing w:before="100" w:beforeAutospacing="1" w:after="100" w:afterAutospacing="1"/>
                    <w:jc w:val="center"/>
                    <w:rPr>
                      <w:rFonts w:hint="eastAsia" w:eastAsiaTheme="minorEastAsia"/>
                      <w:color w:val="auto"/>
                      <w:szCs w:val="21"/>
                      <w:lang w:eastAsia="zh-CN"/>
                    </w:rPr>
                  </w:pPr>
                  <w:r>
                    <w:rPr>
                      <w:rFonts w:hint="eastAsia" w:eastAsiaTheme="minorEastAsia"/>
                      <w:color w:val="auto"/>
                      <w:szCs w:val="21"/>
                      <w:lang w:val="en-US" w:eastAsia="zh-CN"/>
                    </w:rPr>
                    <w:t>厂区污水处理站</w:t>
                  </w:r>
                </w:p>
              </w:tc>
              <w:tc>
                <w:tcPr>
                  <w:tcW w:w="695" w:type="pct"/>
                  <w:vAlign w:val="center"/>
                </w:tcPr>
                <w:p w14:paraId="7669E2A7">
                  <w:pPr>
                    <w:spacing w:before="100" w:beforeAutospacing="1" w:after="100" w:afterAutospacing="1"/>
                    <w:jc w:val="center"/>
                    <w:rPr>
                      <w:rFonts w:hint="eastAsia" w:eastAsiaTheme="minorEastAsia"/>
                      <w:color w:val="auto"/>
                      <w:szCs w:val="21"/>
                      <w:lang w:val="en-US" w:eastAsia="zh-CN"/>
                    </w:rPr>
                  </w:pPr>
                  <w:r>
                    <w:rPr>
                      <w:rFonts w:hint="eastAsia" w:eastAsiaTheme="minorEastAsia"/>
                      <w:color w:val="auto"/>
                      <w:szCs w:val="21"/>
                      <w:lang w:val="en-US" w:eastAsia="zh-CN"/>
                    </w:rPr>
                    <w:t>废水量减少，废水处理工艺未发生变化</w:t>
                  </w:r>
                </w:p>
              </w:tc>
            </w:tr>
            <w:tr w14:paraId="2D207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41" w:type="pct"/>
                  <w:tcMar>
                    <w:left w:w="28" w:type="dxa"/>
                    <w:right w:w="28" w:type="dxa"/>
                  </w:tcMar>
                  <w:vAlign w:val="center"/>
                </w:tcPr>
                <w:p w14:paraId="01E772D8">
                  <w:pPr>
                    <w:spacing w:before="100" w:beforeAutospacing="1" w:after="100" w:afterAutospacing="1"/>
                    <w:jc w:val="center"/>
                    <w:rPr>
                      <w:rFonts w:hint="eastAsia" w:eastAsiaTheme="minorEastAsia"/>
                      <w:color w:val="auto"/>
                      <w:szCs w:val="21"/>
                      <w:lang w:eastAsia="zh-CN"/>
                    </w:rPr>
                  </w:pPr>
                  <w:r>
                    <w:rPr>
                      <w:rFonts w:hint="eastAsia" w:eastAsiaTheme="minorEastAsia"/>
                      <w:color w:val="auto"/>
                      <w:szCs w:val="21"/>
                      <w:lang w:eastAsia="zh-CN"/>
                    </w:rPr>
                    <w:t>噪声</w:t>
                  </w:r>
                </w:p>
              </w:tc>
              <w:tc>
                <w:tcPr>
                  <w:tcW w:w="387" w:type="pct"/>
                  <w:vAlign w:val="center"/>
                </w:tcPr>
                <w:p w14:paraId="69343D9E">
                  <w:pPr>
                    <w:spacing w:before="100" w:beforeAutospacing="1" w:after="100" w:afterAutospacing="1"/>
                    <w:jc w:val="center"/>
                    <w:rPr>
                      <w:rFonts w:hint="eastAsia" w:eastAsiaTheme="minorEastAsia"/>
                      <w:color w:val="auto"/>
                      <w:szCs w:val="21"/>
                      <w:lang w:val="en-US" w:eastAsia="zh-CN"/>
                    </w:rPr>
                  </w:pPr>
                  <w:r>
                    <w:rPr>
                      <w:rFonts w:hint="eastAsia" w:eastAsiaTheme="minorEastAsia"/>
                      <w:color w:val="auto"/>
                      <w:szCs w:val="21"/>
                      <w:lang w:val="en-US" w:eastAsia="zh-CN"/>
                    </w:rPr>
                    <w:t>噪声</w:t>
                  </w:r>
                </w:p>
              </w:tc>
              <w:tc>
                <w:tcPr>
                  <w:tcW w:w="432" w:type="pct"/>
                  <w:vMerge w:val="continue"/>
                  <w:vAlign w:val="center"/>
                </w:tcPr>
                <w:p w14:paraId="0734317C">
                  <w:pPr>
                    <w:spacing w:before="100" w:beforeAutospacing="1" w:after="100" w:afterAutospacing="1"/>
                    <w:jc w:val="center"/>
                    <w:rPr>
                      <w:rFonts w:hint="eastAsia" w:eastAsiaTheme="minorEastAsia"/>
                      <w:color w:val="auto"/>
                      <w:szCs w:val="21"/>
                      <w:lang w:eastAsia="zh-CN"/>
                    </w:rPr>
                  </w:pPr>
                </w:p>
              </w:tc>
              <w:tc>
                <w:tcPr>
                  <w:tcW w:w="2449" w:type="pct"/>
                  <w:gridSpan w:val="4"/>
                  <w:vAlign w:val="center"/>
                </w:tcPr>
                <w:p w14:paraId="6965A846">
                  <w:pPr>
                    <w:spacing w:before="100" w:beforeAutospacing="1" w:after="100" w:afterAutospacing="1"/>
                    <w:jc w:val="center"/>
                    <w:rPr>
                      <w:rFonts w:hint="eastAsia" w:eastAsiaTheme="minorEastAsia"/>
                      <w:color w:val="auto"/>
                      <w:szCs w:val="21"/>
                      <w:lang w:val="en-US" w:eastAsia="zh-CN"/>
                    </w:rPr>
                  </w:pPr>
                  <w:r>
                    <w:rPr>
                      <w:rFonts w:hint="eastAsia" w:eastAsiaTheme="minorEastAsia"/>
                      <w:color w:val="auto"/>
                      <w:szCs w:val="21"/>
                      <w:lang w:eastAsia="zh-CN"/>
                    </w:rPr>
                    <w:t>真空泵、泄压气化器等</w:t>
                  </w:r>
                </w:p>
              </w:tc>
              <w:tc>
                <w:tcPr>
                  <w:tcW w:w="694" w:type="pct"/>
                  <w:vAlign w:val="center"/>
                </w:tcPr>
                <w:p w14:paraId="758DE50E">
                  <w:pPr>
                    <w:spacing w:before="100" w:beforeAutospacing="1" w:after="100" w:afterAutospacing="1"/>
                    <w:jc w:val="center"/>
                    <w:rPr>
                      <w:rFonts w:hint="eastAsia" w:eastAsiaTheme="minorEastAsia"/>
                      <w:color w:val="auto"/>
                      <w:szCs w:val="21"/>
                      <w:lang w:val="en-US" w:eastAsia="zh-CN"/>
                    </w:rPr>
                  </w:pPr>
                  <w:r>
                    <w:rPr>
                      <w:rFonts w:hint="eastAsia" w:eastAsiaTheme="minorEastAsia"/>
                      <w:color w:val="auto"/>
                      <w:szCs w:val="21"/>
                      <w:lang w:val="en-US" w:eastAsia="zh-CN"/>
                    </w:rPr>
                    <w:t>隔声、减振等措施</w:t>
                  </w:r>
                </w:p>
              </w:tc>
              <w:tc>
                <w:tcPr>
                  <w:tcW w:w="695" w:type="pct"/>
                  <w:vAlign w:val="center"/>
                </w:tcPr>
                <w:p w14:paraId="59422B68">
                  <w:pPr>
                    <w:spacing w:before="100" w:beforeAutospacing="1" w:after="100" w:afterAutospacing="1"/>
                    <w:jc w:val="center"/>
                    <w:rPr>
                      <w:rFonts w:hint="eastAsia" w:eastAsiaTheme="minorEastAsia"/>
                      <w:color w:val="auto"/>
                      <w:szCs w:val="21"/>
                      <w:lang w:val="en-US" w:eastAsia="zh-CN"/>
                    </w:rPr>
                  </w:pPr>
                  <w:r>
                    <w:rPr>
                      <w:rFonts w:hint="eastAsia" w:eastAsiaTheme="minorEastAsia"/>
                      <w:color w:val="auto"/>
                      <w:szCs w:val="21"/>
                      <w:lang w:val="en-US" w:eastAsia="zh-CN"/>
                    </w:rPr>
                    <w:t>技改后液氯卸车设备均利旧，不新增噪声源</w:t>
                  </w:r>
                </w:p>
              </w:tc>
            </w:tr>
            <w:tr w14:paraId="5CACFE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tcMar>
                    <w:left w:w="28" w:type="dxa"/>
                    <w:right w:w="28" w:type="dxa"/>
                  </w:tcMar>
                  <w:vAlign w:val="center"/>
                </w:tcPr>
                <w:p w14:paraId="567BB5E0">
                  <w:pPr>
                    <w:spacing w:before="100" w:beforeAutospacing="1" w:after="100" w:afterAutospacing="1"/>
                    <w:jc w:val="center"/>
                    <w:rPr>
                      <w:rFonts w:eastAsiaTheme="minorEastAsia"/>
                      <w:color w:val="auto"/>
                      <w:szCs w:val="21"/>
                    </w:rPr>
                  </w:pPr>
                  <w:r>
                    <w:rPr>
                      <w:rFonts w:eastAsiaTheme="minorEastAsia"/>
                      <w:color w:val="auto"/>
                      <w:szCs w:val="21"/>
                    </w:rPr>
                    <w:t>固废</w:t>
                  </w:r>
                </w:p>
              </w:tc>
              <w:tc>
                <w:tcPr>
                  <w:tcW w:w="387" w:type="pct"/>
                  <w:tcMar>
                    <w:left w:w="28" w:type="dxa"/>
                    <w:right w:w="28" w:type="dxa"/>
                  </w:tcMar>
                  <w:vAlign w:val="center"/>
                </w:tcPr>
                <w:p w14:paraId="299D591E">
                  <w:pPr>
                    <w:tabs>
                      <w:tab w:val="left" w:pos="277"/>
                      <w:tab w:val="left" w:pos="600"/>
                      <w:tab w:val="left" w:pos="780"/>
                      <w:tab w:val="left" w:pos="2517"/>
                    </w:tabs>
                    <w:adjustRightInd w:val="0"/>
                    <w:snapToGrid w:val="0"/>
                    <w:spacing w:before="100" w:beforeAutospacing="1" w:after="100" w:afterAutospacing="1"/>
                    <w:jc w:val="center"/>
                    <w:textAlignment w:val="baseline"/>
                    <w:rPr>
                      <w:rFonts w:hint="eastAsia" w:eastAsiaTheme="minorEastAsia"/>
                      <w:color w:val="auto"/>
                      <w:kern w:val="0"/>
                      <w:szCs w:val="21"/>
                      <w:lang w:eastAsia="zh-CN"/>
                    </w:rPr>
                  </w:pPr>
                  <w:r>
                    <w:rPr>
                      <w:rFonts w:hint="eastAsia" w:eastAsiaTheme="minorEastAsia"/>
                      <w:color w:val="auto"/>
                      <w:kern w:val="0"/>
                      <w:szCs w:val="21"/>
                      <w:lang w:val="en-US" w:eastAsia="zh-CN"/>
                    </w:rPr>
                    <w:t>/</w:t>
                  </w:r>
                </w:p>
              </w:tc>
              <w:tc>
                <w:tcPr>
                  <w:tcW w:w="432" w:type="pct"/>
                  <w:tcMar>
                    <w:left w:w="28" w:type="dxa"/>
                    <w:right w:w="28" w:type="dxa"/>
                  </w:tcMar>
                  <w:vAlign w:val="center"/>
                </w:tcPr>
                <w:p w14:paraId="266335F9">
                  <w:pPr>
                    <w:spacing w:before="100" w:beforeAutospacing="1" w:after="100" w:afterAutospacing="1"/>
                    <w:jc w:val="center"/>
                    <w:rPr>
                      <w:rFonts w:hint="eastAsia" w:eastAsiaTheme="minorEastAsia"/>
                      <w:color w:val="auto"/>
                      <w:szCs w:val="21"/>
                      <w:lang w:eastAsia="zh-CN"/>
                    </w:rPr>
                  </w:pPr>
                  <w:r>
                    <w:rPr>
                      <w:rFonts w:hint="eastAsia" w:eastAsiaTheme="minorEastAsia"/>
                      <w:color w:val="auto"/>
                      <w:szCs w:val="21"/>
                      <w:lang w:val="en-US" w:eastAsia="zh-CN"/>
                    </w:rPr>
                    <w:t>/</w:t>
                  </w:r>
                </w:p>
              </w:tc>
              <w:tc>
                <w:tcPr>
                  <w:tcW w:w="553" w:type="pct"/>
                  <w:tcMar>
                    <w:left w:w="28" w:type="dxa"/>
                    <w:right w:w="28" w:type="dxa"/>
                  </w:tcMar>
                  <w:vAlign w:val="center"/>
                </w:tcPr>
                <w:p w14:paraId="4FF13EFA">
                  <w:pPr>
                    <w:spacing w:before="100" w:beforeAutospacing="1" w:after="100" w:afterAutospacing="1"/>
                    <w:jc w:val="center"/>
                    <w:rPr>
                      <w:rFonts w:hint="eastAsia" w:eastAsiaTheme="minorEastAsia"/>
                      <w:color w:val="auto"/>
                      <w:szCs w:val="21"/>
                      <w:lang w:eastAsia="zh-CN"/>
                    </w:rPr>
                  </w:pPr>
                  <w:r>
                    <w:rPr>
                      <w:rFonts w:hint="eastAsia" w:eastAsiaTheme="minorEastAsia"/>
                      <w:color w:val="auto"/>
                      <w:szCs w:val="21"/>
                      <w:lang w:val="en-US" w:eastAsia="zh-CN"/>
                    </w:rPr>
                    <w:t>/</w:t>
                  </w:r>
                </w:p>
              </w:tc>
              <w:tc>
                <w:tcPr>
                  <w:tcW w:w="587" w:type="pct"/>
                  <w:tcMar>
                    <w:left w:w="28" w:type="dxa"/>
                    <w:right w:w="28" w:type="dxa"/>
                  </w:tcMar>
                  <w:vAlign w:val="center"/>
                </w:tcPr>
                <w:p w14:paraId="729A3712">
                  <w:pPr>
                    <w:spacing w:before="100" w:beforeAutospacing="1" w:after="100" w:afterAutospacing="1"/>
                    <w:jc w:val="center"/>
                    <w:rPr>
                      <w:rFonts w:hint="default" w:eastAsiaTheme="minorEastAsia"/>
                      <w:color w:val="auto"/>
                      <w:szCs w:val="21"/>
                      <w:lang w:val="en-US" w:eastAsia="zh-CN"/>
                    </w:rPr>
                  </w:pPr>
                  <w:r>
                    <w:rPr>
                      <w:rFonts w:hint="eastAsia" w:eastAsiaTheme="minorEastAsia"/>
                      <w:color w:val="auto"/>
                      <w:szCs w:val="21"/>
                      <w:lang w:val="en-US" w:eastAsia="zh-CN"/>
                    </w:rPr>
                    <w:t>/</w:t>
                  </w:r>
                </w:p>
              </w:tc>
              <w:tc>
                <w:tcPr>
                  <w:tcW w:w="792" w:type="pct"/>
                  <w:tcMar>
                    <w:left w:w="28" w:type="dxa"/>
                    <w:right w:w="28" w:type="dxa"/>
                  </w:tcMar>
                  <w:vAlign w:val="center"/>
                </w:tcPr>
                <w:p w14:paraId="229C632F">
                  <w:pPr>
                    <w:tabs>
                      <w:tab w:val="left" w:pos="277"/>
                      <w:tab w:val="left" w:pos="600"/>
                      <w:tab w:val="left" w:pos="780"/>
                      <w:tab w:val="left" w:pos="2517"/>
                    </w:tabs>
                    <w:adjustRightInd w:val="0"/>
                    <w:snapToGrid w:val="0"/>
                    <w:spacing w:before="100" w:beforeAutospacing="1" w:after="100" w:afterAutospacing="1"/>
                    <w:jc w:val="center"/>
                    <w:textAlignment w:val="baseline"/>
                    <w:rPr>
                      <w:rFonts w:hint="default" w:eastAsiaTheme="minorEastAsia"/>
                      <w:color w:val="auto"/>
                      <w:kern w:val="0"/>
                      <w:szCs w:val="21"/>
                      <w:lang w:val="en-US" w:eastAsia="zh-CN"/>
                    </w:rPr>
                  </w:pPr>
                  <w:r>
                    <w:rPr>
                      <w:rFonts w:hint="eastAsia" w:eastAsiaTheme="minorEastAsia"/>
                      <w:color w:val="auto"/>
                      <w:kern w:val="0"/>
                      <w:szCs w:val="21"/>
                      <w:lang w:val="en-US" w:eastAsia="zh-CN"/>
                    </w:rPr>
                    <w:t>/</w:t>
                  </w:r>
                </w:p>
              </w:tc>
              <w:tc>
                <w:tcPr>
                  <w:tcW w:w="517" w:type="pct"/>
                  <w:tcMar>
                    <w:left w:w="28" w:type="dxa"/>
                    <w:right w:w="28" w:type="dxa"/>
                  </w:tcMar>
                  <w:vAlign w:val="center"/>
                </w:tcPr>
                <w:p w14:paraId="08F464B6">
                  <w:pPr>
                    <w:tabs>
                      <w:tab w:val="left" w:pos="277"/>
                      <w:tab w:val="left" w:pos="600"/>
                      <w:tab w:val="left" w:pos="780"/>
                      <w:tab w:val="left" w:pos="2517"/>
                    </w:tabs>
                    <w:adjustRightInd w:val="0"/>
                    <w:snapToGrid w:val="0"/>
                    <w:spacing w:before="100" w:beforeAutospacing="1" w:after="100" w:afterAutospacing="1"/>
                    <w:jc w:val="center"/>
                    <w:textAlignment w:val="baseline"/>
                    <w:rPr>
                      <w:rFonts w:hint="eastAsia" w:eastAsiaTheme="minorEastAsia"/>
                      <w:color w:val="auto"/>
                      <w:kern w:val="0"/>
                      <w:szCs w:val="21"/>
                      <w:lang w:eastAsia="zh-CN"/>
                    </w:rPr>
                  </w:pPr>
                  <w:r>
                    <w:rPr>
                      <w:rFonts w:hint="eastAsia" w:eastAsiaTheme="minorEastAsia"/>
                      <w:color w:val="auto"/>
                      <w:kern w:val="0"/>
                      <w:szCs w:val="21"/>
                      <w:lang w:val="en-US" w:eastAsia="zh-CN"/>
                    </w:rPr>
                    <w:t>/</w:t>
                  </w:r>
                </w:p>
              </w:tc>
              <w:tc>
                <w:tcPr>
                  <w:tcW w:w="694" w:type="pct"/>
                  <w:vAlign w:val="center"/>
                </w:tcPr>
                <w:p w14:paraId="13CC55D5">
                  <w:pPr>
                    <w:tabs>
                      <w:tab w:val="left" w:pos="277"/>
                      <w:tab w:val="left" w:pos="600"/>
                      <w:tab w:val="left" w:pos="780"/>
                      <w:tab w:val="left" w:pos="2517"/>
                    </w:tabs>
                    <w:adjustRightInd w:val="0"/>
                    <w:snapToGrid w:val="0"/>
                    <w:spacing w:before="100" w:beforeAutospacing="1" w:after="100" w:afterAutospacing="1"/>
                    <w:jc w:val="center"/>
                    <w:textAlignment w:val="baseline"/>
                    <w:rPr>
                      <w:rFonts w:hint="eastAsia" w:eastAsiaTheme="minorEastAsia"/>
                      <w:color w:val="auto"/>
                      <w:kern w:val="0"/>
                      <w:szCs w:val="21"/>
                      <w:lang w:eastAsia="zh-CN"/>
                    </w:rPr>
                  </w:pPr>
                  <w:r>
                    <w:rPr>
                      <w:rFonts w:hint="eastAsia" w:eastAsiaTheme="minorEastAsia"/>
                      <w:color w:val="auto"/>
                      <w:kern w:val="0"/>
                      <w:szCs w:val="21"/>
                      <w:lang w:val="en-US" w:eastAsia="zh-CN"/>
                    </w:rPr>
                    <w:t>/</w:t>
                  </w:r>
                </w:p>
              </w:tc>
              <w:tc>
                <w:tcPr>
                  <w:tcW w:w="695" w:type="pct"/>
                  <w:vAlign w:val="center"/>
                </w:tcPr>
                <w:p w14:paraId="03AE3C07">
                  <w:pPr>
                    <w:tabs>
                      <w:tab w:val="left" w:pos="277"/>
                      <w:tab w:val="left" w:pos="600"/>
                      <w:tab w:val="left" w:pos="780"/>
                      <w:tab w:val="left" w:pos="2517"/>
                    </w:tabs>
                    <w:adjustRightInd w:val="0"/>
                    <w:snapToGrid w:val="0"/>
                    <w:spacing w:before="100" w:beforeAutospacing="1" w:after="100" w:afterAutospacing="1"/>
                    <w:jc w:val="center"/>
                    <w:textAlignment w:val="baseline"/>
                    <w:rPr>
                      <w:rFonts w:hint="default" w:eastAsiaTheme="minorEastAsia"/>
                      <w:color w:val="auto"/>
                      <w:kern w:val="0"/>
                      <w:szCs w:val="21"/>
                      <w:lang w:val="en-US" w:eastAsia="zh-CN"/>
                    </w:rPr>
                  </w:pPr>
                  <w:r>
                    <w:rPr>
                      <w:rFonts w:hint="eastAsia" w:eastAsiaTheme="minorEastAsia"/>
                      <w:color w:val="auto"/>
                      <w:kern w:val="0"/>
                      <w:szCs w:val="21"/>
                      <w:lang w:val="en-US" w:eastAsia="zh-CN"/>
                    </w:rPr>
                    <w:t>/</w:t>
                  </w:r>
                </w:p>
              </w:tc>
            </w:tr>
          </w:tbl>
          <w:p w14:paraId="4127A0BA">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both"/>
              <w:textAlignment w:val="auto"/>
              <w:rPr>
                <w:rFonts w:hint="eastAsia"/>
                <w:bCs/>
                <w:color w:val="auto"/>
                <w:sz w:val="24"/>
                <w:lang w:eastAsia="zh-CN"/>
              </w:rPr>
            </w:pPr>
            <w:r>
              <w:rPr>
                <w:rFonts w:hint="eastAsia"/>
                <w:bCs/>
                <w:color w:val="auto"/>
                <w:sz w:val="24"/>
                <w:lang w:eastAsia="zh-CN"/>
              </w:rPr>
              <w:t>项目液氯储罐为全压储罐，采用高压密封工艺，储罐装</w:t>
            </w:r>
            <w:r>
              <w:rPr>
                <w:rFonts w:hint="eastAsia"/>
                <w:bCs/>
                <w:color w:val="auto"/>
                <w:sz w:val="24"/>
              </w:rPr>
              <w:t>有安全阀，可以阻止因沸腾</w:t>
            </w:r>
            <w:r>
              <w:rPr>
                <w:rFonts w:hint="eastAsia"/>
                <w:bCs/>
                <w:color w:val="auto"/>
                <w:sz w:val="24"/>
                <w:lang w:eastAsia="zh-CN"/>
              </w:rPr>
              <w:t>引起</w:t>
            </w:r>
            <w:r>
              <w:rPr>
                <w:rFonts w:hint="eastAsia"/>
                <w:bCs/>
                <w:color w:val="auto"/>
                <w:sz w:val="24"/>
              </w:rPr>
              <w:t>的外排损失以及因</w:t>
            </w:r>
            <w:r>
              <w:rPr>
                <w:rFonts w:hint="eastAsia"/>
                <w:bCs/>
                <w:color w:val="auto"/>
                <w:sz w:val="24"/>
                <w:lang w:eastAsia="zh-CN"/>
              </w:rPr>
              <w:t>昼夜温</w:t>
            </w:r>
            <w:r>
              <w:rPr>
                <w:rFonts w:hint="eastAsia"/>
                <w:bCs/>
                <w:color w:val="auto"/>
                <w:sz w:val="24"/>
              </w:rPr>
              <w:t>差和气压变化引起的呼吸损失</w:t>
            </w:r>
            <w:r>
              <w:rPr>
                <w:rFonts w:hint="eastAsia"/>
                <w:bCs/>
                <w:color w:val="auto"/>
                <w:sz w:val="24"/>
                <w:lang w:eastAsia="zh-CN"/>
              </w:rPr>
              <w:t>，</w:t>
            </w:r>
            <w:r>
              <w:rPr>
                <w:rFonts w:hint="eastAsia"/>
                <w:bCs/>
                <w:color w:val="auto"/>
                <w:sz w:val="24"/>
              </w:rPr>
              <w:t>操作中几乎没有蒸发或工作损失</w:t>
            </w:r>
            <w:r>
              <w:rPr>
                <w:rFonts w:hint="eastAsia"/>
                <w:bCs/>
                <w:color w:val="auto"/>
                <w:sz w:val="24"/>
                <w:lang w:eastAsia="zh-CN"/>
              </w:rPr>
              <w:t>，氯气产生量极少，不予定量分析。</w:t>
            </w:r>
          </w:p>
          <w:p w14:paraId="2B2BE0F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bCs/>
                <w:color w:val="auto"/>
                <w:sz w:val="24"/>
                <w:lang w:val="en-US" w:eastAsia="zh-CN"/>
              </w:rPr>
            </w:pPr>
            <w:r>
              <w:rPr>
                <w:rFonts w:hint="eastAsia"/>
                <w:bCs/>
                <w:color w:val="auto"/>
                <w:sz w:val="24"/>
                <w:lang w:eastAsia="zh-CN"/>
              </w:rPr>
              <w:t>液氯储存、卸车产生的废气主要为液氯卸车时抽真空、储罐泄压过程产生的少量氯气，以及日常储存过程中储罐泄压产生的氯气，经过一级水吸收+二级碱吸收</w:t>
            </w:r>
            <w:r>
              <w:rPr>
                <w:rFonts w:hint="eastAsia"/>
                <w:bCs/>
                <w:color w:val="auto"/>
                <w:sz w:val="24"/>
                <w:lang w:val="en-US" w:eastAsia="zh-CN"/>
              </w:rPr>
              <w:t>装置处理后通过25m排气筒（DA001）高空排放。</w:t>
            </w:r>
          </w:p>
          <w:p w14:paraId="0EC49FFC">
            <w:pPr>
              <w:autoSpaceDE w:val="0"/>
              <w:autoSpaceDN w:val="0"/>
              <w:adjustRightInd w:val="0"/>
              <w:snapToGrid w:val="0"/>
              <w:spacing w:line="360" w:lineRule="auto"/>
              <w:ind w:firstLine="480" w:firstLineChars="200"/>
              <w:jc w:val="both"/>
              <w:rPr>
                <w:rFonts w:hint="eastAsia"/>
                <w:bCs/>
                <w:color w:val="auto"/>
                <w:sz w:val="24"/>
                <w:lang w:val="en-US" w:eastAsia="zh-CN"/>
              </w:rPr>
            </w:pPr>
            <w:r>
              <w:rPr>
                <w:rFonts w:hint="eastAsia"/>
                <w:bCs/>
                <w:color w:val="auto"/>
                <w:sz w:val="24"/>
                <w:lang w:val="en-US" w:eastAsia="zh-CN"/>
              </w:rPr>
              <w:t>卸车试压过程中产生的真空泵废水，经厂区污水处理站处理后接管污水处理厂。</w:t>
            </w:r>
          </w:p>
          <w:p w14:paraId="2DACB601">
            <w:pPr>
              <w:pStyle w:val="6"/>
              <w:spacing w:line="360" w:lineRule="auto"/>
              <w:jc w:val="left"/>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现有项目共设置</w:t>
            </w:r>
            <w:r>
              <w:rPr>
                <w:rFonts w:hint="eastAsia" w:ascii="Times New Roman" w:hAnsi="Times New Roman" w:eastAsia="宋体" w:cs="Times New Roman"/>
                <w:color w:val="auto"/>
                <w:sz w:val="24"/>
                <w:szCs w:val="24"/>
                <w:lang w:val="en-US" w:eastAsia="zh-CN"/>
              </w:rPr>
              <w:t>3只21.667m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的液氯罐式集装箱</w:t>
            </w:r>
            <w:r>
              <w:rPr>
                <w:rFonts w:hint="default" w:ascii="Times New Roman" w:hAnsi="Times New Roman" w:eastAsia="宋体" w:cs="Times New Roman"/>
                <w:color w:val="auto"/>
                <w:sz w:val="24"/>
                <w:szCs w:val="24"/>
              </w:rPr>
              <w:t>（</w:t>
            </w:r>
            <w:r>
              <w:rPr>
                <w:rFonts w:hint="eastAsia" w:ascii="Times New Roman" w:eastAsia="宋体" w:cs="Times New Roman"/>
                <w:color w:val="auto"/>
                <w:sz w:val="24"/>
                <w:szCs w:val="24"/>
                <w:lang w:eastAsia="zh-CN"/>
              </w:rPr>
              <w:t>两</w:t>
            </w:r>
            <w:r>
              <w:rPr>
                <w:rFonts w:hint="default" w:ascii="Times New Roman" w:hAnsi="Times New Roman" w:eastAsia="宋体" w:cs="Times New Roman"/>
                <w:color w:val="auto"/>
                <w:sz w:val="24"/>
                <w:szCs w:val="24"/>
              </w:rPr>
              <w:t>用一备）</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本次</w:t>
            </w:r>
            <w:r>
              <w:rPr>
                <w:rFonts w:hint="eastAsia" w:ascii="Times New Roman" w:hAnsi="Times New Roman" w:eastAsia="宋体" w:cs="Times New Roman"/>
                <w:color w:val="auto"/>
                <w:sz w:val="24"/>
                <w:szCs w:val="24"/>
                <w:lang w:eastAsia="zh-CN"/>
              </w:rPr>
              <w:t>技改</w:t>
            </w:r>
            <w:r>
              <w:rPr>
                <w:rFonts w:hint="default" w:ascii="Times New Roman" w:hAnsi="Times New Roman" w:eastAsia="宋体" w:cs="Times New Roman"/>
                <w:color w:val="auto"/>
                <w:sz w:val="24"/>
                <w:szCs w:val="24"/>
              </w:rPr>
              <w:t>后全厂1只57m³液氯储罐、2只79m³液氯储罐（一用一备），液氯运转</w:t>
            </w:r>
            <w:r>
              <w:rPr>
                <w:rFonts w:hint="eastAsia" w:ascii="Times New Roman" w:hAnsi="Times New Roman" w:eastAsia="宋体" w:cs="Times New Roman"/>
                <w:color w:val="auto"/>
                <w:sz w:val="24"/>
                <w:szCs w:val="24"/>
                <w:lang w:eastAsia="zh-CN"/>
              </w:rPr>
              <w:t>频次由</w:t>
            </w:r>
            <w:r>
              <w:rPr>
                <w:rFonts w:hint="eastAsia" w:ascii="Times New Roman" w:hAnsi="Times New Roman" w:eastAsia="宋体" w:cs="Times New Roman"/>
                <w:color w:val="auto"/>
                <w:sz w:val="24"/>
                <w:szCs w:val="24"/>
                <w:lang w:val="en-US" w:eastAsia="zh-CN"/>
              </w:rPr>
              <w:t>9559次/a降至3046次/a</w:t>
            </w:r>
            <w:r>
              <w:rPr>
                <w:rFonts w:hint="eastAsia" w:ascii="Times New Roman" w:hAnsi="Times New Roman" w:eastAsia="宋体" w:cs="Times New Roman"/>
                <w:color w:val="auto"/>
                <w:sz w:val="24"/>
                <w:szCs w:val="24"/>
                <w:lang w:eastAsia="zh-CN"/>
              </w:rPr>
              <w:t>，液氯卸车前检验次数、卸车过程中泄压次数与周转频次成正比，因此，技改项目建成后液氯储存、装卸废气排放量、真空泵废水排放量均略有减少</w:t>
            </w:r>
            <w:r>
              <w:rPr>
                <w:rFonts w:hint="eastAsia" w:ascii="Times New Roman" w:eastAsia="宋体" w:cs="Times New Roman"/>
                <w:color w:val="auto"/>
                <w:sz w:val="24"/>
                <w:szCs w:val="24"/>
                <w:lang w:eastAsia="zh-CN"/>
              </w:rPr>
              <w:t>（根据现有项目生产台账，真空泵排水量约</w:t>
            </w:r>
            <w:r>
              <w:rPr>
                <w:rFonts w:hint="eastAsia" w:ascii="Times New Roman" w:eastAsia="宋体" w:cs="Times New Roman"/>
                <w:color w:val="auto"/>
                <w:sz w:val="24"/>
                <w:szCs w:val="24"/>
                <w:lang w:val="en-US" w:eastAsia="zh-CN"/>
              </w:rPr>
              <w:t>4t/a，本次升级改造后，真空泵排水量约减少至1.27t/a，变化不大</w:t>
            </w:r>
            <w:r>
              <w:rPr>
                <w:rFonts w:hint="eastAsia" w:asci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，因此，本次评价不再进行分析。</w:t>
            </w:r>
          </w:p>
          <w:p w14:paraId="3BF73C3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0"/>
              <w:textAlignment w:val="auto"/>
              <w:rPr>
                <w:rFonts w:hint="eastAsia"/>
                <w:color w:val="auto"/>
                <w:sz w:val="24"/>
                <w:szCs w:val="24"/>
                <w:lang w:val="en-US" w:eastAsia="zh-CN"/>
              </w:rPr>
            </w:pPr>
            <w:r>
              <w:rPr>
                <w:rFonts w:hint="eastAsia"/>
                <w:color w:val="auto"/>
                <w:sz w:val="24"/>
                <w:szCs w:val="24"/>
                <w:lang w:val="en-US" w:eastAsia="zh-CN"/>
              </w:rPr>
              <w:t>（2）黄磷池</w:t>
            </w:r>
          </w:p>
          <w:p w14:paraId="682C24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sz w:val="24"/>
                <w:szCs w:val="24"/>
                <w:lang w:eastAsia="zh-CN"/>
              </w:rPr>
            </w:pPr>
            <w:r>
              <w:rPr>
                <w:color w:val="auto"/>
                <w:sz w:val="24"/>
                <w:szCs w:val="24"/>
              </w:rPr>
              <w:t>外购的黄磷由槽车运送至厂区，采用蒸汽加热将槽车内的黄磷熔化（槽车内有加热盘管），熔化后的黄磷泵入黄磷池。由于黄磷接触空气就能自燃，黄磷池中液态黄磷采用水封</w:t>
            </w:r>
            <w:r>
              <w:rPr>
                <w:rFonts w:hint="eastAsia"/>
                <w:color w:val="auto"/>
                <w:sz w:val="24"/>
                <w:szCs w:val="24"/>
                <w:lang w:eastAsia="zh-CN"/>
              </w:rPr>
              <w:t>和氮封</w:t>
            </w:r>
            <w:r>
              <w:rPr>
                <w:color w:val="auto"/>
                <w:sz w:val="24"/>
                <w:szCs w:val="24"/>
              </w:rPr>
              <w:t>，黄磷沉于底部，水层浮于黄磷上方，其中上部水层高度≥1米，底部黄磷高度约3米</w:t>
            </w:r>
            <w:r>
              <w:rPr>
                <w:rFonts w:hint="eastAsia"/>
                <w:color w:val="auto"/>
                <w:sz w:val="24"/>
                <w:szCs w:val="24"/>
                <w:lang w:eastAsia="zh-CN"/>
              </w:rPr>
              <w:t>，水封上层设置氮封，氮封设置压力3千帕以下，</w:t>
            </w:r>
            <w:r>
              <w:rPr>
                <w:color w:val="auto"/>
                <w:sz w:val="24"/>
                <w:szCs w:val="24"/>
              </w:rPr>
              <w:t>黄磷池水封</w:t>
            </w:r>
            <w:r>
              <w:rPr>
                <w:rFonts w:hint="eastAsia"/>
                <w:color w:val="auto"/>
                <w:sz w:val="24"/>
                <w:szCs w:val="24"/>
                <w:lang w:eastAsia="zh-CN"/>
              </w:rPr>
              <w:t>水定期补充损耗，无废水产生及排放、氮气定期补充损耗，以无组织形式逸散进入环境空气。</w:t>
            </w:r>
          </w:p>
          <w:p w14:paraId="71C3BD7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rPr>
            </w:pPr>
            <w:r>
              <w:rPr>
                <w:color w:val="auto"/>
                <w:sz w:val="24"/>
                <w:szCs w:val="24"/>
              </w:rPr>
              <w:t>黄磷池采用地下式结构，底部设有加热盘管，盘管内通入蒸汽，控制温度在50~70℃，保持黄磷池中黄磷为液态。</w:t>
            </w:r>
          </w:p>
          <w:p w14:paraId="3AB57E07">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技改项目为现有项目原料储存安全升级改造项目，在现有厂区内进行布置，不新增用地，技改项目建设后，厂区内液氯储存量由原来的</w:t>
            </w:r>
            <w:r>
              <w:rPr>
                <w:rFonts w:hint="default" w:ascii="Times New Roman" w:hAnsi="Times New Roman" w:eastAsia="宋体" w:cs="Times New Roman"/>
                <w:color w:val="auto"/>
                <w:sz w:val="24"/>
                <w:szCs w:val="24"/>
                <w:lang w:val="en-US" w:eastAsia="zh-CN"/>
              </w:rPr>
              <w:t>30.565t增加至153.408t，黄磷储存量由原来的852.6t增加至1629.87t。</w:t>
            </w:r>
          </w:p>
          <w:p w14:paraId="337406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技改项目在现有厂区内布置，建设前后，不新增用地面积，不新增初期雨水排放量，项目仅涉及液氯和黄磷的储存设施，和现有项目相比，仅厂区暂存量增加，未新增初期雨水污染物种类，技改项目无废气产生，黄磷在封闭的黄磷池中暂存，液氯储罐设置在封闭的液氯罐式集装箱装卸场地内，综合分析，和现有项目相比，技改项目建成后，初期雨水产排情况不会发生变化，本次评价，不重复计算初期雨水排放量。</w:t>
            </w:r>
          </w:p>
          <w:p w14:paraId="14C5140C">
            <w:pPr>
              <w:adjustRightInd w:val="0"/>
              <w:snapToGrid w:val="0"/>
              <w:spacing w:line="360" w:lineRule="auto"/>
              <w:ind w:firstLine="480" w:firstLineChars="200"/>
              <w:rPr>
                <w:rFonts w:eastAsiaTheme="minorEastAsia"/>
                <w:color w:val="auto"/>
                <w:sz w:val="24"/>
              </w:rPr>
            </w:pPr>
            <w:r>
              <w:rPr>
                <w:rFonts w:hint="eastAsia" w:eastAsiaTheme="minorEastAsia"/>
                <w:color w:val="auto"/>
                <w:sz w:val="24"/>
                <w:lang w:eastAsia="zh-CN"/>
              </w:rPr>
              <w:t>技改项目</w:t>
            </w:r>
            <w:r>
              <w:rPr>
                <w:rFonts w:eastAsiaTheme="minorEastAsia"/>
                <w:color w:val="auto"/>
                <w:sz w:val="24"/>
              </w:rPr>
              <w:t>营运期污染物产生环节见表2-</w:t>
            </w:r>
            <w:r>
              <w:rPr>
                <w:rFonts w:hint="eastAsia" w:eastAsiaTheme="minorEastAsia"/>
                <w:color w:val="auto"/>
                <w:sz w:val="24"/>
                <w:lang w:val="en-US" w:eastAsia="zh-CN"/>
              </w:rPr>
              <w:t>10</w:t>
            </w:r>
            <w:r>
              <w:rPr>
                <w:rFonts w:eastAsiaTheme="minorEastAsia"/>
                <w:color w:val="auto"/>
                <w:sz w:val="24"/>
              </w:rPr>
              <w:t>。</w:t>
            </w:r>
          </w:p>
          <w:p w14:paraId="63255499">
            <w:pPr>
              <w:ind w:firstLine="482"/>
              <w:jc w:val="center"/>
              <w:rPr>
                <w:rFonts w:eastAsiaTheme="minorEastAsia"/>
                <w:b/>
                <w:color w:val="auto"/>
                <w:sz w:val="24"/>
              </w:rPr>
            </w:pPr>
          </w:p>
          <w:p w14:paraId="6C963A7E">
            <w:pPr>
              <w:ind w:firstLine="482"/>
              <w:jc w:val="center"/>
              <w:rPr>
                <w:rFonts w:eastAsiaTheme="minorEastAsia"/>
                <w:b/>
                <w:color w:val="auto"/>
                <w:sz w:val="24"/>
              </w:rPr>
            </w:pPr>
            <w:r>
              <w:rPr>
                <w:rFonts w:eastAsiaTheme="minorEastAsia"/>
                <w:b/>
                <w:color w:val="auto"/>
                <w:sz w:val="24"/>
              </w:rPr>
              <w:t>表2-</w:t>
            </w:r>
            <w:r>
              <w:rPr>
                <w:rFonts w:hint="eastAsia" w:eastAsiaTheme="minorEastAsia"/>
                <w:b/>
                <w:color w:val="auto"/>
                <w:sz w:val="24"/>
                <w:lang w:val="en-US" w:eastAsia="zh-CN"/>
              </w:rPr>
              <w:t>10</w:t>
            </w:r>
            <w:r>
              <w:rPr>
                <w:rFonts w:eastAsiaTheme="minorEastAsia"/>
                <w:b/>
                <w:color w:val="auto"/>
                <w:sz w:val="24"/>
              </w:rPr>
              <w:t xml:space="preserve"> 营运期产污环节汇总表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1"/>
              <w:gridCol w:w="852"/>
              <w:gridCol w:w="1358"/>
              <w:gridCol w:w="1202"/>
              <w:gridCol w:w="1281"/>
              <w:gridCol w:w="1560"/>
              <w:gridCol w:w="1480"/>
            </w:tblGrid>
            <w:tr w14:paraId="187232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Mar>
                    <w:left w:w="28" w:type="dxa"/>
                    <w:right w:w="28" w:type="dxa"/>
                  </w:tcMar>
                  <w:vAlign w:val="center"/>
                </w:tcPr>
                <w:p w14:paraId="490FCF7C">
                  <w:pPr>
                    <w:spacing w:before="100" w:beforeAutospacing="1" w:after="100" w:afterAutospacing="1"/>
                    <w:jc w:val="center"/>
                    <w:rPr>
                      <w:rFonts w:eastAsiaTheme="minorEastAsia"/>
                      <w:color w:val="auto"/>
                      <w:szCs w:val="21"/>
                    </w:rPr>
                  </w:pPr>
                  <w:r>
                    <w:rPr>
                      <w:rFonts w:eastAsiaTheme="minorEastAsia"/>
                      <w:color w:val="auto"/>
                      <w:szCs w:val="21"/>
                    </w:rPr>
                    <w:t>污染因素</w:t>
                  </w:r>
                </w:p>
              </w:tc>
              <w:tc>
                <w:tcPr>
                  <w:tcW w:w="506" w:type="pct"/>
                  <w:tcMar>
                    <w:left w:w="28" w:type="dxa"/>
                    <w:right w:w="28" w:type="dxa"/>
                  </w:tcMar>
                  <w:vAlign w:val="center"/>
                </w:tcPr>
                <w:p w14:paraId="0F93ED07">
                  <w:pPr>
                    <w:spacing w:before="100" w:beforeAutospacing="1" w:after="100" w:afterAutospacing="1"/>
                    <w:jc w:val="center"/>
                    <w:rPr>
                      <w:rFonts w:eastAsiaTheme="minorEastAsia"/>
                      <w:color w:val="auto"/>
                      <w:szCs w:val="21"/>
                    </w:rPr>
                  </w:pPr>
                  <w:r>
                    <w:rPr>
                      <w:rFonts w:eastAsiaTheme="minorEastAsia"/>
                      <w:color w:val="auto"/>
                      <w:szCs w:val="21"/>
                    </w:rPr>
                    <w:t>编号</w:t>
                  </w:r>
                </w:p>
              </w:tc>
              <w:tc>
                <w:tcPr>
                  <w:tcW w:w="807" w:type="pct"/>
                  <w:tcMar>
                    <w:left w:w="28" w:type="dxa"/>
                    <w:right w:w="28" w:type="dxa"/>
                  </w:tcMar>
                  <w:vAlign w:val="center"/>
                </w:tcPr>
                <w:p w14:paraId="101E248C">
                  <w:pPr>
                    <w:spacing w:before="100" w:beforeAutospacing="1" w:after="100" w:afterAutospacing="1"/>
                    <w:jc w:val="center"/>
                    <w:rPr>
                      <w:rFonts w:eastAsiaTheme="minorEastAsia"/>
                      <w:color w:val="auto"/>
                      <w:szCs w:val="21"/>
                    </w:rPr>
                  </w:pPr>
                  <w:r>
                    <w:rPr>
                      <w:rFonts w:eastAsiaTheme="minorEastAsia"/>
                      <w:color w:val="auto"/>
                      <w:szCs w:val="21"/>
                    </w:rPr>
                    <w:t>名称</w:t>
                  </w:r>
                </w:p>
              </w:tc>
              <w:tc>
                <w:tcPr>
                  <w:tcW w:w="714" w:type="pct"/>
                  <w:tcMar>
                    <w:left w:w="28" w:type="dxa"/>
                    <w:right w:w="28" w:type="dxa"/>
                  </w:tcMar>
                  <w:vAlign w:val="center"/>
                </w:tcPr>
                <w:p w14:paraId="738F3B08">
                  <w:pPr>
                    <w:spacing w:before="100" w:beforeAutospacing="1" w:after="100" w:afterAutospacing="1"/>
                    <w:jc w:val="center"/>
                    <w:rPr>
                      <w:rFonts w:eastAsiaTheme="minorEastAsia"/>
                      <w:color w:val="auto"/>
                      <w:szCs w:val="21"/>
                    </w:rPr>
                  </w:pPr>
                  <w:r>
                    <w:rPr>
                      <w:rFonts w:eastAsiaTheme="minorEastAsia"/>
                      <w:color w:val="auto"/>
                      <w:szCs w:val="21"/>
                    </w:rPr>
                    <w:t>产污环节</w:t>
                  </w:r>
                </w:p>
              </w:tc>
              <w:tc>
                <w:tcPr>
                  <w:tcW w:w="761" w:type="pct"/>
                  <w:tcMar>
                    <w:left w:w="28" w:type="dxa"/>
                    <w:right w:w="28" w:type="dxa"/>
                  </w:tcMar>
                  <w:vAlign w:val="center"/>
                </w:tcPr>
                <w:p w14:paraId="7115DC69">
                  <w:pPr>
                    <w:spacing w:before="100" w:beforeAutospacing="1" w:after="100" w:afterAutospacing="1"/>
                    <w:jc w:val="center"/>
                    <w:rPr>
                      <w:rFonts w:eastAsiaTheme="minorEastAsia"/>
                      <w:color w:val="auto"/>
                      <w:szCs w:val="21"/>
                    </w:rPr>
                  </w:pPr>
                  <w:r>
                    <w:rPr>
                      <w:rFonts w:eastAsiaTheme="minorEastAsia"/>
                      <w:color w:val="auto"/>
                      <w:szCs w:val="21"/>
                    </w:rPr>
                    <w:t>排放特性/性质</w:t>
                  </w:r>
                </w:p>
              </w:tc>
              <w:tc>
                <w:tcPr>
                  <w:tcW w:w="927" w:type="pct"/>
                  <w:tcMar>
                    <w:left w:w="28" w:type="dxa"/>
                    <w:right w:w="28" w:type="dxa"/>
                  </w:tcMar>
                  <w:vAlign w:val="center"/>
                </w:tcPr>
                <w:p w14:paraId="2912475D">
                  <w:pPr>
                    <w:spacing w:before="100" w:beforeAutospacing="1" w:after="100" w:afterAutospacing="1"/>
                    <w:jc w:val="center"/>
                    <w:rPr>
                      <w:rFonts w:eastAsiaTheme="minorEastAsia"/>
                      <w:color w:val="auto"/>
                      <w:szCs w:val="21"/>
                    </w:rPr>
                  </w:pPr>
                  <w:r>
                    <w:rPr>
                      <w:rFonts w:eastAsiaTheme="minorEastAsia"/>
                      <w:color w:val="auto"/>
                      <w:szCs w:val="21"/>
                    </w:rPr>
                    <w:t>污染因子</w:t>
                  </w:r>
                </w:p>
              </w:tc>
              <w:tc>
                <w:tcPr>
                  <w:tcW w:w="879" w:type="pct"/>
                  <w:vAlign w:val="center"/>
                </w:tcPr>
                <w:p w14:paraId="060BFFDE">
                  <w:pPr>
                    <w:spacing w:before="100" w:beforeAutospacing="1" w:after="100" w:afterAutospacing="1"/>
                    <w:jc w:val="center"/>
                    <w:rPr>
                      <w:rFonts w:eastAsiaTheme="minorEastAsia"/>
                      <w:color w:val="auto"/>
                      <w:szCs w:val="21"/>
                    </w:rPr>
                  </w:pPr>
                  <w:r>
                    <w:rPr>
                      <w:rFonts w:eastAsiaTheme="minorEastAsia"/>
                      <w:color w:val="auto"/>
                      <w:szCs w:val="21"/>
                    </w:rPr>
                    <w:t>治理措施</w:t>
                  </w:r>
                </w:p>
              </w:tc>
            </w:tr>
            <w:tr w14:paraId="1A1E5F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Mar>
                    <w:left w:w="28" w:type="dxa"/>
                    <w:right w:w="28" w:type="dxa"/>
                  </w:tcMar>
                  <w:vAlign w:val="center"/>
                </w:tcPr>
                <w:p w14:paraId="0E1CADF0">
                  <w:pPr>
                    <w:spacing w:before="100" w:beforeAutospacing="1" w:after="100" w:afterAutospacing="1"/>
                    <w:jc w:val="center"/>
                    <w:rPr>
                      <w:rFonts w:eastAsiaTheme="minorEastAsia"/>
                      <w:color w:val="auto"/>
                      <w:szCs w:val="21"/>
                    </w:rPr>
                  </w:pPr>
                  <w:r>
                    <w:rPr>
                      <w:rFonts w:eastAsiaTheme="minorEastAsia"/>
                      <w:color w:val="auto"/>
                      <w:szCs w:val="21"/>
                    </w:rPr>
                    <w:t>废气</w:t>
                  </w:r>
                </w:p>
              </w:tc>
              <w:tc>
                <w:tcPr>
                  <w:tcW w:w="506" w:type="pct"/>
                  <w:tcMar>
                    <w:left w:w="28" w:type="dxa"/>
                    <w:right w:w="28" w:type="dxa"/>
                  </w:tcMar>
                  <w:vAlign w:val="center"/>
                </w:tcPr>
                <w:p w14:paraId="7503407E">
                  <w:pPr>
                    <w:spacing w:before="100" w:beforeAutospacing="1" w:after="100" w:afterAutospacing="1"/>
                    <w:jc w:val="center"/>
                    <w:rPr>
                      <w:rFonts w:hint="default" w:eastAsiaTheme="minorEastAsia"/>
                      <w:color w:val="auto"/>
                      <w:szCs w:val="21"/>
                      <w:lang w:val="en-US" w:eastAsia="zh-CN"/>
                    </w:rPr>
                  </w:pPr>
                  <w:r>
                    <w:rPr>
                      <w:rFonts w:hint="eastAsia" w:eastAsiaTheme="minorEastAsia"/>
                      <w:color w:val="auto"/>
                      <w:szCs w:val="21"/>
                      <w:lang w:val="en-US" w:eastAsia="zh-CN"/>
                    </w:rPr>
                    <w:t>G1</w:t>
                  </w:r>
                </w:p>
              </w:tc>
              <w:tc>
                <w:tcPr>
                  <w:tcW w:w="807" w:type="pct"/>
                  <w:tcMar>
                    <w:left w:w="28" w:type="dxa"/>
                    <w:right w:w="28" w:type="dxa"/>
                  </w:tcMar>
                  <w:vAlign w:val="center"/>
                </w:tcPr>
                <w:p w14:paraId="2F5D1450">
                  <w:pPr>
                    <w:spacing w:before="100" w:beforeAutospacing="1" w:after="100" w:afterAutospacing="1"/>
                    <w:jc w:val="center"/>
                    <w:rPr>
                      <w:rFonts w:hint="eastAsia" w:eastAsiaTheme="minorEastAsia"/>
                      <w:color w:val="auto"/>
                      <w:szCs w:val="21"/>
                      <w:lang w:val="en-US" w:eastAsia="zh-CN"/>
                    </w:rPr>
                  </w:pPr>
                  <w:r>
                    <w:rPr>
                      <w:rFonts w:hint="eastAsia" w:eastAsiaTheme="minorEastAsia"/>
                      <w:color w:val="auto"/>
                      <w:szCs w:val="21"/>
                      <w:lang w:val="en-US" w:eastAsia="zh-CN"/>
                    </w:rPr>
                    <w:t>液氯储存废气</w:t>
                  </w:r>
                </w:p>
              </w:tc>
              <w:tc>
                <w:tcPr>
                  <w:tcW w:w="714" w:type="pct"/>
                  <w:tcMar>
                    <w:left w:w="28" w:type="dxa"/>
                    <w:right w:w="28" w:type="dxa"/>
                  </w:tcMar>
                  <w:vAlign w:val="center"/>
                </w:tcPr>
                <w:p w14:paraId="0C90F1F0">
                  <w:pPr>
                    <w:spacing w:before="100" w:beforeAutospacing="1" w:after="100" w:afterAutospacing="1"/>
                    <w:jc w:val="center"/>
                    <w:rPr>
                      <w:rFonts w:hint="eastAsia" w:eastAsiaTheme="minorEastAsia"/>
                      <w:color w:val="auto"/>
                      <w:szCs w:val="21"/>
                      <w:lang w:eastAsia="zh-CN"/>
                    </w:rPr>
                  </w:pPr>
                  <w:r>
                    <w:rPr>
                      <w:rFonts w:hint="eastAsia" w:eastAsiaTheme="minorEastAsia"/>
                      <w:color w:val="auto"/>
                      <w:szCs w:val="21"/>
                      <w:lang w:val="en-US" w:eastAsia="zh-CN"/>
                    </w:rPr>
                    <w:t>液氯储存</w:t>
                  </w:r>
                </w:p>
              </w:tc>
              <w:tc>
                <w:tcPr>
                  <w:tcW w:w="761" w:type="pct"/>
                  <w:tcMar>
                    <w:left w:w="28" w:type="dxa"/>
                    <w:right w:w="28" w:type="dxa"/>
                  </w:tcMar>
                  <w:vAlign w:val="center"/>
                </w:tcPr>
                <w:p w14:paraId="6392D8BF">
                  <w:pPr>
                    <w:spacing w:before="100" w:beforeAutospacing="1" w:after="100" w:afterAutospacing="1"/>
                    <w:jc w:val="center"/>
                    <w:rPr>
                      <w:rFonts w:eastAsiaTheme="minorEastAsia"/>
                      <w:color w:val="auto"/>
                      <w:szCs w:val="21"/>
                    </w:rPr>
                  </w:pPr>
                  <w:r>
                    <w:rPr>
                      <w:rFonts w:hint="eastAsia" w:eastAsiaTheme="minorEastAsia"/>
                      <w:color w:val="auto"/>
                      <w:szCs w:val="21"/>
                      <w:lang w:val="en-US" w:eastAsia="zh-CN"/>
                    </w:rPr>
                    <w:t>有组织</w:t>
                  </w:r>
                </w:p>
              </w:tc>
              <w:tc>
                <w:tcPr>
                  <w:tcW w:w="927" w:type="pct"/>
                  <w:tcMar>
                    <w:left w:w="28" w:type="dxa"/>
                    <w:right w:w="28" w:type="dxa"/>
                  </w:tcMar>
                  <w:vAlign w:val="center"/>
                </w:tcPr>
                <w:p w14:paraId="5AE008A9">
                  <w:pPr>
                    <w:spacing w:before="100" w:beforeAutospacing="1" w:after="100" w:afterAutospacing="1"/>
                    <w:jc w:val="center"/>
                    <w:rPr>
                      <w:rFonts w:hint="eastAsia" w:eastAsiaTheme="minorEastAsia"/>
                      <w:color w:val="auto"/>
                      <w:szCs w:val="21"/>
                      <w:lang w:eastAsia="zh-CN"/>
                    </w:rPr>
                  </w:pPr>
                  <w:r>
                    <w:rPr>
                      <w:rFonts w:hint="eastAsia" w:eastAsiaTheme="minorEastAsia"/>
                      <w:color w:val="auto"/>
                      <w:szCs w:val="21"/>
                      <w:lang w:val="en-US" w:eastAsia="zh-CN"/>
                    </w:rPr>
                    <w:t>氯气</w:t>
                  </w:r>
                </w:p>
              </w:tc>
              <w:tc>
                <w:tcPr>
                  <w:tcW w:w="879" w:type="pct"/>
                  <w:vAlign w:val="center"/>
                </w:tcPr>
                <w:p w14:paraId="687E948E">
                  <w:pPr>
                    <w:spacing w:before="100" w:beforeAutospacing="1" w:after="100" w:afterAutospacing="1"/>
                    <w:jc w:val="center"/>
                    <w:rPr>
                      <w:rFonts w:hint="default" w:eastAsiaTheme="minorEastAsia"/>
                      <w:color w:val="auto"/>
                      <w:szCs w:val="21"/>
                      <w:lang w:val="en-US" w:eastAsia="zh-CN"/>
                    </w:rPr>
                  </w:pPr>
                  <w:r>
                    <w:rPr>
                      <w:rFonts w:hint="eastAsia" w:ascii="Times New Roman" w:hAnsi="Times New Roman" w:cs="Times New Roman"/>
                      <w:color w:val="auto"/>
                      <w:sz w:val="21"/>
                      <w:szCs w:val="21"/>
                      <w:lang w:eastAsia="zh-CN"/>
                    </w:rPr>
                    <w:t>一级水吸收+二级碱吸收</w:t>
                  </w:r>
                </w:p>
              </w:tc>
            </w:tr>
            <w:tr w14:paraId="211437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405" w:type="pct"/>
                  <w:tcMar>
                    <w:left w:w="28" w:type="dxa"/>
                    <w:right w:w="28" w:type="dxa"/>
                  </w:tcMar>
                  <w:vAlign w:val="center"/>
                </w:tcPr>
                <w:p w14:paraId="529AEBCD">
                  <w:pPr>
                    <w:spacing w:before="100" w:beforeAutospacing="1" w:after="100" w:afterAutospacing="1"/>
                    <w:jc w:val="center"/>
                    <w:rPr>
                      <w:rFonts w:eastAsiaTheme="minorEastAsia"/>
                      <w:color w:val="auto"/>
                      <w:szCs w:val="21"/>
                    </w:rPr>
                  </w:pPr>
                  <w:r>
                    <w:rPr>
                      <w:rFonts w:eastAsiaTheme="minorEastAsia"/>
                      <w:color w:val="auto"/>
                      <w:szCs w:val="21"/>
                    </w:rPr>
                    <w:t>废水</w:t>
                  </w:r>
                </w:p>
              </w:tc>
              <w:tc>
                <w:tcPr>
                  <w:tcW w:w="506" w:type="pct"/>
                  <w:tcMar>
                    <w:left w:w="28" w:type="dxa"/>
                    <w:right w:w="28" w:type="dxa"/>
                  </w:tcMar>
                  <w:vAlign w:val="center"/>
                </w:tcPr>
                <w:p w14:paraId="0F5EE8A8">
                  <w:pPr>
                    <w:spacing w:before="100" w:beforeAutospacing="1" w:after="100" w:afterAutospacing="1"/>
                    <w:jc w:val="center"/>
                    <w:rPr>
                      <w:rFonts w:hint="eastAsia" w:eastAsiaTheme="minorEastAsia"/>
                      <w:color w:val="auto"/>
                      <w:szCs w:val="21"/>
                      <w:lang w:eastAsia="zh-CN"/>
                    </w:rPr>
                  </w:pPr>
                  <w:r>
                    <w:rPr>
                      <w:rFonts w:hint="eastAsia"/>
                      <w:color w:val="auto"/>
                      <w:lang w:val="en-US" w:eastAsia="zh-CN"/>
                    </w:rPr>
                    <w:t>W1</w:t>
                  </w:r>
                </w:p>
              </w:tc>
              <w:tc>
                <w:tcPr>
                  <w:tcW w:w="807" w:type="pct"/>
                  <w:vAlign w:val="center"/>
                </w:tcPr>
                <w:p w14:paraId="1F77123A">
                  <w:pPr>
                    <w:spacing w:before="100" w:beforeAutospacing="1" w:after="100" w:afterAutospacing="1"/>
                    <w:jc w:val="center"/>
                    <w:rPr>
                      <w:rFonts w:hint="default" w:eastAsiaTheme="minorEastAsia"/>
                      <w:color w:val="auto"/>
                      <w:szCs w:val="21"/>
                      <w:lang w:val="en-US"/>
                    </w:rPr>
                  </w:pPr>
                  <w:r>
                    <w:rPr>
                      <w:rFonts w:hint="eastAsia" w:eastAsiaTheme="minorEastAsia"/>
                      <w:color w:val="auto"/>
                      <w:szCs w:val="21"/>
                      <w:lang w:val="en-US" w:eastAsia="zh-CN"/>
                    </w:rPr>
                    <w:t>真空泵废水</w:t>
                  </w:r>
                </w:p>
              </w:tc>
              <w:tc>
                <w:tcPr>
                  <w:tcW w:w="714" w:type="pct"/>
                  <w:vAlign w:val="center"/>
                </w:tcPr>
                <w:p w14:paraId="293858C4">
                  <w:pPr>
                    <w:spacing w:before="100" w:beforeAutospacing="1" w:after="100" w:afterAutospacing="1"/>
                    <w:jc w:val="center"/>
                    <w:rPr>
                      <w:rFonts w:hint="default" w:eastAsiaTheme="minorEastAsia"/>
                      <w:color w:val="auto"/>
                      <w:szCs w:val="21"/>
                      <w:lang w:val="en-US" w:eastAsia="zh-CN"/>
                    </w:rPr>
                  </w:pPr>
                  <w:r>
                    <w:rPr>
                      <w:rFonts w:hint="eastAsia" w:eastAsiaTheme="minorEastAsia"/>
                      <w:color w:val="auto"/>
                      <w:szCs w:val="21"/>
                      <w:lang w:val="en-US" w:eastAsia="zh-CN"/>
                    </w:rPr>
                    <w:t>液氯储存</w:t>
                  </w:r>
                </w:p>
              </w:tc>
              <w:tc>
                <w:tcPr>
                  <w:tcW w:w="761" w:type="pct"/>
                  <w:vAlign w:val="center"/>
                </w:tcPr>
                <w:p w14:paraId="63CD92E4">
                  <w:pPr>
                    <w:spacing w:before="100" w:beforeAutospacing="1" w:after="100" w:afterAutospacing="1"/>
                    <w:jc w:val="center"/>
                    <w:rPr>
                      <w:rFonts w:hint="default" w:eastAsiaTheme="minorEastAsia"/>
                      <w:color w:val="auto"/>
                      <w:szCs w:val="21"/>
                      <w:lang w:val="en-US" w:eastAsia="zh-CN"/>
                    </w:rPr>
                  </w:pPr>
                  <w:r>
                    <w:rPr>
                      <w:rFonts w:hint="eastAsia" w:eastAsiaTheme="minorEastAsia"/>
                      <w:color w:val="auto"/>
                      <w:szCs w:val="21"/>
                      <w:lang w:val="en-US" w:eastAsia="zh-CN"/>
                    </w:rPr>
                    <w:t>间歇排放</w:t>
                  </w:r>
                </w:p>
              </w:tc>
              <w:tc>
                <w:tcPr>
                  <w:tcW w:w="927" w:type="pct"/>
                  <w:vAlign w:val="center"/>
                </w:tcPr>
                <w:p w14:paraId="4B11CAEF">
                  <w:pPr>
                    <w:spacing w:before="100" w:beforeAutospacing="1" w:after="100" w:afterAutospacing="1"/>
                    <w:jc w:val="center"/>
                    <w:rPr>
                      <w:rFonts w:hint="eastAsia" w:eastAsiaTheme="minorEastAsia"/>
                      <w:color w:val="auto"/>
                      <w:szCs w:val="21"/>
                      <w:lang w:val="en-US" w:eastAsia="zh-CN"/>
                    </w:rPr>
                  </w:pPr>
                  <w:r>
                    <w:rPr>
                      <w:rFonts w:hint="eastAsia" w:eastAsiaTheme="minorEastAsia"/>
                      <w:color w:val="auto"/>
                      <w:szCs w:val="21"/>
                      <w:lang w:val="en-US" w:eastAsia="zh-CN"/>
                    </w:rPr>
                    <w:t>COD、SS、氯化物</w:t>
                  </w:r>
                </w:p>
              </w:tc>
              <w:tc>
                <w:tcPr>
                  <w:tcW w:w="879" w:type="pct"/>
                  <w:vAlign w:val="center"/>
                </w:tcPr>
                <w:p w14:paraId="0787B72A">
                  <w:pPr>
                    <w:spacing w:before="100" w:beforeAutospacing="1" w:after="100" w:afterAutospacing="1"/>
                    <w:jc w:val="center"/>
                    <w:rPr>
                      <w:rFonts w:hint="eastAsia" w:eastAsiaTheme="minorEastAsia"/>
                      <w:color w:val="auto"/>
                      <w:szCs w:val="21"/>
                      <w:lang w:eastAsia="zh-CN"/>
                    </w:rPr>
                  </w:pPr>
                  <w:r>
                    <w:rPr>
                      <w:rFonts w:hint="eastAsia" w:eastAsiaTheme="minorEastAsia"/>
                      <w:color w:val="auto"/>
                      <w:szCs w:val="21"/>
                      <w:lang w:val="en-US" w:eastAsia="zh-CN"/>
                    </w:rPr>
                    <w:t>厂区污水处理站</w:t>
                  </w:r>
                </w:p>
              </w:tc>
            </w:tr>
            <w:tr w14:paraId="490098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5" w:type="pct"/>
                  <w:tcMar>
                    <w:left w:w="28" w:type="dxa"/>
                    <w:right w:w="28" w:type="dxa"/>
                  </w:tcMar>
                  <w:vAlign w:val="center"/>
                </w:tcPr>
                <w:p w14:paraId="3ECB1D13">
                  <w:pPr>
                    <w:spacing w:before="100" w:beforeAutospacing="1" w:after="100" w:afterAutospacing="1"/>
                    <w:jc w:val="center"/>
                    <w:rPr>
                      <w:rFonts w:eastAsiaTheme="minorEastAsia"/>
                      <w:color w:val="auto"/>
                      <w:szCs w:val="21"/>
                    </w:rPr>
                  </w:pPr>
                  <w:r>
                    <w:rPr>
                      <w:rFonts w:eastAsiaTheme="minorEastAsia"/>
                      <w:color w:val="auto"/>
                      <w:szCs w:val="21"/>
                    </w:rPr>
                    <w:t>固废</w:t>
                  </w:r>
                </w:p>
              </w:tc>
              <w:tc>
                <w:tcPr>
                  <w:tcW w:w="506" w:type="pct"/>
                  <w:tcMar>
                    <w:left w:w="28" w:type="dxa"/>
                    <w:right w:w="28" w:type="dxa"/>
                  </w:tcMar>
                  <w:vAlign w:val="center"/>
                </w:tcPr>
                <w:p w14:paraId="362D922E">
                  <w:pPr>
                    <w:spacing w:before="100" w:beforeAutospacing="1" w:after="100" w:afterAutospacing="1"/>
                    <w:jc w:val="center"/>
                    <w:rPr>
                      <w:rFonts w:hint="eastAsia" w:eastAsiaTheme="minorEastAsia"/>
                      <w:color w:val="auto"/>
                      <w:szCs w:val="21"/>
                      <w:lang w:eastAsia="zh-CN"/>
                    </w:rPr>
                  </w:pPr>
                  <w:r>
                    <w:rPr>
                      <w:rFonts w:hint="eastAsia" w:eastAsiaTheme="minorEastAsia"/>
                      <w:color w:val="auto"/>
                      <w:szCs w:val="21"/>
                      <w:lang w:val="en-US" w:eastAsia="zh-CN"/>
                    </w:rPr>
                    <w:t>/</w:t>
                  </w:r>
                </w:p>
              </w:tc>
              <w:tc>
                <w:tcPr>
                  <w:tcW w:w="807" w:type="pct"/>
                  <w:tcMar>
                    <w:left w:w="28" w:type="dxa"/>
                    <w:right w:w="28" w:type="dxa"/>
                  </w:tcMar>
                  <w:vAlign w:val="center"/>
                </w:tcPr>
                <w:p w14:paraId="5030D396">
                  <w:pPr>
                    <w:tabs>
                      <w:tab w:val="left" w:pos="277"/>
                      <w:tab w:val="left" w:pos="600"/>
                      <w:tab w:val="left" w:pos="780"/>
                      <w:tab w:val="left" w:pos="2517"/>
                    </w:tabs>
                    <w:adjustRightInd w:val="0"/>
                    <w:snapToGrid w:val="0"/>
                    <w:spacing w:before="100" w:beforeAutospacing="1" w:after="100" w:afterAutospacing="1"/>
                    <w:jc w:val="center"/>
                    <w:textAlignment w:val="baseline"/>
                    <w:rPr>
                      <w:rFonts w:hint="eastAsia" w:eastAsiaTheme="minorEastAsia"/>
                      <w:color w:val="auto"/>
                      <w:kern w:val="0"/>
                      <w:szCs w:val="21"/>
                      <w:lang w:eastAsia="zh-CN"/>
                    </w:rPr>
                  </w:pPr>
                  <w:r>
                    <w:rPr>
                      <w:rFonts w:hint="eastAsia" w:eastAsiaTheme="minorEastAsia"/>
                      <w:color w:val="auto"/>
                      <w:kern w:val="0"/>
                      <w:szCs w:val="21"/>
                      <w:lang w:val="en-US" w:eastAsia="zh-CN"/>
                    </w:rPr>
                    <w:t>/</w:t>
                  </w:r>
                </w:p>
              </w:tc>
              <w:tc>
                <w:tcPr>
                  <w:tcW w:w="714" w:type="pct"/>
                  <w:tcMar>
                    <w:left w:w="28" w:type="dxa"/>
                    <w:right w:w="28" w:type="dxa"/>
                  </w:tcMar>
                  <w:vAlign w:val="center"/>
                </w:tcPr>
                <w:p w14:paraId="1EA06ABD">
                  <w:pPr>
                    <w:spacing w:before="100" w:beforeAutospacing="1" w:after="100" w:afterAutospacing="1"/>
                    <w:jc w:val="center"/>
                    <w:rPr>
                      <w:rFonts w:hint="eastAsia" w:eastAsiaTheme="minorEastAsia"/>
                      <w:color w:val="auto"/>
                      <w:szCs w:val="21"/>
                      <w:lang w:eastAsia="zh-CN"/>
                    </w:rPr>
                  </w:pPr>
                  <w:r>
                    <w:rPr>
                      <w:rFonts w:hint="eastAsia" w:eastAsiaTheme="minorEastAsia"/>
                      <w:color w:val="auto"/>
                      <w:szCs w:val="21"/>
                      <w:lang w:val="en-US" w:eastAsia="zh-CN"/>
                    </w:rPr>
                    <w:t>/</w:t>
                  </w:r>
                </w:p>
              </w:tc>
              <w:tc>
                <w:tcPr>
                  <w:tcW w:w="761" w:type="pct"/>
                  <w:tcMar>
                    <w:left w:w="28" w:type="dxa"/>
                    <w:right w:w="28" w:type="dxa"/>
                  </w:tcMar>
                  <w:vAlign w:val="center"/>
                </w:tcPr>
                <w:p w14:paraId="59EBFD88">
                  <w:pPr>
                    <w:spacing w:before="100" w:beforeAutospacing="1" w:after="100" w:afterAutospacing="1"/>
                    <w:jc w:val="center"/>
                    <w:rPr>
                      <w:rFonts w:hint="eastAsia" w:eastAsiaTheme="minorEastAsia"/>
                      <w:color w:val="auto"/>
                      <w:szCs w:val="21"/>
                      <w:lang w:eastAsia="zh-CN"/>
                    </w:rPr>
                  </w:pPr>
                  <w:r>
                    <w:rPr>
                      <w:rFonts w:hint="eastAsia" w:eastAsiaTheme="minorEastAsia"/>
                      <w:color w:val="auto"/>
                      <w:szCs w:val="21"/>
                      <w:lang w:val="en-US" w:eastAsia="zh-CN"/>
                    </w:rPr>
                    <w:t>/</w:t>
                  </w:r>
                </w:p>
              </w:tc>
              <w:tc>
                <w:tcPr>
                  <w:tcW w:w="927" w:type="pct"/>
                  <w:tcMar>
                    <w:left w:w="28" w:type="dxa"/>
                    <w:right w:w="28" w:type="dxa"/>
                  </w:tcMar>
                  <w:vAlign w:val="center"/>
                </w:tcPr>
                <w:p w14:paraId="7211816C">
                  <w:pPr>
                    <w:tabs>
                      <w:tab w:val="left" w:pos="277"/>
                      <w:tab w:val="left" w:pos="600"/>
                      <w:tab w:val="left" w:pos="780"/>
                      <w:tab w:val="left" w:pos="2517"/>
                    </w:tabs>
                    <w:adjustRightInd w:val="0"/>
                    <w:snapToGrid w:val="0"/>
                    <w:spacing w:before="100" w:beforeAutospacing="1" w:after="100" w:afterAutospacing="1"/>
                    <w:jc w:val="center"/>
                    <w:textAlignment w:val="baseline"/>
                    <w:rPr>
                      <w:rFonts w:hint="eastAsia" w:eastAsiaTheme="minorEastAsia"/>
                      <w:color w:val="auto"/>
                      <w:kern w:val="0"/>
                      <w:szCs w:val="21"/>
                      <w:lang w:eastAsia="zh-CN"/>
                    </w:rPr>
                  </w:pPr>
                  <w:r>
                    <w:rPr>
                      <w:rFonts w:hint="eastAsia" w:eastAsiaTheme="minorEastAsia"/>
                      <w:color w:val="auto"/>
                      <w:kern w:val="0"/>
                      <w:szCs w:val="21"/>
                      <w:lang w:val="en-US" w:eastAsia="zh-CN"/>
                    </w:rPr>
                    <w:t>/</w:t>
                  </w:r>
                </w:p>
              </w:tc>
              <w:tc>
                <w:tcPr>
                  <w:tcW w:w="879" w:type="pct"/>
                  <w:vAlign w:val="center"/>
                </w:tcPr>
                <w:p w14:paraId="20286576">
                  <w:pPr>
                    <w:tabs>
                      <w:tab w:val="left" w:pos="277"/>
                      <w:tab w:val="left" w:pos="600"/>
                      <w:tab w:val="left" w:pos="780"/>
                      <w:tab w:val="left" w:pos="2517"/>
                    </w:tabs>
                    <w:adjustRightInd w:val="0"/>
                    <w:snapToGrid w:val="0"/>
                    <w:spacing w:before="100" w:beforeAutospacing="1" w:after="100" w:afterAutospacing="1"/>
                    <w:jc w:val="center"/>
                    <w:textAlignment w:val="baseline"/>
                    <w:rPr>
                      <w:rFonts w:hint="eastAsia" w:eastAsiaTheme="minorEastAsia"/>
                      <w:color w:val="auto"/>
                      <w:kern w:val="0"/>
                      <w:szCs w:val="21"/>
                      <w:lang w:eastAsia="zh-CN"/>
                    </w:rPr>
                  </w:pPr>
                  <w:r>
                    <w:rPr>
                      <w:rFonts w:hint="eastAsia" w:eastAsiaTheme="minorEastAsia"/>
                      <w:color w:val="auto"/>
                      <w:kern w:val="0"/>
                      <w:szCs w:val="21"/>
                      <w:lang w:val="en-US" w:eastAsia="zh-CN"/>
                    </w:rPr>
                    <w:t>/</w:t>
                  </w:r>
                </w:p>
              </w:tc>
            </w:tr>
            <w:tr w14:paraId="712109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pct"/>
                  <w:gridSpan w:val="2"/>
                  <w:tcMar>
                    <w:left w:w="28" w:type="dxa"/>
                    <w:right w:w="28" w:type="dxa"/>
                  </w:tcMar>
                  <w:vAlign w:val="center"/>
                </w:tcPr>
                <w:p w14:paraId="0374F88C">
                  <w:pPr>
                    <w:spacing w:before="100" w:beforeAutospacing="1" w:after="100" w:afterAutospacing="1"/>
                    <w:jc w:val="center"/>
                    <w:rPr>
                      <w:rFonts w:eastAsiaTheme="minorEastAsia"/>
                      <w:color w:val="auto"/>
                      <w:szCs w:val="21"/>
                    </w:rPr>
                  </w:pPr>
                  <w:r>
                    <w:rPr>
                      <w:rFonts w:eastAsiaTheme="minorEastAsia"/>
                      <w:color w:val="auto"/>
                      <w:szCs w:val="21"/>
                    </w:rPr>
                    <w:t>噪声</w:t>
                  </w:r>
                </w:p>
              </w:tc>
              <w:tc>
                <w:tcPr>
                  <w:tcW w:w="4088" w:type="pct"/>
                  <w:gridSpan w:val="5"/>
                  <w:tcMar>
                    <w:left w:w="28" w:type="dxa"/>
                    <w:right w:w="28" w:type="dxa"/>
                  </w:tcMar>
                  <w:vAlign w:val="center"/>
                </w:tcPr>
                <w:p w14:paraId="72943FAF">
                  <w:pPr>
                    <w:spacing w:before="100" w:beforeAutospacing="1" w:after="100" w:afterAutospacing="1"/>
                    <w:jc w:val="center"/>
                    <w:rPr>
                      <w:rFonts w:eastAsiaTheme="minorEastAsia"/>
                      <w:color w:val="auto"/>
                      <w:szCs w:val="21"/>
                    </w:rPr>
                  </w:pPr>
                  <w:r>
                    <w:rPr>
                      <w:rFonts w:eastAsiaTheme="minorEastAsia"/>
                      <w:color w:val="auto"/>
                      <w:szCs w:val="21"/>
                    </w:rPr>
                    <w:t>主要噪声源为</w:t>
                  </w:r>
                  <w:r>
                    <w:rPr>
                      <w:rFonts w:hint="eastAsia" w:cs="Times New Roman"/>
                      <w:color w:val="auto"/>
                      <w:sz w:val="21"/>
                      <w:szCs w:val="21"/>
                    </w:rPr>
                    <w:t>黄磷泵</w:t>
                  </w:r>
                  <w:r>
                    <w:rPr>
                      <w:rFonts w:eastAsiaTheme="minorEastAsia"/>
                      <w:color w:val="auto"/>
                      <w:szCs w:val="21"/>
                    </w:rPr>
                    <w:t>等</w:t>
                  </w:r>
                </w:p>
              </w:tc>
            </w:tr>
          </w:tbl>
          <w:p w14:paraId="6284FCF5">
            <w:pPr>
              <w:rPr>
                <w:color w:val="auto"/>
              </w:rPr>
            </w:pPr>
          </w:p>
          <w:p w14:paraId="37C3D333">
            <w:pPr>
              <w:pStyle w:val="100"/>
              <w:rPr>
                <w:color w:val="auto"/>
              </w:rPr>
            </w:pPr>
          </w:p>
        </w:tc>
      </w:tr>
      <w:tr w14:paraId="695109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354" w:type="dxa"/>
            <w:vAlign w:val="center"/>
          </w:tcPr>
          <w:p w14:paraId="3FF67076">
            <w:pPr>
              <w:pStyle w:val="81"/>
              <w:adjustRightInd w:val="0"/>
              <w:snapToGrid w:val="0"/>
              <w:spacing w:before="0" w:beforeAutospacing="0" w:after="0" w:afterAutospacing="0"/>
              <w:jc w:val="center"/>
              <w:rPr>
                <w:rFonts w:ascii="Times New Roman" w:hAnsi="Times New Roman" w:cs="Times New Roman"/>
                <w:color w:val="auto"/>
                <w:szCs w:val="24"/>
              </w:rPr>
            </w:pPr>
            <w:r>
              <w:rPr>
                <w:rFonts w:ascii="Times New Roman" w:hAnsi="Times New Roman" w:cs="Times New Roman"/>
                <w:bCs/>
                <w:color w:val="auto"/>
                <w:szCs w:val="24"/>
              </w:rPr>
              <w:t>与项目有关的原有环境污染问题</w:t>
            </w:r>
          </w:p>
        </w:tc>
        <w:tc>
          <w:tcPr>
            <w:tcW w:w="8630" w:type="dxa"/>
          </w:tcPr>
          <w:p w14:paraId="32238176">
            <w:pPr>
              <w:adjustRightInd w:val="0"/>
              <w:snapToGrid w:val="0"/>
              <w:spacing w:beforeLines="50" w:line="360" w:lineRule="auto"/>
              <w:rPr>
                <w:rFonts w:ascii="Times New Roman" w:hAnsi="Times New Roman" w:cs="Times New Roman"/>
                <w:b/>
                <w:bCs/>
                <w:color w:val="auto"/>
                <w:sz w:val="24"/>
              </w:rPr>
            </w:pPr>
            <w:r>
              <w:rPr>
                <w:rFonts w:hint="eastAsia" w:cs="Times New Roman"/>
                <w:b/>
                <w:bCs/>
                <w:color w:val="auto"/>
                <w:sz w:val="24"/>
                <w:lang w:val="en-US" w:eastAsia="zh-CN"/>
              </w:rPr>
              <w:t>7</w:t>
            </w:r>
            <w:r>
              <w:rPr>
                <w:rFonts w:ascii="Times New Roman" w:hAnsi="Times New Roman" w:cs="Times New Roman"/>
                <w:b/>
                <w:bCs/>
                <w:color w:val="auto"/>
                <w:sz w:val="24"/>
              </w:rPr>
              <w:t>.与项目有关的原有环境污染问题</w:t>
            </w:r>
          </w:p>
          <w:p w14:paraId="5EC0D4B8">
            <w:pPr>
              <w:adjustRightInd w:val="0"/>
              <w:snapToGrid w:val="0"/>
              <w:spacing w:line="360" w:lineRule="auto"/>
              <w:ind w:firstLine="482" w:firstLineChars="200"/>
              <w:rPr>
                <w:rFonts w:ascii="Times New Roman" w:hAnsi="Times New Roman" w:cs="Times New Roman"/>
                <w:b/>
                <w:color w:val="auto"/>
                <w:sz w:val="24"/>
              </w:rPr>
            </w:pPr>
            <w:r>
              <w:rPr>
                <w:rFonts w:ascii="Times New Roman" w:hAnsi="Times New Roman" w:cs="Times New Roman"/>
                <w:b/>
                <w:color w:val="auto"/>
                <w:sz w:val="24"/>
              </w:rPr>
              <w:t>（1）现有项目环保手续履行情况</w:t>
            </w:r>
          </w:p>
          <w:p w14:paraId="1411157C">
            <w:pPr>
              <w:ind w:firstLine="482" w:firstLineChars="200"/>
              <w:jc w:val="center"/>
              <w:rPr>
                <w:rFonts w:ascii="Times New Roman" w:hAnsi="Times New Roman" w:cs="Times New Roman"/>
                <w:b/>
                <w:bCs/>
                <w:color w:val="auto"/>
                <w:sz w:val="24"/>
              </w:rPr>
            </w:pPr>
            <w:r>
              <w:rPr>
                <w:rFonts w:ascii="Times New Roman" w:hAnsi="Times New Roman" w:cs="Times New Roman"/>
                <w:b/>
                <w:bCs/>
                <w:color w:val="auto"/>
                <w:sz w:val="24"/>
              </w:rPr>
              <w:t>表2-</w:t>
            </w:r>
            <w:r>
              <w:rPr>
                <w:rFonts w:hint="eastAsia" w:cs="Times New Roman"/>
                <w:b/>
                <w:bCs/>
                <w:color w:val="auto"/>
                <w:sz w:val="24"/>
                <w:lang w:val="en-US" w:eastAsia="zh-CN"/>
              </w:rPr>
              <w:t>10</w:t>
            </w:r>
            <w:r>
              <w:rPr>
                <w:rFonts w:ascii="Times New Roman" w:hAnsi="Times New Roman" w:cs="Times New Roman"/>
                <w:b/>
                <w:bCs/>
                <w:color w:val="auto"/>
                <w:sz w:val="24"/>
              </w:rPr>
              <w:t>现有项目环保手续回顾一览表</w:t>
            </w:r>
          </w:p>
          <w:tbl>
            <w:tblPr>
              <w:tblStyle w:val="88"/>
              <w:tblW w:w="8505"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35"/>
              <w:gridCol w:w="1236"/>
              <w:gridCol w:w="1304"/>
              <w:gridCol w:w="1085"/>
              <w:gridCol w:w="1188"/>
              <w:gridCol w:w="1174"/>
              <w:gridCol w:w="2083"/>
            </w:tblGrid>
            <w:tr w14:paraId="5557F2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35" w:type="dxa"/>
                  <w:vMerge w:val="restart"/>
                  <w:vAlign w:val="center"/>
                </w:tcPr>
                <w:p w14:paraId="2AC6A344">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序号</w:t>
                  </w:r>
                </w:p>
              </w:tc>
              <w:tc>
                <w:tcPr>
                  <w:tcW w:w="1236" w:type="dxa"/>
                  <w:vMerge w:val="restart"/>
                  <w:vAlign w:val="center"/>
                </w:tcPr>
                <w:p w14:paraId="2428F4BC">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项目名称</w:t>
                  </w:r>
                </w:p>
              </w:tc>
              <w:tc>
                <w:tcPr>
                  <w:tcW w:w="2389" w:type="dxa"/>
                  <w:gridSpan w:val="2"/>
                  <w:vAlign w:val="center"/>
                </w:tcPr>
                <w:p w14:paraId="230DADF8">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建设内容</w:t>
                  </w:r>
                </w:p>
              </w:tc>
              <w:tc>
                <w:tcPr>
                  <w:tcW w:w="4445" w:type="dxa"/>
                  <w:gridSpan w:val="3"/>
                  <w:vAlign w:val="center"/>
                </w:tcPr>
                <w:p w14:paraId="292F264A">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环保手续履行情况</w:t>
                  </w:r>
                </w:p>
              </w:tc>
            </w:tr>
            <w:tr w14:paraId="475F31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435" w:type="dxa"/>
                  <w:vMerge w:val="continue"/>
                  <w:vAlign w:val="center"/>
                </w:tcPr>
                <w:p w14:paraId="1C5A1C53">
                  <w:pPr>
                    <w:adjustRightInd w:val="0"/>
                    <w:snapToGrid w:val="0"/>
                    <w:jc w:val="center"/>
                    <w:rPr>
                      <w:rFonts w:ascii="Times New Roman" w:hAnsi="Times New Roman" w:cs="Times New Roman"/>
                      <w:b/>
                      <w:bCs/>
                      <w:color w:val="auto"/>
                      <w:szCs w:val="21"/>
                    </w:rPr>
                  </w:pPr>
                </w:p>
              </w:tc>
              <w:tc>
                <w:tcPr>
                  <w:tcW w:w="1236" w:type="dxa"/>
                  <w:vMerge w:val="continue"/>
                  <w:vAlign w:val="center"/>
                </w:tcPr>
                <w:p w14:paraId="4A7EA840">
                  <w:pPr>
                    <w:adjustRightInd w:val="0"/>
                    <w:snapToGrid w:val="0"/>
                    <w:jc w:val="center"/>
                    <w:rPr>
                      <w:rFonts w:ascii="Times New Roman" w:hAnsi="Times New Roman" w:cs="Times New Roman"/>
                      <w:b/>
                      <w:bCs/>
                      <w:color w:val="auto"/>
                      <w:szCs w:val="21"/>
                    </w:rPr>
                  </w:pPr>
                </w:p>
              </w:tc>
              <w:tc>
                <w:tcPr>
                  <w:tcW w:w="1304" w:type="dxa"/>
                  <w:vAlign w:val="center"/>
                </w:tcPr>
                <w:p w14:paraId="018F96B5">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原环评批复量</w:t>
                  </w:r>
                </w:p>
              </w:tc>
              <w:tc>
                <w:tcPr>
                  <w:tcW w:w="1085" w:type="dxa"/>
                  <w:vAlign w:val="center"/>
                </w:tcPr>
                <w:p w14:paraId="092DF892">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实际规模</w:t>
                  </w:r>
                </w:p>
              </w:tc>
              <w:tc>
                <w:tcPr>
                  <w:tcW w:w="1188" w:type="dxa"/>
                  <w:vAlign w:val="center"/>
                </w:tcPr>
                <w:p w14:paraId="0BEAD1EC">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环评批复时间</w:t>
                  </w:r>
                </w:p>
              </w:tc>
              <w:tc>
                <w:tcPr>
                  <w:tcW w:w="1174" w:type="dxa"/>
                  <w:vAlign w:val="center"/>
                </w:tcPr>
                <w:p w14:paraId="24BEC42F">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通过环保“三同时”验收时间</w:t>
                  </w:r>
                </w:p>
              </w:tc>
              <w:tc>
                <w:tcPr>
                  <w:tcW w:w="2083" w:type="dxa"/>
                  <w:vAlign w:val="center"/>
                </w:tcPr>
                <w:p w14:paraId="57B5DE56">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排污许可证</w:t>
                  </w:r>
                </w:p>
              </w:tc>
            </w:tr>
            <w:tr w14:paraId="545802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22" w:hRule="atLeast"/>
              </w:trPr>
              <w:tc>
                <w:tcPr>
                  <w:tcW w:w="435" w:type="dxa"/>
                  <w:vAlign w:val="center"/>
                </w:tcPr>
                <w:p w14:paraId="219A5E24">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w:t>
                  </w:r>
                </w:p>
              </w:tc>
              <w:tc>
                <w:tcPr>
                  <w:tcW w:w="1236" w:type="dxa"/>
                  <w:vAlign w:val="center"/>
                </w:tcPr>
                <w:p w14:paraId="546D0A3B">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年产38000吨三氯氧磷系列产品搬迁改造项目</w:t>
                  </w:r>
                </w:p>
              </w:tc>
              <w:tc>
                <w:tcPr>
                  <w:tcW w:w="1304" w:type="dxa"/>
                  <w:vAlign w:val="center"/>
                </w:tcPr>
                <w:p w14:paraId="62F50222">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38000吨三氯氧磷系列产品</w:t>
                  </w:r>
                </w:p>
              </w:tc>
              <w:tc>
                <w:tcPr>
                  <w:tcW w:w="1085" w:type="dxa"/>
                  <w:vAlign w:val="center"/>
                </w:tcPr>
                <w:p w14:paraId="0D196599">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38000吨三氯氧磷系列产品</w:t>
                  </w:r>
                </w:p>
              </w:tc>
              <w:tc>
                <w:tcPr>
                  <w:tcW w:w="1188" w:type="dxa"/>
                  <w:vAlign w:val="center"/>
                </w:tcPr>
                <w:p w14:paraId="2ADD167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w:t>
                  </w:r>
                  <w:r>
                    <w:rPr>
                      <w:rFonts w:hint="eastAsia" w:cs="Times New Roman"/>
                      <w:color w:val="auto"/>
                      <w:szCs w:val="21"/>
                      <w:lang w:val="en-US" w:eastAsia="zh-CN"/>
                    </w:rPr>
                    <w:t>09</w:t>
                  </w:r>
                  <w:r>
                    <w:rPr>
                      <w:rFonts w:ascii="Times New Roman" w:hAnsi="Times New Roman" w:cs="Times New Roman"/>
                      <w:color w:val="auto"/>
                      <w:szCs w:val="21"/>
                    </w:rPr>
                    <w:t>年</w:t>
                  </w:r>
                  <w:r>
                    <w:rPr>
                      <w:rFonts w:hint="eastAsia" w:cs="Times New Roman"/>
                      <w:color w:val="auto"/>
                      <w:szCs w:val="21"/>
                      <w:lang w:val="en-US" w:eastAsia="zh-CN"/>
                    </w:rPr>
                    <w:t>9</w:t>
                  </w:r>
                  <w:r>
                    <w:rPr>
                      <w:rFonts w:ascii="Times New Roman" w:hAnsi="Times New Roman" w:cs="Times New Roman"/>
                      <w:color w:val="auto"/>
                      <w:szCs w:val="21"/>
                    </w:rPr>
                    <w:t>月</w:t>
                  </w:r>
                  <w:r>
                    <w:rPr>
                      <w:rFonts w:hint="eastAsia" w:ascii="Times New Roman" w:hAnsi="Times New Roman" w:cs="Times New Roman"/>
                      <w:color w:val="auto"/>
                      <w:szCs w:val="21"/>
                    </w:rPr>
                    <w:t>淮环发〔2009〕22号</w:t>
                  </w:r>
                </w:p>
              </w:tc>
              <w:tc>
                <w:tcPr>
                  <w:tcW w:w="1174" w:type="dxa"/>
                  <w:vAlign w:val="center"/>
                </w:tcPr>
                <w:p w14:paraId="56193370">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w:t>
                  </w:r>
                  <w:r>
                    <w:rPr>
                      <w:rFonts w:hint="eastAsia" w:cs="Times New Roman"/>
                      <w:color w:val="auto"/>
                      <w:szCs w:val="21"/>
                      <w:lang w:val="en-US" w:eastAsia="zh-CN"/>
                    </w:rPr>
                    <w:t>13</w:t>
                  </w:r>
                  <w:r>
                    <w:rPr>
                      <w:rFonts w:ascii="Times New Roman" w:hAnsi="Times New Roman" w:cs="Times New Roman"/>
                      <w:color w:val="auto"/>
                      <w:szCs w:val="21"/>
                    </w:rPr>
                    <w:t>年</w:t>
                  </w:r>
                  <w:r>
                    <w:rPr>
                      <w:rFonts w:hint="eastAsia" w:cs="Times New Roman"/>
                      <w:color w:val="auto"/>
                      <w:szCs w:val="21"/>
                      <w:lang w:val="en-US" w:eastAsia="zh-CN"/>
                    </w:rPr>
                    <w:t>2</w:t>
                  </w:r>
                  <w:r>
                    <w:rPr>
                      <w:rFonts w:ascii="Times New Roman" w:hAnsi="Times New Roman" w:cs="Times New Roman"/>
                      <w:color w:val="auto"/>
                      <w:szCs w:val="21"/>
                    </w:rPr>
                    <w:t>月通过环保三同时验收</w:t>
                  </w:r>
                </w:p>
              </w:tc>
              <w:tc>
                <w:tcPr>
                  <w:tcW w:w="2083" w:type="dxa"/>
                  <w:vMerge w:val="restart"/>
                  <w:vAlign w:val="center"/>
                </w:tcPr>
                <w:p w14:paraId="32FA64BF">
                  <w:pPr>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rPr>
                    <w:t>2023年12月20日重新申领了排污许可证</w:t>
                  </w:r>
                </w:p>
                <w:p w14:paraId="1D3CCB54">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排污许可编号</w:t>
                  </w:r>
                  <w:r>
                    <w:rPr>
                      <w:rFonts w:hint="eastAsia" w:cs="Times New Roman"/>
                      <w:color w:val="auto"/>
                      <w:szCs w:val="21"/>
                      <w:lang w:eastAsia="zh-CN"/>
                    </w:rPr>
                    <w:t>：</w:t>
                  </w:r>
                  <w:r>
                    <w:rPr>
                      <w:rFonts w:hint="eastAsia" w:ascii="Times New Roman" w:hAnsi="Times New Roman" w:cs="Times New Roman"/>
                      <w:color w:val="auto"/>
                      <w:szCs w:val="21"/>
                    </w:rPr>
                    <w:t>913208267855626437001V</w:t>
                  </w:r>
                </w:p>
              </w:tc>
            </w:tr>
            <w:tr w14:paraId="2A1992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22" w:hRule="atLeast"/>
              </w:trPr>
              <w:tc>
                <w:tcPr>
                  <w:tcW w:w="435" w:type="dxa"/>
                  <w:vAlign w:val="center"/>
                </w:tcPr>
                <w:p w14:paraId="7BC2008F">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w:t>
                  </w:r>
                </w:p>
              </w:tc>
              <w:tc>
                <w:tcPr>
                  <w:tcW w:w="1236" w:type="dxa"/>
                  <w:vAlign w:val="center"/>
                </w:tcPr>
                <w:p w14:paraId="335FFD6A">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年产38000吨三氯氧磷系列产品搬迁改造项目</w:t>
                  </w:r>
                  <w:r>
                    <w:rPr>
                      <w:rFonts w:ascii="Times New Roman" w:hAnsi="Times New Roman" w:cs="Times New Roman"/>
                      <w:color w:val="auto"/>
                      <w:szCs w:val="21"/>
                    </w:rPr>
                    <w:t>变动分析</w:t>
                  </w:r>
                </w:p>
              </w:tc>
              <w:tc>
                <w:tcPr>
                  <w:tcW w:w="2389" w:type="dxa"/>
                  <w:gridSpan w:val="2"/>
                  <w:vAlign w:val="center"/>
                </w:tcPr>
                <w:p w14:paraId="4E099AA2">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取消了部分产品（3000t/a异丙基化磷酸三苯酯（IPPP）、3000t/a磷酸三丁氧基乙基酯（TBEP））、三氯化磷/三氯氧磷装置生产取消了精馏及蒸馏、取消了加热油炉采用集中供热</w:t>
                  </w:r>
                </w:p>
              </w:tc>
              <w:tc>
                <w:tcPr>
                  <w:tcW w:w="1188" w:type="dxa"/>
                  <w:vAlign w:val="center"/>
                </w:tcPr>
                <w:p w14:paraId="3E7BF1A6">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w:t>
                  </w:r>
                  <w:r>
                    <w:rPr>
                      <w:rFonts w:hint="eastAsia" w:cs="Times New Roman"/>
                      <w:color w:val="auto"/>
                      <w:szCs w:val="21"/>
                      <w:lang w:val="en-US" w:eastAsia="zh-CN"/>
                    </w:rPr>
                    <w:t>22</w:t>
                  </w:r>
                  <w:r>
                    <w:rPr>
                      <w:rFonts w:ascii="Times New Roman" w:hAnsi="Times New Roman" w:cs="Times New Roman"/>
                      <w:color w:val="auto"/>
                      <w:szCs w:val="21"/>
                    </w:rPr>
                    <w:t>年</w:t>
                  </w:r>
                  <w:r>
                    <w:rPr>
                      <w:rFonts w:hint="eastAsia" w:cs="Times New Roman"/>
                      <w:color w:val="auto"/>
                      <w:szCs w:val="21"/>
                      <w:lang w:val="en-US" w:eastAsia="zh-CN"/>
                    </w:rPr>
                    <w:t>11</w:t>
                  </w:r>
                  <w:r>
                    <w:rPr>
                      <w:rFonts w:ascii="Times New Roman" w:hAnsi="Times New Roman" w:cs="Times New Roman"/>
                      <w:color w:val="auto"/>
                      <w:szCs w:val="21"/>
                    </w:rPr>
                    <w:t>月编制完成</w:t>
                  </w:r>
                </w:p>
              </w:tc>
              <w:tc>
                <w:tcPr>
                  <w:tcW w:w="1174" w:type="dxa"/>
                  <w:vAlign w:val="center"/>
                </w:tcPr>
                <w:p w14:paraId="4CC0AAC0">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2083" w:type="dxa"/>
                  <w:vMerge w:val="continue"/>
                  <w:vAlign w:val="center"/>
                </w:tcPr>
                <w:p w14:paraId="12038751">
                  <w:pPr>
                    <w:adjustRightInd w:val="0"/>
                    <w:snapToGrid w:val="0"/>
                    <w:jc w:val="center"/>
                    <w:rPr>
                      <w:rFonts w:ascii="Times New Roman" w:hAnsi="Times New Roman" w:cs="Times New Roman"/>
                      <w:color w:val="auto"/>
                      <w:szCs w:val="21"/>
                    </w:rPr>
                  </w:pPr>
                </w:p>
              </w:tc>
            </w:tr>
            <w:tr w14:paraId="2F110C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22" w:hRule="atLeast"/>
              </w:trPr>
              <w:tc>
                <w:tcPr>
                  <w:tcW w:w="435" w:type="dxa"/>
                  <w:vAlign w:val="center"/>
                </w:tcPr>
                <w:p w14:paraId="184A6801">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3</w:t>
                  </w:r>
                </w:p>
              </w:tc>
              <w:tc>
                <w:tcPr>
                  <w:tcW w:w="1236" w:type="dxa"/>
                  <w:vAlign w:val="center"/>
                </w:tcPr>
                <w:p w14:paraId="65092255">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年产14.5万吨三氯氧磷（其中电子级0.5万吨）、11万吨电子级五氯化磷技改项目</w:t>
                  </w:r>
                </w:p>
              </w:tc>
              <w:tc>
                <w:tcPr>
                  <w:tcW w:w="2389" w:type="dxa"/>
                  <w:gridSpan w:val="2"/>
                  <w:vAlign w:val="center"/>
                </w:tcPr>
                <w:p w14:paraId="5D45EC07">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年产16万吨三氯氧磷（其中电子级0.5万吨）、11万吨电子级五氯化磷、三氯化磷1.4万吨（其中380吨外售，其余自用）</w:t>
                  </w:r>
                </w:p>
              </w:tc>
              <w:tc>
                <w:tcPr>
                  <w:tcW w:w="1188" w:type="dxa"/>
                  <w:vAlign w:val="center"/>
                </w:tcPr>
                <w:p w14:paraId="2515F483">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202</w:t>
                  </w:r>
                  <w:r>
                    <w:rPr>
                      <w:rFonts w:hint="eastAsia" w:cs="Times New Roman"/>
                      <w:color w:val="auto"/>
                      <w:szCs w:val="21"/>
                      <w:lang w:val="en-US" w:eastAsia="zh-CN"/>
                    </w:rPr>
                    <w:t>3</w:t>
                  </w:r>
                  <w:r>
                    <w:rPr>
                      <w:rFonts w:ascii="Times New Roman" w:hAnsi="Times New Roman" w:cs="Times New Roman"/>
                      <w:color w:val="auto"/>
                      <w:szCs w:val="21"/>
                    </w:rPr>
                    <w:t>年</w:t>
                  </w:r>
                  <w:r>
                    <w:rPr>
                      <w:rFonts w:hint="eastAsia" w:cs="Times New Roman"/>
                      <w:color w:val="auto"/>
                      <w:szCs w:val="21"/>
                      <w:lang w:val="en-US" w:eastAsia="zh-CN"/>
                    </w:rPr>
                    <w:t>9</w:t>
                  </w:r>
                  <w:r>
                    <w:rPr>
                      <w:rFonts w:ascii="Times New Roman" w:hAnsi="Times New Roman" w:cs="Times New Roman"/>
                      <w:color w:val="auto"/>
                      <w:szCs w:val="21"/>
                    </w:rPr>
                    <w:t>月</w:t>
                  </w:r>
                  <w:r>
                    <w:rPr>
                      <w:rFonts w:hint="eastAsia" w:ascii="Times New Roman" w:hAnsi="Times New Roman" w:cs="Times New Roman"/>
                      <w:color w:val="auto"/>
                      <w:szCs w:val="21"/>
                    </w:rPr>
                    <w:t>淮环发〔2023〕125号</w:t>
                  </w:r>
                </w:p>
              </w:tc>
              <w:tc>
                <w:tcPr>
                  <w:tcW w:w="1174" w:type="dxa"/>
                  <w:vAlign w:val="center"/>
                </w:tcPr>
                <w:p w14:paraId="1C00E5F2">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2025年5月通过环保“三同时”验收</w:t>
                  </w:r>
                </w:p>
              </w:tc>
              <w:tc>
                <w:tcPr>
                  <w:tcW w:w="2083" w:type="dxa"/>
                  <w:vMerge w:val="continue"/>
                  <w:vAlign w:val="center"/>
                </w:tcPr>
                <w:p w14:paraId="00C38DF7">
                  <w:pPr>
                    <w:adjustRightInd w:val="0"/>
                    <w:snapToGrid w:val="0"/>
                    <w:jc w:val="center"/>
                    <w:rPr>
                      <w:rFonts w:ascii="Times New Roman" w:hAnsi="Times New Roman" w:cs="Times New Roman"/>
                      <w:color w:val="auto"/>
                      <w:szCs w:val="21"/>
                    </w:rPr>
                  </w:pPr>
                </w:p>
              </w:tc>
            </w:tr>
            <w:tr w14:paraId="12FB68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22" w:hRule="atLeast"/>
              </w:trPr>
              <w:tc>
                <w:tcPr>
                  <w:tcW w:w="435" w:type="dxa"/>
                  <w:vAlign w:val="center"/>
                </w:tcPr>
                <w:p w14:paraId="5808F76A">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w:t>
                  </w:r>
                </w:p>
              </w:tc>
              <w:tc>
                <w:tcPr>
                  <w:tcW w:w="1236" w:type="dxa"/>
                  <w:vAlign w:val="center"/>
                </w:tcPr>
                <w:p w14:paraId="67356753">
                  <w:pPr>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废气处理设施建设项目</w:t>
                  </w:r>
                </w:p>
              </w:tc>
              <w:tc>
                <w:tcPr>
                  <w:tcW w:w="2389" w:type="dxa"/>
                  <w:gridSpan w:val="2"/>
                  <w:vAlign w:val="center"/>
                </w:tcPr>
                <w:p w14:paraId="3BDDED8F">
                  <w:pPr>
                    <w:adjustRightInd w:val="0"/>
                    <w:snapToGrid w:val="0"/>
                    <w:jc w:val="center"/>
                    <w:rPr>
                      <w:rFonts w:hint="eastAsia" w:ascii="Times New Roman" w:hAnsi="Times New Roman" w:cs="Times New Roman"/>
                      <w:color w:val="auto"/>
                      <w:szCs w:val="21"/>
                    </w:rPr>
                  </w:pPr>
                  <w:r>
                    <w:rPr>
                      <w:rFonts w:hint="eastAsia" w:ascii="Times New Roman" w:hAnsi="Times New Roman" w:cs="Times New Roman"/>
                      <w:color w:val="auto"/>
                      <w:szCs w:val="21"/>
                    </w:rPr>
                    <w:t>实验室废气采用通风橱收集+一级活性炭吸附+5m排气筒排放</w:t>
                  </w:r>
                </w:p>
              </w:tc>
              <w:tc>
                <w:tcPr>
                  <w:tcW w:w="2362" w:type="dxa"/>
                  <w:gridSpan w:val="2"/>
                  <w:vAlign w:val="center"/>
                </w:tcPr>
                <w:p w14:paraId="3D2CB463">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环评登记编号：202532082600000069</w:t>
                  </w:r>
                </w:p>
              </w:tc>
              <w:tc>
                <w:tcPr>
                  <w:tcW w:w="2083" w:type="dxa"/>
                  <w:vMerge w:val="continue"/>
                  <w:vAlign w:val="center"/>
                </w:tcPr>
                <w:p w14:paraId="2125EB17">
                  <w:pPr>
                    <w:adjustRightInd w:val="0"/>
                    <w:snapToGrid w:val="0"/>
                    <w:jc w:val="center"/>
                    <w:rPr>
                      <w:rFonts w:ascii="Times New Roman" w:hAnsi="Times New Roman" w:cs="Times New Roman"/>
                      <w:color w:val="auto"/>
                      <w:szCs w:val="21"/>
                    </w:rPr>
                  </w:pPr>
                </w:p>
              </w:tc>
            </w:tr>
          </w:tbl>
          <w:p w14:paraId="575E9E96">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2" w:firstLineChars="200"/>
              <w:textAlignment w:val="auto"/>
              <w:rPr>
                <w:rFonts w:hint="eastAsia" w:cs="Times New Roman"/>
                <w:b/>
                <w:color w:val="auto"/>
                <w:sz w:val="24"/>
                <w:lang w:eastAsia="zh-CN"/>
              </w:rPr>
            </w:pPr>
            <w:r>
              <w:rPr>
                <w:rFonts w:hint="eastAsia" w:ascii="Times New Roman" w:hAnsi="Times New Roman" w:eastAsia="宋体" w:cs="Times New Roman"/>
                <w:b/>
                <w:color w:val="auto"/>
                <w:kern w:val="2"/>
                <w:sz w:val="24"/>
                <w:szCs w:val="24"/>
                <w:lang w:val="en-US" w:eastAsia="zh-CN" w:bidi="ar-SA"/>
              </w:rPr>
              <w:t>（2）</w:t>
            </w:r>
            <w:r>
              <w:rPr>
                <w:rFonts w:hint="eastAsia" w:cs="Times New Roman"/>
                <w:b/>
                <w:color w:val="auto"/>
                <w:sz w:val="24"/>
                <w:lang w:eastAsia="zh-CN"/>
              </w:rPr>
              <w:t>现有项目液氯、黄磷暂存情况</w:t>
            </w:r>
          </w:p>
          <w:p w14:paraId="4D1399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rPr>
            </w:pPr>
            <w:r>
              <w:rPr>
                <w:rFonts w:ascii="Times New Roman" w:hAnsi="Times New Roman" w:cs="Times New Roman"/>
                <w:color w:val="auto"/>
                <w:sz w:val="24"/>
              </w:rPr>
              <w:t>现有项目</w:t>
            </w:r>
            <w:r>
              <w:rPr>
                <w:rFonts w:hint="eastAsia" w:cs="Times New Roman"/>
                <w:color w:val="auto"/>
                <w:sz w:val="24"/>
                <w:lang w:eastAsia="zh-CN"/>
              </w:rPr>
              <w:t>共设置黄磷池</w:t>
            </w:r>
            <w:r>
              <w:rPr>
                <w:rFonts w:hint="eastAsia" w:cs="Times New Roman"/>
                <w:color w:val="auto"/>
                <w:sz w:val="24"/>
                <w:lang w:val="en-US" w:eastAsia="zh-CN"/>
              </w:rPr>
              <w:t>2座，用于黄磷暂存，</w:t>
            </w:r>
            <w:r>
              <w:rPr>
                <w:rFonts w:hint="eastAsia"/>
                <w:color w:val="auto"/>
                <w:sz w:val="24"/>
                <w:szCs w:val="24"/>
                <w:lang w:eastAsia="zh-CN"/>
              </w:rPr>
              <w:t>技改前后黄磷池的暂存方式未发生变化（详见技改项目暂存流程），技改后仅黄磷池数量由</w:t>
            </w:r>
            <w:r>
              <w:rPr>
                <w:rFonts w:hint="eastAsia"/>
                <w:color w:val="auto"/>
                <w:sz w:val="24"/>
                <w:szCs w:val="24"/>
                <w:lang w:val="en-US" w:eastAsia="zh-CN"/>
              </w:rPr>
              <w:t>2座增加至4座，暂存量增加。</w:t>
            </w:r>
          </w:p>
          <w:p w14:paraId="37056CB4">
            <w:pPr>
              <w:adjustRightInd w:val="0"/>
              <w:snapToGrid w:val="0"/>
              <w:spacing w:line="360" w:lineRule="auto"/>
              <w:ind w:firstLine="480" w:firstLineChars="200"/>
              <w:rPr>
                <w:rFonts w:hint="eastAsia" w:cs="Times New Roman"/>
                <w:color w:val="auto"/>
                <w:sz w:val="24"/>
                <w:lang w:val="en-US" w:eastAsia="zh-CN"/>
              </w:rPr>
            </w:pPr>
            <w:r>
              <w:rPr>
                <w:rFonts w:hint="eastAsia" w:cs="Times New Roman"/>
                <w:color w:val="auto"/>
                <w:sz w:val="24"/>
                <w:lang w:val="en-US" w:eastAsia="zh-CN"/>
              </w:rPr>
              <w:t>现有项目液氯采用液氯罐式集装箱暂存，</w:t>
            </w:r>
            <w:r>
              <w:rPr>
                <w:rFonts w:hint="eastAsia"/>
                <w:color w:val="auto"/>
                <w:sz w:val="24"/>
                <w:szCs w:val="24"/>
                <w:lang w:eastAsia="zh-CN"/>
              </w:rPr>
              <w:t>液氯罐车进入液氯罐式集装箱装卸场地内固定停车位，使用时通过与液氯汽化器通过鹤管连接进行输送，现有</w:t>
            </w:r>
            <w:r>
              <w:rPr>
                <w:rFonts w:hint="eastAsia" w:cs="Times New Roman"/>
                <w:color w:val="auto"/>
                <w:sz w:val="24"/>
                <w:lang w:val="en-US" w:eastAsia="zh-CN"/>
              </w:rPr>
              <w:t>厂区内共设置3只21.667m³液氯罐式集装箱（供气单位提供，两用一备）。</w:t>
            </w:r>
          </w:p>
          <w:p w14:paraId="3EC59B45">
            <w:pPr>
              <w:spacing w:line="360" w:lineRule="auto"/>
              <w:ind w:firstLine="562"/>
              <w:rPr>
                <w:rFonts w:hint="eastAsia"/>
                <w:color w:val="auto"/>
                <w:sz w:val="24"/>
                <w:szCs w:val="24"/>
                <w:lang w:eastAsia="zh-CN"/>
              </w:rPr>
            </w:pPr>
            <w:r>
              <w:rPr>
                <w:rFonts w:hint="eastAsia"/>
                <w:color w:val="auto"/>
                <w:sz w:val="24"/>
                <w:szCs w:val="24"/>
                <w:lang w:eastAsia="zh-CN"/>
              </w:rPr>
              <w:t>①液氯输送至储罐暂存</w:t>
            </w:r>
          </w:p>
          <w:p w14:paraId="631E7CE0">
            <w:pPr>
              <w:spacing w:line="360" w:lineRule="auto"/>
              <w:ind w:firstLine="562"/>
              <w:rPr>
                <w:rFonts w:hint="eastAsia"/>
                <w:color w:val="auto"/>
                <w:sz w:val="24"/>
                <w:szCs w:val="24"/>
                <w:lang w:eastAsia="zh-CN"/>
              </w:rPr>
            </w:pPr>
            <w:r>
              <w:rPr>
                <w:rFonts w:hint="eastAsia"/>
                <w:color w:val="auto"/>
                <w:sz w:val="24"/>
                <w:szCs w:val="24"/>
                <w:lang w:eastAsia="zh-CN"/>
              </w:rPr>
              <w:t>液氯罐车进入液氯罐式集装箱装卸场地内固定停车位，可靠接地，并连接好液氯槽罐车液位计，打开小引风机和真空泵，然后槽罐车液相、气相分别与卸车液相、气相万向节连接，关闭真空，试压试漏，无漏点待卸车。</w:t>
            </w:r>
          </w:p>
          <w:p w14:paraId="584B6AD3">
            <w:pPr>
              <w:spacing w:line="360" w:lineRule="auto"/>
              <w:ind w:firstLine="562"/>
              <w:rPr>
                <w:rFonts w:hint="eastAsia"/>
                <w:color w:val="auto"/>
                <w:sz w:val="24"/>
                <w:szCs w:val="24"/>
                <w:lang w:eastAsia="zh-CN"/>
              </w:rPr>
            </w:pPr>
            <w:r>
              <w:rPr>
                <w:rFonts w:hint="eastAsia"/>
                <w:color w:val="auto"/>
                <w:sz w:val="24"/>
                <w:szCs w:val="24"/>
                <w:lang w:eastAsia="zh-CN"/>
              </w:rPr>
              <w:t>液氯卸车时利用卸车气化器将液氯罐车增压至0.7MPa，利用压差将液氯罐车中的液氯卸至液氯汽化器。</w:t>
            </w:r>
          </w:p>
          <w:p w14:paraId="13C29387">
            <w:pPr>
              <w:spacing w:line="360" w:lineRule="auto"/>
              <w:ind w:firstLine="562"/>
              <w:rPr>
                <w:rFonts w:hint="eastAsia"/>
                <w:color w:val="auto"/>
                <w:sz w:val="24"/>
                <w:szCs w:val="24"/>
                <w:lang w:eastAsia="zh-CN"/>
              </w:rPr>
            </w:pPr>
            <w:r>
              <w:rPr>
                <w:rFonts w:hint="eastAsia"/>
                <w:color w:val="auto"/>
                <w:sz w:val="24"/>
                <w:szCs w:val="24"/>
                <w:lang w:eastAsia="zh-CN"/>
              </w:rPr>
              <w:t>向液氯汽化器卸料时，打开液氯汽化器底部开关阀、卸车气化器进氯调节阀向卸车气化器进液氯，控制卸车气化器出口氯气压力小于1.0MPa，同时打开卸车气化器热水循环水或蒸汽开关阀、调节阀，控制卸车气化器出口氯气温度不超过40℃。打开卸车万向节气相阀、液相阀以及液氯汽化器进氯阀，当液氯汽化器压力达到0.3</w:t>
            </w:r>
            <w:r>
              <w:rPr>
                <w:rFonts w:hint="eastAsia"/>
                <w:color w:val="auto"/>
                <w:sz w:val="24"/>
                <w:szCs w:val="24"/>
                <w:lang w:val="en-US" w:eastAsia="zh-CN"/>
              </w:rPr>
              <w:t>5</w:t>
            </w:r>
            <w:r>
              <w:rPr>
                <w:rFonts w:hint="eastAsia"/>
                <w:color w:val="auto"/>
                <w:sz w:val="24"/>
                <w:szCs w:val="24"/>
                <w:lang w:eastAsia="zh-CN"/>
              </w:rPr>
              <w:t>MPa时打开液氯汽化器气相排放阀、气相调节阀泄压，控制液氯汽化器压力在0.1MPa-0.3</w:t>
            </w:r>
            <w:r>
              <w:rPr>
                <w:rFonts w:hint="eastAsia"/>
                <w:color w:val="auto"/>
                <w:sz w:val="24"/>
                <w:szCs w:val="24"/>
                <w:lang w:val="en-US" w:eastAsia="zh-CN"/>
              </w:rPr>
              <w:t>5</w:t>
            </w:r>
            <w:r>
              <w:rPr>
                <w:rFonts w:hint="eastAsia"/>
                <w:color w:val="auto"/>
                <w:sz w:val="24"/>
                <w:szCs w:val="24"/>
                <w:lang w:eastAsia="zh-CN"/>
              </w:rPr>
              <w:t>MPa，同时打开汽化器蒸汽开关阀和蒸汽调节阀，汽化器内热水温度控制在75~85℃，氯气出口温度控制在大于等于71℃，汽化后的氯气进入缓冲罐，缓冲罐压力控制在0.1~0.35MPa。</w:t>
            </w:r>
          </w:p>
          <w:p w14:paraId="001DF245">
            <w:pPr>
              <w:spacing w:line="360" w:lineRule="auto"/>
              <w:ind w:firstLine="562"/>
              <w:rPr>
                <w:rFonts w:hint="eastAsia"/>
                <w:color w:val="auto"/>
                <w:sz w:val="24"/>
                <w:szCs w:val="24"/>
                <w:lang w:eastAsia="zh-CN"/>
              </w:rPr>
            </w:pPr>
            <w:r>
              <w:rPr>
                <w:rFonts w:hint="eastAsia"/>
                <w:color w:val="auto"/>
                <w:sz w:val="24"/>
                <w:szCs w:val="24"/>
                <w:lang w:eastAsia="zh-CN"/>
              </w:rPr>
              <w:t>卸车完毕打开液氯缓冲罐气相阀和调节阀，向缓冲罐卸除罐车内余压，调节阀后压力控制在0.3MPa，罐车压力降为0.3MPa时完成泄压，关闭气相阀，打开万向节气相、液相排放阀门真空抽管道余氯，排净连接三通内残余的液氯、氯气，氯气经过</w:t>
            </w:r>
            <w:r>
              <w:rPr>
                <w:rFonts w:hint="eastAsia"/>
                <w:bCs/>
                <w:color w:val="auto"/>
                <w:sz w:val="24"/>
                <w:lang w:eastAsia="zh-CN"/>
              </w:rPr>
              <w:t>一级水吸收+二级碱吸收</w:t>
            </w:r>
            <w:r>
              <w:rPr>
                <w:rFonts w:hint="eastAsia"/>
                <w:bCs/>
                <w:color w:val="auto"/>
                <w:sz w:val="24"/>
                <w:lang w:val="en-US" w:eastAsia="zh-CN"/>
              </w:rPr>
              <w:t>装置</w:t>
            </w:r>
            <w:r>
              <w:rPr>
                <w:rFonts w:hint="eastAsia"/>
                <w:color w:val="auto"/>
                <w:sz w:val="24"/>
                <w:szCs w:val="24"/>
                <w:lang w:eastAsia="zh-CN"/>
              </w:rPr>
              <w:t>进行吸收后通过</w:t>
            </w:r>
            <w:r>
              <w:rPr>
                <w:rFonts w:hint="eastAsia"/>
                <w:color w:val="auto"/>
                <w:sz w:val="24"/>
                <w:szCs w:val="24"/>
                <w:lang w:val="en-US" w:eastAsia="zh-CN"/>
              </w:rPr>
              <w:t>25米高</w:t>
            </w:r>
            <w:r>
              <w:rPr>
                <w:rFonts w:hint="eastAsia"/>
                <w:color w:val="auto"/>
                <w:sz w:val="24"/>
                <w:szCs w:val="24"/>
                <w:lang w:eastAsia="zh-CN"/>
              </w:rPr>
              <w:t>排气筒</w:t>
            </w:r>
            <w:r>
              <w:rPr>
                <w:rFonts w:hint="eastAsia"/>
                <w:bCs/>
                <w:color w:val="auto"/>
                <w:sz w:val="24"/>
                <w:lang w:val="en-US" w:eastAsia="zh-CN"/>
              </w:rPr>
              <w:t>（DA001）</w:t>
            </w:r>
            <w:r>
              <w:rPr>
                <w:rFonts w:hint="eastAsia"/>
                <w:color w:val="auto"/>
                <w:sz w:val="24"/>
                <w:szCs w:val="24"/>
                <w:lang w:eastAsia="zh-CN"/>
              </w:rPr>
              <w:t>排空，最后断开连接法兰，并在装卸臂连接法兰处装上盲法兰，将槽罐车液相、气相出口阀后对接口装上盲法兰；最后摘除静电释放器，摘除液位计。</w:t>
            </w:r>
          </w:p>
          <w:p w14:paraId="2B244CA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0"/>
              <w:textAlignment w:val="auto"/>
              <w:rPr>
                <w:rFonts w:hint="eastAsia"/>
                <w:color w:val="auto"/>
                <w:sz w:val="24"/>
                <w:szCs w:val="24"/>
                <w:lang w:val="en-US" w:eastAsia="zh-CN"/>
              </w:rPr>
            </w:pPr>
            <w:r>
              <w:rPr>
                <w:rFonts w:hint="eastAsia"/>
                <w:color w:val="auto"/>
                <w:sz w:val="24"/>
                <w:szCs w:val="24"/>
                <w:lang w:val="en-US" w:eastAsia="zh-CN"/>
              </w:rPr>
              <w:t>②黄磷池</w:t>
            </w:r>
          </w:p>
          <w:p w14:paraId="0576A44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rPr>
            </w:pPr>
            <w:r>
              <w:rPr>
                <w:rFonts w:hint="eastAsia"/>
                <w:color w:val="auto"/>
                <w:sz w:val="24"/>
                <w:szCs w:val="24"/>
                <w:lang w:eastAsia="zh-CN"/>
              </w:rPr>
              <w:t>技改前后黄磷池的暂存方式未发生变化（详见技改项目暂存流程），仅黄磷池数量由</w:t>
            </w:r>
            <w:r>
              <w:rPr>
                <w:rFonts w:hint="eastAsia"/>
                <w:color w:val="auto"/>
                <w:sz w:val="24"/>
                <w:szCs w:val="24"/>
                <w:lang w:val="en-US" w:eastAsia="zh-CN"/>
              </w:rPr>
              <w:t>2座增加至4座，暂存量增加。</w:t>
            </w:r>
          </w:p>
          <w:p w14:paraId="30DB28B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cs="Times New Roman"/>
                <w:b/>
                <w:color w:val="auto"/>
                <w:sz w:val="24"/>
                <w:lang w:val="fr-FR"/>
              </w:rPr>
            </w:pPr>
            <w:r>
              <w:rPr>
                <w:rFonts w:ascii="Times New Roman" w:hAnsi="Times New Roman" w:cs="Times New Roman"/>
                <w:b/>
                <w:color w:val="auto"/>
                <w:sz w:val="24"/>
              </w:rPr>
              <w:t>（</w:t>
            </w:r>
            <w:r>
              <w:rPr>
                <w:rFonts w:hint="eastAsia" w:cs="Times New Roman"/>
                <w:b/>
                <w:color w:val="auto"/>
                <w:sz w:val="24"/>
                <w:lang w:val="en-US" w:eastAsia="zh-CN"/>
              </w:rPr>
              <w:t>3</w:t>
            </w:r>
            <w:r>
              <w:rPr>
                <w:rFonts w:ascii="Times New Roman" w:hAnsi="Times New Roman" w:cs="Times New Roman"/>
                <w:b/>
                <w:color w:val="auto"/>
                <w:sz w:val="24"/>
              </w:rPr>
              <w:t>）现有项目</w:t>
            </w:r>
            <w:r>
              <w:rPr>
                <w:rFonts w:ascii="Times New Roman" w:hAnsi="Times New Roman" w:cs="Times New Roman"/>
                <w:b/>
                <w:color w:val="auto"/>
                <w:sz w:val="24"/>
                <w:lang w:val="fr-FR"/>
              </w:rPr>
              <w:t>环保措施及“三废”排放情况</w:t>
            </w:r>
          </w:p>
          <w:p w14:paraId="75088E4E">
            <w:pPr>
              <w:adjustRightInd w:val="0"/>
              <w:snapToGrid w:val="0"/>
              <w:spacing w:line="360" w:lineRule="auto"/>
              <w:ind w:firstLine="482" w:firstLineChars="200"/>
              <w:rPr>
                <w:rFonts w:ascii="Times New Roman" w:hAnsi="Times New Roman" w:cs="Times New Roman"/>
                <w:b/>
                <w:color w:val="auto"/>
                <w:sz w:val="24"/>
                <w:lang w:val="fr-FR"/>
              </w:rPr>
            </w:pPr>
            <w:r>
              <w:rPr>
                <w:rFonts w:hint="eastAsia" w:ascii="Times New Roman" w:hAnsi="Times New Roman" w:cs="Times New Roman"/>
                <w:b/>
                <w:color w:val="auto"/>
                <w:sz w:val="24"/>
                <w:lang w:val="fr-FR"/>
              </w:rPr>
              <w:t>①</w:t>
            </w:r>
            <w:r>
              <w:rPr>
                <w:rFonts w:ascii="Times New Roman" w:hAnsi="Times New Roman" w:cs="Times New Roman"/>
                <w:b/>
                <w:color w:val="auto"/>
                <w:sz w:val="24"/>
                <w:lang w:val="fr-FR"/>
              </w:rPr>
              <w:t>现有项目环保措施及“三废”排放情况</w:t>
            </w:r>
          </w:p>
          <w:p w14:paraId="7E365D9B">
            <w:pPr>
              <w:adjustRightInd w:val="0"/>
              <w:snapToGrid w:val="0"/>
              <w:spacing w:line="360" w:lineRule="auto"/>
              <w:ind w:firstLine="480" w:firstLineChars="200"/>
              <w:rPr>
                <w:rFonts w:ascii="Times New Roman" w:hAnsi="Times New Roman" w:cs="Times New Roman"/>
                <w:color w:val="auto"/>
                <w:sz w:val="24"/>
                <w:lang w:val="fr-FR"/>
              </w:rPr>
            </w:pPr>
            <w:r>
              <w:rPr>
                <w:rFonts w:ascii="Times New Roman" w:hAnsi="Times New Roman" w:cs="Times New Roman"/>
                <w:color w:val="auto"/>
                <w:sz w:val="24"/>
              </w:rPr>
              <w:t>现有项目于20</w:t>
            </w:r>
            <w:r>
              <w:rPr>
                <w:rFonts w:hint="eastAsia" w:cs="Times New Roman"/>
                <w:color w:val="auto"/>
                <w:sz w:val="24"/>
                <w:lang w:val="en-US" w:eastAsia="zh-CN"/>
              </w:rPr>
              <w:t>25</w:t>
            </w:r>
            <w:r>
              <w:rPr>
                <w:rFonts w:ascii="Times New Roman" w:hAnsi="Times New Roman" w:cs="Times New Roman"/>
                <w:color w:val="auto"/>
                <w:sz w:val="24"/>
              </w:rPr>
              <w:t>年</w:t>
            </w:r>
            <w:r>
              <w:rPr>
                <w:rFonts w:hint="eastAsia" w:cs="Times New Roman"/>
                <w:color w:val="auto"/>
                <w:sz w:val="24"/>
                <w:lang w:val="en-US" w:eastAsia="zh-CN"/>
              </w:rPr>
              <w:t>5</w:t>
            </w:r>
            <w:r>
              <w:rPr>
                <w:rFonts w:ascii="Times New Roman" w:hAnsi="Times New Roman" w:cs="Times New Roman"/>
                <w:color w:val="auto"/>
                <w:sz w:val="24"/>
              </w:rPr>
              <w:t>月完成验收，本次评价采用现有项目</w:t>
            </w:r>
            <w:r>
              <w:rPr>
                <w:rFonts w:hint="eastAsia" w:cs="Times New Roman"/>
                <w:color w:val="auto"/>
                <w:sz w:val="24"/>
                <w:lang w:eastAsia="zh-CN"/>
              </w:rPr>
              <w:t>竣工</w:t>
            </w:r>
            <w:r>
              <w:rPr>
                <w:rFonts w:ascii="Times New Roman" w:hAnsi="Times New Roman" w:cs="Times New Roman"/>
                <w:color w:val="auto"/>
                <w:sz w:val="24"/>
              </w:rPr>
              <w:t>监测数据说</w:t>
            </w:r>
            <w:r>
              <w:rPr>
                <w:rFonts w:ascii="Times New Roman" w:hAnsi="Times New Roman" w:cs="Times New Roman"/>
                <w:color w:val="auto"/>
                <w:sz w:val="24"/>
                <w:lang w:val="fr-FR"/>
              </w:rPr>
              <w:t>明现有项目三废排放</w:t>
            </w:r>
            <w:r>
              <w:rPr>
                <w:rFonts w:ascii="Times New Roman" w:hAnsi="Times New Roman" w:cs="Times New Roman"/>
                <w:color w:val="auto"/>
                <w:sz w:val="24"/>
              </w:rPr>
              <w:t>及达标情况</w:t>
            </w:r>
            <w:r>
              <w:rPr>
                <w:rFonts w:ascii="Times New Roman" w:hAnsi="Times New Roman" w:cs="Times New Roman"/>
                <w:color w:val="auto"/>
                <w:sz w:val="24"/>
                <w:lang w:val="fr-FR"/>
              </w:rPr>
              <w:t>。</w:t>
            </w:r>
          </w:p>
          <w:p w14:paraId="12E18EC2">
            <w:pPr>
              <w:adjustRightInd w:val="0"/>
              <w:snapToGrid w:val="0"/>
              <w:spacing w:line="360" w:lineRule="auto"/>
              <w:ind w:firstLine="480" w:firstLineChars="200"/>
              <w:rPr>
                <w:rFonts w:ascii="Times New Roman" w:hAnsi="Times New Roman" w:cs="Times New Roman"/>
                <w:color w:val="auto"/>
                <w:sz w:val="24"/>
                <w:lang w:val="fr-FR"/>
              </w:rPr>
            </w:pPr>
            <w:r>
              <w:rPr>
                <w:rFonts w:ascii="Times New Roman" w:hAnsi="Times New Roman" w:cs="Times New Roman"/>
                <w:color w:val="auto"/>
                <w:sz w:val="24"/>
                <w:lang w:val="fr-FR"/>
              </w:rPr>
              <w:t>A.废气</w:t>
            </w:r>
          </w:p>
          <w:p w14:paraId="488EFB0E">
            <w:pPr>
              <w:adjustRightInd w:val="0"/>
              <w:snapToGrid w:val="0"/>
              <w:spacing w:line="360" w:lineRule="auto"/>
              <w:ind w:firstLine="480" w:firstLineChars="200"/>
              <w:rPr>
                <w:rFonts w:hint="eastAsia" w:cs="Times New Roman"/>
                <w:color w:val="auto"/>
                <w:sz w:val="24"/>
                <w:lang w:val="fr-FR" w:eastAsia="zh-CN"/>
              </w:rPr>
            </w:pPr>
            <w:r>
              <w:rPr>
                <w:rFonts w:hint="eastAsia" w:cs="Times New Roman"/>
                <w:color w:val="auto"/>
                <w:sz w:val="24"/>
                <w:lang w:val="fr-FR" w:eastAsia="zh-CN"/>
              </w:rPr>
              <w:t>现有三氯化磷、三氯氧磷生产装置经三级降膜水吸收废气管道收集，经“一级水吸收+二级碱吸收”处理后，由一根现有的25米高排气筒（DA001）排放；</w:t>
            </w:r>
          </w:p>
          <w:p w14:paraId="38BA957B">
            <w:pPr>
              <w:adjustRightInd w:val="0"/>
              <w:snapToGrid w:val="0"/>
              <w:spacing w:line="360" w:lineRule="auto"/>
              <w:ind w:firstLine="480" w:firstLineChars="200"/>
              <w:rPr>
                <w:rFonts w:hint="eastAsia" w:cs="Times New Roman"/>
                <w:color w:val="auto"/>
                <w:sz w:val="24"/>
                <w:lang w:val="fr-FR" w:eastAsia="zh-CN"/>
              </w:rPr>
            </w:pPr>
            <w:r>
              <w:rPr>
                <w:rFonts w:hint="eastAsia" w:cs="Times New Roman"/>
                <w:color w:val="auto"/>
                <w:sz w:val="24"/>
                <w:lang w:val="fr-FR" w:eastAsia="zh-CN"/>
              </w:rPr>
              <w:t>14.5万吨三氯氧磷（含电子级 0.5 万吨）生产线工艺废气与储罐废气等经“三级降膜水吸收装置”吸收后的废气再经管道收集经“一级水吸收+二级碱吸收”装置处理后，由1根25米高排气筒（DA001）排放；</w:t>
            </w:r>
          </w:p>
          <w:p w14:paraId="5EA83BFC">
            <w:pPr>
              <w:adjustRightInd w:val="0"/>
              <w:snapToGrid w:val="0"/>
              <w:spacing w:line="360" w:lineRule="auto"/>
              <w:ind w:firstLine="480" w:firstLineChars="200"/>
              <w:rPr>
                <w:rFonts w:hint="eastAsia" w:cs="Times New Roman"/>
                <w:color w:val="auto"/>
                <w:sz w:val="24"/>
                <w:lang w:val="fr-FR" w:eastAsia="zh-CN"/>
              </w:rPr>
            </w:pPr>
            <w:r>
              <w:rPr>
                <w:rFonts w:hint="eastAsia" w:cs="Times New Roman"/>
                <w:color w:val="auto"/>
                <w:sz w:val="24"/>
                <w:lang w:val="fr-FR" w:eastAsia="zh-CN"/>
              </w:rPr>
              <w:t>五氯化磷进料、出料废气经“布袋除尘器”处理后与不凝气一起进入“三级降膜水吸收装置”吸收后，再经管道收集经“一级水吸收+二级碱吸收”装置处理后，由1根25米高排气筒（DA002）排放；</w:t>
            </w:r>
          </w:p>
          <w:p w14:paraId="36758970">
            <w:pPr>
              <w:adjustRightInd w:val="0"/>
              <w:snapToGrid w:val="0"/>
              <w:spacing w:line="360" w:lineRule="auto"/>
              <w:ind w:firstLine="480" w:firstLineChars="200"/>
              <w:rPr>
                <w:rFonts w:ascii="Times New Roman" w:hAnsi="Times New Roman" w:cs="Times New Roman"/>
                <w:color w:val="auto"/>
                <w:sz w:val="24"/>
                <w:lang w:val="fr-FR"/>
              </w:rPr>
            </w:pPr>
            <w:r>
              <w:rPr>
                <w:rFonts w:hint="eastAsia" w:cs="Times New Roman"/>
                <w:color w:val="auto"/>
                <w:sz w:val="24"/>
                <w:lang w:val="fr-FR" w:eastAsia="zh-CN"/>
              </w:rPr>
              <w:t>盐酸、磷酸生产装置废气经管道收集后进入“三级降膜水吸收装置”吸收，与盐酸储罐呼吸废气、危废仓库密闭负压收集废气、污水处理站加盖密闭收集废气，一起经“一级水吸收+二级碱吸收”处理后，由1根25米高排气筒（DA002）排放，</w:t>
            </w:r>
            <w:r>
              <w:rPr>
                <w:rFonts w:ascii="Times New Roman" w:hAnsi="Times New Roman" w:cs="Times New Roman"/>
                <w:color w:val="auto"/>
                <w:sz w:val="24"/>
                <w:lang w:val="fr-FR"/>
              </w:rPr>
              <w:t>未捕集到的废气</w:t>
            </w:r>
            <w:r>
              <w:rPr>
                <w:rFonts w:hint="eastAsia" w:cs="Times New Roman"/>
                <w:color w:val="auto"/>
                <w:sz w:val="24"/>
                <w:lang w:val="fr-FR" w:eastAsia="zh-CN"/>
              </w:rPr>
              <w:t>以无组织</w:t>
            </w:r>
            <w:r>
              <w:rPr>
                <w:rFonts w:ascii="Times New Roman" w:hAnsi="Times New Roman" w:cs="Times New Roman"/>
                <w:color w:val="auto"/>
                <w:sz w:val="24"/>
                <w:lang w:val="fr-FR"/>
              </w:rPr>
              <w:t>排放。</w:t>
            </w:r>
          </w:p>
          <w:p w14:paraId="691566EC">
            <w:pPr>
              <w:adjustRightInd w:val="0"/>
              <w:snapToGrid w:val="0"/>
              <w:spacing w:line="360" w:lineRule="auto"/>
              <w:ind w:firstLine="480" w:firstLineChars="200"/>
              <w:rPr>
                <w:rFonts w:ascii="Times New Roman" w:hAnsi="Times New Roman" w:cs="Times New Roman"/>
                <w:color w:val="auto"/>
                <w:sz w:val="24"/>
                <w:lang w:val="fr-FR"/>
              </w:rPr>
            </w:pPr>
            <w:r>
              <w:rPr>
                <w:rFonts w:hint="eastAsia" w:cs="Times New Roman"/>
                <w:color w:val="auto"/>
                <w:sz w:val="24"/>
                <w:lang w:val="fr-FR" w:eastAsia="zh-CN"/>
              </w:rPr>
              <w:t>化验室废气经通风橱收集后进入“一级活性炭吸附装置”吸附处理后，由</w:t>
            </w:r>
            <w:r>
              <w:rPr>
                <w:rFonts w:hint="eastAsia" w:cs="Times New Roman"/>
                <w:color w:val="auto"/>
                <w:sz w:val="24"/>
                <w:lang w:val="en-US" w:eastAsia="zh-CN"/>
              </w:rPr>
              <w:t>1根</w:t>
            </w:r>
            <w:r>
              <w:rPr>
                <w:rFonts w:hint="eastAsia" w:cs="Times New Roman"/>
                <w:color w:val="auto"/>
                <w:sz w:val="24"/>
                <w:lang w:val="fr-FR" w:eastAsia="zh-CN"/>
              </w:rPr>
              <w:t>5米高排气筒（DA00</w:t>
            </w:r>
            <w:r>
              <w:rPr>
                <w:rFonts w:hint="eastAsia" w:cs="Times New Roman"/>
                <w:color w:val="auto"/>
                <w:sz w:val="24"/>
                <w:lang w:val="en-US" w:eastAsia="zh-CN"/>
              </w:rPr>
              <w:t>3</w:t>
            </w:r>
            <w:r>
              <w:rPr>
                <w:rFonts w:hint="eastAsia" w:cs="Times New Roman"/>
                <w:color w:val="auto"/>
                <w:sz w:val="24"/>
                <w:lang w:val="fr-FR" w:eastAsia="zh-CN"/>
              </w:rPr>
              <w:t>）排放，</w:t>
            </w:r>
            <w:r>
              <w:rPr>
                <w:rFonts w:ascii="Times New Roman" w:hAnsi="Times New Roman" w:cs="Times New Roman"/>
                <w:color w:val="auto"/>
                <w:sz w:val="24"/>
                <w:lang w:val="fr-FR"/>
              </w:rPr>
              <w:t>未捕集到的废气</w:t>
            </w:r>
            <w:r>
              <w:rPr>
                <w:rFonts w:hint="eastAsia" w:cs="Times New Roman"/>
                <w:color w:val="auto"/>
                <w:sz w:val="24"/>
                <w:lang w:val="fr-FR" w:eastAsia="zh-CN"/>
              </w:rPr>
              <w:t>以无组织</w:t>
            </w:r>
            <w:r>
              <w:rPr>
                <w:rFonts w:ascii="Times New Roman" w:hAnsi="Times New Roman" w:cs="Times New Roman"/>
                <w:color w:val="auto"/>
                <w:sz w:val="24"/>
                <w:lang w:val="fr-FR"/>
              </w:rPr>
              <w:t>排放。</w:t>
            </w:r>
          </w:p>
          <w:p w14:paraId="22B56261">
            <w:pPr>
              <w:adjustRightInd w:val="0"/>
              <w:snapToGrid w:val="0"/>
              <w:spacing w:line="360" w:lineRule="auto"/>
              <w:ind w:firstLine="480" w:firstLineChars="200"/>
              <w:rPr>
                <w:rFonts w:hint="eastAsia" w:ascii="Times New Roman" w:hAnsi="Times New Roman" w:eastAsia="宋体" w:cs="Times New Roman"/>
                <w:color w:val="auto"/>
                <w:sz w:val="24"/>
                <w:lang w:val="fr-FR" w:eastAsia="zh-CN"/>
              </w:rPr>
            </w:pPr>
            <w:r>
              <w:rPr>
                <w:rFonts w:hint="eastAsia" w:cs="Times New Roman"/>
                <w:color w:val="auto"/>
                <w:sz w:val="24"/>
                <w:lang w:val="fr-FR" w:eastAsia="zh-CN"/>
              </w:rPr>
              <w:t>液氯储存设施泄漏等非正常工况下，产生的氯气通过“密闭车间</w:t>
            </w:r>
            <w:r>
              <w:rPr>
                <w:rFonts w:hint="eastAsia" w:cs="Times New Roman"/>
                <w:color w:val="auto"/>
                <w:sz w:val="24"/>
                <w:lang w:val="en-US" w:eastAsia="zh-CN"/>
              </w:rPr>
              <w:t>+</w:t>
            </w:r>
            <w:r>
              <w:rPr>
                <w:rFonts w:hint="eastAsia" w:cs="Times New Roman"/>
                <w:color w:val="auto"/>
                <w:sz w:val="24"/>
                <w:lang w:val="fr-FR" w:eastAsia="zh-CN"/>
              </w:rPr>
              <w:t>二级碱液喷淋装置”吸收处理后通过事故排气筒排放。</w:t>
            </w:r>
          </w:p>
          <w:p w14:paraId="3D8061E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imes New Roman" w:hAnsi="Times New Roman" w:eastAsia="宋体" w:cs="Times New Roman"/>
                <w:color w:val="auto"/>
                <w:sz w:val="24"/>
                <w:lang w:val="fr-FR" w:eastAsia="zh-CN"/>
              </w:rPr>
            </w:pPr>
            <w:r>
              <w:rPr>
                <w:rFonts w:hint="eastAsia" w:ascii="Times New Roman" w:hAnsi="Times New Roman" w:eastAsia="宋体" w:cs="Times New Roman"/>
                <w:color w:val="auto"/>
                <w:sz w:val="24"/>
                <w:lang w:val="fr-FR" w:eastAsia="zh-CN"/>
              </w:rPr>
              <w:object>
                <v:shape id="_x0000_i1029" o:spt="75" type="#_x0000_t75" style="height:571.2pt;width:403.65pt;" o:ole="t" filled="f" o:preferrelative="t" stroked="f" coordsize="21600,21600">
                  <v:path/>
                  <v:fill on="f" focussize="0,0"/>
                  <v:stroke on="f"/>
                  <v:imagedata r:id="rId20" o:title=""/>
                  <o:lock v:ext="edit" aspectratio="t"/>
                  <w10:wrap type="none"/>
                  <w10:anchorlock/>
                </v:shape>
                <o:OLEObject Type="Link" ProgID="Visio.Drawing.11" ShapeID="_x0000_i1029" UpdateMode="Always" DrawAspect="Content" ObjectID="_1468075729" r:id="rId21">
                  <o:LinkType>EnhancedMetaFile</o:LinkType>
                  <o:LockedField>false</o:LockedField>
                  <o:FieldCodes>\f 0</o:FieldCodes>
                </o:OLEObject>
              </w:object>
            </w:r>
          </w:p>
          <w:p w14:paraId="43BCC05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 w:val="24"/>
                <w:lang w:val="en-US" w:eastAsia="zh-CN"/>
              </w:rPr>
            </w:pPr>
            <w:r>
              <w:rPr>
                <w:rFonts w:hint="eastAsia" w:cs="Times New Roman"/>
                <w:b/>
                <w:bCs/>
                <w:color w:val="auto"/>
                <w:sz w:val="24"/>
                <w:lang w:val="fr-FR" w:eastAsia="zh-CN"/>
              </w:rPr>
              <w:t>图</w:t>
            </w:r>
            <w:r>
              <w:rPr>
                <w:rFonts w:hint="eastAsia" w:cs="Times New Roman"/>
                <w:b/>
                <w:bCs/>
                <w:color w:val="auto"/>
                <w:sz w:val="24"/>
                <w:lang w:val="en-US" w:eastAsia="zh-CN"/>
              </w:rPr>
              <w:t>2-6  现有项目废气收集处理情况图</w:t>
            </w:r>
          </w:p>
          <w:p w14:paraId="5BCBB3C3">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w:t>
            </w:r>
            <w:r>
              <w:rPr>
                <w:rFonts w:hint="eastAsia" w:cs="Times New Roman"/>
                <w:color w:val="auto"/>
                <w:sz w:val="24"/>
                <w:lang w:eastAsia="zh-CN"/>
              </w:rPr>
              <w:t>竣工验收</w:t>
            </w:r>
            <w:r>
              <w:rPr>
                <w:rFonts w:ascii="Times New Roman" w:hAnsi="Times New Roman" w:cs="Times New Roman"/>
                <w:color w:val="auto"/>
                <w:sz w:val="24"/>
              </w:rPr>
              <w:t>监测报告</w:t>
            </w:r>
            <w:r>
              <w:rPr>
                <w:rFonts w:hint="eastAsia" w:cs="Times New Roman"/>
                <w:color w:val="auto"/>
                <w:sz w:val="24"/>
                <w:lang w:eastAsia="zh-CN"/>
              </w:rPr>
              <w:t>、</w:t>
            </w:r>
            <w:r>
              <w:rPr>
                <w:rFonts w:hint="eastAsia" w:cs="Times New Roman"/>
                <w:color w:val="auto"/>
                <w:sz w:val="24"/>
                <w:lang w:val="en-US" w:eastAsia="zh-CN"/>
              </w:rPr>
              <w:t>25年</w:t>
            </w:r>
            <w:r>
              <w:rPr>
                <w:rFonts w:hint="eastAsia" w:cs="Times New Roman"/>
                <w:color w:val="auto"/>
                <w:sz w:val="24"/>
                <w:lang w:eastAsia="zh-CN"/>
              </w:rPr>
              <w:t>例行监测报告</w:t>
            </w:r>
            <w:r>
              <w:rPr>
                <w:rFonts w:ascii="Times New Roman" w:hAnsi="Times New Roman" w:cs="Times New Roman"/>
                <w:color w:val="auto"/>
                <w:sz w:val="24"/>
              </w:rPr>
              <w:t>中的内容，现有项目废气排放情况见表2-</w:t>
            </w:r>
            <w:r>
              <w:rPr>
                <w:rFonts w:hint="eastAsia" w:cs="Times New Roman"/>
                <w:color w:val="auto"/>
                <w:sz w:val="24"/>
                <w:lang w:val="en-US" w:eastAsia="zh-CN"/>
              </w:rPr>
              <w:t>11</w:t>
            </w:r>
            <w:r>
              <w:rPr>
                <w:rFonts w:ascii="Times New Roman" w:hAnsi="Times New Roman" w:cs="Times New Roman"/>
                <w:color w:val="auto"/>
                <w:sz w:val="24"/>
              </w:rPr>
              <w:t>、2-</w:t>
            </w:r>
            <w:r>
              <w:rPr>
                <w:rFonts w:hint="eastAsia" w:cs="Times New Roman"/>
                <w:color w:val="auto"/>
                <w:sz w:val="24"/>
                <w:lang w:val="en-US" w:eastAsia="zh-CN"/>
              </w:rPr>
              <w:t>12</w:t>
            </w:r>
            <w:r>
              <w:rPr>
                <w:rFonts w:ascii="Times New Roman" w:hAnsi="Times New Roman" w:cs="Times New Roman"/>
                <w:color w:val="auto"/>
                <w:sz w:val="24"/>
              </w:rPr>
              <w:t>、2-</w:t>
            </w:r>
            <w:r>
              <w:rPr>
                <w:rFonts w:hint="eastAsia" w:cs="Times New Roman"/>
                <w:color w:val="auto"/>
                <w:sz w:val="24"/>
                <w:lang w:val="en-US" w:eastAsia="zh-CN"/>
              </w:rPr>
              <w:t>13</w:t>
            </w:r>
            <w:r>
              <w:rPr>
                <w:rFonts w:ascii="Times New Roman" w:hAnsi="Times New Roman" w:cs="Times New Roman"/>
                <w:color w:val="auto"/>
                <w:sz w:val="24"/>
              </w:rPr>
              <w:t>、2-1</w:t>
            </w:r>
            <w:r>
              <w:rPr>
                <w:rFonts w:hint="eastAsia" w:cs="Times New Roman"/>
                <w:color w:val="auto"/>
                <w:sz w:val="24"/>
                <w:lang w:val="en-US" w:eastAsia="zh-CN"/>
              </w:rPr>
              <w:t>4</w:t>
            </w:r>
            <w:r>
              <w:rPr>
                <w:rFonts w:ascii="Times New Roman" w:hAnsi="Times New Roman" w:cs="Times New Roman"/>
                <w:color w:val="auto"/>
                <w:sz w:val="24"/>
              </w:rPr>
              <w:t>。</w:t>
            </w:r>
          </w:p>
          <w:p w14:paraId="31F51EAA">
            <w:pPr>
              <w:ind w:firstLine="482" w:firstLineChars="200"/>
              <w:jc w:val="center"/>
              <w:rPr>
                <w:rFonts w:ascii="Times New Roman" w:hAnsi="Times New Roman" w:cs="Times New Roman"/>
                <w:b/>
                <w:color w:val="auto"/>
                <w:sz w:val="24"/>
              </w:rPr>
            </w:pPr>
          </w:p>
          <w:p w14:paraId="26AD0BB3">
            <w:pPr>
              <w:ind w:firstLine="482" w:firstLineChars="200"/>
              <w:jc w:val="center"/>
              <w:rPr>
                <w:rFonts w:hint="eastAsia" w:ascii="Times New Roman" w:hAnsi="Times New Roman" w:eastAsia="宋体" w:cs="Times New Roman"/>
                <w:b/>
                <w:color w:val="auto"/>
                <w:sz w:val="24"/>
                <w:lang w:val="en-US" w:eastAsia="zh-CN"/>
              </w:rPr>
            </w:pPr>
            <w:r>
              <w:rPr>
                <w:rFonts w:ascii="Times New Roman" w:hAnsi="Times New Roman" w:cs="Times New Roman"/>
                <w:b/>
                <w:color w:val="auto"/>
                <w:sz w:val="24"/>
              </w:rPr>
              <w:t>表2-</w:t>
            </w:r>
            <w:r>
              <w:rPr>
                <w:rFonts w:hint="eastAsia" w:cs="Times New Roman"/>
                <w:b/>
                <w:color w:val="auto"/>
                <w:sz w:val="24"/>
                <w:lang w:val="en-US" w:eastAsia="zh-CN"/>
              </w:rPr>
              <w:t>11</w:t>
            </w:r>
            <w:r>
              <w:rPr>
                <w:rFonts w:ascii="Times New Roman" w:hAnsi="Times New Roman" w:cs="Times New Roman"/>
                <w:b/>
                <w:color w:val="auto"/>
                <w:sz w:val="24"/>
              </w:rPr>
              <w:t xml:space="preserve"> </w:t>
            </w:r>
            <w:r>
              <w:rPr>
                <w:rFonts w:hint="eastAsia" w:ascii="Times New Roman" w:hAnsi="Times New Roman" w:cs="Times New Roman"/>
                <w:b/>
                <w:color w:val="auto"/>
                <w:sz w:val="24"/>
              </w:rPr>
              <w:t xml:space="preserve"> </w:t>
            </w:r>
            <w:r>
              <w:rPr>
                <w:rFonts w:ascii="Times New Roman" w:hAnsi="Times New Roman" w:cs="Times New Roman"/>
                <w:b/>
                <w:color w:val="auto"/>
                <w:sz w:val="24"/>
              </w:rPr>
              <w:t>DA001废气监测结果</w:t>
            </w:r>
            <w:r>
              <w:rPr>
                <w:rFonts w:hint="eastAsia" w:cs="Times New Roman"/>
                <w:b/>
                <w:color w:val="auto"/>
                <w:sz w:val="24"/>
                <w:lang w:eastAsia="zh-CN"/>
              </w:rPr>
              <w:t>－</w:t>
            </w:r>
            <w:r>
              <w:rPr>
                <w:rFonts w:hint="eastAsia" w:cs="Times New Roman"/>
                <w:b/>
                <w:color w:val="auto"/>
                <w:sz w:val="24"/>
                <w:lang w:val="en-US" w:eastAsia="zh-CN"/>
              </w:rPr>
              <w:t>氯气</w:t>
            </w:r>
          </w:p>
          <w:tbl>
            <w:tblPr>
              <w:tblStyle w:val="88"/>
              <w:tblW w:w="839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71"/>
              <w:gridCol w:w="1100"/>
              <w:gridCol w:w="1958"/>
              <w:gridCol w:w="1683"/>
              <w:gridCol w:w="1867"/>
              <w:gridCol w:w="1318"/>
            </w:tblGrid>
            <w:tr w14:paraId="70A56F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1" w:type="dxa"/>
                  <w:vMerge w:val="restart"/>
                  <w:vAlign w:val="center"/>
                </w:tcPr>
                <w:p w14:paraId="028F7659">
                  <w:pPr>
                    <w:jc w:val="center"/>
                    <w:rPr>
                      <w:rFonts w:ascii="Times New Roman" w:hAnsi="Times New Roman" w:cs="Times New Roman"/>
                      <w:snapToGrid w:val="0"/>
                      <w:color w:val="auto"/>
                      <w:szCs w:val="21"/>
                    </w:rPr>
                  </w:pPr>
                  <w:r>
                    <w:rPr>
                      <w:rFonts w:hint="eastAsia" w:cs="Times New Roman"/>
                      <w:snapToGrid w:val="0"/>
                      <w:color w:val="auto"/>
                      <w:szCs w:val="21"/>
                      <w:lang w:eastAsia="zh-CN"/>
                    </w:rPr>
                    <w:t>氯气</w:t>
                  </w:r>
                </w:p>
              </w:tc>
              <w:tc>
                <w:tcPr>
                  <w:tcW w:w="3058" w:type="dxa"/>
                  <w:gridSpan w:val="2"/>
                  <w:vMerge w:val="restart"/>
                  <w:vAlign w:val="center"/>
                </w:tcPr>
                <w:p w14:paraId="22527153">
                  <w:pPr>
                    <w:jc w:val="center"/>
                    <w:rPr>
                      <w:rFonts w:hint="eastAsia" w:ascii="Times New Roman" w:hAnsi="Times New Roman" w:eastAsia="宋体" w:cs="Times New Roman"/>
                      <w:snapToGrid w:val="0"/>
                      <w:color w:val="auto"/>
                      <w:szCs w:val="21"/>
                      <w:lang w:eastAsia="zh-CN"/>
                    </w:rPr>
                  </w:pPr>
                  <w:r>
                    <w:rPr>
                      <w:rFonts w:hint="eastAsia" w:ascii="Times New Roman" w:hAnsi="Times New Roman" w:eastAsia="宋体" w:cs="Times New Roman"/>
                      <w:snapToGrid w:val="0"/>
                      <w:color w:val="auto"/>
                      <w:szCs w:val="21"/>
                      <w:lang w:eastAsia="zh-CN"/>
                    </w:rPr>
                    <w:t>检测时间</w:t>
                  </w:r>
                </w:p>
              </w:tc>
              <w:tc>
                <w:tcPr>
                  <w:tcW w:w="3550" w:type="dxa"/>
                  <w:gridSpan w:val="2"/>
                  <w:vAlign w:val="center"/>
                </w:tcPr>
                <w:p w14:paraId="19486A89">
                  <w:pPr>
                    <w:jc w:val="center"/>
                    <w:rPr>
                      <w:rFonts w:hint="eastAsia" w:ascii="Times New Roman" w:hAnsi="Times New Roman" w:cs="Times New Roman"/>
                      <w:snapToGrid w:val="0"/>
                      <w:color w:val="auto"/>
                      <w:szCs w:val="21"/>
                    </w:rPr>
                  </w:pPr>
                  <w:r>
                    <w:rPr>
                      <w:rFonts w:ascii="Times New Roman" w:hAnsi="Times New Roman" w:cs="Times New Roman"/>
                      <w:b/>
                      <w:bCs/>
                      <w:snapToGrid w:val="0"/>
                      <w:color w:val="auto"/>
                      <w:szCs w:val="21"/>
                    </w:rPr>
                    <w:t>DA001</w:t>
                  </w:r>
                  <w:r>
                    <w:rPr>
                      <w:rFonts w:hint="eastAsia" w:cs="Times New Roman"/>
                      <w:b/>
                      <w:bCs/>
                      <w:snapToGrid w:val="0"/>
                      <w:color w:val="auto"/>
                      <w:szCs w:val="21"/>
                      <w:lang w:eastAsia="zh-CN"/>
                    </w:rPr>
                    <w:t>出口</w:t>
                  </w:r>
                </w:p>
              </w:tc>
              <w:tc>
                <w:tcPr>
                  <w:tcW w:w="1318" w:type="dxa"/>
                  <w:vMerge w:val="restart"/>
                  <w:vAlign w:val="center"/>
                </w:tcPr>
                <w:p w14:paraId="2730F1B7">
                  <w:pPr>
                    <w:jc w:val="center"/>
                    <w:rPr>
                      <w:rFonts w:hint="eastAsia" w:ascii="Times New Roman" w:hAnsi="Times New Roman" w:eastAsia="宋体" w:cs="Times New Roman"/>
                      <w:snapToGrid w:val="0"/>
                      <w:color w:val="auto"/>
                      <w:szCs w:val="21"/>
                      <w:lang w:eastAsia="zh-CN"/>
                    </w:rPr>
                  </w:pPr>
                  <w:r>
                    <w:rPr>
                      <w:rFonts w:hint="eastAsia" w:cs="Times New Roman"/>
                      <w:b/>
                      <w:bCs/>
                      <w:snapToGrid w:val="0"/>
                      <w:color w:val="auto"/>
                      <w:szCs w:val="21"/>
                      <w:lang w:eastAsia="zh-CN"/>
                    </w:rPr>
                    <w:t>排气筒高度</w:t>
                  </w:r>
                </w:p>
              </w:tc>
            </w:tr>
            <w:tr w14:paraId="182AF6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1" w:type="dxa"/>
                  <w:vMerge w:val="continue"/>
                  <w:vAlign w:val="center"/>
                </w:tcPr>
                <w:p w14:paraId="05121854">
                  <w:pPr>
                    <w:jc w:val="center"/>
                    <w:rPr>
                      <w:rFonts w:ascii="Times New Roman" w:hAnsi="Times New Roman" w:cs="Times New Roman"/>
                      <w:snapToGrid w:val="0"/>
                      <w:color w:val="auto"/>
                      <w:szCs w:val="21"/>
                    </w:rPr>
                  </w:pPr>
                </w:p>
              </w:tc>
              <w:tc>
                <w:tcPr>
                  <w:tcW w:w="3058" w:type="dxa"/>
                  <w:gridSpan w:val="2"/>
                  <w:vMerge w:val="continue"/>
                  <w:vAlign w:val="center"/>
                </w:tcPr>
                <w:p w14:paraId="4E1E156B">
                  <w:pPr>
                    <w:jc w:val="center"/>
                    <w:rPr>
                      <w:rFonts w:ascii="Times New Roman" w:hAnsi="Times New Roman" w:cs="Times New Roman"/>
                      <w:snapToGrid w:val="0"/>
                      <w:color w:val="auto"/>
                      <w:szCs w:val="21"/>
                    </w:rPr>
                  </w:pPr>
                </w:p>
              </w:tc>
              <w:tc>
                <w:tcPr>
                  <w:tcW w:w="1683" w:type="dxa"/>
                  <w:vAlign w:val="center"/>
                </w:tcPr>
                <w:p w14:paraId="5927AF47">
                  <w:pPr>
                    <w:jc w:val="center"/>
                    <w:rPr>
                      <w:rFonts w:hint="eastAsia" w:ascii="Times New Roman" w:hAnsi="Times New Roman" w:cs="Times New Roman"/>
                      <w:snapToGrid w:val="0"/>
                      <w:color w:val="auto"/>
                      <w:szCs w:val="21"/>
                    </w:rPr>
                  </w:pPr>
                  <w:r>
                    <w:rPr>
                      <w:rFonts w:ascii="Times New Roman" w:hAnsi="Times New Roman" w:cs="Times New Roman"/>
                      <w:b/>
                      <w:bCs/>
                      <w:snapToGrid w:val="0"/>
                      <w:color w:val="auto"/>
                      <w:szCs w:val="21"/>
                    </w:rPr>
                    <w:t>浓度mg/m</w:t>
                  </w:r>
                  <w:r>
                    <w:rPr>
                      <w:rFonts w:ascii="Times New Roman" w:hAnsi="Times New Roman" w:cs="Times New Roman"/>
                      <w:b/>
                      <w:bCs/>
                      <w:snapToGrid w:val="0"/>
                      <w:color w:val="auto"/>
                      <w:szCs w:val="21"/>
                      <w:vertAlign w:val="superscript"/>
                    </w:rPr>
                    <w:t>3</w:t>
                  </w:r>
                </w:p>
              </w:tc>
              <w:tc>
                <w:tcPr>
                  <w:tcW w:w="1867" w:type="dxa"/>
                  <w:vAlign w:val="center"/>
                </w:tcPr>
                <w:p w14:paraId="2508088A">
                  <w:pPr>
                    <w:jc w:val="center"/>
                    <w:rPr>
                      <w:rFonts w:hint="eastAsia" w:ascii="Times New Roman" w:hAnsi="Times New Roman" w:cs="Times New Roman"/>
                      <w:snapToGrid w:val="0"/>
                      <w:color w:val="auto"/>
                      <w:szCs w:val="21"/>
                    </w:rPr>
                  </w:pPr>
                  <w:r>
                    <w:rPr>
                      <w:rFonts w:ascii="Times New Roman" w:hAnsi="Times New Roman" w:cs="Times New Roman"/>
                      <w:b/>
                      <w:bCs/>
                      <w:snapToGrid w:val="0"/>
                      <w:color w:val="auto"/>
                      <w:szCs w:val="21"/>
                    </w:rPr>
                    <w:t>速率kg/h</w:t>
                  </w:r>
                </w:p>
              </w:tc>
              <w:tc>
                <w:tcPr>
                  <w:tcW w:w="1318" w:type="dxa"/>
                  <w:vMerge w:val="continue"/>
                  <w:vAlign w:val="center"/>
                </w:tcPr>
                <w:p w14:paraId="649C938B">
                  <w:pPr>
                    <w:jc w:val="center"/>
                    <w:rPr>
                      <w:rFonts w:ascii="Times New Roman" w:hAnsi="Times New Roman" w:cs="Times New Roman"/>
                      <w:snapToGrid w:val="0"/>
                      <w:color w:val="auto"/>
                      <w:szCs w:val="21"/>
                    </w:rPr>
                  </w:pPr>
                </w:p>
              </w:tc>
            </w:tr>
            <w:tr w14:paraId="08D720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1" w:type="dxa"/>
                  <w:vMerge w:val="continue"/>
                  <w:vAlign w:val="center"/>
                </w:tcPr>
                <w:p w14:paraId="47EC46DF">
                  <w:pPr>
                    <w:jc w:val="center"/>
                    <w:rPr>
                      <w:rFonts w:ascii="Times New Roman" w:hAnsi="Times New Roman" w:cs="Times New Roman"/>
                      <w:snapToGrid w:val="0"/>
                      <w:color w:val="auto"/>
                      <w:szCs w:val="21"/>
                    </w:rPr>
                  </w:pPr>
                </w:p>
              </w:tc>
              <w:tc>
                <w:tcPr>
                  <w:tcW w:w="1100" w:type="dxa"/>
                  <w:vMerge w:val="restart"/>
                  <w:tcBorders>
                    <w:right w:val="single" w:color="000000" w:sz="12" w:space="0"/>
                  </w:tcBorders>
                  <w:vAlign w:val="center"/>
                </w:tcPr>
                <w:p w14:paraId="438BC419">
                  <w:pPr>
                    <w:jc w:val="center"/>
                    <w:rPr>
                      <w:rFonts w:hint="eastAsia" w:ascii="Times New Roman" w:hAnsi="Times New Roman" w:eastAsia="宋体" w:cs="Times New Roman"/>
                      <w:snapToGrid w:val="0"/>
                      <w:color w:val="auto"/>
                      <w:szCs w:val="21"/>
                      <w:lang w:eastAsia="zh-CN"/>
                    </w:rPr>
                  </w:pPr>
                  <w:r>
                    <w:rPr>
                      <w:rFonts w:hint="eastAsia" w:cs="Times New Roman"/>
                      <w:snapToGrid w:val="0"/>
                      <w:color w:val="auto"/>
                      <w:szCs w:val="21"/>
                      <w:lang w:eastAsia="zh-CN"/>
                    </w:rPr>
                    <w:t>验收监测</w:t>
                  </w:r>
                </w:p>
              </w:tc>
              <w:tc>
                <w:tcPr>
                  <w:tcW w:w="1958" w:type="dxa"/>
                  <w:tcBorders>
                    <w:left w:val="single" w:color="000000" w:sz="12" w:space="0"/>
                  </w:tcBorders>
                  <w:vAlign w:val="center"/>
                </w:tcPr>
                <w:p w14:paraId="21EA2D46">
                  <w:pPr>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202</w:t>
                  </w:r>
                  <w:r>
                    <w:rPr>
                      <w:rFonts w:hint="eastAsia" w:cs="Times New Roman"/>
                      <w:snapToGrid w:val="0"/>
                      <w:color w:val="auto"/>
                      <w:szCs w:val="21"/>
                      <w:lang w:val="en-US" w:eastAsia="zh-CN"/>
                    </w:rPr>
                    <w:t>5.3.14</w:t>
                  </w:r>
                </w:p>
              </w:tc>
              <w:tc>
                <w:tcPr>
                  <w:tcW w:w="1683" w:type="dxa"/>
                  <w:vAlign w:val="center"/>
                </w:tcPr>
                <w:p w14:paraId="717187FA">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0.2-0.3</w:t>
                  </w:r>
                </w:p>
              </w:tc>
              <w:tc>
                <w:tcPr>
                  <w:tcW w:w="1867" w:type="dxa"/>
                  <w:vAlign w:val="center"/>
                </w:tcPr>
                <w:p w14:paraId="3DC7425B">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0.00098-0.00154</w:t>
                  </w:r>
                </w:p>
              </w:tc>
              <w:tc>
                <w:tcPr>
                  <w:tcW w:w="1318" w:type="dxa"/>
                  <w:vMerge w:val="restart"/>
                  <w:vAlign w:val="center"/>
                </w:tcPr>
                <w:p w14:paraId="097F72C3">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25m</w:t>
                  </w:r>
                </w:p>
              </w:tc>
            </w:tr>
            <w:tr w14:paraId="37CC3A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1" w:type="dxa"/>
                  <w:vMerge w:val="continue"/>
                  <w:vAlign w:val="center"/>
                </w:tcPr>
                <w:p w14:paraId="764F3733">
                  <w:pPr>
                    <w:jc w:val="center"/>
                    <w:rPr>
                      <w:rFonts w:ascii="Times New Roman" w:hAnsi="Times New Roman" w:cs="Times New Roman"/>
                      <w:snapToGrid w:val="0"/>
                      <w:color w:val="auto"/>
                      <w:szCs w:val="21"/>
                    </w:rPr>
                  </w:pPr>
                </w:p>
              </w:tc>
              <w:tc>
                <w:tcPr>
                  <w:tcW w:w="1100" w:type="dxa"/>
                  <w:vMerge w:val="continue"/>
                  <w:tcBorders>
                    <w:right w:val="single" w:color="000000" w:sz="12" w:space="0"/>
                  </w:tcBorders>
                  <w:vAlign w:val="center"/>
                </w:tcPr>
                <w:p w14:paraId="3F598903">
                  <w:pPr>
                    <w:jc w:val="center"/>
                    <w:rPr>
                      <w:rFonts w:hint="eastAsia" w:ascii="Times New Roman" w:hAnsi="Times New Roman" w:eastAsia="宋体" w:cs="Times New Roman"/>
                      <w:snapToGrid w:val="0"/>
                      <w:color w:val="auto"/>
                      <w:kern w:val="2"/>
                      <w:sz w:val="21"/>
                      <w:szCs w:val="21"/>
                      <w:lang w:val="en-US" w:eastAsia="zh-CN" w:bidi="ar-SA"/>
                    </w:rPr>
                  </w:pPr>
                </w:p>
              </w:tc>
              <w:tc>
                <w:tcPr>
                  <w:tcW w:w="1958" w:type="dxa"/>
                  <w:tcBorders>
                    <w:left w:val="single" w:color="000000" w:sz="12" w:space="0"/>
                  </w:tcBorders>
                  <w:vAlign w:val="center"/>
                </w:tcPr>
                <w:p w14:paraId="7A05C895">
                  <w:pPr>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202</w:t>
                  </w:r>
                  <w:r>
                    <w:rPr>
                      <w:rFonts w:hint="eastAsia" w:cs="Times New Roman"/>
                      <w:snapToGrid w:val="0"/>
                      <w:color w:val="auto"/>
                      <w:szCs w:val="21"/>
                      <w:lang w:val="en-US" w:eastAsia="zh-CN"/>
                    </w:rPr>
                    <w:t>5.3.15</w:t>
                  </w:r>
                </w:p>
              </w:tc>
              <w:tc>
                <w:tcPr>
                  <w:tcW w:w="1683" w:type="dxa"/>
                  <w:vAlign w:val="center"/>
                </w:tcPr>
                <w:p w14:paraId="219D2919">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0.2-0.4</w:t>
                  </w:r>
                </w:p>
              </w:tc>
              <w:tc>
                <w:tcPr>
                  <w:tcW w:w="1867" w:type="dxa"/>
                  <w:vAlign w:val="center"/>
                </w:tcPr>
                <w:p w14:paraId="28015E2C">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0.000962-0.00192</w:t>
                  </w:r>
                </w:p>
              </w:tc>
              <w:tc>
                <w:tcPr>
                  <w:tcW w:w="1318" w:type="dxa"/>
                  <w:vMerge w:val="continue"/>
                  <w:vAlign w:val="center"/>
                </w:tcPr>
                <w:p w14:paraId="08B37F39">
                  <w:pPr>
                    <w:jc w:val="center"/>
                    <w:rPr>
                      <w:rFonts w:ascii="Times New Roman" w:hAnsi="Times New Roman" w:cs="Times New Roman"/>
                      <w:snapToGrid w:val="0"/>
                      <w:color w:val="auto"/>
                      <w:szCs w:val="21"/>
                    </w:rPr>
                  </w:pPr>
                </w:p>
              </w:tc>
            </w:tr>
            <w:tr w14:paraId="4D15E5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1" w:type="dxa"/>
                  <w:vMerge w:val="continue"/>
                  <w:vAlign w:val="center"/>
                </w:tcPr>
                <w:p w14:paraId="66696549">
                  <w:pPr>
                    <w:jc w:val="center"/>
                    <w:rPr>
                      <w:rFonts w:ascii="Times New Roman" w:hAnsi="Times New Roman" w:cs="Times New Roman"/>
                      <w:snapToGrid w:val="0"/>
                      <w:color w:val="auto"/>
                      <w:szCs w:val="21"/>
                    </w:rPr>
                  </w:pPr>
                </w:p>
              </w:tc>
              <w:tc>
                <w:tcPr>
                  <w:tcW w:w="1100" w:type="dxa"/>
                  <w:vAlign w:val="center"/>
                </w:tcPr>
                <w:p w14:paraId="2E8888B1">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例行监测</w:t>
                  </w:r>
                </w:p>
              </w:tc>
              <w:tc>
                <w:tcPr>
                  <w:tcW w:w="1958" w:type="dxa"/>
                  <w:vAlign w:val="center"/>
                </w:tcPr>
                <w:p w14:paraId="4E5D597C">
                  <w:pPr>
                    <w:jc w:val="center"/>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2025.06.09</w:t>
                  </w:r>
                </w:p>
              </w:tc>
              <w:tc>
                <w:tcPr>
                  <w:tcW w:w="1683" w:type="dxa"/>
                  <w:vAlign w:val="center"/>
                </w:tcPr>
                <w:p w14:paraId="156DFBCF">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0.3</w:t>
                  </w:r>
                </w:p>
              </w:tc>
              <w:tc>
                <w:tcPr>
                  <w:tcW w:w="1867" w:type="dxa"/>
                  <w:vAlign w:val="center"/>
                </w:tcPr>
                <w:p w14:paraId="067DCD58">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0.000774-0.000892</w:t>
                  </w:r>
                </w:p>
              </w:tc>
              <w:tc>
                <w:tcPr>
                  <w:tcW w:w="1318" w:type="dxa"/>
                  <w:vMerge w:val="continue"/>
                  <w:vAlign w:val="center"/>
                </w:tcPr>
                <w:p w14:paraId="34AC4CDB">
                  <w:pPr>
                    <w:jc w:val="center"/>
                    <w:rPr>
                      <w:rFonts w:ascii="Times New Roman" w:hAnsi="Times New Roman" w:cs="Times New Roman"/>
                      <w:snapToGrid w:val="0"/>
                      <w:color w:val="auto"/>
                      <w:szCs w:val="21"/>
                    </w:rPr>
                  </w:pPr>
                </w:p>
              </w:tc>
            </w:tr>
            <w:tr w14:paraId="1640B7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1" w:type="dxa"/>
                  <w:vMerge w:val="continue"/>
                  <w:vAlign w:val="center"/>
                </w:tcPr>
                <w:p w14:paraId="4CC992FF">
                  <w:pPr>
                    <w:jc w:val="center"/>
                    <w:rPr>
                      <w:rFonts w:ascii="Times New Roman" w:hAnsi="Times New Roman" w:cs="Times New Roman"/>
                      <w:snapToGrid w:val="0"/>
                      <w:color w:val="auto"/>
                      <w:szCs w:val="21"/>
                    </w:rPr>
                  </w:pPr>
                </w:p>
              </w:tc>
              <w:tc>
                <w:tcPr>
                  <w:tcW w:w="1100" w:type="dxa"/>
                  <w:shd w:val="clear" w:color="auto" w:fill="auto"/>
                  <w:vAlign w:val="center"/>
                </w:tcPr>
                <w:p w14:paraId="5F51200E">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例行监测</w:t>
                  </w:r>
                </w:p>
              </w:tc>
              <w:tc>
                <w:tcPr>
                  <w:tcW w:w="1958" w:type="dxa"/>
                  <w:shd w:val="clear" w:color="auto" w:fill="auto"/>
                  <w:vAlign w:val="center"/>
                </w:tcPr>
                <w:p w14:paraId="1D9BDE24">
                  <w:pPr>
                    <w:jc w:val="center"/>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2025.08.24</w:t>
                  </w:r>
                </w:p>
              </w:tc>
              <w:tc>
                <w:tcPr>
                  <w:tcW w:w="1683" w:type="dxa"/>
                  <w:vAlign w:val="center"/>
                </w:tcPr>
                <w:p w14:paraId="07A66DB8">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0.2-0.3</w:t>
                  </w:r>
                </w:p>
              </w:tc>
              <w:tc>
                <w:tcPr>
                  <w:tcW w:w="1867" w:type="dxa"/>
                  <w:vAlign w:val="center"/>
                </w:tcPr>
                <w:p w14:paraId="12CCF30A">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0.000523-0.000786</w:t>
                  </w:r>
                </w:p>
              </w:tc>
              <w:tc>
                <w:tcPr>
                  <w:tcW w:w="1318" w:type="dxa"/>
                  <w:vMerge w:val="continue"/>
                  <w:vAlign w:val="center"/>
                </w:tcPr>
                <w:p w14:paraId="73F43697">
                  <w:pPr>
                    <w:jc w:val="center"/>
                    <w:rPr>
                      <w:rFonts w:ascii="Times New Roman" w:hAnsi="Times New Roman" w:cs="Times New Roman"/>
                      <w:snapToGrid w:val="0"/>
                      <w:color w:val="auto"/>
                      <w:szCs w:val="21"/>
                    </w:rPr>
                  </w:pPr>
                </w:p>
              </w:tc>
            </w:tr>
            <w:tr w14:paraId="646E95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1" w:type="dxa"/>
                  <w:vMerge w:val="continue"/>
                  <w:vAlign w:val="center"/>
                </w:tcPr>
                <w:p w14:paraId="2E9995A4">
                  <w:pPr>
                    <w:jc w:val="center"/>
                    <w:rPr>
                      <w:rFonts w:ascii="Times New Roman" w:hAnsi="Times New Roman" w:cs="Times New Roman"/>
                      <w:snapToGrid w:val="0"/>
                      <w:color w:val="auto"/>
                      <w:szCs w:val="21"/>
                    </w:rPr>
                  </w:pPr>
                </w:p>
              </w:tc>
              <w:tc>
                <w:tcPr>
                  <w:tcW w:w="1100" w:type="dxa"/>
                  <w:shd w:val="clear" w:color="auto" w:fill="auto"/>
                  <w:vAlign w:val="center"/>
                </w:tcPr>
                <w:p w14:paraId="699ED925">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例行监测</w:t>
                  </w:r>
                </w:p>
              </w:tc>
              <w:tc>
                <w:tcPr>
                  <w:tcW w:w="1958" w:type="dxa"/>
                  <w:shd w:val="clear" w:color="auto" w:fill="auto"/>
                  <w:vAlign w:val="center"/>
                </w:tcPr>
                <w:p w14:paraId="6264E0AB">
                  <w:pPr>
                    <w:jc w:val="center"/>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2025.11.17</w:t>
                  </w:r>
                </w:p>
              </w:tc>
              <w:tc>
                <w:tcPr>
                  <w:tcW w:w="1683" w:type="dxa"/>
                  <w:vAlign w:val="center"/>
                </w:tcPr>
                <w:p w14:paraId="134CF18D">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0.2-0.3</w:t>
                  </w:r>
                </w:p>
              </w:tc>
              <w:tc>
                <w:tcPr>
                  <w:tcW w:w="1867" w:type="dxa"/>
                  <w:vAlign w:val="center"/>
                </w:tcPr>
                <w:p w14:paraId="5E59A21B">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0.00694-0.00834</w:t>
                  </w:r>
                </w:p>
              </w:tc>
              <w:tc>
                <w:tcPr>
                  <w:tcW w:w="1318" w:type="dxa"/>
                  <w:vMerge w:val="continue"/>
                  <w:vAlign w:val="center"/>
                </w:tcPr>
                <w:p w14:paraId="205DDECD">
                  <w:pPr>
                    <w:jc w:val="center"/>
                    <w:rPr>
                      <w:rFonts w:ascii="Times New Roman" w:hAnsi="Times New Roman" w:cs="Times New Roman"/>
                      <w:snapToGrid w:val="0"/>
                      <w:color w:val="auto"/>
                      <w:szCs w:val="21"/>
                    </w:rPr>
                  </w:pPr>
                </w:p>
              </w:tc>
            </w:tr>
            <w:tr w14:paraId="4A4FA6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71" w:type="dxa"/>
                  <w:gridSpan w:val="2"/>
                  <w:vAlign w:val="center"/>
                </w:tcPr>
                <w:p w14:paraId="6DE0161F">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执行标准</w:t>
                  </w:r>
                </w:p>
              </w:tc>
              <w:tc>
                <w:tcPr>
                  <w:tcW w:w="1958" w:type="dxa"/>
                  <w:vAlign w:val="center"/>
                </w:tcPr>
                <w:p w14:paraId="20859C91">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w:t>
                  </w:r>
                </w:p>
              </w:tc>
              <w:tc>
                <w:tcPr>
                  <w:tcW w:w="1683" w:type="dxa"/>
                  <w:vAlign w:val="center"/>
                </w:tcPr>
                <w:p w14:paraId="28A5E815">
                  <w:pPr>
                    <w:jc w:val="center"/>
                    <w:rPr>
                      <w:rFonts w:hint="eastAsia" w:ascii="Times New Roman" w:hAnsi="Times New Roman" w:eastAsia="宋体" w:cs="Times New Roman"/>
                      <w:snapToGrid w:val="0"/>
                      <w:color w:val="auto"/>
                      <w:szCs w:val="21"/>
                      <w:lang w:eastAsia="zh-CN"/>
                    </w:rPr>
                  </w:pPr>
                  <w:r>
                    <w:rPr>
                      <w:rFonts w:hint="eastAsia" w:cs="Times New Roman"/>
                      <w:snapToGrid w:val="0"/>
                      <w:color w:val="auto"/>
                      <w:szCs w:val="21"/>
                      <w:lang w:val="en-US" w:eastAsia="zh-CN"/>
                    </w:rPr>
                    <w:t>3</w:t>
                  </w:r>
                </w:p>
              </w:tc>
              <w:tc>
                <w:tcPr>
                  <w:tcW w:w="1867" w:type="dxa"/>
                  <w:vAlign w:val="center"/>
                </w:tcPr>
                <w:p w14:paraId="6D1580CE">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0.072</w:t>
                  </w:r>
                </w:p>
              </w:tc>
              <w:tc>
                <w:tcPr>
                  <w:tcW w:w="1318" w:type="dxa"/>
                  <w:vMerge w:val="continue"/>
                  <w:vAlign w:val="center"/>
                </w:tcPr>
                <w:p w14:paraId="1B04503F">
                  <w:pPr>
                    <w:jc w:val="center"/>
                    <w:rPr>
                      <w:rFonts w:ascii="Times New Roman" w:hAnsi="Times New Roman" w:cs="Times New Roman"/>
                      <w:snapToGrid w:val="0"/>
                      <w:color w:val="auto"/>
                      <w:szCs w:val="21"/>
                    </w:rPr>
                  </w:pPr>
                </w:p>
              </w:tc>
            </w:tr>
            <w:tr w14:paraId="1AD062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71" w:type="dxa"/>
                  <w:gridSpan w:val="2"/>
                  <w:vAlign w:val="center"/>
                </w:tcPr>
                <w:p w14:paraId="1A8EC5E1">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标准来源</w:t>
                  </w:r>
                </w:p>
              </w:tc>
              <w:tc>
                <w:tcPr>
                  <w:tcW w:w="6826" w:type="dxa"/>
                  <w:gridSpan w:val="4"/>
                  <w:vAlign w:val="center"/>
                </w:tcPr>
                <w:p w14:paraId="0B2E311A">
                  <w:pPr>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《大气污染物综合排放标准》</w:t>
                  </w:r>
                  <w:r>
                    <w:rPr>
                      <w:rFonts w:hint="eastAsia" w:cs="Times New Roman"/>
                      <w:snapToGrid w:val="0"/>
                      <w:color w:val="auto"/>
                      <w:szCs w:val="21"/>
                      <w:lang w:eastAsia="zh-CN"/>
                    </w:rPr>
                    <w:t>（</w:t>
                  </w:r>
                  <w:r>
                    <w:rPr>
                      <w:rFonts w:ascii="Times New Roman" w:hAnsi="Times New Roman" w:cs="Times New Roman"/>
                      <w:snapToGrid w:val="0"/>
                      <w:color w:val="auto"/>
                      <w:szCs w:val="21"/>
                    </w:rPr>
                    <w:t>DB32/4041-2021</w:t>
                  </w:r>
                  <w:r>
                    <w:rPr>
                      <w:rFonts w:hint="eastAsia" w:cs="Times New Roman"/>
                      <w:snapToGrid w:val="0"/>
                      <w:color w:val="auto"/>
                      <w:szCs w:val="21"/>
                      <w:lang w:eastAsia="zh-CN"/>
                    </w:rPr>
                    <w:t>）</w:t>
                  </w:r>
                  <w:r>
                    <w:rPr>
                      <w:rFonts w:ascii="Times New Roman" w:hAnsi="Times New Roman" w:cs="Times New Roman"/>
                      <w:snapToGrid w:val="0"/>
                      <w:color w:val="auto"/>
                      <w:szCs w:val="21"/>
                    </w:rPr>
                    <w:t>表1</w:t>
                  </w:r>
                  <w:r>
                    <w:rPr>
                      <w:rFonts w:hint="eastAsia" w:ascii="Times New Roman" w:hAnsi="Times New Roman" w:cs="Times New Roman"/>
                      <w:snapToGrid w:val="0"/>
                      <w:color w:val="auto"/>
                      <w:szCs w:val="21"/>
                    </w:rPr>
                    <w:t>标准限值</w:t>
                  </w:r>
                </w:p>
              </w:tc>
            </w:tr>
            <w:tr w14:paraId="22C8B0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71" w:type="dxa"/>
                  <w:gridSpan w:val="2"/>
                  <w:vAlign w:val="center"/>
                </w:tcPr>
                <w:p w14:paraId="2D11D618">
                  <w:pPr>
                    <w:jc w:val="center"/>
                    <w:rPr>
                      <w:color w:val="auto"/>
                    </w:rPr>
                  </w:pPr>
                  <w:r>
                    <w:rPr>
                      <w:rFonts w:hint="eastAsia" w:ascii="Times New Roman" w:hAnsi="Times New Roman" w:cs="Times New Roman"/>
                      <w:snapToGrid w:val="0"/>
                      <w:color w:val="auto"/>
                      <w:szCs w:val="21"/>
                    </w:rPr>
                    <w:t>达标情况</w:t>
                  </w:r>
                </w:p>
              </w:tc>
              <w:tc>
                <w:tcPr>
                  <w:tcW w:w="6826" w:type="dxa"/>
                  <w:gridSpan w:val="4"/>
                  <w:vAlign w:val="center"/>
                </w:tcPr>
                <w:p w14:paraId="1B940C59">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达标</w:t>
                  </w:r>
                </w:p>
              </w:tc>
            </w:tr>
          </w:tbl>
          <w:p w14:paraId="0DE0D9A7">
            <w:pPr>
              <w:keepNext w:val="0"/>
              <w:keepLines w:val="0"/>
              <w:pageBreakBefore w:val="0"/>
              <w:widowControl w:val="0"/>
              <w:kinsoku/>
              <w:wordWrap/>
              <w:overflowPunct/>
              <w:topLinePunct w:val="0"/>
              <w:autoSpaceDE/>
              <w:autoSpaceDN/>
              <w:bidi w:val="0"/>
              <w:adjustRightInd w:val="0"/>
              <w:snapToGrid w:val="0"/>
              <w:spacing w:before="157" w:beforeLines="50"/>
              <w:ind w:firstLine="482" w:firstLineChars="200"/>
              <w:jc w:val="center"/>
              <w:textAlignment w:val="auto"/>
              <w:rPr>
                <w:rFonts w:hint="eastAsia" w:ascii="Times New Roman" w:hAnsi="Times New Roman" w:eastAsia="宋体" w:cs="Times New Roman"/>
                <w:b/>
                <w:color w:val="auto"/>
                <w:sz w:val="24"/>
                <w:lang w:val="en-US" w:eastAsia="zh-CN"/>
              </w:rPr>
            </w:pPr>
            <w:r>
              <w:rPr>
                <w:rFonts w:ascii="Times New Roman" w:hAnsi="Times New Roman" w:cs="Times New Roman"/>
                <w:b/>
                <w:color w:val="auto"/>
                <w:sz w:val="24"/>
              </w:rPr>
              <w:t>表2-</w:t>
            </w:r>
            <w:r>
              <w:rPr>
                <w:rFonts w:hint="eastAsia" w:cs="Times New Roman"/>
                <w:b/>
                <w:color w:val="auto"/>
                <w:sz w:val="24"/>
                <w:lang w:val="en-US" w:eastAsia="zh-CN"/>
              </w:rPr>
              <w:t>12</w:t>
            </w:r>
            <w:r>
              <w:rPr>
                <w:rFonts w:ascii="Times New Roman" w:hAnsi="Times New Roman" w:cs="Times New Roman"/>
                <w:b/>
                <w:color w:val="auto"/>
                <w:sz w:val="24"/>
              </w:rPr>
              <w:t xml:space="preserve"> </w:t>
            </w:r>
            <w:r>
              <w:rPr>
                <w:rFonts w:hint="eastAsia" w:ascii="Times New Roman" w:hAnsi="Times New Roman" w:cs="Times New Roman"/>
                <w:b/>
                <w:color w:val="auto"/>
                <w:sz w:val="24"/>
              </w:rPr>
              <w:t xml:space="preserve"> </w:t>
            </w:r>
            <w:r>
              <w:rPr>
                <w:rFonts w:ascii="Times New Roman" w:hAnsi="Times New Roman" w:cs="Times New Roman"/>
                <w:b/>
                <w:color w:val="auto"/>
                <w:sz w:val="24"/>
              </w:rPr>
              <w:t>DA001废气监测结果</w:t>
            </w:r>
            <w:r>
              <w:rPr>
                <w:rFonts w:hint="eastAsia" w:cs="Times New Roman"/>
                <w:b/>
                <w:color w:val="auto"/>
                <w:sz w:val="24"/>
                <w:lang w:eastAsia="zh-CN"/>
              </w:rPr>
              <w:t>－</w:t>
            </w:r>
            <w:r>
              <w:rPr>
                <w:rFonts w:hint="eastAsia" w:cs="Times New Roman"/>
                <w:b/>
                <w:color w:val="auto"/>
                <w:sz w:val="24"/>
                <w:lang w:val="en-US" w:eastAsia="zh-CN"/>
              </w:rPr>
              <w:t>氯化氢</w:t>
            </w:r>
          </w:p>
          <w:tbl>
            <w:tblPr>
              <w:tblStyle w:val="88"/>
              <w:tblW w:w="839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37"/>
              <w:gridCol w:w="1446"/>
              <w:gridCol w:w="1446"/>
              <w:gridCol w:w="1683"/>
              <w:gridCol w:w="1867"/>
              <w:gridCol w:w="1318"/>
            </w:tblGrid>
            <w:tr w14:paraId="0F86DA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3" w:hRule="atLeast"/>
                <w:jc w:val="center"/>
              </w:trPr>
              <w:tc>
                <w:tcPr>
                  <w:tcW w:w="637" w:type="dxa"/>
                  <w:vMerge w:val="restart"/>
                  <w:vAlign w:val="center"/>
                </w:tcPr>
                <w:p w14:paraId="6313D5A0">
                  <w:pPr>
                    <w:jc w:val="center"/>
                    <w:rPr>
                      <w:rFonts w:ascii="Times New Roman" w:hAnsi="Times New Roman" w:cs="Times New Roman"/>
                      <w:b/>
                      <w:bCs/>
                      <w:snapToGrid w:val="0"/>
                      <w:color w:val="auto"/>
                      <w:szCs w:val="21"/>
                    </w:rPr>
                  </w:pPr>
                  <w:r>
                    <w:rPr>
                      <w:rFonts w:ascii="Times New Roman" w:hAnsi="Times New Roman" w:cs="Times New Roman"/>
                      <w:b/>
                      <w:bCs/>
                      <w:snapToGrid w:val="0"/>
                      <w:color w:val="auto"/>
                      <w:szCs w:val="21"/>
                    </w:rPr>
                    <w:t>检测项目</w:t>
                  </w:r>
                </w:p>
              </w:tc>
              <w:tc>
                <w:tcPr>
                  <w:tcW w:w="2892" w:type="dxa"/>
                  <w:gridSpan w:val="2"/>
                  <w:vMerge w:val="restart"/>
                  <w:vAlign w:val="center"/>
                </w:tcPr>
                <w:p w14:paraId="486D2330">
                  <w:pPr>
                    <w:jc w:val="center"/>
                    <w:rPr>
                      <w:rFonts w:ascii="Times New Roman" w:hAnsi="Times New Roman" w:cs="Times New Roman"/>
                      <w:b/>
                      <w:bCs/>
                      <w:snapToGrid w:val="0"/>
                      <w:color w:val="auto"/>
                      <w:szCs w:val="21"/>
                    </w:rPr>
                  </w:pPr>
                  <w:r>
                    <w:rPr>
                      <w:rFonts w:ascii="Times New Roman" w:hAnsi="Times New Roman" w:cs="Times New Roman"/>
                      <w:b/>
                      <w:bCs/>
                      <w:snapToGrid w:val="0"/>
                      <w:color w:val="auto"/>
                      <w:szCs w:val="21"/>
                    </w:rPr>
                    <w:t>检测时间</w:t>
                  </w:r>
                </w:p>
              </w:tc>
              <w:tc>
                <w:tcPr>
                  <w:tcW w:w="3550" w:type="dxa"/>
                  <w:gridSpan w:val="2"/>
                  <w:vAlign w:val="center"/>
                </w:tcPr>
                <w:p w14:paraId="00CF60F0">
                  <w:pPr>
                    <w:jc w:val="center"/>
                    <w:rPr>
                      <w:rFonts w:hint="default" w:ascii="Times New Roman" w:hAnsi="Times New Roman" w:eastAsia="宋体" w:cs="Times New Roman"/>
                      <w:b/>
                      <w:bCs/>
                      <w:snapToGrid w:val="0"/>
                      <w:color w:val="auto"/>
                      <w:szCs w:val="21"/>
                      <w:lang w:val="en-US" w:eastAsia="zh-CN"/>
                    </w:rPr>
                  </w:pPr>
                  <w:r>
                    <w:rPr>
                      <w:rFonts w:ascii="Times New Roman" w:hAnsi="Times New Roman" w:cs="Times New Roman"/>
                      <w:b/>
                      <w:bCs/>
                      <w:snapToGrid w:val="0"/>
                      <w:color w:val="auto"/>
                      <w:szCs w:val="21"/>
                    </w:rPr>
                    <w:t>DA001</w:t>
                  </w:r>
                  <w:r>
                    <w:rPr>
                      <w:rFonts w:hint="eastAsia" w:cs="Times New Roman"/>
                      <w:b/>
                      <w:bCs/>
                      <w:snapToGrid w:val="0"/>
                      <w:color w:val="auto"/>
                      <w:szCs w:val="21"/>
                      <w:lang w:eastAsia="zh-CN"/>
                    </w:rPr>
                    <w:t>出口</w:t>
                  </w:r>
                </w:p>
              </w:tc>
              <w:tc>
                <w:tcPr>
                  <w:tcW w:w="1318" w:type="dxa"/>
                  <w:vAlign w:val="center"/>
                </w:tcPr>
                <w:p w14:paraId="5A146E46">
                  <w:pPr>
                    <w:jc w:val="center"/>
                    <w:rPr>
                      <w:rFonts w:ascii="Times New Roman" w:hAnsi="Times New Roman" w:cs="Times New Roman"/>
                      <w:b/>
                      <w:bCs/>
                      <w:snapToGrid w:val="0"/>
                      <w:color w:val="auto"/>
                      <w:szCs w:val="21"/>
                    </w:rPr>
                  </w:pPr>
                  <w:r>
                    <w:rPr>
                      <w:rFonts w:hint="eastAsia" w:ascii="Times New Roman" w:hAnsi="Times New Roman" w:cs="Times New Roman"/>
                      <w:b/>
                      <w:bCs/>
                      <w:snapToGrid w:val="0"/>
                      <w:color w:val="auto"/>
                      <w:szCs w:val="21"/>
                    </w:rPr>
                    <w:t>排气筒高度</w:t>
                  </w:r>
                </w:p>
              </w:tc>
            </w:tr>
            <w:tr w14:paraId="76B3F9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7" w:type="dxa"/>
                  <w:vMerge w:val="continue"/>
                  <w:vAlign w:val="center"/>
                </w:tcPr>
                <w:p w14:paraId="3EDEC61B">
                  <w:pPr>
                    <w:jc w:val="center"/>
                    <w:rPr>
                      <w:rFonts w:ascii="Times New Roman" w:hAnsi="Times New Roman" w:cs="Times New Roman"/>
                      <w:b/>
                      <w:bCs/>
                      <w:snapToGrid w:val="0"/>
                      <w:color w:val="auto"/>
                      <w:szCs w:val="21"/>
                    </w:rPr>
                  </w:pPr>
                </w:p>
              </w:tc>
              <w:tc>
                <w:tcPr>
                  <w:tcW w:w="2892" w:type="dxa"/>
                  <w:gridSpan w:val="2"/>
                  <w:vMerge w:val="continue"/>
                  <w:vAlign w:val="center"/>
                </w:tcPr>
                <w:p w14:paraId="3EC33CD9">
                  <w:pPr>
                    <w:jc w:val="center"/>
                    <w:rPr>
                      <w:rFonts w:ascii="Times New Roman" w:hAnsi="Times New Roman" w:cs="Times New Roman"/>
                      <w:b/>
                      <w:bCs/>
                      <w:snapToGrid w:val="0"/>
                      <w:color w:val="auto"/>
                      <w:szCs w:val="21"/>
                    </w:rPr>
                  </w:pPr>
                </w:p>
              </w:tc>
              <w:tc>
                <w:tcPr>
                  <w:tcW w:w="1683" w:type="dxa"/>
                  <w:vAlign w:val="center"/>
                </w:tcPr>
                <w:p w14:paraId="269BE01D">
                  <w:pPr>
                    <w:jc w:val="center"/>
                    <w:rPr>
                      <w:rFonts w:ascii="Times New Roman" w:hAnsi="Times New Roman" w:cs="Times New Roman"/>
                      <w:b/>
                      <w:bCs/>
                      <w:snapToGrid w:val="0"/>
                      <w:color w:val="auto"/>
                      <w:szCs w:val="21"/>
                    </w:rPr>
                  </w:pPr>
                  <w:r>
                    <w:rPr>
                      <w:rFonts w:ascii="Times New Roman" w:hAnsi="Times New Roman" w:cs="Times New Roman"/>
                      <w:b/>
                      <w:bCs/>
                      <w:snapToGrid w:val="0"/>
                      <w:color w:val="auto"/>
                      <w:szCs w:val="21"/>
                    </w:rPr>
                    <w:t>浓度mg/m</w:t>
                  </w:r>
                  <w:r>
                    <w:rPr>
                      <w:rFonts w:ascii="Times New Roman" w:hAnsi="Times New Roman" w:cs="Times New Roman"/>
                      <w:b/>
                      <w:bCs/>
                      <w:snapToGrid w:val="0"/>
                      <w:color w:val="auto"/>
                      <w:szCs w:val="21"/>
                      <w:vertAlign w:val="superscript"/>
                    </w:rPr>
                    <w:t>3</w:t>
                  </w:r>
                </w:p>
              </w:tc>
              <w:tc>
                <w:tcPr>
                  <w:tcW w:w="1867" w:type="dxa"/>
                  <w:vAlign w:val="center"/>
                </w:tcPr>
                <w:p w14:paraId="0DA827D7">
                  <w:pPr>
                    <w:jc w:val="center"/>
                    <w:rPr>
                      <w:rFonts w:ascii="Times New Roman" w:hAnsi="Times New Roman" w:cs="Times New Roman"/>
                      <w:b/>
                      <w:bCs/>
                      <w:snapToGrid w:val="0"/>
                      <w:color w:val="auto"/>
                      <w:szCs w:val="21"/>
                    </w:rPr>
                  </w:pPr>
                  <w:r>
                    <w:rPr>
                      <w:rFonts w:ascii="Times New Roman" w:hAnsi="Times New Roman" w:cs="Times New Roman"/>
                      <w:b/>
                      <w:bCs/>
                      <w:snapToGrid w:val="0"/>
                      <w:color w:val="auto"/>
                      <w:szCs w:val="21"/>
                    </w:rPr>
                    <w:t>速率kg/h</w:t>
                  </w:r>
                </w:p>
              </w:tc>
              <w:tc>
                <w:tcPr>
                  <w:tcW w:w="1318" w:type="dxa"/>
                  <w:vMerge w:val="restart"/>
                  <w:vAlign w:val="center"/>
                </w:tcPr>
                <w:p w14:paraId="7C122E50">
                  <w:pPr>
                    <w:jc w:val="center"/>
                    <w:rPr>
                      <w:rFonts w:ascii="Times New Roman" w:hAnsi="Times New Roman" w:cs="Times New Roman"/>
                      <w:b/>
                      <w:bCs/>
                      <w:snapToGrid w:val="0"/>
                      <w:color w:val="auto"/>
                      <w:szCs w:val="21"/>
                    </w:rPr>
                  </w:pPr>
                  <w:r>
                    <w:rPr>
                      <w:rFonts w:hint="eastAsia" w:cs="Times New Roman"/>
                      <w:b/>
                      <w:bCs/>
                      <w:snapToGrid w:val="0"/>
                      <w:color w:val="auto"/>
                      <w:szCs w:val="21"/>
                      <w:lang w:val="en-US" w:eastAsia="zh-CN"/>
                    </w:rPr>
                    <w:t>25</w:t>
                  </w:r>
                  <w:r>
                    <w:rPr>
                      <w:rFonts w:hint="eastAsia" w:ascii="Times New Roman" w:hAnsi="Times New Roman" w:cs="Times New Roman"/>
                      <w:b/>
                      <w:bCs/>
                      <w:snapToGrid w:val="0"/>
                      <w:color w:val="auto"/>
                      <w:szCs w:val="21"/>
                    </w:rPr>
                    <w:t>m</w:t>
                  </w:r>
                </w:p>
              </w:tc>
            </w:tr>
            <w:tr w14:paraId="5E657D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7" w:type="dxa"/>
                  <w:vMerge w:val="restart"/>
                  <w:vAlign w:val="center"/>
                </w:tcPr>
                <w:p w14:paraId="4C03CE96">
                  <w:pPr>
                    <w:jc w:val="both"/>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氯化氢</w:t>
                  </w:r>
                </w:p>
              </w:tc>
              <w:tc>
                <w:tcPr>
                  <w:tcW w:w="1446" w:type="dxa"/>
                  <w:vMerge w:val="restart"/>
                  <w:vAlign w:val="center"/>
                </w:tcPr>
                <w:p w14:paraId="68D25106">
                  <w:pPr>
                    <w:jc w:val="center"/>
                    <w:rPr>
                      <w:rFonts w:hint="eastAsia" w:ascii="Times New Roman" w:hAnsi="Times New Roman" w:eastAsia="宋体" w:cs="Times New Roman"/>
                      <w:snapToGrid w:val="0"/>
                      <w:color w:val="auto"/>
                      <w:szCs w:val="21"/>
                      <w:lang w:eastAsia="zh-CN"/>
                    </w:rPr>
                  </w:pPr>
                  <w:r>
                    <w:rPr>
                      <w:rFonts w:hint="eastAsia" w:cs="Times New Roman"/>
                      <w:snapToGrid w:val="0"/>
                      <w:color w:val="auto"/>
                      <w:szCs w:val="21"/>
                      <w:lang w:eastAsia="zh-CN"/>
                    </w:rPr>
                    <w:t>验收监测</w:t>
                  </w:r>
                </w:p>
              </w:tc>
              <w:tc>
                <w:tcPr>
                  <w:tcW w:w="1446" w:type="dxa"/>
                  <w:vAlign w:val="center"/>
                </w:tcPr>
                <w:p w14:paraId="106255B5">
                  <w:pPr>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202</w:t>
                  </w:r>
                  <w:r>
                    <w:rPr>
                      <w:rFonts w:hint="eastAsia" w:cs="Times New Roman"/>
                      <w:snapToGrid w:val="0"/>
                      <w:color w:val="auto"/>
                      <w:szCs w:val="21"/>
                      <w:lang w:val="en-US" w:eastAsia="zh-CN"/>
                    </w:rPr>
                    <w:t>5.3.14</w:t>
                  </w:r>
                </w:p>
              </w:tc>
              <w:tc>
                <w:tcPr>
                  <w:tcW w:w="1683" w:type="dxa"/>
                  <w:vAlign w:val="center"/>
                </w:tcPr>
                <w:p w14:paraId="43BB1595">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ND</w:t>
                  </w:r>
                </w:p>
              </w:tc>
              <w:tc>
                <w:tcPr>
                  <w:tcW w:w="1867" w:type="dxa"/>
                  <w:vAlign w:val="center"/>
                </w:tcPr>
                <w:p w14:paraId="1BF72A21">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w:t>
                  </w:r>
                </w:p>
              </w:tc>
              <w:tc>
                <w:tcPr>
                  <w:tcW w:w="1318" w:type="dxa"/>
                  <w:vMerge w:val="continue"/>
                  <w:vAlign w:val="center"/>
                </w:tcPr>
                <w:p w14:paraId="2D072B06">
                  <w:pPr>
                    <w:adjustRightInd w:val="0"/>
                    <w:snapToGrid w:val="0"/>
                    <w:jc w:val="center"/>
                    <w:rPr>
                      <w:rFonts w:ascii="Times New Roman" w:hAnsi="Times New Roman" w:cs="Times New Roman"/>
                      <w:snapToGrid w:val="0"/>
                      <w:color w:val="auto"/>
                      <w:szCs w:val="21"/>
                    </w:rPr>
                  </w:pPr>
                </w:p>
              </w:tc>
            </w:tr>
            <w:tr w14:paraId="61A47E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7" w:type="dxa"/>
                  <w:vMerge w:val="continue"/>
                  <w:vAlign w:val="center"/>
                </w:tcPr>
                <w:p w14:paraId="7B21D3E8">
                  <w:pPr>
                    <w:jc w:val="center"/>
                    <w:rPr>
                      <w:rFonts w:ascii="Times New Roman" w:hAnsi="Times New Roman" w:cs="Times New Roman"/>
                      <w:snapToGrid w:val="0"/>
                      <w:color w:val="auto"/>
                      <w:szCs w:val="21"/>
                    </w:rPr>
                  </w:pPr>
                </w:p>
              </w:tc>
              <w:tc>
                <w:tcPr>
                  <w:tcW w:w="1446" w:type="dxa"/>
                  <w:vMerge w:val="continue"/>
                  <w:vAlign w:val="center"/>
                </w:tcPr>
                <w:p w14:paraId="422E39EF">
                  <w:pPr>
                    <w:jc w:val="center"/>
                    <w:rPr>
                      <w:rFonts w:hint="eastAsia" w:ascii="Times New Roman" w:hAnsi="Times New Roman" w:eastAsia="宋体" w:cs="Times New Roman"/>
                      <w:snapToGrid w:val="0"/>
                      <w:color w:val="auto"/>
                      <w:kern w:val="2"/>
                      <w:sz w:val="21"/>
                      <w:szCs w:val="21"/>
                      <w:lang w:val="en-US" w:eastAsia="zh-CN" w:bidi="ar-SA"/>
                    </w:rPr>
                  </w:pPr>
                </w:p>
              </w:tc>
              <w:tc>
                <w:tcPr>
                  <w:tcW w:w="1446" w:type="dxa"/>
                  <w:vAlign w:val="center"/>
                </w:tcPr>
                <w:p w14:paraId="062BA0AE">
                  <w:pPr>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202</w:t>
                  </w:r>
                  <w:r>
                    <w:rPr>
                      <w:rFonts w:hint="eastAsia" w:cs="Times New Roman"/>
                      <w:snapToGrid w:val="0"/>
                      <w:color w:val="auto"/>
                      <w:szCs w:val="21"/>
                      <w:lang w:val="en-US" w:eastAsia="zh-CN"/>
                    </w:rPr>
                    <w:t>5.3.15</w:t>
                  </w:r>
                </w:p>
              </w:tc>
              <w:tc>
                <w:tcPr>
                  <w:tcW w:w="1683" w:type="dxa"/>
                  <w:vAlign w:val="center"/>
                </w:tcPr>
                <w:p w14:paraId="52CA7DC1">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ND</w:t>
                  </w:r>
                </w:p>
              </w:tc>
              <w:tc>
                <w:tcPr>
                  <w:tcW w:w="1867" w:type="dxa"/>
                  <w:vAlign w:val="center"/>
                </w:tcPr>
                <w:p w14:paraId="43A56FAA">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w:t>
                  </w:r>
                </w:p>
              </w:tc>
              <w:tc>
                <w:tcPr>
                  <w:tcW w:w="1318" w:type="dxa"/>
                  <w:vMerge w:val="continue"/>
                  <w:vAlign w:val="center"/>
                </w:tcPr>
                <w:p w14:paraId="2962B967">
                  <w:pPr>
                    <w:jc w:val="center"/>
                    <w:rPr>
                      <w:rFonts w:ascii="Times New Roman" w:hAnsi="Times New Roman" w:cs="Times New Roman"/>
                      <w:snapToGrid w:val="0"/>
                      <w:color w:val="auto"/>
                      <w:szCs w:val="21"/>
                    </w:rPr>
                  </w:pPr>
                </w:p>
              </w:tc>
            </w:tr>
            <w:tr w14:paraId="3E5F8E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7" w:type="dxa"/>
                  <w:vMerge w:val="continue"/>
                  <w:vAlign w:val="center"/>
                </w:tcPr>
                <w:p w14:paraId="31B0B60D">
                  <w:pPr>
                    <w:jc w:val="center"/>
                    <w:rPr>
                      <w:rFonts w:ascii="Times New Roman" w:hAnsi="Times New Roman" w:cs="Times New Roman"/>
                      <w:snapToGrid w:val="0"/>
                      <w:color w:val="auto"/>
                      <w:szCs w:val="21"/>
                    </w:rPr>
                  </w:pPr>
                </w:p>
              </w:tc>
              <w:tc>
                <w:tcPr>
                  <w:tcW w:w="1446" w:type="dxa"/>
                  <w:vAlign w:val="center"/>
                </w:tcPr>
                <w:p w14:paraId="6992CED2">
                  <w:pPr>
                    <w:jc w:val="center"/>
                    <w:rPr>
                      <w:rFonts w:hint="eastAsia" w:ascii="Times New Roman" w:hAnsi="Times New Roman" w:eastAsia="宋体" w:cs="Times New Roman"/>
                      <w:snapToGrid w:val="0"/>
                      <w:color w:val="auto"/>
                      <w:szCs w:val="21"/>
                      <w:lang w:eastAsia="zh-CN"/>
                    </w:rPr>
                  </w:pPr>
                  <w:r>
                    <w:rPr>
                      <w:rFonts w:hint="eastAsia" w:cs="Times New Roman"/>
                      <w:snapToGrid w:val="0"/>
                      <w:color w:val="auto"/>
                      <w:szCs w:val="21"/>
                      <w:lang w:eastAsia="zh-CN"/>
                    </w:rPr>
                    <w:t>例行监测</w:t>
                  </w:r>
                </w:p>
              </w:tc>
              <w:tc>
                <w:tcPr>
                  <w:tcW w:w="1446" w:type="dxa"/>
                  <w:shd w:val="clear" w:color="auto" w:fill="auto"/>
                  <w:vAlign w:val="center"/>
                </w:tcPr>
                <w:p w14:paraId="73A69D97">
                  <w:pPr>
                    <w:jc w:val="center"/>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2025.06.09</w:t>
                  </w:r>
                </w:p>
              </w:tc>
              <w:tc>
                <w:tcPr>
                  <w:tcW w:w="1683" w:type="dxa"/>
                  <w:vAlign w:val="center"/>
                </w:tcPr>
                <w:p w14:paraId="77757261">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4.11-5.87</w:t>
                  </w:r>
                </w:p>
              </w:tc>
              <w:tc>
                <w:tcPr>
                  <w:tcW w:w="1867" w:type="dxa"/>
                  <w:vAlign w:val="center"/>
                </w:tcPr>
                <w:p w14:paraId="5D04D721">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0.0122-0.0152</w:t>
                  </w:r>
                </w:p>
              </w:tc>
              <w:tc>
                <w:tcPr>
                  <w:tcW w:w="1318" w:type="dxa"/>
                  <w:vMerge w:val="continue"/>
                  <w:vAlign w:val="center"/>
                </w:tcPr>
                <w:p w14:paraId="23FB781D">
                  <w:pPr>
                    <w:jc w:val="center"/>
                    <w:rPr>
                      <w:rFonts w:ascii="Times New Roman" w:hAnsi="Times New Roman" w:cs="Times New Roman"/>
                      <w:snapToGrid w:val="0"/>
                      <w:color w:val="auto"/>
                      <w:szCs w:val="21"/>
                    </w:rPr>
                  </w:pPr>
                </w:p>
              </w:tc>
            </w:tr>
            <w:tr w14:paraId="337A48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7" w:type="dxa"/>
                  <w:vMerge w:val="continue"/>
                  <w:vAlign w:val="center"/>
                </w:tcPr>
                <w:p w14:paraId="0FF507F3">
                  <w:pPr>
                    <w:jc w:val="center"/>
                    <w:rPr>
                      <w:rFonts w:ascii="Times New Roman" w:hAnsi="Times New Roman" w:cs="Times New Roman"/>
                      <w:snapToGrid w:val="0"/>
                      <w:color w:val="auto"/>
                      <w:szCs w:val="21"/>
                    </w:rPr>
                  </w:pPr>
                </w:p>
              </w:tc>
              <w:tc>
                <w:tcPr>
                  <w:tcW w:w="1446" w:type="dxa"/>
                  <w:vAlign w:val="center"/>
                </w:tcPr>
                <w:p w14:paraId="22A2B5A9">
                  <w:pPr>
                    <w:jc w:val="center"/>
                    <w:rPr>
                      <w:rFonts w:ascii="Times New Roman" w:hAnsi="Times New Roman" w:cs="Times New Roman"/>
                      <w:snapToGrid w:val="0"/>
                      <w:color w:val="auto"/>
                      <w:szCs w:val="21"/>
                    </w:rPr>
                  </w:pPr>
                  <w:r>
                    <w:rPr>
                      <w:rFonts w:hint="eastAsia" w:cs="Times New Roman"/>
                      <w:snapToGrid w:val="0"/>
                      <w:color w:val="auto"/>
                      <w:kern w:val="2"/>
                      <w:sz w:val="21"/>
                      <w:szCs w:val="21"/>
                      <w:lang w:val="en-US" w:eastAsia="zh-CN" w:bidi="ar-SA"/>
                    </w:rPr>
                    <w:t>例行监测</w:t>
                  </w:r>
                </w:p>
              </w:tc>
              <w:tc>
                <w:tcPr>
                  <w:tcW w:w="1446" w:type="dxa"/>
                  <w:shd w:val="clear" w:color="auto" w:fill="auto"/>
                  <w:vAlign w:val="center"/>
                </w:tcPr>
                <w:p w14:paraId="53F6582E">
                  <w:pPr>
                    <w:jc w:val="center"/>
                    <w:rPr>
                      <w:rFonts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2025.08.24</w:t>
                  </w:r>
                </w:p>
              </w:tc>
              <w:tc>
                <w:tcPr>
                  <w:tcW w:w="1683" w:type="dxa"/>
                  <w:vAlign w:val="center"/>
                </w:tcPr>
                <w:p w14:paraId="02E830A6">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1.53-2.33</w:t>
                  </w:r>
                </w:p>
              </w:tc>
              <w:tc>
                <w:tcPr>
                  <w:tcW w:w="1867" w:type="dxa"/>
                  <w:vAlign w:val="center"/>
                </w:tcPr>
                <w:p w14:paraId="379DCD65">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0.00401-0.00599</w:t>
                  </w:r>
                </w:p>
              </w:tc>
              <w:tc>
                <w:tcPr>
                  <w:tcW w:w="1318" w:type="dxa"/>
                  <w:vMerge w:val="continue"/>
                  <w:vAlign w:val="center"/>
                </w:tcPr>
                <w:p w14:paraId="7FB0EB8A">
                  <w:pPr>
                    <w:jc w:val="center"/>
                    <w:rPr>
                      <w:rFonts w:ascii="Times New Roman" w:hAnsi="Times New Roman" w:cs="Times New Roman"/>
                      <w:snapToGrid w:val="0"/>
                      <w:color w:val="auto"/>
                      <w:szCs w:val="21"/>
                    </w:rPr>
                  </w:pPr>
                </w:p>
              </w:tc>
            </w:tr>
            <w:tr w14:paraId="309ABF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7" w:type="dxa"/>
                  <w:vMerge w:val="continue"/>
                  <w:vAlign w:val="center"/>
                </w:tcPr>
                <w:p w14:paraId="71F352F1">
                  <w:pPr>
                    <w:jc w:val="center"/>
                    <w:rPr>
                      <w:rFonts w:ascii="Times New Roman" w:hAnsi="Times New Roman" w:cs="Times New Roman"/>
                      <w:snapToGrid w:val="0"/>
                      <w:color w:val="auto"/>
                      <w:szCs w:val="21"/>
                    </w:rPr>
                  </w:pPr>
                </w:p>
              </w:tc>
              <w:tc>
                <w:tcPr>
                  <w:tcW w:w="1446" w:type="dxa"/>
                  <w:vAlign w:val="center"/>
                </w:tcPr>
                <w:p w14:paraId="290D6E6A">
                  <w:pPr>
                    <w:jc w:val="center"/>
                    <w:rPr>
                      <w:rFonts w:ascii="Times New Roman" w:hAnsi="Times New Roman" w:cs="Times New Roman"/>
                      <w:snapToGrid w:val="0"/>
                      <w:color w:val="auto"/>
                      <w:szCs w:val="21"/>
                    </w:rPr>
                  </w:pPr>
                  <w:r>
                    <w:rPr>
                      <w:rFonts w:hint="eastAsia" w:cs="Times New Roman"/>
                      <w:snapToGrid w:val="0"/>
                      <w:color w:val="auto"/>
                      <w:kern w:val="2"/>
                      <w:sz w:val="21"/>
                      <w:szCs w:val="21"/>
                      <w:lang w:val="en-US" w:eastAsia="zh-CN" w:bidi="ar-SA"/>
                    </w:rPr>
                    <w:t>例行监测</w:t>
                  </w:r>
                </w:p>
              </w:tc>
              <w:tc>
                <w:tcPr>
                  <w:tcW w:w="1446" w:type="dxa"/>
                  <w:shd w:val="clear" w:color="auto" w:fill="auto"/>
                  <w:vAlign w:val="center"/>
                </w:tcPr>
                <w:p w14:paraId="2B810DEC">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2025.11.17</w:t>
                  </w:r>
                </w:p>
              </w:tc>
              <w:tc>
                <w:tcPr>
                  <w:tcW w:w="1683" w:type="dxa"/>
                  <w:vAlign w:val="center"/>
                </w:tcPr>
                <w:p w14:paraId="3ED22948">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ND-0.32</w:t>
                  </w:r>
                </w:p>
              </w:tc>
              <w:tc>
                <w:tcPr>
                  <w:tcW w:w="1867" w:type="dxa"/>
                  <w:vAlign w:val="center"/>
                </w:tcPr>
                <w:p w14:paraId="404CEF1A">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/-0.00121</w:t>
                  </w:r>
                </w:p>
              </w:tc>
              <w:tc>
                <w:tcPr>
                  <w:tcW w:w="1318" w:type="dxa"/>
                  <w:vMerge w:val="continue"/>
                  <w:vAlign w:val="center"/>
                </w:tcPr>
                <w:p w14:paraId="022775AE">
                  <w:pPr>
                    <w:jc w:val="center"/>
                    <w:rPr>
                      <w:rFonts w:ascii="Times New Roman" w:hAnsi="Times New Roman" w:cs="Times New Roman"/>
                      <w:snapToGrid w:val="0"/>
                      <w:color w:val="auto"/>
                      <w:szCs w:val="21"/>
                    </w:rPr>
                  </w:pPr>
                </w:p>
              </w:tc>
            </w:tr>
            <w:tr w14:paraId="01A76B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083" w:type="dxa"/>
                  <w:gridSpan w:val="2"/>
                  <w:vAlign w:val="center"/>
                </w:tcPr>
                <w:p w14:paraId="23FBE410">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执行标准</w:t>
                  </w:r>
                </w:p>
              </w:tc>
              <w:tc>
                <w:tcPr>
                  <w:tcW w:w="1446" w:type="dxa"/>
                  <w:vAlign w:val="center"/>
                </w:tcPr>
                <w:p w14:paraId="33B8C550">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w:t>
                  </w:r>
                </w:p>
              </w:tc>
              <w:tc>
                <w:tcPr>
                  <w:tcW w:w="1683" w:type="dxa"/>
                  <w:vAlign w:val="center"/>
                </w:tcPr>
                <w:p w14:paraId="7E4FEDE7">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10</w:t>
                  </w:r>
                </w:p>
              </w:tc>
              <w:tc>
                <w:tcPr>
                  <w:tcW w:w="1867" w:type="dxa"/>
                  <w:vAlign w:val="center"/>
                </w:tcPr>
                <w:p w14:paraId="7DA3F56D">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0.18</w:t>
                  </w:r>
                </w:p>
              </w:tc>
              <w:tc>
                <w:tcPr>
                  <w:tcW w:w="1318" w:type="dxa"/>
                  <w:vMerge w:val="continue"/>
                  <w:vAlign w:val="center"/>
                </w:tcPr>
                <w:p w14:paraId="60AA8144">
                  <w:pPr>
                    <w:jc w:val="center"/>
                    <w:rPr>
                      <w:rFonts w:ascii="Times New Roman" w:hAnsi="Times New Roman" w:cs="Times New Roman"/>
                      <w:snapToGrid w:val="0"/>
                      <w:color w:val="auto"/>
                      <w:szCs w:val="21"/>
                    </w:rPr>
                  </w:pPr>
                </w:p>
              </w:tc>
            </w:tr>
            <w:tr w14:paraId="06F3C5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083" w:type="dxa"/>
                  <w:gridSpan w:val="2"/>
                  <w:vAlign w:val="center"/>
                </w:tcPr>
                <w:p w14:paraId="07891928">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标准来源</w:t>
                  </w:r>
                </w:p>
              </w:tc>
              <w:tc>
                <w:tcPr>
                  <w:tcW w:w="6314" w:type="dxa"/>
                  <w:gridSpan w:val="4"/>
                  <w:vAlign w:val="center"/>
                </w:tcPr>
                <w:p w14:paraId="187EA085">
                  <w:pPr>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《大气污染物综合排放标准》</w:t>
                  </w:r>
                  <w:r>
                    <w:rPr>
                      <w:rFonts w:hint="eastAsia" w:cs="Times New Roman"/>
                      <w:snapToGrid w:val="0"/>
                      <w:color w:val="auto"/>
                      <w:szCs w:val="21"/>
                      <w:lang w:eastAsia="zh-CN"/>
                    </w:rPr>
                    <w:t>（</w:t>
                  </w:r>
                  <w:r>
                    <w:rPr>
                      <w:rFonts w:ascii="Times New Roman" w:hAnsi="Times New Roman" w:cs="Times New Roman"/>
                      <w:snapToGrid w:val="0"/>
                      <w:color w:val="auto"/>
                      <w:szCs w:val="21"/>
                    </w:rPr>
                    <w:t>DB32/4041-2021</w:t>
                  </w:r>
                  <w:r>
                    <w:rPr>
                      <w:rFonts w:hint="eastAsia" w:cs="Times New Roman"/>
                      <w:snapToGrid w:val="0"/>
                      <w:color w:val="auto"/>
                      <w:szCs w:val="21"/>
                      <w:lang w:eastAsia="zh-CN"/>
                    </w:rPr>
                    <w:t>）</w:t>
                  </w:r>
                  <w:r>
                    <w:rPr>
                      <w:rFonts w:ascii="Times New Roman" w:hAnsi="Times New Roman" w:cs="Times New Roman"/>
                      <w:snapToGrid w:val="0"/>
                      <w:color w:val="auto"/>
                      <w:szCs w:val="21"/>
                    </w:rPr>
                    <w:t>表1</w:t>
                  </w:r>
                  <w:r>
                    <w:rPr>
                      <w:rFonts w:hint="eastAsia" w:ascii="Times New Roman" w:hAnsi="Times New Roman" w:cs="Times New Roman"/>
                      <w:snapToGrid w:val="0"/>
                      <w:color w:val="auto"/>
                      <w:szCs w:val="21"/>
                    </w:rPr>
                    <w:t>标准限值</w:t>
                  </w:r>
                </w:p>
              </w:tc>
            </w:tr>
            <w:tr w14:paraId="1AA12B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083" w:type="dxa"/>
                  <w:gridSpan w:val="2"/>
                  <w:vAlign w:val="center"/>
                </w:tcPr>
                <w:p w14:paraId="09F5EA6D">
                  <w:pPr>
                    <w:jc w:val="center"/>
                    <w:rPr>
                      <w:color w:val="auto"/>
                    </w:rPr>
                  </w:pPr>
                  <w:r>
                    <w:rPr>
                      <w:rFonts w:hint="eastAsia" w:ascii="Times New Roman" w:hAnsi="Times New Roman" w:cs="Times New Roman"/>
                      <w:snapToGrid w:val="0"/>
                      <w:color w:val="auto"/>
                      <w:szCs w:val="21"/>
                    </w:rPr>
                    <w:t>达标情况</w:t>
                  </w:r>
                </w:p>
              </w:tc>
              <w:tc>
                <w:tcPr>
                  <w:tcW w:w="6314" w:type="dxa"/>
                  <w:gridSpan w:val="4"/>
                  <w:vAlign w:val="center"/>
                </w:tcPr>
                <w:p w14:paraId="49F47AB2">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达标</w:t>
                  </w:r>
                </w:p>
              </w:tc>
            </w:tr>
          </w:tbl>
          <w:p w14:paraId="0B25036A">
            <w:pPr>
              <w:keepNext w:val="0"/>
              <w:keepLines w:val="0"/>
              <w:pageBreakBefore w:val="0"/>
              <w:widowControl w:val="0"/>
              <w:kinsoku/>
              <w:wordWrap/>
              <w:overflowPunct/>
              <w:topLinePunct w:val="0"/>
              <w:autoSpaceDE/>
              <w:autoSpaceDN/>
              <w:bidi w:val="0"/>
              <w:adjustRightInd w:val="0"/>
              <w:snapToGrid w:val="0"/>
              <w:spacing w:before="157" w:beforeLines="50"/>
              <w:ind w:firstLine="482" w:firstLineChars="200"/>
              <w:jc w:val="center"/>
              <w:textAlignment w:val="auto"/>
              <w:rPr>
                <w:rFonts w:ascii="Times New Roman" w:hAnsi="Times New Roman" w:cs="Times New Roman"/>
                <w:b/>
                <w:color w:val="auto"/>
                <w:sz w:val="24"/>
              </w:rPr>
            </w:pPr>
            <w:r>
              <w:rPr>
                <w:rFonts w:ascii="Times New Roman" w:hAnsi="Times New Roman" w:cs="Times New Roman"/>
                <w:b/>
                <w:color w:val="auto"/>
                <w:sz w:val="24"/>
              </w:rPr>
              <w:t>表2-</w:t>
            </w:r>
            <w:r>
              <w:rPr>
                <w:rFonts w:hint="eastAsia" w:cs="Times New Roman"/>
                <w:b/>
                <w:color w:val="auto"/>
                <w:sz w:val="24"/>
                <w:lang w:val="en-US" w:eastAsia="zh-CN"/>
              </w:rPr>
              <w:t>13</w:t>
            </w:r>
            <w:r>
              <w:rPr>
                <w:rFonts w:hint="eastAsia" w:ascii="Times New Roman" w:hAnsi="Times New Roman" w:cs="Times New Roman"/>
                <w:b/>
                <w:color w:val="auto"/>
                <w:sz w:val="24"/>
              </w:rPr>
              <w:t xml:space="preserve">  </w:t>
            </w:r>
            <w:r>
              <w:rPr>
                <w:rFonts w:ascii="Times New Roman" w:hAnsi="Times New Roman" w:cs="Times New Roman"/>
                <w:b/>
                <w:color w:val="auto"/>
                <w:sz w:val="24"/>
              </w:rPr>
              <w:t>DA002废气监测结果</w:t>
            </w:r>
          </w:p>
          <w:tbl>
            <w:tblPr>
              <w:tblStyle w:val="88"/>
              <w:tblW w:w="83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182"/>
              <w:gridCol w:w="1717"/>
              <w:gridCol w:w="174"/>
              <w:gridCol w:w="1559"/>
              <w:gridCol w:w="1702"/>
              <w:gridCol w:w="1473"/>
            </w:tblGrid>
            <w:tr w14:paraId="7107D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592" w:type="dxa"/>
                  <w:vMerge w:val="restart"/>
                  <w:tcBorders>
                    <w:tl2br w:val="nil"/>
                    <w:tr2bl w:val="nil"/>
                  </w:tcBorders>
                  <w:vAlign w:val="center"/>
                </w:tcPr>
                <w:p w14:paraId="3FB1E172">
                  <w:pPr>
                    <w:jc w:val="center"/>
                    <w:rPr>
                      <w:rFonts w:ascii="Times New Roman" w:hAnsi="Times New Roman" w:cs="Times New Roman"/>
                      <w:b/>
                      <w:bCs/>
                      <w:snapToGrid w:val="0"/>
                      <w:color w:val="auto"/>
                      <w:szCs w:val="21"/>
                    </w:rPr>
                  </w:pPr>
                  <w:r>
                    <w:rPr>
                      <w:rFonts w:ascii="Times New Roman" w:hAnsi="Times New Roman" w:cs="Times New Roman"/>
                      <w:b/>
                      <w:bCs/>
                      <w:snapToGrid w:val="0"/>
                      <w:color w:val="auto"/>
                      <w:szCs w:val="21"/>
                    </w:rPr>
                    <w:t>检测项目</w:t>
                  </w:r>
                </w:p>
              </w:tc>
              <w:tc>
                <w:tcPr>
                  <w:tcW w:w="3073" w:type="dxa"/>
                  <w:gridSpan w:val="3"/>
                  <w:vMerge w:val="restart"/>
                  <w:tcBorders>
                    <w:tl2br w:val="nil"/>
                    <w:tr2bl w:val="nil"/>
                  </w:tcBorders>
                  <w:vAlign w:val="center"/>
                </w:tcPr>
                <w:p w14:paraId="2B78F47A">
                  <w:pPr>
                    <w:jc w:val="center"/>
                    <w:rPr>
                      <w:rFonts w:ascii="Times New Roman" w:hAnsi="Times New Roman" w:cs="Times New Roman"/>
                      <w:b/>
                      <w:bCs/>
                      <w:snapToGrid w:val="0"/>
                      <w:color w:val="auto"/>
                      <w:szCs w:val="21"/>
                    </w:rPr>
                  </w:pPr>
                  <w:r>
                    <w:rPr>
                      <w:rFonts w:ascii="Times New Roman" w:hAnsi="Times New Roman" w:cs="Times New Roman"/>
                      <w:b/>
                      <w:bCs/>
                      <w:snapToGrid w:val="0"/>
                      <w:color w:val="auto"/>
                      <w:szCs w:val="21"/>
                    </w:rPr>
                    <w:t>检测时间</w:t>
                  </w:r>
                </w:p>
              </w:tc>
              <w:tc>
                <w:tcPr>
                  <w:tcW w:w="3261" w:type="dxa"/>
                  <w:gridSpan w:val="2"/>
                  <w:tcBorders>
                    <w:tl2br w:val="nil"/>
                    <w:tr2bl w:val="nil"/>
                  </w:tcBorders>
                  <w:vAlign w:val="center"/>
                </w:tcPr>
                <w:p w14:paraId="1704B3C8">
                  <w:pPr>
                    <w:jc w:val="center"/>
                    <w:rPr>
                      <w:rFonts w:hint="eastAsia" w:ascii="Times New Roman" w:hAnsi="Times New Roman" w:eastAsia="宋体" w:cs="Times New Roman"/>
                      <w:b/>
                      <w:bCs/>
                      <w:snapToGrid w:val="0"/>
                      <w:color w:val="auto"/>
                      <w:szCs w:val="21"/>
                      <w:lang w:eastAsia="zh-CN"/>
                    </w:rPr>
                  </w:pPr>
                  <w:r>
                    <w:rPr>
                      <w:rFonts w:ascii="Times New Roman" w:hAnsi="Times New Roman" w:cs="Times New Roman"/>
                      <w:b/>
                      <w:bCs/>
                      <w:snapToGrid w:val="0"/>
                      <w:color w:val="auto"/>
                      <w:szCs w:val="21"/>
                    </w:rPr>
                    <w:t>DA002</w:t>
                  </w:r>
                  <w:r>
                    <w:rPr>
                      <w:rFonts w:hint="eastAsia" w:cs="Times New Roman"/>
                      <w:b/>
                      <w:bCs/>
                      <w:snapToGrid w:val="0"/>
                      <w:color w:val="auto"/>
                      <w:szCs w:val="21"/>
                      <w:lang w:eastAsia="zh-CN"/>
                    </w:rPr>
                    <w:t>出口</w:t>
                  </w:r>
                </w:p>
              </w:tc>
              <w:tc>
                <w:tcPr>
                  <w:tcW w:w="1473" w:type="dxa"/>
                  <w:tcBorders>
                    <w:tl2br w:val="nil"/>
                    <w:tr2bl w:val="nil"/>
                  </w:tcBorders>
                  <w:vAlign w:val="center"/>
                </w:tcPr>
                <w:p w14:paraId="4EAD687D">
                  <w:pPr>
                    <w:jc w:val="center"/>
                    <w:rPr>
                      <w:rFonts w:ascii="Times New Roman" w:hAnsi="Times New Roman" w:cs="Times New Roman"/>
                      <w:b/>
                      <w:bCs/>
                      <w:snapToGrid w:val="0"/>
                      <w:color w:val="auto"/>
                      <w:szCs w:val="21"/>
                    </w:rPr>
                  </w:pPr>
                  <w:r>
                    <w:rPr>
                      <w:rFonts w:hint="eastAsia" w:ascii="Times New Roman" w:hAnsi="Times New Roman" w:cs="Times New Roman"/>
                      <w:b/>
                      <w:bCs/>
                      <w:snapToGrid w:val="0"/>
                      <w:color w:val="auto"/>
                      <w:szCs w:val="21"/>
                    </w:rPr>
                    <w:t>排气筒高度</w:t>
                  </w:r>
                </w:p>
              </w:tc>
            </w:tr>
            <w:tr w14:paraId="7727C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continue"/>
                  <w:tcBorders>
                    <w:tl2br w:val="nil"/>
                    <w:tr2bl w:val="nil"/>
                  </w:tcBorders>
                  <w:vAlign w:val="center"/>
                </w:tcPr>
                <w:p w14:paraId="67E3489D">
                  <w:pPr>
                    <w:jc w:val="center"/>
                    <w:rPr>
                      <w:rFonts w:ascii="Times New Roman" w:hAnsi="Times New Roman" w:cs="Times New Roman"/>
                      <w:b/>
                      <w:bCs/>
                      <w:snapToGrid w:val="0"/>
                      <w:color w:val="auto"/>
                      <w:szCs w:val="21"/>
                    </w:rPr>
                  </w:pPr>
                </w:p>
              </w:tc>
              <w:tc>
                <w:tcPr>
                  <w:tcW w:w="3073" w:type="dxa"/>
                  <w:gridSpan w:val="3"/>
                  <w:vMerge w:val="continue"/>
                  <w:tcBorders>
                    <w:tl2br w:val="nil"/>
                    <w:tr2bl w:val="nil"/>
                  </w:tcBorders>
                  <w:vAlign w:val="center"/>
                </w:tcPr>
                <w:p w14:paraId="4BDA8C45">
                  <w:pPr>
                    <w:jc w:val="center"/>
                    <w:rPr>
                      <w:rFonts w:ascii="Times New Roman" w:hAnsi="Times New Roman" w:cs="Times New Roman"/>
                      <w:b/>
                      <w:bCs/>
                      <w:snapToGrid w:val="0"/>
                      <w:color w:val="auto"/>
                      <w:szCs w:val="21"/>
                    </w:rPr>
                  </w:pPr>
                </w:p>
              </w:tc>
              <w:tc>
                <w:tcPr>
                  <w:tcW w:w="1559" w:type="dxa"/>
                  <w:tcBorders>
                    <w:tl2br w:val="nil"/>
                    <w:tr2bl w:val="nil"/>
                  </w:tcBorders>
                  <w:vAlign w:val="center"/>
                </w:tcPr>
                <w:p w14:paraId="0CD333CC">
                  <w:pPr>
                    <w:jc w:val="center"/>
                    <w:rPr>
                      <w:rFonts w:ascii="Times New Roman" w:hAnsi="Times New Roman" w:cs="Times New Roman"/>
                      <w:b/>
                      <w:bCs/>
                      <w:snapToGrid w:val="0"/>
                      <w:color w:val="auto"/>
                      <w:szCs w:val="21"/>
                    </w:rPr>
                  </w:pPr>
                  <w:r>
                    <w:rPr>
                      <w:rFonts w:ascii="Times New Roman" w:hAnsi="Times New Roman" w:cs="Times New Roman"/>
                      <w:b/>
                      <w:bCs/>
                      <w:snapToGrid w:val="0"/>
                      <w:color w:val="auto"/>
                      <w:szCs w:val="21"/>
                    </w:rPr>
                    <w:t>浓度mg/m</w:t>
                  </w:r>
                  <w:r>
                    <w:rPr>
                      <w:rFonts w:ascii="Times New Roman" w:hAnsi="Times New Roman" w:cs="Times New Roman"/>
                      <w:b/>
                      <w:bCs/>
                      <w:snapToGrid w:val="0"/>
                      <w:color w:val="auto"/>
                      <w:szCs w:val="21"/>
                      <w:vertAlign w:val="superscript"/>
                    </w:rPr>
                    <w:t>3</w:t>
                  </w:r>
                </w:p>
              </w:tc>
              <w:tc>
                <w:tcPr>
                  <w:tcW w:w="1702" w:type="dxa"/>
                  <w:tcBorders>
                    <w:tl2br w:val="nil"/>
                    <w:tr2bl w:val="nil"/>
                  </w:tcBorders>
                  <w:vAlign w:val="center"/>
                </w:tcPr>
                <w:p w14:paraId="1622FFE5">
                  <w:pPr>
                    <w:jc w:val="center"/>
                    <w:rPr>
                      <w:rFonts w:ascii="Times New Roman" w:hAnsi="Times New Roman" w:cs="Times New Roman"/>
                      <w:b/>
                      <w:bCs/>
                      <w:snapToGrid w:val="0"/>
                      <w:color w:val="auto"/>
                      <w:szCs w:val="21"/>
                    </w:rPr>
                  </w:pPr>
                  <w:r>
                    <w:rPr>
                      <w:rFonts w:ascii="Times New Roman" w:hAnsi="Times New Roman" w:cs="Times New Roman"/>
                      <w:b/>
                      <w:bCs/>
                      <w:snapToGrid w:val="0"/>
                      <w:color w:val="auto"/>
                      <w:szCs w:val="21"/>
                    </w:rPr>
                    <w:t>速率kg/h</w:t>
                  </w:r>
                </w:p>
              </w:tc>
              <w:tc>
                <w:tcPr>
                  <w:tcW w:w="1473" w:type="dxa"/>
                  <w:vMerge w:val="restart"/>
                  <w:tcBorders>
                    <w:tl2br w:val="nil"/>
                    <w:tr2bl w:val="nil"/>
                  </w:tcBorders>
                  <w:vAlign w:val="center"/>
                </w:tcPr>
                <w:p w14:paraId="2F8E6C21">
                  <w:pPr>
                    <w:jc w:val="center"/>
                    <w:rPr>
                      <w:rFonts w:ascii="Times New Roman" w:hAnsi="Times New Roman" w:cs="Times New Roman"/>
                      <w:b/>
                      <w:bCs/>
                      <w:snapToGrid w:val="0"/>
                      <w:color w:val="auto"/>
                      <w:szCs w:val="21"/>
                    </w:rPr>
                  </w:pPr>
                  <w:r>
                    <w:rPr>
                      <w:rFonts w:hint="eastAsia" w:cs="Times New Roman"/>
                      <w:b w:val="0"/>
                      <w:bCs w:val="0"/>
                      <w:snapToGrid w:val="0"/>
                      <w:color w:val="auto"/>
                      <w:szCs w:val="21"/>
                      <w:lang w:val="en-US" w:eastAsia="zh-CN"/>
                    </w:rPr>
                    <w:t>2</w:t>
                  </w:r>
                  <w:r>
                    <w:rPr>
                      <w:rFonts w:hint="eastAsia" w:ascii="Times New Roman" w:hAnsi="Times New Roman" w:cs="Times New Roman"/>
                      <w:b w:val="0"/>
                      <w:bCs w:val="0"/>
                      <w:snapToGrid w:val="0"/>
                      <w:color w:val="auto"/>
                      <w:szCs w:val="21"/>
                    </w:rPr>
                    <w:t>5m</w:t>
                  </w:r>
                </w:p>
              </w:tc>
            </w:tr>
            <w:tr w14:paraId="1D160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restart"/>
                  <w:tcBorders>
                    <w:tl2br w:val="nil"/>
                    <w:tr2bl w:val="nil"/>
                  </w:tcBorders>
                  <w:vAlign w:val="center"/>
                </w:tcPr>
                <w:p w14:paraId="54BA1770">
                  <w:pPr>
                    <w:jc w:val="center"/>
                    <w:rPr>
                      <w:rFonts w:hint="eastAsia" w:ascii="Times New Roman" w:hAnsi="Times New Roman" w:eastAsia="宋体" w:cs="Times New Roman"/>
                      <w:snapToGrid w:val="0"/>
                      <w:color w:val="auto"/>
                      <w:szCs w:val="21"/>
                      <w:lang w:eastAsia="zh-CN"/>
                    </w:rPr>
                  </w:pPr>
                  <w:r>
                    <w:rPr>
                      <w:rFonts w:hint="eastAsia" w:cs="Times New Roman"/>
                      <w:snapToGrid w:val="0"/>
                      <w:color w:val="auto"/>
                      <w:szCs w:val="21"/>
                      <w:lang w:eastAsia="zh-CN"/>
                    </w:rPr>
                    <w:t>氯气</w:t>
                  </w:r>
                </w:p>
              </w:tc>
              <w:tc>
                <w:tcPr>
                  <w:tcW w:w="1182" w:type="dxa"/>
                  <w:vMerge w:val="restart"/>
                  <w:tcBorders>
                    <w:tl2br w:val="nil"/>
                    <w:tr2bl w:val="nil"/>
                  </w:tcBorders>
                  <w:vAlign w:val="center"/>
                </w:tcPr>
                <w:p w14:paraId="0CD36611">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eastAsia="zh-CN"/>
                    </w:rPr>
                    <w:t>验收监测</w:t>
                  </w:r>
                </w:p>
              </w:tc>
              <w:tc>
                <w:tcPr>
                  <w:tcW w:w="1891" w:type="dxa"/>
                  <w:gridSpan w:val="2"/>
                  <w:tcBorders>
                    <w:tl2br w:val="nil"/>
                    <w:tr2bl w:val="nil"/>
                  </w:tcBorders>
                  <w:vAlign w:val="center"/>
                </w:tcPr>
                <w:p w14:paraId="3CEB60BF">
                  <w:pPr>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202</w:t>
                  </w:r>
                  <w:r>
                    <w:rPr>
                      <w:rFonts w:hint="eastAsia" w:cs="Times New Roman"/>
                      <w:snapToGrid w:val="0"/>
                      <w:color w:val="auto"/>
                      <w:szCs w:val="21"/>
                      <w:lang w:val="en-US" w:eastAsia="zh-CN"/>
                    </w:rPr>
                    <w:t>5.2.24</w:t>
                  </w:r>
                </w:p>
              </w:tc>
              <w:tc>
                <w:tcPr>
                  <w:tcW w:w="1559" w:type="dxa"/>
                  <w:tcBorders>
                    <w:tl2br w:val="nil"/>
                    <w:tr2bl w:val="nil"/>
                  </w:tcBorders>
                  <w:vAlign w:val="center"/>
                </w:tcPr>
                <w:p w14:paraId="5FA3D969">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0.5-0.8</w:t>
                  </w:r>
                </w:p>
              </w:tc>
              <w:tc>
                <w:tcPr>
                  <w:tcW w:w="1702" w:type="dxa"/>
                  <w:tcBorders>
                    <w:tl2br w:val="nil"/>
                    <w:tr2bl w:val="nil"/>
                  </w:tcBorders>
                  <w:vAlign w:val="center"/>
                </w:tcPr>
                <w:p w14:paraId="6347E3FD">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0.00482-0.00765</w:t>
                  </w:r>
                </w:p>
              </w:tc>
              <w:tc>
                <w:tcPr>
                  <w:tcW w:w="1473" w:type="dxa"/>
                  <w:vMerge w:val="continue"/>
                  <w:tcBorders>
                    <w:tl2br w:val="nil"/>
                    <w:tr2bl w:val="nil"/>
                  </w:tcBorders>
                  <w:vAlign w:val="center"/>
                </w:tcPr>
                <w:p w14:paraId="02B47BE3">
                  <w:pPr>
                    <w:adjustRightInd w:val="0"/>
                    <w:snapToGrid w:val="0"/>
                    <w:jc w:val="center"/>
                    <w:rPr>
                      <w:rFonts w:ascii="Times New Roman" w:hAnsi="Times New Roman" w:cs="Times New Roman"/>
                      <w:snapToGrid w:val="0"/>
                      <w:color w:val="auto"/>
                      <w:szCs w:val="21"/>
                    </w:rPr>
                  </w:pPr>
                </w:p>
              </w:tc>
            </w:tr>
            <w:tr w14:paraId="396CBD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continue"/>
                  <w:tcBorders>
                    <w:tl2br w:val="nil"/>
                    <w:tr2bl w:val="nil"/>
                  </w:tcBorders>
                  <w:vAlign w:val="center"/>
                </w:tcPr>
                <w:p w14:paraId="3C958AE5">
                  <w:pPr>
                    <w:jc w:val="center"/>
                    <w:rPr>
                      <w:rFonts w:ascii="Times New Roman" w:hAnsi="Times New Roman" w:cs="Times New Roman"/>
                      <w:snapToGrid w:val="0"/>
                      <w:color w:val="auto"/>
                      <w:szCs w:val="21"/>
                    </w:rPr>
                  </w:pPr>
                </w:p>
              </w:tc>
              <w:tc>
                <w:tcPr>
                  <w:tcW w:w="1182" w:type="dxa"/>
                  <w:vMerge w:val="continue"/>
                  <w:tcBorders>
                    <w:tl2br w:val="nil"/>
                    <w:tr2bl w:val="nil"/>
                  </w:tcBorders>
                  <w:vAlign w:val="center"/>
                </w:tcPr>
                <w:p w14:paraId="18E84A86">
                  <w:pPr>
                    <w:jc w:val="center"/>
                    <w:rPr>
                      <w:rFonts w:hint="default" w:ascii="Times New Roman" w:hAnsi="Times New Roman" w:cs="Times New Roman"/>
                      <w:snapToGrid w:val="0"/>
                      <w:color w:val="auto"/>
                      <w:szCs w:val="21"/>
                      <w:lang w:val="en-US"/>
                    </w:rPr>
                  </w:pPr>
                </w:p>
              </w:tc>
              <w:tc>
                <w:tcPr>
                  <w:tcW w:w="1891" w:type="dxa"/>
                  <w:gridSpan w:val="2"/>
                  <w:tcBorders>
                    <w:tl2br w:val="nil"/>
                    <w:tr2bl w:val="nil"/>
                  </w:tcBorders>
                  <w:shd w:val="clear" w:color="auto" w:fill="auto"/>
                  <w:vAlign w:val="center"/>
                </w:tcPr>
                <w:p w14:paraId="62F3F6D8">
                  <w:pPr>
                    <w:jc w:val="center"/>
                    <w:rPr>
                      <w:rFonts w:hint="eastAsia" w:ascii="Times New Roman" w:hAnsi="Times New Roman" w:eastAsia="宋体" w:cs="Times New Roman"/>
                      <w:snapToGrid w:val="0"/>
                      <w:color w:val="auto"/>
                      <w:kern w:val="2"/>
                      <w:sz w:val="21"/>
                      <w:szCs w:val="21"/>
                      <w:lang w:val="en-US" w:eastAsia="zh-CN" w:bidi="ar-SA"/>
                    </w:rPr>
                  </w:pPr>
                  <w:r>
                    <w:rPr>
                      <w:rFonts w:ascii="Times New Roman" w:hAnsi="Times New Roman" w:cs="Times New Roman"/>
                      <w:snapToGrid w:val="0"/>
                      <w:color w:val="auto"/>
                      <w:szCs w:val="21"/>
                    </w:rPr>
                    <w:t>202</w:t>
                  </w:r>
                  <w:r>
                    <w:rPr>
                      <w:rFonts w:hint="eastAsia" w:cs="Times New Roman"/>
                      <w:snapToGrid w:val="0"/>
                      <w:color w:val="auto"/>
                      <w:szCs w:val="21"/>
                      <w:lang w:val="en-US" w:eastAsia="zh-CN"/>
                    </w:rPr>
                    <w:t>5.2.25</w:t>
                  </w:r>
                </w:p>
              </w:tc>
              <w:tc>
                <w:tcPr>
                  <w:tcW w:w="1559" w:type="dxa"/>
                  <w:tcBorders>
                    <w:tl2br w:val="nil"/>
                    <w:tr2bl w:val="nil"/>
                  </w:tcBorders>
                  <w:vAlign w:val="center"/>
                </w:tcPr>
                <w:p w14:paraId="5709D8D6">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0.6-0.9</w:t>
                  </w:r>
                </w:p>
              </w:tc>
              <w:tc>
                <w:tcPr>
                  <w:tcW w:w="1702" w:type="dxa"/>
                  <w:tcBorders>
                    <w:tl2br w:val="nil"/>
                    <w:tr2bl w:val="nil"/>
                  </w:tcBorders>
                  <w:vAlign w:val="center"/>
                </w:tcPr>
                <w:p w14:paraId="5A0F4C40">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0.00567-0.00834</w:t>
                  </w:r>
                </w:p>
              </w:tc>
              <w:tc>
                <w:tcPr>
                  <w:tcW w:w="1473" w:type="dxa"/>
                  <w:vMerge w:val="continue"/>
                  <w:tcBorders>
                    <w:tl2br w:val="nil"/>
                    <w:tr2bl w:val="nil"/>
                  </w:tcBorders>
                  <w:vAlign w:val="center"/>
                </w:tcPr>
                <w:p w14:paraId="745666E7">
                  <w:pPr>
                    <w:jc w:val="center"/>
                    <w:rPr>
                      <w:rFonts w:ascii="Times New Roman" w:hAnsi="Times New Roman" w:cs="Times New Roman"/>
                      <w:snapToGrid w:val="0"/>
                      <w:color w:val="auto"/>
                      <w:szCs w:val="21"/>
                    </w:rPr>
                  </w:pPr>
                </w:p>
              </w:tc>
            </w:tr>
            <w:tr w14:paraId="733813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continue"/>
                  <w:tcBorders>
                    <w:tl2br w:val="nil"/>
                    <w:tr2bl w:val="nil"/>
                  </w:tcBorders>
                  <w:vAlign w:val="center"/>
                </w:tcPr>
                <w:p w14:paraId="57F756F4">
                  <w:pPr>
                    <w:jc w:val="center"/>
                    <w:rPr>
                      <w:rFonts w:ascii="Times New Roman" w:hAnsi="Times New Roman" w:cs="Times New Roman"/>
                      <w:snapToGrid w:val="0"/>
                      <w:color w:val="auto"/>
                      <w:szCs w:val="21"/>
                    </w:rPr>
                  </w:pPr>
                </w:p>
              </w:tc>
              <w:tc>
                <w:tcPr>
                  <w:tcW w:w="1182" w:type="dxa"/>
                  <w:tcBorders>
                    <w:tl2br w:val="nil"/>
                    <w:tr2bl w:val="nil"/>
                  </w:tcBorders>
                  <w:vAlign w:val="center"/>
                </w:tcPr>
                <w:p w14:paraId="2006AE30">
                  <w:pPr>
                    <w:jc w:val="center"/>
                    <w:rPr>
                      <w:rFonts w:ascii="Times New Roman" w:hAnsi="Times New Roman" w:cs="Times New Roman"/>
                      <w:snapToGrid w:val="0"/>
                      <w:color w:val="auto"/>
                      <w:szCs w:val="21"/>
                    </w:rPr>
                  </w:pPr>
                  <w:r>
                    <w:rPr>
                      <w:rFonts w:hint="eastAsia" w:cs="Times New Roman"/>
                      <w:snapToGrid w:val="0"/>
                      <w:color w:val="auto"/>
                      <w:kern w:val="2"/>
                      <w:sz w:val="21"/>
                      <w:szCs w:val="21"/>
                      <w:lang w:val="en-US" w:eastAsia="zh-CN" w:bidi="ar-SA"/>
                    </w:rPr>
                    <w:t>例行监测</w:t>
                  </w:r>
                </w:p>
              </w:tc>
              <w:tc>
                <w:tcPr>
                  <w:tcW w:w="1891" w:type="dxa"/>
                  <w:gridSpan w:val="2"/>
                  <w:tcBorders>
                    <w:tl2br w:val="nil"/>
                    <w:tr2bl w:val="nil"/>
                  </w:tcBorders>
                  <w:shd w:val="clear" w:color="auto" w:fill="auto"/>
                  <w:vAlign w:val="center"/>
                </w:tcPr>
                <w:p w14:paraId="43E49E18">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2025.08.24</w:t>
                  </w:r>
                </w:p>
              </w:tc>
              <w:tc>
                <w:tcPr>
                  <w:tcW w:w="1559" w:type="dxa"/>
                  <w:tcBorders>
                    <w:tl2br w:val="nil"/>
                    <w:tr2bl w:val="nil"/>
                  </w:tcBorders>
                  <w:vAlign w:val="center"/>
                </w:tcPr>
                <w:p w14:paraId="631277DE">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0.3</w:t>
                  </w:r>
                </w:p>
              </w:tc>
              <w:tc>
                <w:tcPr>
                  <w:tcW w:w="1702" w:type="dxa"/>
                  <w:tcBorders>
                    <w:tl2br w:val="nil"/>
                    <w:tr2bl w:val="nil"/>
                  </w:tcBorders>
                  <w:vAlign w:val="center"/>
                </w:tcPr>
                <w:p w14:paraId="331F6227">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0.000820-0.000861</w:t>
                  </w:r>
                </w:p>
              </w:tc>
              <w:tc>
                <w:tcPr>
                  <w:tcW w:w="1473" w:type="dxa"/>
                  <w:vMerge w:val="continue"/>
                  <w:tcBorders>
                    <w:tl2br w:val="nil"/>
                    <w:tr2bl w:val="nil"/>
                  </w:tcBorders>
                  <w:vAlign w:val="center"/>
                </w:tcPr>
                <w:p w14:paraId="74D61FDB">
                  <w:pPr>
                    <w:jc w:val="center"/>
                    <w:rPr>
                      <w:rFonts w:ascii="Times New Roman" w:hAnsi="Times New Roman" w:cs="Times New Roman"/>
                      <w:snapToGrid w:val="0"/>
                      <w:color w:val="auto"/>
                      <w:szCs w:val="21"/>
                    </w:rPr>
                  </w:pPr>
                </w:p>
              </w:tc>
            </w:tr>
            <w:tr w14:paraId="526F52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continue"/>
                  <w:tcBorders>
                    <w:tl2br w:val="nil"/>
                    <w:tr2bl w:val="nil"/>
                  </w:tcBorders>
                  <w:vAlign w:val="center"/>
                </w:tcPr>
                <w:p w14:paraId="1B37ED0A">
                  <w:pPr>
                    <w:jc w:val="center"/>
                    <w:rPr>
                      <w:rFonts w:ascii="Times New Roman" w:hAnsi="Times New Roman" w:cs="Times New Roman"/>
                      <w:snapToGrid w:val="0"/>
                      <w:color w:val="auto"/>
                      <w:szCs w:val="21"/>
                    </w:rPr>
                  </w:pPr>
                </w:p>
              </w:tc>
              <w:tc>
                <w:tcPr>
                  <w:tcW w:w="1182" w:type="dxa"/>
                  <w:tcBorders>
                    <w:tl2br w:val="nil"/>
                    <w:tr2bl w:val="nil"/>
                  </w:tcBorders>
                  <w:vAlign w:val="center"/>
                </w:tcPr>
                <w:p w14:paraId="29D3964F">
                  <w:pPr>
                    <w:jc w:val="center"/>
                    <w:rPr>
                      <w:rFonts w:ascii="Times New Roman" w:hAnsi="Times New Roman" w:cs="Times New Roman"/>
                      <w:snapToGrid w:val="0"/>
                      <w:color w:val="auto"/>
                      <w:szCs w:val="21"/>
                    </w:rPr>
                  </w:pPr>
                  <w:r>
                    <w:rPr>
                      <w:rFonts w:hint="eastAsia" w:cs="Times New Roman"/>
                      <w:snapToGrid w:val="0"/>
                      <w:color w:val="auto"/>
                      <w:kern w:val="2"/>
                      <w:sz w:val="21"/>
                      <w:szCs w:val="21"/>
                      <w:lang w:val="en-US" w:eastAsia="zh-CN" w:bidi="ar-SA"/>
                    </w:rPr>
                    <w:t>例行监测</w:t>
                  </w:r>
                </w:p>
              </w:tc>
              <w:tc>
                <w:tcPr>
                  <w:tcW w:w="1891" w:type="dxa"/>
                  <w:gridSpan w:val="2"/>
                  <w:tcBorders>
                    <w:tl2br w:val="nil"/>
                    <w:tr2bl w:val="nil"/>
                  </w:tcBorders>
                  <w:shd w:val="clear" w:color="auto" w:fill="auto"/>
                  <w:vAlign w:val="center"/>
                </w:tcPr>
                <w:p w14:paraId="1549B0E8">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2025.11.17</w:t>
                  </w:r>
                </w:p>
              </w:tc>
              <w:tc>
                <w:tcPr>
                  <w:tcW w:w="1559" w:type="dxa"/>
                  <w:tcBorders>
                    <w:tl2br w:val="nil"/>
                    <w:tr2bl w:val="nil"/>
                  </w:tcBorders>
                  <w:vAlign w:val="center"/>
                </w:tcPr>
                <w:p w14:paraId="09EA137A">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0.3</w:t>
                  </w:r>
                </w:p>
              </w:tc>
              <w:tc>
                <w:tcPr>
                  <w:tcW w:w="1702" w:type="dxa"/>
                  <w:tcBorders>
                    <w:tl2br w:val="nil"/>
                    <w:tr2bl w:val="nil"/>
                  </w:tcBorders>
                  <w:vAlign w:val="center"/>
                </w:tcPr>
                <w:p w14:paraId="738C16BF">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0.00076-0.00078</w:t>
                  </w:r>
                </w:p>
              </w:tc>
              <w:tc>
                <w:tcPr>
                  <w:tcW w:w="1473" w:type="dxa"/>
                  <w:vMerge w:val="continue"/>
                  <w:tcBorders>
                    <w:tl2br w:val="nil"/>
                    <w:tr2bl w:val="nil"/>
                  </w:tcBorders>
                  <w:vAlign w:val="center"/>
                </w:tcPr>
                <w:p w14:paraId="6C671622">
                  <w:pPr>
                    <w:jc w:val="center"/>
                    <w:rPr>
                      <w:rFonts w:ascii="Times New Roman" w:hAnsi="Times New Roman" w:cs="Times New Roman"/>
                      <w:snapToGrid w:val="0"/>
                      <w:color w:val="auto"/>
                      <w:szCs w:val="21"/>
                    </w:rPr>
                  </w:pPr>
                </w:p>
              </w:tc>
            </w:tr>
            <w:tr w14:paraId="64BC1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dxa"/>
                  <w:gridSpan w:val="2"/>
                  <w:tcBorders>
                    <w:tl2br w:val="nil"/>
                    <w:tr2bl w:val="nil"/>
                  </w:tcBorders>
                  <w:vAlign w:val="center"/>
                </w:tcPr>
                <w:p w14:paraId="523EB6A3">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执行标准</w:t>
                  </w:r>
                </w:p>
              </w:tc>
              <w:tc>
                <w:tcPr>
                  <w:tcW w:w="1891" w:type="dxa"/>
                  <w:gridSpan w:val="2"/>
                  <w:tcBorders>
                    <w:tl2br w:val="nil"/>
                    <w:tr2bl w:val="nil"/>
                  </w:tcBorders>
                  <w:vAlign w:val="center"/>
                </w:tcPr>
                <w:p w14:paraId="3CCA59FF">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w:t>
                  </w:r>
                </w:p>
              </w:tc>
              <w:tc>
                <w:tcPr>
                  <w:tcW w:w="1559" w:type="dxa"/>
                  <w:tcBorders>
                    <w:tl2br w:val="nil"/>
                    <w:tr2bl w:val="nil"/>
                  </w:tcBorders>
                  <w:vAlign w:val="center"/>
                </w:tcPr>
                <w:p w14:paraId="42A06BCB">
                  <w:pPr>
                    <w:jc w:val="center"/>
                    <w:rPr>
                      <w:rFonts w:ascii="Times New Roman" w:hAnsi="Times New Roman" w:cs="Times New Roman"/>
                      <w:snapToGrid w:val="0"/>
                      <w:color w:val="auto"/>
                      <w:szCs w:val="21"/>
                    </w:rPr>
                  </w:pPr>
                  <w:r>
                    <w:rPr>
                      <w:rFonts w:hint="eastAsia" w:cs="Times New Roman"/>
                      <w:snapToGrid w:val="0"/>
                      <w:color w:val="auto"/>
                      <w:szCs w:val="21"/>
                      <w:lang w:val="en-US" w:eastAsia="zh-CN"/>
                    </w:rPr>
                    <w:t>3</w:t>
                  </w:r>
                </w:p>
              </w:tc>
              <w:tc>
                <w:tcPr>
                  <w:tcW w:w="1702" w:type="dxa"/>
                  <w:tcBorders>
                    <w:tl2br w:val="nil"/>
                    <w:tr2bl w:val="nil"/>
                  </w:tcBorders>
                  <w:vAlign w:val="center"/>
                </w:tcPr>
                <w:p w14:paraId="78015BFD">
                  <w:pPr>
                    <w:jc w:val="center"/>
                    <w:rPr>
                      <w:rFonts w:ascii="Times New Roman" w:hAnsi="Times New Roman" w:cs="Times New Roman"/>
                      <w:snapToGrid w:val="0"/>
                      <w:color w:val="auto"/>
                      <w:szCs w:val="21"/>
                    </w:rPr>
                  </w:pPr>
                  <w:r>
                    <w:rPr>
                      <w:rFonts w:hint="eastAsia" w:cs="Times New Roman"/>
                      <w:snapToGrid w:val="0"/>
                      <w:color w:val="auto"/>
                      <w:szCs w:val="21"/>
                      <w:lang w:val="en-US" w:eastAsia="zh-CN"/>
                    </w:rPr>
                    <w:t>0.072</w:t>
                  </w:r>
                </w:p>
              </w:tc>
              <w:tc>
                <w:tcPr>
                  <w:tcW w:w="1473" w:type="dxa"/>
                  <w:vMerge w:val="continue"/>
                  <w:tcBorders>
                    <w:tl2br w:val="nil"/>
                    <w:tr2bl w:val="nil"/>
                  </w:tcBorders>
                  <w:vAlign w:val="center"/>
                </w:tcPr>
                <w:p w14:paraId="18EB9EED">
                  <w:pPr>
                    <w:jc w:val="center"/>
                    <w:rPr>
                      <w:rFonts w:ascii="Times New Roman" w:hAnsi="Times New Roman" w:cs="Times New Roman"/>
                      <w:snapToGrid w:val="0"/>
                      <w:color w:val="auto"/>
                      <w:szCs w:val="21"/>
                    </w:rPr>
                  </w:pPr>
                </w:p>
              </w:tc>
            </w:tr>
            <w:tr w14:paraId="08BF1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dxa"/>
                  <w:gridSpan w:val="2"/>
                  <w:tcBorders>
                    <w:tl2br w:val="nil"/>
                    <w:tr2bl w:val="nil"/>
                  </w:tcBorders>
                  <w:vAlign w:val="center"/>
                </w:tcPr>
                <w:p w14:paraId="756A0FE7">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标准来源</w:t>
                  </w:r>
                </w:p>
              </w:tc>
              <w:tc>
                <w:tcPr>
                  <w:tcW w:w="5152" w:type="dxa"/>
                  <w:gridSpan w:val="4"/>
                  <w:tcBorders>
                    <w:tl2br w:val="nil"/>
                    <w:tr2bl w:val="nil"/>
                  </w:tcBorders>
                  <w:vAlign w:val="center"/>
                </w:tcPr>
                <w:p w14:paraId="6C817B83">
                  <w:pPr>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《大气污染物综合排放标准》</w:t>
                  </w:r>
                  <w:r>
                    <w:rPr>
                      <w:rFonts w:hint="eastAsia" w:cs="Times New Roman"/>
                      <w:snapToGrid w:val="0"/>
                      <w:color w:val="auto"/>
                      <w:szCs w:val="21"/>
                      <w:lang w:eastAsia="zh-CN"/>
                    </w:rPr>
                    <w:t>（</w:t>
                  </w:r>
                  <w:r>
                    <w:rPr>
                      <w:rFonts w:ascii="Times New Roman" w:hAnsi="Times New Roman" w:cs="Times New Roman"/>
                      <w:snapToGrid w:val="0"/>
                      <w:color w:val="auto"/>
                      <w:szCs w:val="21"/>
                    </w:rPr>
                    <w:t>DB32/4041-2021</w:t>
                  </w:r>
                  <w:r>
                    <w:rPr>
                      <w:rFonts w:hint="eastAsia" w:cs="Times New Roman"/>
                      <w:snapToGrid w:val="0"/>
                      <w:color w:val="auto"/>
                      <w:szCs w:val="21"/>
                      <w:lang w:eastAsia="zh-CN"/>
                    </w:rPr>
                    <w:t>）</w:t>
                  </w:r>
                  <w:r>
                    <w:rPr>
                      <w:rFonts w:ascii="Times New Roman" w:hAnsi="Times New Roman" w:cs="Times New Roman"/>
                      <w:snapToGrid w:val="0"/>
                      <w:color w:val="auto"/>
                      <w:szCs w:val="21"/>
                    </w:rPr>
                    <w:t>表1</w:t>
                  </w:r>
                  <w:r>
                    <w:rPr>
                      <w:rFonts w:hint="eastAsia" w:ascii="Times New Roman" w:hAnsi="Times New Roman" w:cs="Times New Roman"/>
                      <w:snapToGrid w:val="0"/>
                      <w:color w:val="auto"/>
                      <w:szCs w:val="21"/>
                    </w:rPr>
                    <w:t>标准限值</w:t>
                  </w:r>
                </w:p>
              </w:tc>
              <w:tc>
                <w:tcPr>
                  <w:tcW w:w="1473" w:type="dxa"/>
                  <w:vMerge w:val="continue"/>
                  <w:tcBorders>
                    <w:tl2br w:val="nil"/>
                    <w:tr2bl w:val="nil"/>
                  </w:tcBorders>
                  <w:vAlign w:val="center"/>
                </w:tcPr>
                <w:p w14:paraId="7BEC69C3">
                  <w:pPr>
                    <w:jc w:val="center"/>
                    <w:rPr>
                      <w:rFonts w:ascii="Times New Roman" w:hAnsi="Times New Roman" w:cs="Times New Roman"/>
                      <w:snapToGrid w:val="0"/>
                      <w:color w:val="auto"/>
                      <w:szCs w:val="21"/>
                    </w:rPr>
                  </w:pPr>
                </w:p>
              </w:tc>
            </w:tr>
            <w:tr w14:paraId="78DEA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restart"/>
                  <w:tcBorders>
                    <w:tl2br w:val="nil"/>
                    <w:tr2bl w:val="nil"/>
                  </w:tcBorders>
                  <w:vAlign w:val="center"/>
                </w:tcPr>
                <w:p w14:paraId="24B048E7">
                  <w:pPr>
                    <w:jc w:val="center"/>
                    <w:rPr>
                      <w:rFonts w:hint="eastAsia" w:ascii="Times New Roman" w:hAnsi="Times New Roman" w:eastAsia="宋体" w:cs="Times New Roman"/>
                      <w:snapToGrid w:val="0"/>
                      <w:color w:val="auto"/>
                      <w:szCs w:val="21"/>
                      <w:lang w:eastAsia="zh-CN"/>
                    </w:rPr>
                  </w:pPr>
                  <w:r>
                    <w:rPr>
                      <w:rFonts w:hint="eastAsia" w:cs="Times New Roman"/>
                      <w:snapToGrid w:val="0"/>
                      <w:color w:val="auto"/>
                      <w:szCs w:val="21"/>
                      <w:lang w:eastAsia="zh-CN"/>
                    </w:rPr>
                    <w:t>氯化氢</w:t>
                  </w:r>
                </w:p>
              </w:tc>
              <w:tc>
                <w:tcPr>
                  <w:tcW w:w="1182" w:type="dxa"/>
                  <w:vMerge w:val="restart"/>
                  <w:tcBorders>
                    <w:tl2br w:val="nil"/>
                    <w:tr2bl w:val="nil"/>
                  </w:tcBorders>
                  <w:vAlign w:val="center"/>
                </w:tcPr>
                <w:p w14:paraId="14CA8178">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eastAsia="zh-CN"/>
                    </w:rPr>
                    <w:t>验收监测</w:t>
                  </w:r>
                </w:p>
              </w:tc>
              <w:tc>
                <w:tcPr>
                  <w:tcW w:w="1891" w:type="dxa"/>
                  <w:gridSpan w:val="2"/>
                  <w:tcBorders>
                    <w:tl2br w:val="nil"/>
                    <w:tr2bl w:val="nil"/>
                  </w:tcBorders>
                  <w:vAlign w:val="center"/>
                </w:tcPr>
                <w:p w14:paraId="00AF43F4">
                  <w:pPr>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202</w:t>
                  </w:r>
                  <w:r>
                    <w:rPr>
                      <w:rFonts w:hint="eastAsia" w:cs="Times New Roman"/>
                      <w:snapToGrid w:val="0"/>
                      <w:color w:val="auto"/>
                      <w:szCs w:val="21"/>
                      <w:lang w:val="en-US" w:eastAsia="zh-CN"/>
                    </w:rPr>
                    <w:t>5.2.24</w:t>
                  </w:r>
                </w:p>
              </w:tc>
              <w:tc>
                <w:tcPr>
                  <w:tcW w:w="1559" w:type="dxa"/>
                  <w:tcBorders>
                    <w:tl2br w:val="nil"/>
                    <w:tr2bl w:val="nil"/>
                  </w:tcBorders>
                  <w:vAlign w:val="center"/>
                </w:tcPr>
                <w:p w14:paraId="3DD50E29">
                  <w:pPr>
                    <w:jc w:val="center"/>
                    <w:rPr>
                      <w:rFonts w:ascii="Times New Roman" w:hAnsi="Times New Roman" w:cs="Times New Roman"/>
                      <w:snapToGrid w:val="0"/>
                      <w:color w:val="auto"/>
                      <w:szCs w:val="21"/>
                    </w:rPr>
                  </w:pPr>
                  <w:r>
                    <w:rPr>
                      <w:rFonts w:hint="eastAsia" w:cs="Times New Roman"/>
                      <w:snapToGrid w:val="0"/>
                      <w:color w:val="auto"/>
                      <w:szCs w:val="21"/>
                      <w:lang w:val="en-US" w:eastAsia="zh-CN"/>
                    </w:rPr>
                    <w:t>ND</w:t>
                  </w:r>
                </w:p>
              </w:tc>
              <w:tc>
                <w:tcPr>
                  <w:tcW w:w="1702" w:type="dxa"/>
                  <w:tcBorders>
                    <w:tl2br w:val="nil"/>
                    <w:tr2bl w:val="nil"/>
                  </w:tcBorders>
                  <w:vAlign w:val="center"/>
                </w:tcPr>
                <w:p w14:paraId="151A1F58">
                  <w:pPr>
                    <w:jc w:val="center"/>
                    <w:rPr>
                      <w:rFonts w:ascii="Times New Roman" w:hAnsi="Times New Roman" w:cs="Times New Roman"/>
                      <w:snapToGrid w:val="0"/>
                      <w:color w:val="auto"/>
                      <w:szCs w:val="21"/>
                    </w:rPr>
                  </w:pPr>
                  <w:r>
                    <w:rPr>
                      <w:rFonts w:hint="eastAsia" w:cs="Times New Roman"/>
                      <w:snapToGrid w:val="0"/>
                      <w:color w:val="auto"/>
                      <w:szCs w:val="21"/>
                      <w:lang w:val="en-US" w:eastAsia="zh-CN"/>
                    </w:rPr>
                    <w:t>/</w:t>
                  </w:r>
                </w:p>
              </w:tc>
              <w:tc>
                <w:tcPr>
                  <w:tcW w:w="1473" w:type="dxa"/>
                  <w:vMerge w:val="continue"/>
                  <w:tcBorders>
                    <w:tl2br w:val="nil"/>
                    <w:tr2bl w:val="nil"/>
                  </w:tcBorders>
                  <w:vAlign w:val="center"/>
                </w:tcPr>
                <w:p w14:paraId="559699F4">
                  <w:pPr>
                    <w:jc w:val="center"/>
                    <w:rPr>
                      <w:rFonts w:ascii="Times New Roman" w:hAnsi="Times New Roman" w:cs="Times New Roman"/>
                      <w:snapToGrid w:val="0"/>
                      <w:color w:val="auto"/>
                      <w:szCs w:val="21"/>
                    </w:rPr>
                  </w:pPr>
                </w:p>
              </w:tc>
            </w:tr>
            <w:tr w14:paraId="16F60D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continue"/>
                  <w:tcBorders>
                    <w:tl2br w:val="nil"/>
                    <w:tr2bl w:val="nil"/>
                  </w:tcBorders>
                  <w:vAlign w:val="center"/>
                </w:tcPr>
                <w:p w14:paraId="39CBE8D1">
                  <w:pPr>
                    <w:jc w:val="center"/>
                    <w:rPr>
                      <w:rFonts w:ascii="Times New Roman" w:hAnsi="Times New Roman" w:cs="Times New Roman"/>
                      <w:snapToGrid w:val="0"/>
                      <w:color w:val="auto"/>
                      <w:szCs w:val="21"/>
                    </w:rPr>
                  </w:pPr>
                </w:p>
              </w:tc>
              <w:tc>
                <w:tcPr>
                  <w:tcW w:w="1182" w:type="dxa"/>
                  <w:vMerge w:val="continue"/>
                  <w:tcBorders>
                    <w:tl2br w:val="nil"/>
                    <w:tr2bl w:val="nil"/>
                  </w:tcBorders>
                  <w:vAlign w:val="center"/>
                </w:tcPr>
                <w:p w14:paraId="098EB169">
                  <w:pPr>
                    <w:jc w:val="center"/>
                    <w:rPr>
                      <w:rFonts w:hint="default" w:ascii="Times New Roman" w:hAnsi="Times New Roman" w:cs="Times New Roman"/>
                      <w:snapToGrid w:val="0"/>
                      <w:color w:val="auto"/>
                      <w:szCs w:val="21"/>
                      <w:lang w:val="en-US"/>
                    </w:rPr>
                  </w:pPr>
                </w:p>
              </w:tc>
              <w:tc>
                <w:tcPr>
                  <w:tcW w:w="1891" w:type="dxa"/>
                  <w:gridSpan w:val="2"/>
                  <w:tcBorders>
                    <w:tl2br w:val="nil"/>
                    <w:tr2bl w:val="nil"/>
                  </w:tcBorders>
                  <w:vAlign w:val="center"/>
                </w:tcPr>
                <w:p w14:paraId="5CE3022E">
                  <w:pPr>
                    <w:jc w:val="center"/>
                    <w:rPr>
                      <w:rFonts w:hint="eastAsia" w:cs="Times New Roman"/>
                      <w:snapToGrid w:val="0"/>
                      <w:color w:val="auto"/>
                      <w:szCs w:val="21"/>
                      <w:lang w:eastAsia="zh-CN"/>
                    </w:rPr>
                  </w:pPr>
                  <w:r>
                    <w:rPr>
                      <w:rFonts w:ascii="Times New Roman" w:hAnsi="Times New Roman" w:cs="Times New Roman"/>
                      <w:snapToGrid w:val="0"/>
                      <w:color w:val="auto"/>
                      <w:szCs w:val="21"/>
                    </w:rPr>
                    <w:t>202</w:t>
                  </w:r>
                  <w:r>
                    <w:rPr>
                      <w:rFonts w:hint="eastAsia" w:cs="Times New Roman"/>
                      <w:snapToGrid w:val="0"/>
                      <w:color w:val="auto"/>
                      <w:szCs w:val="21"/>
                      <w:lang w:val="en-US" w:eastAsia="zh-CN"/>
                    </w:rPr>
                    <w:t>5.2.25</w:t>
                  </w:r>
                </w:p>
              </w:tc>
              <w:tc>
                <w:tcPr>
                  <w:tcW w:w="1559" w:type="dxa"/>
                  <w:tcBorders>
                    <w:tl2br w:val="nil"/>
                    <w:tr2bl w:val="nil"/>
                  </w:tcBorders>
                  <w:vAlign w:val="center"/>
                </w:tcPr>
                <w:p w14:paraId="7ED23827">
                  <w:pPr>
                    <w:jc w:val="center"/>
                    <w:rPr>
                      <w:rFonts w:hint="eastAsia" w:cs="Times New Roman"/>
                      <w:snapToGrid w:val="0"/>
                      <w:color w:val="auto"/>
                      <w:szCs w:val="21"/>
                      <w:lang w:val="en-US" w:eastAsia="zh-CN"/>
                    </w:rPr>
                  </w:pPr>
                  <w:r>
                    <w:rPr>
                      <w:rFonts w:hint="eastAsia" w:cs="Times New Roman"/>
                      <w:snapToGrid w:val="0"/>
                      <w:color w:val="auto"/>
                      <w:szCs w:val="21"/>
                      <w:lang w:val="en-US" w:eastAsia="zh-CN"/>
                    </w:rPr>
                    <w:t>ND</w:t>
                  </w:r>
                </w:p>
              </w:tc>
              <w:tc>
                <w:tcPr>
                  <w:tcW w:w="1702" w:type="dxa"/>
                  <w:tcBorders>
                    <w:tl2br w:val="nil"/>
                    <w:tr2bl w:val="nil"/>
                  </w:tcBorders>
                  <w:vAlign w:val="center"/>
                </w:tcPr>
                <w:p w14:paraId="03188C01">
                  <w:pPr>
                    <w:jc w:val="center"/>
                    <w:rPr>
                      <w:rFonts w:hint="eastAsia" w:cs="Times New Roman"/>
                      <w:snapToGrid w:val="0"/>
                      <w:color w:val="auto"/>
                      <w:szCs w:val="21"/>
                      <w:lang w:val="en-US" w:eastAsia="zh-CN"/>
                    </w:rPr>
                  </w:pPr>
                  <w:r>
                    <w:rPr>
                      <w:rFonts w:hint="eastAsia" w:cs="Times New Roman"/>
                      <w:snapToGrid w:val="0"/>
                      <w:color w:val="auto"/>
                      <w:szCs w:val="21"/>
                      <w:lang w:val="en-US" w:eastAsia="zh-CN"/>
                    </w:rPr>
                    <w:t>/</w:t>
                  </w:r>
                </w:p>
              </w:tc>
              <w:tc>
                <w:tcPr>
                  <w:tcW w:w="1473" w:type="dxa"/>
                  <w:vMerge w:val="continue"/>
                  <w:tcBorders>
                    <w:tl2br w:val="nil"/>
                    <w:tr2bl w:val="nil"/>
                  </w:tcBorders>
                  <w:vAlign w:val="center"/>
                </w:tcPr>
                <w:p w14:paraId="3C2B5249">
                  <w:pPr>
                    <w:jc w:val="center"/>
                    <w:rPr>
                      <w:rFonts w:ascii="Times New Roman" w:hAnsi="Times New Roman" w:cs="Times New Roman"/>
                      <w:snapToGrid w:val="0"/>
                      <w:color w:val="auto"/>
                      <w:szCs w:val="21"/>
                    </w:rPr>
                  </w:pPr>
                </w:p>
              </w:tc>
            </w:tr>
            <w:tr w14:paraId="68A626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continue"/>
                  <w:tcBorders>
                    <w:tl2br w:val="nil"/>
                    <w:tr2bl w:val="nil"/>
                  </w:tcBorders>
                  <w:vAlign w:val="center"/>
                </w:tcPr>
                <w:p w14:paraId="589E233A">
                  <w:pPr>
                    <w:jc w:val="center"/>
                    <w:rPr>
                      <w:rFonts w:ascii="Times New Roman" w:hAnsi="Times New Roman" w:cs="Times New Roman"/>
                      <w:snapToGrid w:val="0"/>
                      <w:color w:val="auto"/>
                      <w:szCs w:val="21"/>
                    </w:rPr>
                  </w:pPr>
                </w:p>
              </w:tc>
              <w:tc>
                <w:tcPr>
                  <w:tcW w:w="1182" w:type="dxa"/>
                  <w:tcBorders>
                    <w:tl2br w:val="nil"/>
                    <w:tr2bl w:val="nil"/>
                  </w:tcBorders>
                  <w:vAlign w:val="center"/>
                </w:tcPr>
                <w:p w14:paraId="34153587">
                  <w:pPr>
                    <w:jc w:val="center"/>
                    <w:rPr>
                      <w:rFonts w:hint="eastAsia" w:ascii="Times New Roman" w:hAnsi="Times New Roman" w:eastAsia="宋体" w:cs="Times New Roman"/>
                      <w:snapToGrid w:val="0"/>
                      <w:color w:val="auto"/>
                      <w:szCs w:val="21"/>
                      <w:lang w:eastAsia="zh-CN"/>
                    </w:rPr>
                  </w:pPr>
                  <w:r>
                    <w:rPr>
                      <w:rFonts w:hint="eastAsia" w:cs="Times New Roman"/>
                      <w:snapToGrid w:val="0"/>
                      <w:color w:val="auto"/>
                      <w:szCs w:val="21"/>
                      <w:lang w:eastAsia="zh-CN"/>
                    </w:rPr>
                    <w:t>例行监测</w:t>
                  </w:r>
                </w:p>
              </w:tc>
              <w:tc>
                <w:tcPr>
                  <w:tcW w:w="1891" w:type="dxa"/>
                  <w:gridSpan w:val="2"/>
                  <w:tcBorders>
                    <w:tl2br w:val="nil"/>
                    <w:tr2bl w:val="nil"/>
                  </w:tcBorders>
                  <w:vAlign w:val="center"/>
                </w:tcPr>
                <w:p w14:paraId="30A38BB0">
                  <w:pPr>
                    <w:jc w:val="center"/>
                    <w:rPr>
                      <w:rFonts w:hint="default" w:eastAsia="宋体" w:cs="Times New Roman"/>
                      <w:snapToGrid w:val="0"/>
                      <w:color w:val="auto"/>
                      <w:szCs w:val="21"/>
                      <w:lang w:val="en-US" w:eastAsia="zh-CN"/>
                    </w:rPr>
                  </w:pPr>
                  <w:r>
                    <w:rPr>
                      <w:rFonts w:hint="eastAsia" w:cs="Times New Roman"/>
                      <w:snapToGrid w:val="0"/>
                      <w:color w:val="auto"/>
                      <w:szCs w:val="21"/>
                      <w:lang w:val="en-US" w:eastAsia="zh-CN"/>
                    </w:rPr>
                    <w:t>2025.06.09</w:t>
                  </w:r>
                </w:p>
              </w:tc>
              <w:tc>
                <w:tcPr>
                  <w:tcW w:w="1559" w:type="dxa"/>
                  <w:tcBorders>
                    <w:tl2br w:val="nil"/>
                    <w:tr2bl w:val="nil"/>
                  </w:tcBorders>
                  <w:vAlign w:val="center"/>
                </w:tcPr>
                <w:p w14:paraId="091927D3">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1.74-3.40</w:t>
                  </w:r>
                </w:p>
              </w:tc>
              <w:tc>
                <w:tcPr>
                  <w:tcW w:w="1702" w:type="dxa"/>
                  <w:tcBorders>
                    <w:tl2br w:val="nil"/>
                    <w:tr2bl w:val="nil"/>
                  </w:tcBorders>
                  <w:vAlign w:val="center"/>
                </w:tcPr>
                <w:p w14:paraId="216DF639">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0.00544-0.0102</w:t>
                  </w:r>
                </w:p>
              </w:tc>
              <w:tc>
                <w:tcPr>
                  <w:tcW w:w="1473" w:type="dxa"/>
                  <w:vMerge w:val="continue"/>
                  <w:tcBorders>
                    <w:tl2br w:val="nil"/>
                    <w:tr2bl w:val="nil"/>
                  </w:tcBorders>
                  <w:vAlign w:val="center"/>
                </w:tcPr>
                <w:p w14:paraId="130176C1">
                  <w:pPr>
                    <w:jc w:val="center"/>
                    <w:rPr>
                      <w:rFonts w:ascii="Times New Roman" w:hAnsi="Times New Roman" w:cs="Times New Roman"/>
                      <w:snapToGrid w:val="0"/>
                      <w:color w:val="auto"/>
                      <w:szCs w:val="21"/>
                    </w:rPr>
                  </w:pPr>
                </w:p>
              </w:tc>
            </w:tr>
            <w:tr w14:paraId="44E13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continue"/>
                  <w:tcBorders>
                    <w:tl2br w:val="nil"/>
                    <w:tr2bl w:val="nil"/>
                  </w:tcBorders>
                  <w:vAlign w:val="center"/>
                </w:tcPr>
                <w:p w14:paraId="595C2778">
                  <w:pPr>
                    <w:jc w:val="center"/>
                    <w:rPr>
                      <w:rFonts w:ascii="Times New Roman" w:hAnsi="Times New Roman" w:cs="Times New Roman"/>
                      <w:snapToGrid w:val="0"/>
                      <w:color w:val="auto"/>
                      <w:szCs w:val="21"/>
                    </w:rPr>
                  </w:pPr>
                </w:p>
              </w:tc>
              <w:tc>
                <w:tcPr>
                  <w:tcW w:w="1182" w:type="dxa"/>
                  <w:tcBorders>
                    <w:tl2br w:val="nil"/>
                    <w:tr2bl w:val="nil"/>
                  </w:tcBorders>
                  <w:vAlign w:val="center"/>
                </w:tcPr>
                <w:p w14:paraId="6AF265B7">
                  <w:pPr>
                    <w:jc w:val="center"/>
                    <w:rPr>
                      <w:rFonts w:ascii="Times New Roman" w:hAnsi="Times New Roman" w:cs="Times New Roman"/>
                      <w:snapToGrid w:val="0"/>
                      <w:color w:val="auto"/>
                      <w:szCs w:val="21"/>
                    </w:rPr>
                  </w:pPr>
                  <w:r>
                    <w:rPr>
                      <w:rFonts w:hint="eastAsia" w:cs="Times New Roman"/>
                      <w:snapToGrid w:val="0"/>
                      <w:color w:val="auto"/>
                      <w:kern w:val="2"/>
                      <w:sz w:val="21"/>
                      <w:szCs w:val="21"/>
                      <w:lang w:val="en-US" w:eastAsia="zh-CN" w:bidi="ar-SA"/>
                    </w:rPr>
                    <w:t>例行监测</w:t>
                  </w:r>
                </w:p>
              </w:tc>
              <w:tc>
                <w:tcPr>
                  <w:tcW w:w="1891" w:type="dxa"/>
                  <w:gridSpan w:val="2"/>
                  <w:tcBorders>
                    <w:tl2br w:val="nil"/>
                    <w:tr2bl w:val="nil"/>
                  </w:tcBorders>
                  <w:vAlign w:val="center"/>
                </w:tcPr>
                <w:p w14:paraId="74E18616">
                  <w:pPr>
                    <w:jc w:val="center"/>
                    <w:rPr>
                      <w:rFonts w:hint="eastAsia" w:cs="Times New Roman"/>
                      <w:snapToGrid w:val="0"/>
                      <w:color w:val="auto"/>
                      <w:szCs w:val="21"/>
                      <w:lang w:eastAsia="zh-CN"/>
                    </w:rPr>
                  </w:pPr>
                  <w:r>
                    <w:rPr>
                      <w:rFonts w:hint="eastAsia" w:cs="Times New Roman"/>
                      <w:snapToGrid w:val="0"/>
                      <w:color w:val="auto"/>
                      <w:kern w:val="2"/>
                      <w:sz w:val="21"/>
                      <w:szCs w:val="21"/>
                      <w:lang w:val="en-US" w:eastAsia="zh-CN" w:bidi="ar-SA"/>
                    </w:rPr>
                    <w:t>2025.08.24</w:t>
                  </w:r>
                </w:p>
              </w:tc>
              <w:tc>
                <w:tcPr>
                  <w:tcW w:w="1559" w:type="dxa"/>
                  <w:tcBorders>
                    <w:tl2br w:val="nil"/>
                    <w:tr2bl w:val="nil"/>
                  </w:tcBorders>
                  <w:vAlign w:val="center"/>
                </w:tcPr>
                <w:p w14:paraId="5394FA66">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1.20-2.89</w:t>
                  </w:r>
                </w:p>
              </w:tc>
              <w:tc>
                <w:tcPr>
                  <w:tcW w:w="1702" w:type="dxa"/>
                  <w:tcBorders>
                    <w:tl2br w:val="nil"/>
                    <w:tr2bl w:val="nil"/>
                  </w:tcBorders>
                  <w:vAlign w:val="center"/>
                </w:tcPr>
                <w:p w14:paraId="3FFD8377">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0.00344-0.0079</w:t>
                  </w:r>
                </w:p>
              </w:tc>
              <w:tc>
                <w:tcPr>
                  <w:tcW w:w="1473" w:type="dxa"/>
                  <w:vMerge w:val="continue"/>
                  <w:tcBorders>
                    <w:tl2br w:val="nil"/>
                    <w:tr2bl w:val="nil"/>
                  </w:tcBorders>
                  <w:vAlign w:val="center"/>
                </w:tcPr>
                <w:p w14:paraId="1B4FC94F">
                  <w:pPr>
                    <w:jc w:val="center"/>
                    <w:rPr>
                      <w:rFonts w:ascii="Times New Roman" w:hAnsi="Times New Roman" w:cs="Times New Roman"/>
                      <w:snapToGrid w:val="0"/>
                      <w:color w:val="auto"/>
                      <w:szCs w:val="21"/>
                    </w:rPr>
                  </w:pPr>
                </w:p>
              </w:tc>
            </w:tr>
            <w:tr w14:paraId="5D6688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continue"/>
                  <w:tcBorders>
                    <w:tl2br w:val="nil"/>
                    <w:tr2bl w:val="nil"/>
                  </w:tcBorders>
                  <w:vAlign w:val="center"/>
                </w:tcPr>
                <w:p w14:paraId="24C45A03">
                  <w:pPr>
                    <w:jc w:val="center"/>
                    <w:rPr>
                      <w:rFonts w:ascii="Times New Roman" w:hAnsi="Times New Roman" w:cs="Times New Roman"/>
                      <w:snapToGrid w:val="0"/>
                      <w:color w:val="auto"/>
                      <w:szCs w:val="21"/>
                    </w:rPr>
                  </w:pPr>
                </w:p>
              </w:tc>
              <w:tc>
                <w:tcPr>
                  <w:tcW w:w="1182" w:type="dxa"/>
                  <w:tcBorders>
                    <w:tl2br w:val="nil"/>
                    <w:tr2bl w:val="nil"/>
                  </w:tcBorders>
                  <w:vAlign w:val="center"/>
                </w:tcPr>
                <w:p w14:paraId="7E1B4CEF">
                  <w:pPr>
                    <w:jc w:val="center"/>
                    <w:rPr>
                      <w:rFonts w:ascii="Times New Roman" w:hAnsi="Times New Roman" w:cs="Times New Roman"/>
                      <w:snapToGrid w:val="0"/>
                      <w:color w:val="auto"/>
                      <w:szCs w:val="21"/>
                    </w:rPr>
                  </w:pPr>
                  <w:r>
                    <w:rPr>
                      <w:rFonts w:hint="eastAsia" w:cs="Times New Roman"/>
                      <w:snapToGrid w:val="0"/>
                      <w:color w:val="auto"/>
                      <w:kern w:val="2"/>
                      <w:sz w:val="21"/>
                      <w:szCs w:val="21"/>
                      <w:lang w:val="en-US" w:eastAsia="zh-CN" w:bidi="ar-SA"/>
                    </w:rPr>
                    <w:t>例行监测</w:t>
                  </w:r>
                </w:p>
              </w:tc>
              <w:tc>
                <w:tcPr>
                  <w:tcW w:w="1891" w:type="dxa"/>
                  <w:gridSpan w:val="2"/>
                  <w:tcBorders>
                    <w:tl2br w:val="nil"/>
                    <w:tr2bl w:val="nil"/>
                  </w:tcBorders>
                  <w:vAlign w:val="center"/>
                </w:tcPr>
                <w:p w14:paraId="77981050">
                  <w:pPr>
                    <w:jc w:val="center"/>
                    <w:rPr>
                      <w:rFonts w:hint="eastAsia" w:cs="Times New Roman"/>
                      <w:snapToGrid w:val="0"/>
                      <w:color w:val="auto"/>
                      <w:szCs w:val="21"/>
                      <w:lang w:eastAsia="zh-CN"/>
                    </w:rPr>
                  </w:pPr>
                  <w:r>
                    <w:rPr>
                      <w:rFonts w:hint="eastAsia" w:cs="Times New Roman"/>
                      <w:snapToGrid w:val="0"/>
                      <w:color w:val="auto"/>
                      <w:kern w:val="2"/>
                      <w:sz w:val="21"/>
                      <w:szCs w:val="21"/>
                      <w:lang w:val="en-US" w:eastAsia="zh-CN" w:bidi="ar-SA"/>
                    </w:rPr>
                    <w:t>2025.11.17</w:t>
                  </w:r>
                </w:p>
              </w:tc>
              <w:tc>
                <w:tcPr>
                  <w:tcW w:w="1559" w:type="dxa"/>
                  <w:tcBorders>
                    <w:tl2br w:val="nil"/>
                    <w:tr2bl w:val="nil"/>
                  </w:tcBorders>
                  <w:vAlign w:val="center"/>
                </w:tcPr>
                <w:p w14:paraId="1DFABF00">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0.55-0.72</w:t>
                  </w:r>
                </w:p>
              </w:tc>
              <w:tc>
                <w:tcPr>
                  <w:tcW w:w="1702" w:type="dxa"/>
                  <w:tcBorders>
                    <w:tl2br w:val="nil"/>
                    <w:tr2bl w:val="nil"/>
                  </w:tcBorders>
                  <w:vAlign w:val="center"/>
                </w:tcPr>
                <w:p w14:paraId="61F6EF22">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0.00143-0.00184</w:t>
                  </w:r>
                </w:p>
              </w:tc>
              <w:tc>
                <w:tcPr>
                  <w:tcW w:w="1473" w:type="dxa"/>
                  <w:vMerge w:val="continue"/>
                  <w:tcBorders>
                    <w:tl2br w:val="nil"/>
                    <w:tr2bl w:val="nil"/>
                  </w:tcBorders>
                  <w:vAlign w:val="center"/>
                </w:tcPr>
                <w:p w14:paraId="1F8FAAF1">
                  <w:pPr>
                    <w:jc w:val="center"/>
                    <w:rPr>
                      <w:rFonts w:ascii="Times New Roman" w:hAnsi="Times New Roman" w:cs="Times New Roman"/>
                      <w:snapToGrid w:val="0"/>
                      <w:color w:val="auto"/>
                      <w:szCs w:val="21"/>
                    </w:rPr>
                  </w:pPr>
                </w:p>
              </w:tc>
            </w:tr>
            <w:tr w14:paraId="777DD3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dxa"/>
                  <w:gridSpan w:val="2"/>
                  <w:tcBorders>
                    <w:tl2br w:val="nil"/>
                    <w:tr2bl w:val="nil"/>
                  </w:tcBorders>
                  <w:vAlign w:val="center"/>
                </w:tcPr>
                <w:p w14:paraId="7736F9C3">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执行标准</w:t>
                  </w:r>
                </w:p>
              </w:tc>
              <w:tc>
                <w:tcPr>
                  <w:tcW w:w="1891" w:type="dxa"/>
                  <w:gridSpan w:val="2"/>
                  <w:tcBorders>
                    <w:tl2br w:val="nil"/>
                    <w:tr2bl w:val="nil"/>
                  </w:tcBorders>
                  <w:vAlign w:val="center"/>
                </w:tcPr>
                <w:p w14:paraId="1A798E8E">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w:t>
                  </w:r>
                </w:p>
              </w:tc>
              <w:tc>
                <w:tcPr>
                  <w:tcW w:w="1559" w:type="dxa"/>
                  <w:tcBorders>
                    <w:tl2br w:val="nil"/>
                    <w:tr2bl w:val="nil"/>
                  </w:tcBorders>
                  <w:vAlign w:val="center"/>
                </w:tcPr>
                <w:p w14:paraId="072F23A2">
                  <w:pPr>
                    <w:jc w:val="center"/>
                    <w:rPr>
                      <w:rFonts w:ascii="Times New Roman" w:hAnsi="Times New Roman" w:cs="Times New Roman"/>
                      <w:snapToGrid w:val="0"/>
                      <w:color w:val="auto"/>
                      <w:szCs w:val="21"/>
                    </w:rPr>
                  </w:pPr>
                  <w:r>
                    <w:rPr>
                      <w:rFonts w:hint="eastAsia" w:cs="Times New Roman"/>
                      <w:snapToGrid w:val="0"/>
                      <w:color w:val="auto"/>
                      <w:szCs w:val="21"/>
                      <w:lang w:val="en-US" w:eastAsia="zh-CN"/>
                    </w:rPr>
                    <w:t>10</w:t>
                  </w:r>
                </w:p>
              </w:tc>
              <w:tc>
                <w:tcPr>
                  <w:tcW w:w="1702" w:type="dxa"/>
                  <w:tcBorders>
                    <w:tl2br w:val="nil"/>
                    <w:tr2bl w:val="nil"/>
                  </w:tcBorders>
                  <w:vAlign w:val="center"/>
                </w:tcPr>
                <w:p w14:paraId="58D222B4">
                  <w:pPr>
                    <w:jc w:val="center"/>
                    <w:rPr>
                      <w:rFonts w:ascii="Times New Roman" w:hAnsi="Times New Roman" w:cs="Times New Roman"/>
                      <w:snapToGrid w:val="0"/>
                      <w:color w:val="auto"/>
                      <w:szCs w:val="21"/>
                    </w:rPr>
                  </w:pPr>
                  <w:r>
                    <w:rPr>
                      <w:rFonts w:hint="eastAsia" w:cs="Times New Roman"/>
                      <w:snapToGrid w:val="0"/>
                      <w:color w:val="auto"/>
                      <w:szCs w:val="21"/>
                      <w:lang w:val="en-US" w:eastAsia="zh-CN"/>
                    </w:rPr>
                    <w:t>0.18</w:t>
                  </w:r>
                </w:p>
              </w:tc>
              <w:tc>
                <w:tcPr>
                  <w:tcW w:w="1473" w:type="dxa"/>
                  <w:vMerge w:val="continue"/>
                  <w:tcBorders>
                    <w:tl2br w:val="nil"/>
                    <w:tr2bl w:val="nil"/>
                  </w:tcBorders>
                  <w:vAlign w:val="center"/>
                </w:tcPr>
                <w:p w14:paraId="4E7B9105">
                  <w:pPr>
                    <w:jc w:val="center"/>
                    <w:rPr>
                      <w:rFonts w:ascii="Times New Roman" w:hAnsi="Times New Roman" w:cs="Times New Roman"/>
                      <w:snapToGrid w:val="0"/>
                      <w:color w:val="auto"/>
                      <w:szCs w:val="21"/>
                    </w:rPr>
                  </w:pPr>
                </w:p>
              </w:tc>
            </w:tr>
            <w:tr w14:paraId="3FF81E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dxa"/>
                  <w:gridSpan w:val="2"/>
                  <w:tcBorders>
                    <w:tl2br w:val="nil"/>
                    <w:tr2bl w:val="nil"/>
                  </w:tcBorders>
                  <w:vAlign w:val="center"/>
                </w:tcPr>
                <w:p w14:paraId="1674892F">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标准来源</w:t>
                  </w:r>
                </w:p>
              </w:tc>
              <w:tc>
                <w:tcPr>
                  <w:tcW w:w="5152" w:type="dxa"/>
                  <w:gridSpan w:val="4"/>
                  <w:tcBorders>
                    <w:tl2br w:val="nil"/>
                    <w:tr2bl w:val="nil"/>
                  </w:tcBorders>
                  <w:vAlign w:val="center"/>
                </w:tcPr>
                <w:p w14:paraId="2F9E1C50">
                  <w:pPr>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《大气污染物综合排放标准》</w:t>
                  </w:r>
                  <w:r>
                    <w:rPr>
                      <w:rFonts w:hint="eastAsia" w:cs="Times New Roman"/>
                      <w:snapToGrid w:val="0"/>
                      <w:color w:val="auto"/>
                      <w:szCs w:val="21"/>
                      <w:lang w:eastAsia="zh-CN"/>
                    </w:rPr>
                    <w:t>（</w:t>
                  </w:r>
                  <w:r>
                    <w:rPr>
                      <w:rFonts w:ascii="Times New Roman" w:hAnsi="Times New Roman" w:cs="Times New Roman"/>
                      <w:snapToGrid w:val="0"/>
                      <w:color w:val="auto"/>
                      <w:szCs w:val="21"/>
                    </w:rPr>
                    <w:t>DB32/4041-2021</w:t>
                  </w:r>
                  <w:r>
                    <w:rPr>
                      <w:rFonts w:hint="eastAsia" w:cs="Times New Roman"/>
                      <w:snapToGrid w:val="0"/>
                      <w:color w:val="auto"/>
                      <w:szCs w:val="21"/>
                      <w:lang w:eastAsia="zh-CN"/>
                    </w:rPr>
                    <w:t>）</w:t>
                  </w:r>
                  <w:r>
                    <w:rPr>
                      <w:rFonts w:ascii="Times New Roman" w:hAnsi="Times New Roman" w:cs="Times New Roman"/>
                      <w:snapToGrid w:val="0"/>
                      <w:color w:val="auto"/>
                      <w:szCs w:val="21"/>
                    </w:rPr>
                    <w:t>表1</w:t>
                  </w:r>
                  <w:r>
                    <w:rPr>
                      <w:rFonts w:hint="eastAsia" w:ascii="Times New Roman" w:hAnsi="Times New Roman" w:cs="Times New Roman"/>
                      <w:snapToGrid w:val="0"/>
                      <w:color w:val="auto"/>
                      <w:szCs w:val="21"/>
                    </w:rPr>
                    <w:t>标准限值</w:t>
                  </w:r>
                </w:p>
              </w:tc>
              <w:tc>
                <w:tcPr>
                  <w:tcW w:w="1473" w:type="dxa"/>
                  <w:vMerge w:val="continue"/>
                  <w:tcBorders>
                    <w:tl2br w:val="nil"/>
                    <w:tr2bl w:val="nil"/>
                  </w:tcBorders>
                  <w:vAlign w:val="center"/>
                </w:tcPr>
                <w:p w14:paraId="25D6031D">
                  <w:pPr>
                    <w:jc w:val="center"/>
                    <w:rPr>
                      <w:rFonts w:ascii="Times New Roman" w:hAnsi="Times New Roman" w:cs="Times New Roman"/>
                      <w:snapToGrid w:val="0"/>
                      <w:color w:val="auto"/>
                      <w:szCs w:val="21"/>
                    </w:rPr>
                  </w:pPr>
                </w:p>
              </w:tc>
            </w:tr>
            <w:tr w14:paraId="04EE8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restart"/>
                  <w:tcBorders>
                    <w:tl2br w:val="nil"/>
                    <w:tr2bl w:val="nil"/>
                  </w:tcBorders>
                  <w:vAlign w:val="center"/>
                </w:tcPr>
                <w:p w14:paraId="67FA4BE0">
                  <w:pPr>
                    <w:jc w:val="center"/>
                    <w:rPr>
                      <w:rFonts w:hint="eastAsia" w:ascii="Times New Roman" w:hAnsi="Times New Roman" w:eastAsia="宋体" w:cs="Times New Roman"/>
                      <w:snapToGrid w:val="0"/>
                      <w:color w:val="auto"/>
                      <w:szCs w:val="21"/>
                      <w:lang w:eastAsia="zh-CN"/>
                    </w:rPr>
                  </w:pPr>
                  <w:r>
                    <w:rPr>
                      <w:rFonts w:hint="eastAsia" w:cs="Times New Roman"/>
                      <w:snapToGrid w:val="0"/>
                      <w:color w:val="auto"/>
                      <w:szCs w:val="21"/>
                      <w:lang w:eastAsia="zh-CN"/>
                    </w:rPr>
                    <w:t>颗粒物</w:t>
                  </w:r>
                </w:p>
              </w:tc>
              <w:tc>
                <w:tcPr>
                  <w:tcW w:w="1182" w:type="dxa"/>
                  <w:vMerge w:val="restart"/>
                  <w:tcBorders>
                    <w:tl2br w:val="nil"/>
                    <w:tr2bl w:val="nil"/>
                  </w:tcBorders>
                  <w:vAlign w:val="center"/>
                </w:tcPr>
                <w:p w14:paraId="0D2CAE0C">
                  <w:pPr>
                    <w:jc w:val="center"/>
                    <w:rPr>
                      <w:rFonts w:ascii="Times New Roman" w:hAnsi="Times New Roman" w:cs="Times New Roman"/>
                      <w:snapToGrid w:val="0"/>
                      <w:color w:val="auto"/>
                      <w:szCs w:val="21"/>
                    </w:rPr>
                  </w:pPr>
                  <w:r>
                    <w:rPr>
                      <w:rFonts w:hint="eastAsia" w:cs="Times New Roman"/>
                      <w:snapToGrid w:val="0"/>
                      <w:color w:val="auto"/>
                      <w:szCs w:val="21"/>
                      <w:lang w:eastAsia="zh-CN"/>
                    </w:rPr>
                    <w:t>验收监测</w:t>
                  </w:r>
                </w:p>
              </w:tc>
              <w:tc>
                <w:tcPr>
                  <w:tcW w:w="1891" w:type="dxa"/>
                  <w:gridSpan w:val="2"/>
                  <w:tcBorders>
                    <w:tl2br w:val="nil"/>
                    <w:tr2bl w:val="nil"/>
                  </w:tcBorders>
                  <w:vAlign w:val="center"/>
                </w:tcPr>
                <w:p w14:paraId="50F7E63E">
                  <w:pPr>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202</w:t>
                  </w:r>
                  <w:r>
                    <w:rPr>
                      <w:rFonts w:hint="eastAsia" w:cs="Times New Roman"/>
                      <w:snapToGrid w:val="0"/>
                      <w:color w:val="auto"/>
                      <w:szCs w:val="21"/>
                      <w:lang w:val="en-US" w:eastAsia="zh-CN"/>
                    </w:rPr>
                    <w:t>5.2.24</w:t>
                  </w:r>
                </w:p>
              </w:tc>
              <w:tc>
                <w:tcPr>
                  <w:tcW w:w="1559" w:type="dxa"/>
                  <w:tcBorders>
                    <w:tl2br w:val="nil"/>
                    <w:tr2bl w:val="nil"/>
                  </w:tcBorders>
                  <w:vAlign w:val="center"/>
                </w:tcPr>
                <w:p w14:paraId="03DBDD06">
                  <w:pPr>
                    <w:jc w:val="center"/>
                    <w:rPr>
                      <w:rFonts w:ascii="Times New Roman" w:hAnsi="Times New Roman" w:cs="Times New Roman"/>
                      <w:snapToGrid w:val="0"/>
                      <w:color w:val="auto"/>
                      <w:szCs w:val="21"/>
                    </w:rPr>
                  </w:pPr>
                  <w:r>
                    <w:rPr>
                      <w:rFonts w:hint="eastAsia" w:cs="Times New Roman"/>
                      <w:snapToGrid w:val="0"/>
                      <w:color w:val="auto"/>
                      <w:szCs w:val="21"/>
                      <w:lang w:val="en-US" w:eastAsia="zh-CN"/>
                    </w:rPr>
                    <w:t>ND</w:t>
                  </w:r>
                </w:p>
              </w:tc>
              <w:tc>
                <w:tcPr>
                  <w:tcW w:w="1702" w:type="dxa"/>
                  <w:tcBorders>
                    <w:tl2br w:val="nil"/>
                    <w:tr2bl w:val="nil"/>
                  </w:tcBorders>
                  <w:vAlign w:val="center"/>
                </w:tcPr>
                <w:p w14:paraId="46A004B1">
                  <w:pPr>
                    <w:jc w:val="center"/>
                    <w:rPr>
                      <w:rFonts w:ascii="Times New Roman" w:hAnsi="Times New Roman" w:cs="Times New Roman"/>
                      <w:snapToGrid w:val="0"/>
                      <w:color w:val="auto"/>
                      <w:szCs w:val="21"/>
                    </w:rPr>
                  </w:pPr>
                  <w:r>
                    <w:rPr>
                      <w:rFonts w:hint="eastAsia" w:cs="Times New Roman"/>
                      <w:snapToGrid w:val="0"/>
                      <w:color w:val="auto"/>
                      <w:szCs w:val="21"/>
                      <w:lang w:val="en-US" w:eastAsia="zh-CN"/>
                    </w:rPr>
                    <w:t>/</w:t>
                  </w:r>
                </w:p>
              </w:tc>
              <w:tc>
                <w:tcPr>
                  <w:tcW w:w="1473" w:type="dxa"/>
                  <w:vMerge w:val="continue"/>
                  <w:tcBorders>
                    <w:tl2br w:val="nil"/>
                    <w:tr2bl w:val="nil"/>
                  </w:tcBorders>
                  <w:vAlign w:val="center"/>
                </w:tcPr>
                <w:p w14:paraId="48FBA090">
                  <w:pPr>
                    <w:jc w:val="center"/>
                    <w:rPr>
                      <w:rFonts w:ascii="Times New Roman" w:hAnsi="Times New Roman" w:cs="Times New Roman"/>
                      <w:snapToGrid w:val="0"/>
                      <w:color w:val="auto"/>
                      <w:szCs w:val="21"/>
                    </w:rPr>
                  </w:pPr>
                </w:p>
              </w:tc>
            </w:tr>
            <w:tr w14:paraId="1AD42B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continue"/>
                  <w:tcBorders>
                    <w:tl2br w:val="nil"/>
                    <w:tr2bl w:val="nil"/>
                  </w:tcBorders>
                  <w:vAlign w:val="center"/>
                </w:tcPr>
                <w:p w14:paraId="71C9FFDF">
                  <w:pPr>
                    <w:jc w:val="center"/>
                    <w:rPr>
                      <w:rFonts w:ascii="Times New Roman" w:hAnsi="Times New Roman" w:cs="Times New Roman"/>
                      <w:snapToGrid w:val="0"/>
                      <w:color w:val="auto"/>
                      <w:szCs w:val="21"/>
                    </w:rPr>
                  </w:pPr>
                </w:p>
              </w:tc>
              <w:tc>
                <w:tcPr>
                  <w:tcW w:w="1182" w:type="dxa"/>
                  <w:vMerge w:val="continue"/>
                  <w:tcBorders>
                    <w:tl2br w:val="nil"/>
                    <w:tr2bl w:val="nil"/>
                  </w:tcBorders>
                  <w:vAlign w:val="center"/>
                </w:tcPr>
                <w:p w14:paraId="6C8026D0">
                  <w:pPr>
                    <w:jc w:val="center"/>
                    <w:rPr>
                      <w:rFonts w:ascii="Times New Roman" w:hAnsi="Times New Roman" w:cs="Times New Roman"/>
                      <w:snapToGrid w:val="0"/>
                      <w:color w:val="auto"/>
                      <w:szCs w:val="21"/>
                    </w:rPr>
                  </w:pPr>
                </w:p>
              </w:tc>
              <w:tc>
                <w:tcPr>
                  <w:tcW w:w="1891" w:type="dxa"/>
                  <w:gridSpan w:val="2"/>
                  <w:tcBorders>
                    <w:tl2br w:val="nil"/>
                    <w:tr2bl w:val="nil"/>
                  </w:tcBorders>
                  <w:shd w:val="clear" w:color="auto" w:fill="auto"/>
                  <w:vAlign w:val="center"/>
                </w:tcPr>
                <w:p w14:paraId="51CA1693">
                  <w:pPr>
                    <w:jc w:val="center"/>
                    <w:rPr>
                      <w:rFonts w:hint="eastAsia" w:ascii="Times New Roman" w:hAnsi="Times New Roman" w:eastAsia="宋体" w:cs="Times New Roman"/>
                      <w:snapToGrid w:val="0"/>
                      <w:color w:val="auto"/>
                      <w:kern w:val="2"/>
                      <w:sz w:val="21"/>
                      <w:szCs w:val="21"/>
                      <w:lang w:val="en-US" w:eastAsia="zh-CN" w:bidi="ar-SA"/>
                    </w:rPr>
                  </w:pPr>
                  <w:r>
                    <w:rPr>
                      <w:rFonts w:ascii="Times New Roman" w:hAnsi="Times New Roman" w:cs="Times New Roman"/>
                      <w:snapToGrid w:val="0"/>
                      <w:color w:val="auto"/>
                      <w:szCs w:val="21"/>
                    </w:rPr>
                    <w:t>202</w:t>
                  </w:r>
                  <w:r>
                    <w:rPr>
                      <w:rFonts w:hint="eastAsia" w:cs="Times New Roman"/>
                      <w:snapToGrid w:val="0"/>
                      <w:color w:val="auto"/>
                      <w:szCs w:val="21"/>
                      <w:lang w:val="en-US" w:eastAsia="zh-CN"/>
                    </w:rPr>
                    <w:t>5.2.25</w:t>
                  </w:r>
                </w:p>
              </w:tc>
              <w:tc>
                <w:tcPr>
                  <w:tcW w:w="1559" w:type="dxa"/>
                  <w:tcBorders>
                    <w:tl2br w:val="nil"/>
                    <w:tr2bl w:val="nil"/>
                  </w:tcBorders>
                  <w:shd w:val="clear" w:color="auto" w:fill="auto"/>
                  <w:vAlign w:val="center"/>
                </w:tcPr>
                <w:p w14:paraId="61E339D3">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ND</w:t>
                  </w:r>
                </w:p>
              </w:tc>
              <w:tc>
                <w:tcPr>
                  <w:tcW w:w="1702" w:type="dxa"/>
                  <w:tcBorders>
                    <w:tl2br w:val="nil"/>
                    <w:tr2bl w:val="nil"/>
                  </w:tcBorders>
                  <w:shd w:val="clear" w:color="auto" w:fill="auto"/>
                  <w:vAlign w:val="center"/>
                </w:tcPr>
                <w:p w14:paraId="0E4F6788">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w:t>
                  </w:r>
                </w:p>
              </w:tc>
              <w:tc>
                <w:tcPr>
                  <w:tcW w:w="1473" w:type="dxa"/>
                  <w:vMerge w:val="continue"/>
                  <w:tcBorders>
                    <w:tl2br w:val="nil"/>
                    <w:tr2bl w:val="nil"/>
                  </w:tcBorders>
                  <w:vAlign w:val="center"/>
                </w:tcPr>
                <w:p w14:paraId="2A49EA94">
                  <w:pPr>
                    <w:jc w:val="center"/>
                    <w:rPr>
                      <w:rFonts w:ascii="Times New Roman" w:hAnsi="Times New Roman" w:cs="Times New Roman"/>
                      <w:snapToGrid w:val="0"/>
                      <w:color w:val="auto"/>
                      <w:szCs w:val="21"/>
                    </w:rPr>
                  </w:pPr>
                </w:p>
              </w:tc>
            </w:tr>
            <w:tr w14:paraId="0FF215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dxa"/>
                  <w:gridSpan w:val="2"/>
                  <w:tcBorders>
                    <w:tl2br w:val="nil"/>
                    <w:tr2bl w:val="nil"/>
                  </w:tcBorders>
                  <w:vAlign w:val="center"/>
                </w:tcPr>
                <w:p w14:paraId="17F63D71">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执行标准</w:t>
                  </w:r>
                </w:p>
              </w:tc>
              <w:tc>
                <w:tcPr>
                  <w:tcW w:w="1891" w:type="dxa"/>
                  <w:gridSpan w:val="2"/>
                  <w:tcBorders>
                    <w:tl2br w:val="nil"/>
                    <w:tr2bl w:val="nil"/>
                  </w:tcBorders>
                  <w:vAlign w:val="center"/>
                </w:tcPr>
                <w:p w14:paraId="6EBADD69">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w:t>
                  </w:r>
                </w:p>
              </w:tc>
              <w:tc>
                <w:tcPr>
                  <w:tcW w:w="1559" w:type="dxa"/>
                  <w:tcBorders>
                    <w:tl2br w:val="nil"/>
                    <w:tr2bl w:val="nil"/>
                  </w:tcBorders>
                  <w:vAlign w:val="center"/>
                </w:tcPr>
                <w:p w14:paraId="4BABDB66">
                  <w:pPr>
                    <w:jc w:val="center"/>
                    <w:rPr>
                      <w:rFonts w:hint="default" w:ascii="Times New Roman" w:hAnsi="Times New Roman" w:cs="Times New Roman"/>
                      <w:snapToGrid w:val="0"/>
                      <w:color w:val="auto"/>
                      <w:szCs w:val="21"/>
                      <w:lang w:val="en-US"/>
                    </w:rPr>
                  </w:pPr>
                  <w:r>
                    <w:rPr>
                      <w:rFonts w:hint="eastAsia" w:cs="Times New Roman"/>
                      <w:snapToGrid w:val="0"/>
                      <w:color w:val="auto"/>
                      <w:szCs w:val="21"/>
                      <w:lang w:val="en-US" w:eastAsia="zh-CN"/>
                    </w:rPr>
                    <w:t>20</w:t>
                  </w:r>
                </w:p>
              </w:tc>
              <w:tc>
                <w:tcPr>
                  <w:tcW w:w="1702" w:type="dxa"/>
                  <w:tcBorders>
                    <w:tl2br w:val="nil"/>
                    <w:tr2bl w:val="nil"/>
                  </w:tcBorders>
                  <w:vAlign w:val="center"/>
                </w:tcPr>
                <w:p w14:paraId="35CA1954">
                  <w:pPr>
                    <w:jc w:val="center"/>
                    <w:rPr>
                      <w:rFonts w:hint="default" w:ascii="Times New Roman" w:hAnsi="Times New Roman" w:cs="Times New Roman"/>
                      <w:snapToGrid w:val="0"/>
                      <w:color w:val="auto"/>
                      <w:szCs w:val="21"/>
                      <w:lang w:val="en-US"/>
                    </w:rPr>
                  </w:pPr>
                  <w:r>
                    <w:rPr>
                      <w:rFonts w:hint="eastAsia" w:cs="Times New Roman"/>
                      <w:snapToGrid w:val="0"/>
                      <w:color w:val="auto"/>
                      <w:szCs w:val="21"/>
                      <w:lang w:val="en-US" w:eastAsia="zh-CN"/>
                    </w:rPr>
                    <w:t>1.0</w:t>
                  </w:r>
                </w:p>
              </w:tc>
              <w:tc>
                <w:tcPr>
                  <w:tcW w:w="1473" w:type="dxa"/>
                  <w:vMerge w:val="continue"/>
                  <w:tcBorders>
                    <w:tl2br w:val="nil"/>
                    <w:tr2bl w:val="nil"/>
                  </w:tcBorders>
                  <w:vAlign w:val="center"/>
                </w:tcPr>
                <w:p w14:paraId="060733DA">
                  <w:pPr>
                    <w:jc w:val="center"/>
                    <w:rPr>
                      <w:rFonts w:ascii="Times New Roman" w:hAnsi="Times New Roman" w:cs="Times New Roman"/>
                      <w:snapToGrid w:val="0"/>
                      <w:color w:val="auto"/>
                      <w:szCs w:val="21"/>
                    </w:rPr>
                  </w:pPr>
                </w:p>
              </w:tc>
            </w:tr>
            <w:tr w14:paraId="221B91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dxa"/>
                  <w:gridSpan w:val="2"/>
                  <w:tcBorders>
                    <w:tl2br w:val="nil"/>
                    <w:tr2bl w:val="nil"/>
                  </w:tcBorders>
                  <w:vAlign w:val="center"/>
                </w:tcPr>
                <w:p w14:paraId="36C69333">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标准来源</w:t>
                  </w:r>
                </w:p>
              </w:tc>
              <w:tc>
                <w:tcPr>
                  <w:tcW w:w="5152" w:type="dxa"/>
                  <w:gridSpan w:val="4"/>
                  <w:tcBorders>
                    <w:tl2br w:val="nil"/>
                    <w:tr2bl w:val="nil"/>
                  </w:tcBorders>
                  <w:vAlign w:val="center"/>
                </w:tcPr>
                <w:p w14:paraId="78C9B89E">
                  <w:pPr>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《大气污染物综合排放标准》</w:t>
                  </w:r>
                  <w:r>
                    <w:rPr>
                      <w:rFonts w:hint="eastAsia" w:cs="Times New Roman"/>
                      <w:snapToGrid w:val="0"/>
                      <w:color w:val="auto"/>
                      <w:szCs w:val="21"/>
                      <w:lang w:eastAsia="zh-CN"/>
                    </w:rPr>
                    <w:t>（</w:t>
                  </w:r>
                  <w:r>
                    <w:rPr>
                      <w:rFonts w:ascii="Times New Roman" w:hAnsi="Times New Roman" w:cs="Times New Roman"/>
                      <w:snapToGrid w:val="0"/>
                      <w:color w:val="auto"/>
                      <w:szCs w:val="21"/>
                    </w:rPr>
                    <w:t>DB32/4041-2021</w:t>
                  </w:r>
                  <w:r>
                    <w:rPr>
                      <w:rFonts w:hint="eastAsia" w:cs="Times New Roman"/>
                      <w:snapToGrid w:val="0"/>
                      <w:color w:val="auto"/>
                      <w:szCs w:val="21"/>
                      <w:lang w:eastAsia="zh-CN"/>
                    </w:rPr>
                    <w:t>）</w:t>
                  </w:r>
                  <w:r>
                    <w:rPr>
                      <w:rFonts w:ascii="Times New Roman" w:hAnsi="Times New Roman" w:cs="Times New Roman"/>
                      <w:snapToGrid w:val="0"/>
                      <w:color w:val="auto"/>
                      <w:szCs w:val="21"/>
                    </w:rPr>
                    <w:t>表1</w:t>
                  </w:r>
                  <w:r>
                    <w:rPr>
                      <w:rFonts w:hint="eastAsia" w:ascii="Times New Roman" w:hAnsi="Times New Roman" w:cs="Times New Roman"/>
                      <w:snapToGrid w:val="0"/>
                      <w:color w:val="auto"/>
                      <w:szCs w:val="21"/>
                    </w:rPr>
                    <w:t>标准限值</w:t>
                  </w:r>
                </w:p>
              </w:tc>
              <w:tc>
                <w:tcPr>
                  <w:tcW w:w="1473" w:type="dxa"/>
                  <w:vMerge w:val="continue"/>
                  <w:tcBorders>
                    <w:tl2br w:val="nil"/>
                    <w:tr2bl w:val="nil"/>
                  </w:tcBorders>
                  <w:vAlign w:val="center"/>
                </w:tcPr>
                <w:p w14:paraId="6B27C28A">
                  <w:pPr>
                    <w:jc w:val="center"/>
                    <w:rPr>
                      <w:rFonts w:ascii="Times New Roman" w:hAnsi="Times New Roman" w:cs="Times New Roman"/>
                      <w:snapToGrid w:val="0"/>
                      <w:color w:val="auto"/>
                      <w:szCs w:val="21"/>
                    </w:rPr>
                  </w:pPr>
                </w:p>
              </w:tc>
            </w:tr>
            <w:tr w14:paraId="1A38F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restart"/>
                  <w:tcBorders>
                    <w:tl2br w:val="nil"/>
                    <w:tr2bl w:val="nil"/>
                  </w:tcBorders>
                  <w:vAlign w:val="center"/>
                </w:tcPr>
                <w:p w14:paraId="26EDB986">
                  <w:pPr>
                    <w:jc w:val="center"/>
                    <w:rPr>
                      <w:rFonts w:ascii="Times New Roman" w:hAnsi="Times New Roman" w:cs="Times New Roman"/>
                      <w:snapToGrid w:val="0"/>
                      <w:color w:val="auto"/>
                      <w:szCs w:val="21"/>
                    </w:rPr>
                  </w:pPr>
                  <w:r>
                    <w:rPr>
                      <w:rFonts w:hint="eastAsia" w:cs="Times New Roman"/>
                      <w:snapToGrid w:val="0"/>
                      <w:color w:val="auto"/>
                      <w:szCs w:val="21"/>
                      <w:lang w:eastAsia="zh-CN"/>
                    </w:rPr>
                    <w:t>氨</w:t>
                  </w:r>
                </w:p>
              </w:tc>
              <w:tc>
                <w:tcPr>
                  <w:tcW w:w="1182" w:type="dxa"/>
                  <w:vMerge w:val="restart"/>
                  <w:tcBorders>
                    <w:tl2br w:val="nil"/>
                    <w:tr2bl w:val="nil"/>
                  </w:tcBorders>
                  <w:vAlign w:val="center"/>
                </w:tcPr>
                <w:p w14:paraId="297E389B">
                  <w:pPr>
                    <w:jc w:val="center"/>
                    <w:rPr>
                      <w:rFonts w:ascii="Times New Roman" w:hAnsi="Times New Roman" w:cs="Times New Roman"/>
                      <w:snapToGrid w:val="0"/>
                      <w:color w:val="auto"/>
                      <w:szCs w:val="21"/>
                    </w:rPr>
                  </w:pPr>
                  <w:r>
                    <w:rPr>
                      <w:rFonts w:hint="eastAsia" w:cs="Times New Roman"/>
                      <w:snapToGrid w:val="0"/>
                      <w:color w:val="auto"/>
                      <w:szCs w:val="21"/>
                      <w:lang w:eastAsia="zh-CN"/>
                    </w:rPr>
                    <w:t>验收监测</w:t>
                  </w:r>
                </w:p>
              </w:tc>
              <w:tc>
                <w:tcPr>
                  <w:tcW w:w="1891" w:type="dxa"/>
                  <w:gridSpan w:val="2"/>
                  <w:tcBorders>
                    <w:tl2br w:val="nil"/>
                    <w:tr2bl w:val="nil"/>
                  </w:tcBorders>
                  <w:vAlign w:val="center"/>
                </w:tcPr>
                <w:p w14:paraId="34C119D6">
                  <w:pPr>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202</w:t>
                  </w:r>
                  <w:r>
                    <w:rPr>
                      <w:rFonts w:hint="eastAsia" w:cs="Times New Roman"/>
                      <w:snapToGrid w:val="0"/>
                      <w:color w:val="auto"/>
                      <w:szCs w:val="21"/>
                      <w:lang w:val="en-US" w:eastAsia="zh-CN"/>
                    </w:rPr>
                    <w:t>5.2.24</w:t>
                  </w:r>
                </w:p>
              </w:tc>
              <w:tc>
                <w:tcPr>
                  <w:tcW w:w="1559" w:type="dxa"/>
                  <w:tcBorders>
                    <w:tl2br w:val="nil"/>
                    <w:tr2bl w:val="nil"/>
                  </w:tcBorders>
                  <w:vAlign w:val="center"/>
                </w:tcPr>
                <w:p w14:paraId="5117C6BD">
                  <w:pPr>
                    <w:jc w:val="center"/>
                    <w:rPr>
                      <w:rFonts w:ascii="Times New Roman" w:hAnsi="Times New Roman" w:cs="Times New Roman"/>
                      <w:snapToGrid w:val="0"/>
                      <w:color w:val="auto"/>
                      <w:szCs w:val="21"/>
                    </w:rPr>
                  </w:pPr>
                  <w:r>
                    <w:rPr>
                      <w:rFonts w:hint="eastAsia" w:cs="Times New Roman"/>
                      <w:snapToGrid w:val="0"/>
                      <w:color w:val="auto"/>
                      <w:szCs w:val="21"/>
                      <w:lang w:val="en-US" w:eastAsia="zh-CN"/>
                    </w:rPr>
                    <w:t>ND</w:t>
                  </w:r>
                </w:p>
              </w:tc>
              <w:tc>
                <w:tcPr>
                  <w:tcW w:w="1702" w:type="dxa"/>
                  <w:tcBorders>
                    <w:tl2br w:val="nil"/>
                    <w:tr2bl w:val="nil"/>
                  </w:tcBorders>
                  <w:vAlign w:val="center"/>
                </w:tcPr>
                <w:p w14:paraId="01D5C318">
                  <w:pPr>
                    <w:jc w:val="center"/>
                    <w:rPr>
                      <w:rFonts w:ascii="Times New Roman" w:hAnsi="Times New Roman" w:cs="Times New Roman"/>
                      <w:snapToGrid w:val="0"/>
                      <w:color w:val="auto"/>
                      <w:szCs w:val="21"/>
                    </w:rPr>
                  </w:pPr>
                  <w:r>
                    <w:rPr>
                      <w:rFonts w:hint="eastAsia" w:cs="Times New Roman"/>
                      <w:snapToGrid w:val="0"/>
                      <w:color w:val="auto"/>
                      <w:szCs w:val="21"/>
                      <w:lang w:val="en-US" w:eastAsia="zh-CN"/>
                    </w:rPr>
                    <w:t>/</w:t>
                  </w:r>
                </w:p>
              </w:tc>
              <w:tc>
                <w:tcPr>
                  <w:tcW w:w="1473" w:type="dxa"/>
                  <w:vMerge w:val="continue"/>
                  <w:tcBorders>
                    <w:tl2br w:val="nil"/>
                    <w:tr2bl w:val="nil"/>
                  </w:tcBorders>
                  <w:vAlign w:val="center"/>
                </w:tcPr>
                <w:p w14:paraId="5CBDB316">
                  <w:pPr>
                    <w:jc w:val="center"/>
                    <w:rPr>
                      <w:rFonts w:ascii="Times New Roman" w:hAnsi="Times New Roman" w:cs="Times New Roman"/>
                      <w:snapToGrid w:val="0"/>
                      <w:color w:val="auto"/>
                      <w:szCs w:val="21"/>
                    </w:rPr>
                  </w:pPr>
                </w:p>
              </w:tc>
            </w:tr>
            <w:tr w14:paraId="61F4BA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continue"/>
                  <w:tcBorders>
                    <w:tl2br w:val="nil"/>
                    <w:tr2bl w:val="nil"/>
                  </w:tcBorders>
                  <w:vAlign w:val="center"/>
                </w:tcPr>
                <w:p w14:paraId="2FBE3ABA">
                  <w:pPr>
                    <w:jc w:val="center"/>
                    <w:rPr>
                      <w:rFonts w:ascii="Times New Roman" w:hAnsi="Times New Roman" w:cs="Times New Roman"/>
                      <w:snapToGrid w:val="0"/>
                      <w:color w:val="auto"/>
                      <w:szCs w:val="21"/>
                    </w:rPr>
                  </w:pPr>
                </w:p>
              </w:tc>
              <w:tc>
                <w:tcPr>
                  <w:tcW w:w="1182" w:type="dxa"/>
                  <w:vMerge w:val="continue"/>
                  <w:tcBorders>
                    <w:tl2br w:val="nil"/>
                    <w:tr2bl w:val="nil"/>
                  </w:tcBorders>
                  <w:vAlign w:val="center"/>
                </w:tcPr>
                <w:p w14:paraId="5BA4EEDD">
                  <w:pPr>
                    <w:jc w:val="center"/>
                    <w:rPr>
                      <w:rFonts w:hint="default" w:ascii="Times New Roman" w:hAnsi="Times New Roman" w:cs="Times New Roman"/>
                      <w:snapToGrid w:val="0"/>
                      <w:color w:val="auto"/>
                      <w:szCs w:val="21"/>
                      <w:lang w:val="en-US"/>
                    </w:rPr>
                  </w:pPr>
                </w:p>
              </w:tc>
              <w:tc>
                <w:tcPr>
                  <w:tcW w:w="1891" w:type="dxa"/>
                  <w:gridSpan w:val="2"/>
                  <w:tcBorders>
                    <w:tl2br w:val="nil"/>
                    <w:tr2bl w:val="nil"/>
                  </w:tcBorders>
                  <w:vAlign w:val="center"/>
                </w:tcPr>
                <w:p w14:paraId="3CA1AF94">
                  <w:pPr>
                    <w:jc w:val="center"/>
                    <w:rPr>
                      <w:rFonts w:hint="eastAsia" w:cs="Times New Roman"/>
                      <w:snapToGrid w:val="0"/>
                      <w:color w:val="auto"/>
                      <w:szCs w:val="21"/>
                      <w:lang w:eastAsia="zh-CN"/>
                    </w:rPr>
                  </w:pPr>
                  <w:r>
                    <w:rPr>
                      <w:rFonts w:ascii="Times New Roman" w:hAnsi="Times New Roman" w:cs="Times New Roman"/>
                      <w:snapToGrid w:val="0"/>
                      <w:color w:val="auto"/>
                      <w:szCs w:val="21"/>
                    </w:rPr>
                    <w:t>202</w:t>
                  </w:r>
                  <w:r>
                    <w:rPr>
                      <w:rFonts w:hint="eastAsia" w:cs="Times New Roman"/>
                      <w:snapToGrid w:val="0"/>
                      <w:color w:val="auto"/>
                      <w:szCs w:val="21"/>
                      <w:lang w:val="en-US" w:eastAsia="zh-CN"/>
                    </w:rPr>
                    <w:t>5.2.25</w:t>
                  </w:r>
                </w:p>
              </w:tc>
              <w:tc>
                <w:tcPr>
                  <w:tcW w:w="1559" w:type="dxa"/>
                  <w:tcBorders>
                    <w:tl2br w:val="nil"/>
                    <w:tr2bl w:val="nil"/>
                  </w:tcBorders>
                  <w:vAlign w:val="center"/>
                </w:tcPr>
                <w:p w14:paraId="03E2F010">
                  <w:pPr>
                    <w:jc w:val="center"/>
                    <w:rPr>
                      <w:rFonts w:hint="eastAsia" w:cs="Times New Roman"/>
                      <w:snapToGrid w:val="0"/>
                      <w:color w:val="auto"/>
                      <w:szCs w:val="21"/>
                      <w:lang w:val="en-US" w:eastAsia="zh-CN"/>
                    </w:rPr>
                  </w:pPr>
                  <w:r>
                    <w:rPr>
                      <w:rFonts w:hint="eastAsia" w:cs="Times New Roman"/>
                      <w:snapToGrid w:val="0"/>
                      <w:color w:val="auto"/>
                      <w:szCs w:val="21"/>
                      <w:lang w:val="en-US" w:eastAsia="zh-CN"/>
                    </w:rPr>
                    <w:t>ND</w:t>
                  </w:r>
                </w:p>
              </w:tc>
              <w:tc>
                <w:tcPr>
                  <w:tcW w:w="1702" w:type="dxa"/>
                  <w:tcBorders>
                    <w:tl2br w:val="nil"/>
                    <w:tr2bl w:val="nil"/>
                  </w:tcBorders>
                  <w:vAlign w:val="center"/>
                </w:tcPr>
                <w:p w14:paraId="742F9CF2">
                  <w:pPr>
                    <w:jc w:val="center"/>
                    <w:rPr>
                      <w:rFonts w:hint="eastAsia" w:cs="Times New Roman"/>
                      <w:snapToGrid w:val="0"/>
                      <w:color w:val="auto"/>
                      <w:szCs w:val="21"/>
                      <w:lang w:val="en-US" w:eastAsia="zh-CN"/>
                    </w:rPr>
                  </w:pPr>
                  <w:r>
                    <w:rPr>
                      <w:rFonts w:hint="eastAsia" w:cs="Times New Roman"/>
                      <w:snapToGrid w:val="0"/>
                      <w:color w:val="auto"/>
                      <w:szCs w:val="21"/>
                      <w:lang w:val="en-US" w:eastAsia="zh-CN"/>
                    </w:rPr>
                    <w:t>/</w:t>
                  </w:r>
                </w:p>
              </w:tc>
              <w:tc>
                <w:tcPr>
                  <w:tcW w:w="1473" w:type="dxa"/>
                  <w:vMerge w:val="continue"/>
                  <w:tcBorders>
                    <w:tl2br w:val="nil"/>
                    <w:tr2bl w:val="nil"/>
                  </w:tcBorders>
                  <w:vAlign w:val="center"/>
                </w:tcPr>
                <w:p w14:paraId="3B9073EB">
                  <w:pPr>
                    <w:jc w:val="center"/>
                    <w:rPr>
                      <w:rFonts w:ascii="Times New Roman" w:hAnsi="Times New Roman" w:cs="Times New Roman"/>
                      <w:snapToGrid w:val="0"/>
                      <w:color w:val="auto"/>
                      <w:szCs w:val="21"/>
                    </w:rPr>
                  </w:pPr>
                </w:p>
              </w:tc>
            </w:tr>
            <w:tr w14:paraId="2CD356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continue"/>
                  <w:tcBorders>
                    <w:tl2br w:val="nil"/>
                    <w:tr2bl w:val="nil"/>
                  </w:tcBorders>
                  <w:vAlign w:val="center"/>
                </w:tcPr>
                <w:p w14:paraId="2D55BCBB">
                  <w:pPr>
                    <w:jc w:val="center"/>
                    <w:rPr>
                      <w:rFonts w:ascii="Times New Roman" w:hAnsi="Times New Roman" w:cs="Times New Roman"/>
                      <w:snapToGrid w:val="0"/>
                      <w:color w:val="auto"/>
                      <w:szCs w:val="21"/>
                    </w:rPr>
                  </w:pPr>
                </w:p>
              </w:tc>
              <w:tc>
                <w:tcPr>
                  <w:tcW w:w="1182" w:type="dxa"/>
                  <w:tcBorders>
                    <w:tl2br w:val="nil"/>
                    <w:tr2bl w:val="nil"/>
                  </w:tcBorders>
                  <w:vAlign w:val="center"/>
                </w:tcPr>
                <w:p w14:paraId="6B7944C8">
                  <w:pPr>
                    <w:jc w:val="center"/>
                    <w:rPr>
                      <w:rFonts w:ascii="Times New Roman" w:hAnsi="Times New Roman" w:cs="Times New Roman"/>
                      <w:snapToGrid w:val="0"/>
                      <w:color w:val="auto"/>
                      <w:szCs w:val="21"/>
                    </w:rPr>
                  </w:pPr>
                  <w:r>
                    <w:rPr>
                      <w:rFonts w:hint="eastAsia" w:cs="Times New Roman"/>
                      <w:snapToGrid w:val="0"/>
                      <w:color w:val="auto"/>
                      <w:szCs w:val="21"/>
                      <w:lang w:eastAsia="zh-CN"/>
                    </w:rPr>
                    <w:t>例行监测</w:t>
                  </w:r>
                </w:p>
              </w:tc>
              <w:tc>
                <w:tcPr>
                  <w:tcW w:w="1891" w:type="dxa"/>
                  <w:gridSpan w:val="2"/>
                  <w:tcBorders>
                    <w:tl2br w:val="nil"/>
                    <w:tr2bl w:val="nil"/>
                  </w:tcBorders>
                  <w:vAlign w:val="center"/>
                </w:tcPr>
                <w:p w14:paraId="663084C8">
                  <w:pPr>
                    <w:jc w:val="center"/>
                    <w:rPr>
                      <w:rFonts w:hint="eastAsia" w:cs="Times New Roman"/>
                      <w:snapToGrid w:val="0"/>
                      <w:color w:val="auto"/>
                      <w:szCs w:val="21"/>
                      <w:lang w:eastAsia="zh-CN"/>
                    </w:rPr>
                  </w:pPr>
                  <w:r>
                    <w:rPr>
                      <w:rFonts w:hint="eastAsia" w:cs="Times New Roman"/>
                      <w:snapToGrid w:val="0"/>
                      <w:color w:val="auto"/>
                      <w:szCs w:val="21"/>
                      <w:lang w:val="en-US" w:eastAsia="zh-CN"/>
                    </w:rPr>
                    <w:t>2025.06.09</w:t>
                  </w:r>
                </w:p>
              </w:tc>
              <w:tc>
                <w:tcPr>
                  <w:tcW w:w="1559" w:type="dxa"/>
                  <w:tcBorders>
                    <w:tl2br w:val="nil"/>
                    <w:tr2bl w:val="nil"/>
                  </w:tcBorders>
                  <w:vAlign w:val="center"/>
                </w:tcPr>
                <w:p w14:paraId="61DE89F8">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0.86-1.02</w:t>
                  </w:r>
                </w:p>
              </w:tc>
              <w:tc>
                <w:tcPr>
                  <w:tcW w:w="1702" w:type="dxa"/>
                  <w:tcBorders>
                    <w:tl2br w:val="nil"/>
                    <w:tr2bl w:val="nil"/>
                  </w:tcBorders>
                  <w:vAlign w:val="center"/>
                </w:tcPr>
                <w:p w14:paraId="54B7795D">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0.00243-0.00319</w:t>
                  </w:r>
                </w:p>
              </w:tc>
              <w:tc>
                <w:tcPr>
                  <w:tcW w:w="1473" w:type="dxa"/>
                  <w:vMerge w:val="continue"/>
                  <w:tcBorders>
                    <w:tl2br w:val="nil"/>
                    <w:tr2bl w:val="nil"/>
                  </w:tcBorders>
                  <w:vAlign w:val="center"/>
                </w:tcPr>
                <w:p w14:paraId="70FD674F">
                  <w:pPr>
                    <w:jc w:val="center"/>
                    <w:rPr>
                      <w:rFonts w:ascii="Times New Roman" w:hAnsi="Times New Roman" w:cs="Times New Roman"/>
                      <w:snapToGrid w:val="0"/>
                      <w:color w:val="auto"/>
                      <w:szCs w:val="21"/>
                    </w:rPr>
                  </w:pPr>
                </w:p>
              </w:tc>
            </w:tr>
            <w:tr w14:paraId="515BE6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continue"/>
                  <w:tcBorders>
                    <w:tl2br w:val="nil"/>
                    <w:tr2bl w:val="nil"/>
                  </w:tcBorders>
                  <w:vAlign w:val="center"/>
                </w:tcPr>
                <w:p w14:paraId="28DF9F93">
                  <w:pPr>
                    <w:jc w:val="center"/>
                    <w:rPr>
                      <w:rFonts w:ascii="Times New Roman" w:hAnsi="Times New Roman" w:cs="Times New Roman"/>
                      <w:snapToGrid w:val="0"/>
                      <w:color w:val="auto"/>
                      <w:szCs w:val="21"/>
                    </w:rPr>
                  </w:pPr>
                </w:p>
              </w:tc>
              <w:tc>
                <w:tcPr>
                  <w:tcW w:w="1182" w:type="dxa"/>
                  <w:tcBorders>
                    <w:tl2br w:val="nil"/>
                    <w:tr2bl w:val="nil"/>
                  </w:tcBorders>
                  <w:vAlign w:val="center"/>
                </w:tcPr>
                <w:p w14:paraId="6B033C42">
                  <w:pPr>
                    <w:jc w:val="center"/>
                    <w:rPr>
                      <w:rFonts w:ascii="Times New Roman" w:hAnsi="Times New Roman" w:cs="Times New Roman"/>
                      <w:snapToGrid w:val="0"/>
                      <w:color w:val="auto"/>
                      <w:szCs w:val="21"/>
                    </w:rPr>
                  </w:pPr>
                  <w:r>
                    <w:rPr>
                      <w:rFonts w:hint="eastAsia" w:cs="Times New Roman"/>
                      <w:snapToGrid w:val="0"/>
                      <w:color w:val="auto"/>
                      <w:kern w:val="2"/>
                      <w:sz w:val="21"/>
                      <w:szCs w:val="21"/>
                      <w:lang w:val="en-US" w:eastAsia="zh-CN" w:bidi="ar-SA"/>
                    </w:rPr>
                    <w:t>例行监测</w:t>
                  </w:r>
                </w:p>
              </w:tc>
              <w:tc>
                <w:tcPr>
                  <w:tcW w:w="1891" w:type="dxa"/>
                  <w:gridSpan w:val="2"/>
                  <w:tcBorders>
                    <w:tl2br w:val="nil"/>
                    <w:tr2bl w:val="nil"/>
                  </w:tcBorders>
                  <w:vAlign w:val="center"/>
                </w:tcPr>
                <w:p w14:paraId="671EBA98">
                  <w:pPr>
                    <w:jc w:val="center"/>
                    <w:rPr>
                      <w:rFonts w:hint="eastAsia" w:cs="Times New Roman"/>
                      <w:snapToGrid w:val="0"/>
                      <w:color w:val="auto"/>
                      <w:szCs w:val="21"/>
                      <w:lang w:eastAsia="zh-CN"/>
                    </w:rPr>
                  </w:pPr>
                  <w:r>
                    <w:rPr>
                      <w:rFonts w:hint="eastAsia" w:cs="Times New Roman"/>
                      <w:snapToGrid w:val="0"/>
                      <w:color w:val="auto"/>
                      <w:kern w:val="2"/>
                      <w:sz w:val="21"/>
                      <w:szCs w:val="21"/>
                      <w:lang w:val="en-US" w:eastAsia="zh-CN" w:bidi="ar-SA"/>
                    </w:rPr>
                    <w:t>2025.08.24</w:t>
                  </w:r>
                </w:p>
              </w:tc>
              <w:tc>
                <w:tcPr>
                  <w:tcW w:w="1559" w:type="dxa"/>
                  <w:tcBorders>
                    <w:tl2br w:val="nil"/>
                    <w:tr2bl w:val="nil"/>
                  </w:tcBorders>
                  <w:vAlign w:val="center"/>
                </w:tcPr>
                <w:p w14:paraId="205DCFB0">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0.47-0.83</w:t>
                  </w:r>
                </w:p>
              </w:tc>
              <w:tc>
                <w:tcPr>
                  <w:tcW w:w="1702" w:type="dxa"/>
                  <w:tcBorders>
                    <w:tl2br w:val="nil"/>
                    <w:tr2bl w:val="nil"/>
                  </w:tcBorders>
                  <w:vAlign w:val="center"/>
                </w:tcPr>
                <w:p w14:paraId="0B73CBD7">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0.00135-0.00238</w:t>
                  </w:r>
                </w:p>
              </w:tc>
              <w:tc>
                <w:tcPr>
                  <w:tcW w:w="1473" w:type="dxa"/>
                  <w:vMerge w:val="continue"/>
                  <w:tcBorders>
                    <w:tl2br w:val="nil"/>
                    <w:tr2bl w:val="nil"/>
                  </w:tcBorders>
                  <w:vAlign w:val="center"/>
                </w:tcPr>
                <w:p w14:paraId="504F1721">
                  <w:pPr>
                    <w:jc w:val="center"/>
                    <w:rPr>
                      <w:rFonts w:ascii="Times New Roman" w:hAnsi="Times New Roman" w:cs="Times New Roman"/>
                      <w:snapToGrid w:val="0"/>
                      <w:color w:val="auto"/>
                      <w:szCs w:val="21"/>
                    </w:rPr>
                  </w:pPr>
                </w:p>
              </w:tc>
            </w:tr>
            <w:tr w14:paraId="23B0C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continue"/>
                  <w:tcBorders>
                    <w:tl2br w:val="nil"/>
                    <w:tr2bl w:val="nil"/>
                  </w:tcBorders>
                  <w:vAlign w:val="center"/>
                </w:tcPr>
                <w:p w14:paraId="58451291">
                  <w:pPr>
                    <w:jc w:val="center"/>
                    <w:rPr>
                      <w:rFonts w:ascii="Times New Roman" w:hAnsi="Times New Roman" w:cs="Times New Roman"/>
                      <w:snapToGrid w:val="0"/>
                      <w:color w:val="auto"/>
                      <w:szCs w:val="21"/>
                    </w:rPr>
                  </w:pPr>
                </w:p>
              </w:tc>
              <w:tc>
                <w:tcPr>
                  <w:tcW w:w="1182" w:type="dxa"/>
                  <w:tcBorders>
                    <w:tl2br w:val="nil"/>
                    <w:tr2bl w:val="nil"/>
                  </w:tcBorders>
                  <w:vAlign w:val="center"/>
                </w:tcPr>
                <w:p w14:paraId="654FF42E">
                  <w:pPr>
                    <w:jc w:val="center"/>
                    <w:rPr>
                      <w:rFonts w:ascii="Times New Roman" w:hAnsi="Times New Roman" w:cs="Times New Roman"/>
                      <w:snapToGrid w:val="0"/>
                      <w:color w:val="auto"/>
                      <w:szCs w:val="21"/>
                    </w:rPr>
                  </w:pPr>
                  <w:r>
                    <w:rPr>
                      <w:rFonts w:hint="eastAsia" w:cs="Times New Roman"/>
                      <w:snapToGrid w:val="0"/>
                      <w:color w:val="auto"/>
                      <w:kern w:val="2"/>
                      <w:sz w:val="21"/>
                      <w:szCs w:val="21"/>
                      <w:lang w:val="en-US" w:eastAsia="zh-CN" w:bidi="ar-SA"/>
                    </w:rPr>
                    <w:t>例行监测</w:t>
                  </w:r>
                </w:p>
              </w:tc>
              <w:tc>
                <w:tcPr>
                  <w:tcW w:w="1891" w:type="dxa"/>
                  <w:gridSpan w:val="2"/>
                  <w:tcBorders>
                    <w:tl2br w:val="nil"/>
                    <w:tr2bl w:val="nil"/>
                  </w:tcBorders>
                  <w:vAlign w:val="center"/>
                </w:tcPr>
                <w:p w14:paraId="7531182F">
                  <w:pPr>
                    <w:jc w:val="center"/>
                    <w:rPr>
                      <w:rFonts w:hint="eastAsia" w:cs="Times New Roman"/>
                      <w:snapToGrid w:val="0"/>
                      <w:color w:val="auto"/>
                      <w:szCs w:val="21"/>
                      <w:lang w:eastAsia="zh-CN"/>
                    </w:rPr>
                  </w:pPr>
                  <w:r>
                    <w:rPr>
                      <w:rFonts w:hint="eastAsia" w:cs="Times New Roman"/>
                      <w:snapToGrid w:val="0"/>
                      <w:color w:val="auto"/>
                      <w:kern w:val="2"/>
                      <w:sz w:val="21"/>
                      <w:szCs w:val="21"/>
                      <w:lang w:val="en-US" w:eastAsia="zh-CN" w:bidi="ar-SA"/>
                    </w:rPr>
                    <w:t>2025.11.17</w:t>
                  </w:r>
                </w:p>
              </w:tc>
              <w:tc>
                <w:tcPr>
                  <w:tcW w:w="1559" w:type="dxa"/>
                  <w:tcBorders>
                    <w:tl2br w:val="nil"/>
                    <w:tr2bl w:val="nil"/>
                  </w:tcBorders>
                  <w:vAlign w:val="center"/>
                </w:tcPr>
                <w:p w14:paraId="64ECD5A0">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0.95-1.26</w:t>
                  </w:r>
                </w:p>
              </w:tc>
              <w:tc>
                <w:tcPr>
                  <w:tcW w:w="1702" w:type="dxa"/>
                  <w:tcBorders>
                    <w:tl2br w:val="nil"/>
                    <w:tr2bl w:val="nil"/>
                  </w:tcBorders>
                  <w:vAlign w:val="center"/>
                </w:tcPr>
                <w:p w14:paraId="25754654">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0.00247-0.00328</w:t>
                  </w:r>
                </w:p>
              </w:tc>
              <w:tc>
                <w:tcPr>
                  <w:tcW w:w="1473" w:type="dxa"/>
                  <w:vMerge w:val="continue"/>
                  <w:tcBorders>
                    <w:tl2br w:val="nil"/>
                    <w:tr2bl w:val="nil"/>
                  </w:tcBorders>
                  <w:vAlign w:val="center"/>
                </w:tcPr>
                <w:p w14:paraId="7969D2D1">
                  <w:pPr>
                    <w:jc w:val="center"/>
                    <w:rPr>
                      <w:rFonts w:ascii="Times New Roman" w:hAnsi="Times New Roman" w:cs="Times New Roman"/>
                      <w:snapToGrid w:val="0"/>
                      <w:color w:val="auto"/>
                      <w:szCs w:val="21"/>
                    </w:rPr>
                  </w:pPr>
                </w:p>
              </w:tc>
            </w:tr>
            <w:tr w14:paraId="5B171F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dxa"/>
                  <w:gridSpan w:val="2"/>
                  <w:tcBorders>
                    <w:tl2br w:val="nil"/>
                    <w:tr2bl w:val="nil"/>
                  </w:tcBorders>
                  <w:vAlign w:val="center"/>
                </w:tcPr>
                <w:p w14:paraId="6572B352">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执行标准</w:t>
                  </w:r>
                </w:p>
              </w:tc>
              <w:tc>
                <w:tcPr>
                  <w:tcW w:w="1891" w:type="dxa"/>
                  <w:gridSpan w:val="2"/>
                  <w:tcBorders>
                    <w:tl2br w:val="nil"/>
                    <w:tr2bl w:val="nil"/>
                  </w:tcBorders>
                  <w:vAlign w:val="center"/>
                </w:tcPr>
                <w:p w14:paraId="19BB3285">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w:t>
                  </w:r>
                </w:p>
              </w:tc>
              <w:tc>
                <w:tcPr>
                  <w:tcW w:w="1559" w:type="dxa"/>
                  <w:tcBorders>
                    <w:tl2br w:val="nil"/>
                    <w:tr2bl w:val="nil"/>
                  </w:tcBorders>
                  <w:vAlign w:val="center"/>
                </w:tcPr>
                <w:p w14:paraId="262C4282">
                  <w:pPr>
                    <w:jc w:val="center"/>
                    <w:rPr>
                      <w:rFonts w:ascii="Times New Roman" w:hAnsi="Times New Roman" w:cs="Times New Roman"/>
                      <w:snapToGrid w:val="0"/>
                      <w:color w:val="auto"/>
                      <w:szCs w:val="21"/>
                    </w:rPr>
                  </w:pPr>
                  <w:r>
                    <w:rPr>
                      <w:rFonts w:hint="eastAsia" w:cs="Times New Roman"/>
                      <w:snapToGrid w:val="0"/>
                      <w:color w:val="auto"/>
                      <w:szCs w:val="21"/>
                      <w:lang w:val="en-US" w:eastAsia="zh-CN"/>
                    </w:rPr>
                    <w:t>/</w:t>
                  </w:r>
                </w:p>
              </w:tc>
              <w:tc>
                <w:tcPr>
                  <w:tcW w:w="1702" w:type="dxa"/>
                  <w:tcBorders>
                    <w:tl2br w:val="nil"/>
                    <w:tr2bl w:val="nil"/>
                  </w:tcBorders>
                  <w:vAlign w:val="center"/>
                </w:tcPr>
                <w:p w14:paraId="2B8E8076">
                  <w:pPr>
                    <w:jc w:val="center"/>
                    <w:rPr>
                      <w:rFonts w:hint="default" w:ascii="Times New Roman" w:hAnsi="Times New Roman" w:cs="Times New Roman"/>
                      <w:snapToGrid w:val="0"/>
                      <w:color w:val="auto"/>
                      <w:szCs w:val="21"/>
                      <w:lang w:val="en-US"/>
                    </w:rPr>
                  </w:pPr>
                  <w:r>
                    <w:rPr>
                      <w:rFonts w:hint="eastAsia" w:cs="Times New Roman"/>
                      <w:snapToGrid w:val="0"/>
                      <w:color w:val="auto"/>
                      <w:szCs w:val="21"/>
                      <w:lang w:val="en-US" w:eastAsia="zh-CN"/>
                    </w:rPr>
                    <w:t>14</w:t>
                  </w:r>
                </w:p>
              </w:tc>
              <w:tc>
                <w:tcPr>
                  <w:tcW w:w="1473" w:type="dxa"/>
                  <w:vMerge w:val="continue"/>
                  <w:tcBorders>
                    <w:tl2br w:val="nil"/>
                    <w:tr2bl w:val="nil"/>
                  </w:tcBorders>
                  <w:vAlign w:val="center"/>
                </w:tcPr>
                <w:p w14:paraId="5CCFF963">
                  <w:pPr>
                    <w:jc w:val="center"/>
                    <w:rPr>
                      <w:rFonts w:ascii="Times New Roman" w:hAnsi="Times New Roman" w:cs="Times New Roman"/>
                      <w:snapToGrid w:val="0"/>
                      <w:color w:val="auto"/>
                      <w:szCs w:val="21"/>
                    </w:rPr>
                  </w:pPr>
                </w:p>
              </w:tc>
            </w:tr>
            <w:tr w14:paraId="22CE3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dxa"/>
                  <w:gridSpan w:val="2"/>
                  <w:tcBorders>
                    <w:tl2br w:val="nil"/>
                    <w:tr2bl w:val="nil"/>
                  </w:tcBorders>
                  <w:vAlign w:val="center"/>
                </w:tcPr>
                <w:p w14:paraId="3141CBC5">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标准来源</w:t>
                  </w:r>
                </w:p>
              </w:tc>
              <w:tc>
                <w:tcPr>
                  <w:tcW w:w="5152" w:type="dxa"/>
                  <w:gridSpan w:val="4"/>
                  <w:tcBorders>
                    <w:tl2br w:val="nil"/>
                    <w:tr2bl w:val="nil"/>
                  </w:tcBorders>
                  <w:vAlign w:val="center"/>
                </w:tcPr>
                <w:p w14:paraId="2C852A8D">
                  <w:pPr>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w:t>
                  </w:r>
                  <w:r>
                    <w:rPr>
                      <w:rFonts w:hint="eastAsia" w:ascii="Times New Roman" w:hAnsi="Times New Roman" w:cs="Times New Roman"/>
                      <w:snapToGrid w:val="0"/>
                      <w:color w:val="auto"/>
                      <w:szCs w:val="21"/>
                    </w:rPr>
                    <w:t>恶臭污染物排放标准</w:t>
                  </w:r>
                  <w:r>
                    <w:rPr>
                      <w:rFonts w:ascii="Times New Roman" w:hAnsi="Times New Roman" w:cs="Times New Roman"/>
                      <w:snapToGrid w:val="0"/>
                      <w:color w:val="auto"/>
                      <w:szCs w:val="21"/>
                    </w:rPr>
                    <w:t>》</w:t>
                  </w:r>
                  <w:r>
                    <w:rPr>
                      <w:rFonts w:hint="eastAsia" w:cs="Times New Roman"/>
                      <w:snapToGrid w:val="0"/>
                      <w:color w:val="auto"/>
                      <w:szCs w:val="21"/>
                      <w:lang w:eastAsia="zh-CN"/>
                    </w:rPr>
                    <w:t>（</w:t>
                  </w:r>
                  <w:r>
                    <w:rPr>
                      <w:rFonts w:hint="eastAsia" w:ascii="Times New Roman" w:hAnsi="Times New Roman" w:cs="Times New Roman"/>
                      <w:snapToGrid w:val="0"/>
                      <w:color w:val="auto"/>
                      <w:szCs w:val="21"/>
                    </w:rPr>
                    <w:t>GB 14554-93</w:t>
                  </w:r>
                  <w:r>
                    <w:rPr>
                      <w:rFonts w:hint="eastAsia" w:cs="Times New Roman"/>
                      <w:snapToGrid w:val="0"/>
                      <w:color w:val="auto"/>
                      <w:szCs w:val="21"/>
                      <w:lang w:eastAsia="zh-CN"/>
                    </w:rPr>
                    <w:t>）</w:t>
                  </w:r>
                  <w:r>
                    <w:rPr>
                      <w:rFonts w:ascii="Times New Roman" w:hAnsi="Times New Roman" w:cs="Times New Roman"/>
                      <w:snapToGrid w:val="0"/>
                      <w:color w:val="auto"/>
                      <w:szCs w:val="21"/>
                    </w:rPr>
                    <w:t>表</w:t>
                  </w:r>
                  <w:r>
                    <w:rPr>
                      <w:rFonts w:hint="eastAsia" w:cs="Times New Roman"/>
                      <w:snapToGrid w:val="0"/>
                      <w:color w:val="auto"/>
                      <w:szCs w:val="21"/>
                      <w:lang w:val="en-US" w:eastAsia="zh-CN"/>
                    </w:rPr>
                    <w:t>2</w:t>
                  </w:r>
                  <w:r>
                    <w:rPr>
                      <w:rFonts w:hint="eastAsia" w:ascii="Times New Roman" w:hAnsi="Times New Roman" w:cs="Times New Roman"/>
                      <w:snapToGrid w:val="0"/>
                      <w:color w:val="auto"/>
                      <w:szCs w:val="21"/>
                    </w:rPr>
                    <w:t>标准限值</w:t>
                  </w:r>
                </w:p>
              </w:tc>
              <w:tc>
                <w:tcPr>
                  <w:tcW w:w="1473" w:type="dxa"/>
                  <w:vMerge w:val="continue"/>
                  <w:tcBorders>
                    <w:tl2br w:val="nil"/>
                    <w:tr2bl w:val="nil"/>
                  </w:tcBorders>
                  <w:vAlign w:val="center"/>
                </w:tcPr>
                <w:p w14:paraId="65489C7E">
                  <w:pPr>
                    <w:jc w:val="center"/>
                    <w:rPr>
                      <w:rFonts w:ascii="Times New Roman" w:hAnsi="Times New Roman" w:cs="Times New Roman"/>
                      <w:snapToGrid w:val="0"/>
                      <w:color w:val="auto"/>
                      <w:szCs w:val="21"/>
                    </w:rPr>
                  </w:pPr>
                </w:p>
              </w:tc>
            </w:tr>
            <w:tr w14:paraId="0EB6E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restart"/>
                  <w:tcBorders>
                    <w:tl2br w:val="nil"/>
                    <w:tr2bl w:val="nil"/>
                  </w:tcBorders>
                  <w:vAlign w:val="center"/>
                </w:tcPr>
                <w:p w14:paraId="5FDC2C79">
                  <w:pPr>
                    <w:jc w:val="center"/>
                    <w:rPr>
                      <w:rFonts w:hint="eastAsia" w:ascii="Times New Roman" w:hAnsi="Times New Roman" w:eastAsia="宋体" w:cs="Times New Roman"/>
                      <w:snapToGrid w:val="0"/>
                      <w:color w:val="auto"/>
                      <w:szCs w:val="21"/>
                      <w:lang w:eastAsia="zh-CN"/>
                    </w:rPr>
                  </w:pPr>
                  <w:r>
                    <w:rPr>
                      <w:rFonts w:hint="eastAsia" w:cs="Times New Roman"/>
                      <w:snapToGrid w:val="0"/>
                      <w:color w:val="auto"/>
                      <w:szCs w:val="21"/>
                      <w:lang w:eastAsia="zh-CN"/>
                    </w:rPr>
                    <w:t>硫化氢</w:t>
                  </w:r>
                </w:p>
              </w:tc>
              <w:tc>
                <w:tcPr>
                  <w:tcW w:w="1182" w:type="dxa"/>
                  <w:vMerge w:val="restart"/>
                  <w:tcBorders>
                    <w:tl2br w:val="nil"/>
                    <w:tr2bl w:val="nil"/>
                  </w:tcBorders>
                  <w:vAlign w:val="center"/>
                </w:tcPr>
                <w:p w14:paraId="30F85576">
                  <w:pPr>
                    <w:jc w:val="center"/>
                    <w:rPr>
                      <w:rFonts w:ascii="Times New Roman" w:hAnsi="Times New Roman" w:cs="Times New Roman"/>
                      <w:snapToGrid w:val="0"/>
                      <w:color w:val="auto"/>
                      <w:szCs w:val="21"/>
                    </w:rPr>
                  </w:pPr>
                  <w:r>
                    <w:rPr>
                      <w:rFonts w:hint="eastAsia" w:cs="Times New Roman"/>
                      <w:snapToGrid w:val="0"/>
                      <w:color w:val="auto"/>
                      <w:szCs w:val="21"/>
                      <w:lang w:eastAsia="zh-CN"/>
                    </w:rPr>
                    <w:t>验收监测</w:t>
                  </w:r>
                </w:p>
              </w:tc>
              <w:tc>
                <w:tcPr>
                  <w:tcW w:w="1891" w:type="dxa"/>
                  <w:gridSpan w:val="2"/>
                  <w:tcBorders>
                    <w:tl2br w:val="nil"/>
                    <w:tr2bl w:val="nil"/>
                  </w:tcBorders>
                  <w:vAlign w:val="center"/>
                </w:tcPr>
                <w:p w14:paraId="7D24DD7B">
                  <w:pPr>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202</w:t>
                  </w:r>
                  <w:r>
                    <w:rPr>
                      <w:rFonts w:hint="eastAsia" w:cs="Times New Roman"/>
                      <w:snapToGrid w:val="0"/>
                      <w:color w:val="auto"/>
                      <w:szCs w:val="21"/>
                      <w:lang w:val="en-US" w:eastAsia="zh-CN"/>
                    </w:rPr>
                    <w:t>5.2.24</w:t>
                  </w:r>
                </w:p>
              </w:tc>
              <w:tc>
                <w:tcPr>
                  <w:tcW w:w="1559" w:type="dxa"/>
                  <w:tcBorders>
                    <w:tl2br w:val="nil"/>
                    <w:tr2bl w:val="nil"/>
                  </w:tcBorders>
                  <w:vAlign w:val="center"/>
                </w:tcPr>
                <w:p w14:paraId="7EA48A66">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0.015-0.016</w:t>
                  </w:r>
                </w:p>
              </w:tc>
              <w:tc>
                <w:tcPr>
                  <w:tcW w:w="1702" w:type="dxa"/>
                  <w:tcBorders>
                    <w:tl2br w:val="nil"/>
                    <w:tr2bl w:val="nil"/>
                  </w:tcBorders>
                  <w:vAlign w:val="center"/>
                </w:tcPr>
                <w:p w14:paraId="56BC3616">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0.000141-0.000154</w:t>
                  </w:r>
                </w:p>
              </w:tc>
              <w:tc>
                <w:tcPr>
                  <w:tcW w:w="1473" w:type="dxa"/>
                  <w:vMerge w:val="continue"/>
                  <w:tcBorders>
                    <w:tl2br w:val="nil"/>
                    <w:tr2bl w:val="nil"/>
                  </w:tcBorders>
                  <w:vAlign w:val="center"/>
                </w:tcPr>
                <w:p w14:paraId="2EF8655F">
                  <w:pPr>
                    <w:jc w:val="center"/>
                    <w:rPr>
                      <w:rFonts w:ascii="Times New Roman" w:hAnsi="Times New Roman" w:cs="Times New Roman"/>
                      <w:snapToGrid w:val="0"/>
                      <w:color w:val="auto"/>
                      <w:szCs w:val="21"/>
                    </w:rPr>
                  </w:pPr>
                </w:p>
              </w:tc>
            </w:tr>
            <w:tr w14:paraId="0F509C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continue"/>
                  <w:tcBorders>
                    <w:tl2br w:val="nil"/>
                    <w:tr2bl w:val="nil"/>
                  </w:tcBorders>
                  <w:vAlign w:val="center"/>
                </w:tcPr>
                <w:p w14:paraId="19BCBD3C">
                  <w:pPr>
                    <w:jc w:val="center"/>
                    <w:rPr>
                      <w:rFonts w:ascii="Times New Roman" w:hAnsi="Times New Roman" w:cs="Times New Roman"/>
                      <w:snapToGrid w:val="0"/>
                      <w:color w:val="auto"/>
                      <w:szCs w:val="21"/>
                    </w:rPr>
                  </w:pPr>
                </w:p>
              </w:tc>
              <w:tc>
                <w:tcPr>
                  <w:tcW w:w="1182" w:type="dxa"/>
                  <w:vMerge w:val="continue"/>
                  <w:tcBorders>
                    <w:tl2br w:val="nil"/>
                    <w:tr2bl w:val="nil"/>
                  </w:tcBorders>
                  <w:vAlign w:val="center"/>
                </w:tcPr>
                <w:p w14:paraId="46630AF0">
                  <w:pPr>
                    <w:jc w:val="center"/>
                    <w:rPr>
                      <w:rFonts w:hint="default" w:ascii="Times New Roman" w:hAnsi="Times New Roman" w:cs="Times New Roman"/>
                      <w:snapToGrid w:val="0"/>
                      <w:color w:val="auto"/>
                      <w:szCs w:val="21"/>
                      <w:lang w:val="en-US"/>
                    </w:rPr>
                  </w:pPr>
                </w:p>
              </w:tc>
              <w:tc>
                <w:tcPr>
                  <w:tcW w:w="1891" w:type="dxa"/>
                  <w:gridSpan w:val="2"/>
                  <w:tcBorders>
                    <w:tl2br w:val="nil"/>
                    <w:tr2bl w:val="nil"/>
                  </w:tcBorders>
                  <w:shd w:val="clear" w:color="auto" w:fill="auto"/>
                  <w:vAlign w:val="center"/>
                </w:tcPr>
                <w:p w14:paraId="6C081D88">
                  <w:pPr>
                    <w:jc w:val="center"/>
                    <w:rPr>
                      <w:rFonts w:hint="eastAsia" w:ascii="Times New Roman" w:hAnsi="Times New Roman" w:eastAsia="宋体" w:cs="Times New Roman"/>
                      <w:snapToGrid w:val="0"/>
                      <w:color w:val="auto"/>
                      <w:kern w:val="2"/>
                      <w:sz w:val="21"/>
                      <w:szCs w:val="21"/>
                      <w:lang w:val="en-US" w:eastAsia="zh-CN" w:bidi="ar-SA"/>
                    </w:rPr>
                  </w:pPr>
                  <w:r>
                    <w:rPr>
                      <w:rFonts w:ascii="Times New Roman" w:hAnsi="Times New Roman" w:cs="Times New Roman"/>
                      <w:snapToGrid w:val="0"/>
                      <w:color w:val="auto"/>
                      <w:szCs w:val="21"/>
                    </w:rPr>
                    <w:t>202</w:t>
                  </w:r>
                  <w:r>
                    <w:rPr>
                      <w:rFonts w:hint="eastAsia" w:cs="Times New Roman"/>
                      <w:snapToGrid w:val="0"/>
                      <w:color w:val="auto"/>
                      <w:szCs w:val="21"/>
                      <w:lang w:val="en-US" w:eastAsia="zh-CN"/>
                    </w:rPr>
                    <w:t>5.2.25</w:t>
                  </w:r>
                </w:p>
              </w:tc>
              <w:tc>
                <w:tcPr>
                  <w:tcW w:w="1559" w:type="dxa"/>
                  <w:tcBorders>
                    <w:tl2br w:val="nil"/>
                    <w:tr2bl w:val="nil"/>
                  </w:tcBorders>
                  <w:vAlign w:val="center"/>
                </w:tcPr>
                <w:p w14:paraId="0701C8EE">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0.015-0.016</w:t>
                  </w:r>
                </w:p>
              </w:tc>
              <w:tc>
                <w:tcPr>
                  <w:tcW w:w="1702" w:type="dxa"/>
                  <w:tcBorders>
                    <w:tl2br w:val="nil"/>
                    <w:tr2bl w:val="nil"/>
                  </w:tcBorders>
                  <w:vAlign w:val="center"/>
                </w:tcPr>
                <w:p w14:paraId="7D867591">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0.000139-0.00015</w:t>
                  </w:r>
                </w:p>
              </w:tc>
              <w:tc>
                <w:tcPr>
                  <w:tcW w:w="1473" w:type="dxa"/>
                  <w:vMerge w:val="continue"/>
                  <w:tcBorders>
                    <w:tl2br w:val="nil"/>
                    <w:tr2bl w:val="nil"/>
                  </w:tcBorders>
                  <w:vAlign w:val="center"/>
                </w:tcPr>
                <w:p w14:paraId="5EB540CD">
                  <w:pPr>
                    <w:jc w:val="center"/>
                    <w:rPr>
                      <w:rFonts w:ascii="Times New Roman" w:hAnsi="Times New Roman" w:cs="Times New Roman"/>
                      <w:snapToGrid w:val="0"/>
                      <w:color w:val="auto"/>
                      <w:szCs w:val="21"/>
                    </w:rPr>
                  </w:pPr>
                </w:p>
              </w:tc>
            </w:tr>
            <w:tr w14:paraId="499E3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continue"/>
                  <w:tcBorders>
                    <w:tl2br w:val="nil"/>
                    <w:tr2bl w:val="nil"/>
                  </w:tcBorders>
                  <w:vAlign w:val="center"/>
                </w:tcPr>
                <w:p w14:paraId="60CAE9C3">
                  <w:pPr>
                    <w:jc w:val="center"/>
                    <w:rPr>
                      <w:rFonts w:ascii="Times New Roman" w:hAnsi="Times New Roman" w:cs="Times New Roman"/>
                      <w:snapToGrid w:val="0"/>
                      <w:color w:val="auto"/>
                      <w:szCs w:val="21"/>
                    </w:rPr>
                  </w:pPr>
                </w:p>
              </w:tc>
              <w:tc>
                <w:tcPr>
                  <w:tcW w:w="1182" w:type="dxa"/>
                  <w:tcBorders>
                    <w:tl2br w:val="nil"/>
                    <w:tr2bl w:val="nil"/>
                  </w:tcBorders>
                  <w:vAlign w:val="center"/>
                </w:tcPr>
                <w:p w14:paraId="4E2CD217">
                  <w:pPr>
                    <w:jc w:val="center"/>
                    <w:rPr>
                      <w:rFonts w:ascii="Times New Roman" w:hAnsi="Times New Roman" w:cs="Times New Roman"/>
                      <w:snapToGrid w:val="0"/>
                      <w:color w:val="auto"/>
                      <w:szCs w:val="21"/>
                    </w:rPr>
                  </w:pPr>
                  <w:r>
                    <w:rPr>
                      <w:rFonts w:hint="eastAsia" w:cs="Times New Roman"/>
                      <w:snapToGrid w:val="0"/>
                      <w:color w:val="auto"/>
                      <w:szCs w:val="21"/>
                      <w:lang w:eastAsia="zh-CN"/>
                    </w:rPr>
                    <w:t>例行监测</w:t>
                  </w:r>
                </w:p>
              </w:tc>
              <w:tc>
                <w:tcPr>
                  <w:tcW w:w="1891" w:type="dxa"/>
                  <w:gridSpan w:val="2"/>
                  <w:tcBorders>
                    <w:tl2br w:val="nil"/>
                    <w:tr2bl w:val="nil"/>
                  </w:tcBorders>
                  <w:shd w:val="clear" w:color="auto" w:fill="auto"/>
                  <w:vAlign w:val="center"/>
                </w:tcPr>
                <w:p w14:paraId="42976EAF">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2025.06.09</w:t>
                  </w:r>
                </w:p>
              </w:tc>
              <w:tc>
                <w:tcPr>
                  <w:tcW w:w="1559" w:type="dxa"/>
                  <w:tcBorders>
                    <w:tl2br w:val="nil"/>
                    <w:tr2bl w:val="nil"/>
                  </w:tcBorders>
                  <w:vAlign w:val="center"/>
                </w:tcPr>
                <w:p w14:paraId="699569C9">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0.03-0.04</w:t>
                  </w:r>
                </w:p>
              </w:tc>
              <w:tc>
                <w:tcPr>
                  <w:tcW w:w="1702" w:type="dxa"/>
                  <w:tcBorders>
                    <w:tl2br w:val="nil"/>
                    <w:tr2bl w:val="nil"/>
                  </w:tcBorders>
                  <w:vAlign w:val="center"/>
                </w:tcPr>
                <w:p w14:paraId="202CE996">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0.0000849-0.000125</w:t>
                  </w:r>
                </w:p>
              </w:tc>
              <w:tc>
                <w:tcPr>
                  <w:tcW w:w="1473" w:type="dxa"/>
                  <w:vMerge w:val="continue"/>
                  <w:tcBorders>
                    <w:tl2br w:val="nil"/>
                    <w:tr2bl w:val="nil"/>
                  </w:tcBorders>
                  <w:vAlign w:val="center"/>
                </w:tcPr>
                <w:p w14:paraId="4746A3FF">
                  <w:pPr>
                    <w:jc w:val="center"/>
                    <w:rPr>
                      <w:rFonts w:ascii="Times New Roman" w:hAnsi="Times New Roman" w:cs="Times New Roman"/>
                      <w:snapToGrid w:val="0"/>
                      <w:color w:val="auto"/>
                      <w:szCs w:val="21"/>
                    </w:rPr>
                  </w:pPr>
                </w:p>
              </w:tc>
            </w:tr>
            <w:tr w14:paraId="7F1760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continue"/>
                  <w:tcBorders>
                    <w:tl2br w:val="nil"/>
                    <w:tr2bl w:val="nil"/>
                  </w:tcBorders>
                  <w:vAlign w:val="center"/>
                </w:tcPr>
                <w:p w14:paraId="4D1E3CA4">
                  <w:pPr>
                    <w:jc w:val="center"/>
                    <w:rPr>
                      <w:rFonts w:ascii="Times New Roman" w:hAnsi="Times New Roman" w:cs="Times New Roman"/>
                      <w:snapToGrid w:val="0"/>
                      <w:color w:val="auto"/>
                      <w:szCs w:val="21"/>
                    </w:rPr>
                  </w:pPr>
                </w:p>
              </w:tc>
              <w:tc>
                <w:tcPr>
                  <w:tcW w:w="1182" w:type="dxa"/>
                  <w:tcBorders>
                    <w:tl2br w:val="nil"/>
                    <w:tr2bl w:val="nil"/>
                  </w:tcBorders>
                  <w:vAlign w:val="center"/>
                </w:tcPr>
                <w:p w14:paraId="660ACD9A">
                  <w:pPr>
                    <w:jc w:val="center"/>
                    <w:rPr>
                      <w:rFonts w:ascii="Times New Roman" w:hAnsi="Times New Roman" w:cs="Times New Roman"/>
                      <w:snapToGrid w:val="0"/>
                      <w:color w:val="auto"/>
                      <w:szCs w:val="21"/>
                    </w:rPr>
                  </w:pPr>
                  <w:r>
                    <w:rPr>
                      <w:rFonts w:hint="eastAsia" w:cs="Times New Roman"/>
                      <w:snapToGrid w:val="0"/>
                      <w:color w:val="auto"/>
                      <w:kern w:val="2"/>
                      <w:sz w:val="21"/>
                      <w:szCs w:val="21"/>
                      <w:lang w:val="en-US" w:eastAsia="zh-CN" w:bidi="ar-SA"/>
                    </w:rPr>
                    <w:t>例行监测</w:t>
                  </w:r>
                </w:p>
              </w:tc>
              <w:tc>
                <w:tcPr>
                  <w:tcW w:w="1891" w:type="dxa"/>
                  <w:gridSpan w:val="2"/>
                  <w:tcBorders>
                    <w:tl2br w:val="nil"/>
                    <w:tr2bl w:val="nil"/>
                  </w:tcBorders>
                  <w:shd w:val="clear" w:color="auto" w:fill="auto"/>
                  <w:vAlign w:val="center"/>
                </w:tcPr>
                <w:p w14:paraId="3FB69D53">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2025.08.24</w:t>
                  </w:r>
                </w:p>
              </w:tc>
              <w:tc>
                <w:tcPr>
                  <w:tcW w:w="1559" w:type="dxa"/>
                  <w:tcBorders>
                    <w:tl2br w:val="nil"/>
                    <w:tr2bl w:val="nil"/>
                  </w:tcBorders>
                  <w:vAlign w:val="center"/>
                </w:tcPr>
                <w:p w14:paraId="7D20CEDD">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0.057-0.072</w:t>
                  </w:r>
                </w:p>
              </w:tc>
              <w:tc>
                <w:tcPr>
                  <w:tcW w:w="1702" w:type="dxa"/>
                  <w:tcBorders>
                    <w:tl2br w:val="nil"/>
                    <w:tr2bl w:val="nil"/>
                  </w:tcBorders>
                  <w:vAlign w:val="center"/>
                </w:tcPr>
                <w:p w14:paraId="620C8F4D">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0.000164-0.000207</w:t>
                  </w:r>
                </w:p>
              </w:tc>
              <w:tc>
                <w:tcPr>
                  <w:tcW w:w="1473" w:type="dxa"/>
                  <w:vMerge w:val="continue"/>
                  <w:tcBorders>
                    <w:tl2br w:val="nil"/>
                    <w:tr2bl w:val="nil"/>
                  </w:tcBorders>
                  <w:vAlign w:val="center"/>
                </w:tcPr>
                <w:p w14:paraId="4C95C4F1">
                  <w:pPr>
                    <w:jc w:val="center"/>
                    <w:rPr>
                      <w:rFonts w:ascii="Times New Roman" w:hAnsi="Times New Roman" w:cs="Times New Roman"/>
                      <w:snapToGrid w:val="0"/>
                      <w:color w:val="auto"/>
                      <w:szCs w:val="21"/>
                    </w:rPr>
                  </w:pPr>
                </w:p>
              </w:tc>
            </w:tr>
            <w:tr w14:paraId="6D6693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continue"/>
                  <w:tcBorders>
                    <w:tl2br w:val="nil"/>
                    <w:tr2bl w:val="nil"/>
                  </w:tcBorders>
                  <w:vAlign w:val="center"/>
                </w:tcPr>
                <w:p w14:paraId="53A4C1FC">
                  <w:pPr>
                    <w:jc w:val="center"/>
                    <w:rPr>
                      <w:rFonts w:ascii="Times New Roman" w:hAnsi="Times New Roman" w:cs="Times New Roman"/>
                      <w:snapToGrid w:val="0"/>
                      <w:color w:val="auto"/>
                      <w:szCs w:val="21"/>
                    </w:rPr>
                  </w:pPr>
                </w:p>
              </w:tc>
              <w:tc>
                <w:tcPr>
                  <w:tcW w:w="1182" w:type="dxa"/>
                  <w:tcBorders>
                    <w:tl2br w:val="nil"/>
                    <w:tr2bl w:val="nil"/>
                  </w:tcBorders>
                  <w:vAlign w:val="center"/>
                </w:tcPr>
                <w:p w14:paraId="50DE3A5B">
                  <w:pPr>
                    <w:jc w:val="center"/>
                    <w:rPr>
                      <w:rFonts w:ascii="Times New Roman" w:hAnsi="Times New Roman" w:cs="Times New Roman"/>
                      <w:snapToGrid w:val="0"/>
                      <w:color w:val="auto"/>
                      <w:szCs w:val="21"/>
                    </w:rPr>
                  </w:pPr>
                  <w:r>
                    <w:rPr>
                      <w:rFonts w:hint="eastAsia" w:cs="Times New Roman"/>
                      <w:snapToGrid w:val="0"/>
                      <w:color w:val="auto"/>
                      <w:kern w:val="2"/>
                      <w:sz w:val="21"/>
                      <w:szCs w:val="21"/>
                      <w:lang w:val="en-US" w:eastAsia="zh-CN" w:bidi="ar-SA"/>
                    </w:rPr>
                    <w:t>例行监测</w:t>
                  </w:r>
                </w:p>
              </w:tc>
              <w:tc>
                <w:tcPr>
                  <w:tcW w:w="1891" w:type="dxa"/>
                  <w:gridSpan w:val="2"/>
                  <w:tcBorders>
                    <w:tl2br w:val="nil"/>
                    <w:tr2bl w:val="nil"/>
                  </w:tcBorders>
                  <w:shd w:val="clear" w:color="auto" w:fill="auto"/>
                  <w:vAlign w:val="center"/>
                </w:tcPr>
                <w:p w14:paraId="6677F221">
                  <w:pPr>
                    <w:jc w:val="center"/>
                    <w:rPr>
                      <w:rFonts w:hint="eastAsia" w:cs="Times New Roman"/>
                      <w:snapToGrid w:val="0"/>
                      <w:color w:val="auto"/>
                      <w:szCs w:val="21"/>
                      <w:lang w:val="en-US" w:eastAsia="zh-CN"/>
                    </w:rPr>
                  </w:pPr>
                  <w:r>
                    <w:rPr>
                      <w:rFonts w:hint="eastAsia" w:cs="Times New Roman"/>
                      <w:snapToGrid w:val="0"/>
                      <w:color w:val="auto"/>
                      <w:kern w:val="2"/>
                      <w:sz w:val="21"/>
                      <w:szCs w:val="21"/>
                      <w:lang w:val="en-US" w:eastAsia="zh-CN" w:bidi="ar-SA"/>
                    </w:rPr>
                    <w:t>2025.11.17</w:t>
                  </w:r>
                </w:p>
              </w:tc>
              <w:tc>
                <w:tcPr>
                  <w:tcW w:w="1559" w:type="dxa"/>
                  <w:tcBorders>
                    <w:tl2br w:val="nil"/>
                    <w:tr2bl w:val="nil"/>
                  </w:tcBorders>
                  <w:vAlign w:val="center"/>
                </w:tcPr>
                <w:p w14:paraId="3EC37306">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0.051-0.087</w:t>
                  </w:r>
                </w:p>
              </w:tc>
              <w:tc>
                <w:tcPr>
                  <w:tcW w:w="1702" w:type="dxa"/>
                  <w:tcBorders>
                    <w:tl2br w:val="nil"/>
                    <w:tr2bl w:val="nil"/>
                  </w:tcBorders>
                  <w:vAlign w:val="center"/>
                </w:tcPr>
                <w:p w14:paraId="08DB0044">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0.000133-0.000262</w:t>
                  </w:r>
                </w:p>
              </w:tc>
              <w:tc>
                <w:tcPr>
                  <w:tcW w:w="1473" w:type="dxa"/>
                  <w:vMerge w:val="continue"/>
                  <w:tcBorders>
                    <w:tl2br w:val="nil"/>
                    <w:tr2bl w:val="nil"/>
                  </w:tcBorders>
                  <w:vAlign w:val="center"/>
                </w:tcPr>
                <w:p w14:paraId="5B6873AB">
                  <w:pPr>
                    <w:jc w:val="center"/>
                    <w:rPr>
                      <w:rFonts w:ascii="Times New Roman" w:hAnsi="Times New Roman" w:cs="Times New Roman"/>
                      <w:snapToGrid w:val="0"/>
                      <w:color w:val="auto"/>
                      <w:szCs w:val="21"/>
                    </w:rPr>
                  </w:pPr>
                </w:p>
              </w:tc>
            </w:tr>
            <w:tr w14:paraId="14DDB7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dxa"/>
                  <w:gridSpan w:val="2"/>
                  <w:tcBorders>
                    <w:tl2br w:val="nil"/>
                    <w:tr2bl w:val="nil"/>
                  </w:tcBorders>
                  <w:vAlign w:val="center"/>
                </w:tcPr>
                <w:p w14:paraId="0174DFFF">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执行标准</w:t>
                  </w:r>
                </w:p>
              </w:tc>
              <w:tc>
                <w:tcPr>
                  <w:tcW w:w="1891" w:type="dxa"/>
                  <w:gridSpan w:val="2"/>
                  <w:tcBorders>
                    <w:tl2br w:val="nil"/>
                    <w:tr2bl w:val="nil"/>
                  </w:tcBorders>
                  <w:vAlign w:val="center"/>
                </w:tcPr>
                <w:p w14:paraId="2BA8C518">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w:t>
                  </w:r>
                </w:p>
              </w:tc>
              <w:tc>
                <w:tcPr>
                  <w:tcW w:w="1559" w:type="dxa"/>
                  <w:tcBorders>
                    <w:tl2br w:val="nil"/>
                    <w:tr2bl w:val="nil"/>
                  </w:tcBorders>
                  <w:vAlign w:val="center"/>
                </w:tcPr>
                <w:p w14:paraId="7F91D8C0">
                  <w:pPr>
                    <w:jc w:val="center"/>
                    <w:rPr>
                      <w:rFonts w:ascii="Times New Roman" w:hAnsi="Times New Roman" w:cs="Times New Roman"/>
                      <w:snapToGrid w:val="0"/>
                      <w:color w:val="auto"/>
                      <w:szCs w:val="21"/>
                    </w:rPr>
                  </w:pPr>
                  <w:r>
                    <w:rPr>
                      <w:rFonts w:hint="eastAsia" w:cs="Times New Roman"/>
                      <w:snapToGrid w:val="0"/>
                      <w:color w:val="auto"/>
                      <w:szCs w:val="21"/>
                      <w:lang w:val="en-US" w:eastAsia="zh-CN"/>
                    </w:rPr>
                    <w:t>/</w:t>
                  </w:r>
                </w:p>
              </w:tc>
              <w:tc>
                <w:tcPr>
                  <w:tcW w:w="1702" w:type="dxa"/>
                  <w:tcBorders>
                    <w:tl2br w:val="nil"/>
                    <w:tr2bl w:val="nil"/>
                  </w:tcBorders>
                  <w:vAlign w:val="center"/>
                </w:tcPr>
                <w:p w14:paraId="0E526797">
                  <w:pPr>
                    <w:jc w:val="center"/>
                    <w:rPr>
                      <w:rFonts w:hint="default" w:ascii="Times New Roman" w:hAnsi="Times New Roman" w:cs="Times New Roman"/>
                      <w:snapToGrid w:val="0"/>
                      <w:color w:val="auto"/>
                      <w:szCs w:val="21"/>
                      <w:lang w:val="en-US"/>
                    </w:rPr>
                  </w:pPr>
                  <w:r>
                    <w:rPr>
                      <w:rFonts w:hint="eastAsia" w:cs="Times New Roman"/>
                      <w:snapToGrid w:val="0"/>
                      <w:color w:val="auto"/>
                      <w:szCs w:val="21"/>
                      <w:lang w:val="en-US" w:eastAsia="zh-CN"/>
                    </w:rPr>
                    <w:t>0.9</w:t>
                  </w:r>
                </w:p>
              </w:tc>
              <w:tc>
                <w:tcPr>
                  <w:tcW w:w="1473" w:type="dxa"/>
                  <w:vMerge w:val="continue"/>
                  <w:tcBorders>
                    <w:tl2br w:val="nil"/>
                    <w:tr2bl w:val="nil"/>
                  </w:tcBorders>
                  <w:vAlign w:val="center"/>
                </w:tcPr>
                <w:p w14:paraId="407987BA">
                  <w:pPr>
                    <w:jc w:val="center"/>
                    <w:rPr>
                      <w:rFonts w:ascii="Times New Roman" w:hAnsi="Times New Roman" w:cs="Times New Roman"/>
                      <w:snapToGrid w:val="0"/>
                      <w:color w:val="auto"/>
                      <w:szCs w:val="21"/>
                    </w:rPr>
                  </w:pPr>
                </w:p>
              </w:tc>
            </w:tr>
            <w:tr w14:paraId="65039F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dxa"/>
                  <w:gridSpan w:val="2"/>
                  <w:tcBorders>
                    <w:tl2br w:val="nil"/>
                    <w:tr2bl w:val="nil"/>
                  </w:tcBorders>
                  <w:vAlign w:val="center"/>
                </w:tcPr>
                <w:p w14:paraId="777759E7">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标准来源</w:t>
                  </w:r>
                </w:p>
              </w:tc>
              <w:tc>
                <w:tcPr>
                  <w:tcW w:w="5152" w:type="dxa"/>
                  <w:gridSpan w:val="4"/>
                  <w:tcBorders>
                    <w:tl2br w:val="nil"/>
                    <w:tr2bl w:val="nil"/>
                  </w:tcBorders>
                  <w:vAlign w:val="center"/>
                </w:tcPr>
                <w:p w14:paraId="1DE7DF30">
                  <w:pPr>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w:t>
                  </w:r>
                  <w:r>
                    <w:rPr>
                      <w:rFonts w:hint="eastAsia" w:ascii="Times New Roman" w:hAnsi="Times New Roman" w:cs="Times New Roman"/>
                      <w:snapToGrid w:val="0"/>
                      <w:color w:val="auto"/>
                      <w:szCs w:val="21"/>
                    </w:rPr>
                    <w:t>恶臭污染物排放标准</w:t>
                  </w:r>
                  <w:r>
                    <w:rPr>
                      <w:rFonts w:ascii="Times New Roman" w:hAnsi="Times New Roman" w:cs="Times New Roman"/>
                      <w:snapToGrid w:val="0"/>
                      <w:color w:val="auto"/>
                      <w:szCs w:val="21"/>
                    </w:rPr>
                    <w:t>》</w:t>
                  </w:r>
                  <w:r>
                    <w:rPr>
                      <w:rFonts w:hint="eastAsia" w:cs="Times New Roman"/>
                      <w:snapToGrid w:val="0"/>
                      <w:color w:val="auto"/>
                      <w:szCs w:val="21"/>
                      <w:lang w:eastAsia="zh-CN"/>
                    </w:rPr>
                    <w:t>（</w:t>
                  </w:r>
                  <w:r>
                    <w:rPr>
                      <w:rFonts w:hint="eastAsia" w:ascii="Times New Roman" w:hAnsi="Times New Roman" w:cs="Times New Roman"/>
                      <w:snapToGrid w:val="0"/>
                      <w:color w:val="auto"/>
                      <w:szCs w:val="21"/>
                    </w:rPr>
                    <w:t>GB 14554-93</w:t>
                  </w:r>
                  <w:r>
                    <w:rPr>
                      <w:rFonts w:hint="eastAsia" w:cs="Times New Roman"/>
                      <w:snapToGrid w:val="0"/>
                      <w:color w:val="auto"/>
                      <w:szCs w:val="21"/>
                      <w:lang w:eastAsia="zh-CN"/>
                    </w:rPr>
                    <w:t>）</w:t>
                  </w:r>
                  <w:r>
                    <w:rPr>
                      <w:rFonts w:ascii="Times New Roman" w:hAnsi="Times New Roman" w:cs="Times New Roman"/>
                      <w:snapToGrid w:val="0"/>
                      <w:color w:val="auto"/>
                      <w:szCs w:val="21"/>
                    </w:rPr>
                    <w:t>表</w:t>
                  </w:r>
                  <w:r>
                    <w:rPr>
                      <w:rFonts w:hint="eastAsia" w:cs="Times New Roman"/>
                      <w:snapToGrid w:val="0"/>
                      <w:color w:val="auto"/>
                      <w:szCs w:val="21"/>
                      <w:lang w:val="en-US" w:eastAsia="zh-CN"/>
                    </w:rPr>
                    <w:t>2</w:t>
                  </w:r>
                  <w:r>
                    <w:rPr>
                      <w:rFonts w:hint="eastAsia" w:ascii="Times New Roman" w:hAnsi="Times New Roman" w:cs="Times New Roman"/>
                      <w:snapToGrid w:val="0"/>
                      <w:color w:val="auto"/>
                      <w:szCs w:val="21"/>
                    </w:rPr>
                    <w:t>标准限值</w:t>
                  </w:r>
                </w:p>
              </w:tc>
              <w:tc>
                <w:tcPr>
                  <w:tcW w:w="1473" w:type="dxa"/>
                  <w:vMerge w:val="continue"/>
                  <w:tcBorders>
                    <w:tl2br w:val="nil"/>
                    <w:tr2bl w:val="nil"/>
                  </w:tcBorders>
                  <w:vAlign w:val="center"/>
                </w:tcPr>
                <w:p w14:paraId="1BFEC140">
                  <w:pPr>
                    <w:jc w:val="center"/>
                    <w:rPr>
                      <w:rFonts w:ascii="Times New Roman" w:hAnsi="Times New Roman" w:cs="Times New Roman"/>
                      <w:snapToGrid w:val="0"/>
                      <w:color w:val="auto"/>
                      <w:szCs w:val="21"/>
                    </w:rPr>
                  </w:pPr>
                </w:p>
              </w:tc>
            </w:tr>
            <w:tr w14:paraId="366B8A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restart"/>
                  <w:tcBorders>
                    <w:tl2br w:val="nil"/>
                    <w:tr2bl w:val="nil"/>
                  </w:tcBorders>
                  <w:vAlign w:val="center"/>
                </w:tcPr>
                <w:p w14:paraId="2144D678">
                  <w:pPr>
                    <w:jc w:val="center"/>
                    <w:rPr>
                      <w:rFonts w:hint="eastAsia" w:ascii="Times New Roman" w:hAnsi="Times New Roman" w:eastAsia="宋体" w:cs="Times New Roman"/>
                      <w:snapToGrid w:val="0"/>
                      <w:color w:val="auto"/>
                      <w:szCs w:val="21"/>
                      <w:lang w:eastAsia="zh-CN"/>
                    </w:rPr>
                  </w:pPr>
                  <w:r>
                    <w:rPr>
                      <w:rFonts w:hint="eastAsia" w:cs="Times New Roman"/>
                      <w:snapToGrid w:val="0"/>
                      <w:color w:val="auto"/>
                      <w:szCs w:val="21"/>
                      <w:lang w:eastAsia="zh-CN"/>
                    </w:rPr>
                    <w:t>臭气浓度</w:t>
                  </w:r>
                </w:p>
              </w:tc>
              <w:tc>
                <w:tcPr>
                  <w:tcW w:w="1182" w:type="dxa"/>
                  <w:vMerge w:val="restart"/>
                  <w:tcBorders>
                    <w:tl2br w:val="nil"/>
                    <w:tr2bl w:val="nil"/>
                  </w:tcBorders>
                  <w:vAlign w:val="center"/>
                </w:tcPr>
                <w:p w14:paraId="31E41B9A">
                  <w:pPr>
                    <w:jc w:val="center"/>
                    <w:rPr>
                      <w:rFonts w:hint="eastAsia" w:ascii="Times New Roman" w:hAnsi="Times New Roman" w:cs="Times New Roman"/>
                      <w:snapToGrid w:val="0"/>
                      <w:color w:val="auto"/>
                      <w:szCs w:val="21"/>
                    </w:rPr>
                  </w:pPr>
                  <w:r>
                    <w:rPr>
                      <w:rFonts w:hint="eastAsia" w:cs="Times New Roman"/>
                      <w:snapToGrid w:val="0"/>
                      <w:color w:val="auto"/>
                      <w:szCs w:val="21"/>
                      <w:lang w:eastAsia="zh-CN"/>
                    </w:rPr>
                    <w:t>验收监测</w:t>
                  </w:r>
                </w:p>
              </w:tc>
              <w:tc>
                <w:tcPr>
                  <w:tcW w:w="1717" w:type="dxa"/>
                  <w:tcBorders>
                    <w:tl2br w:val="nil"/>
                    <w:tr2bl w:val="nil"/>
                  </w:tcBorders>
                  <w:vAlign w:val="center"/>
                </w:tcPr>
                <w:p w14:paraId="1969F4D8">
                  <w:pPr>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202</w:t>
                  </w:r>
                  <w:r>
                    <w:rPr>
                      <w:rFonts w:hint="eastAsia" w:cs="Times New Roman"/>
                      <w:snapToGrid w:val="0"/>
                      <w:color w:val="auto"/>
                      <w:szCs w:val="21"/>
                      <w:lang w:val="en-US" w:eastAsia="zh-CN"/>
                    </w:rPr>
                    <w:t>5.2.24</w:t>
                  </w:r>
                </w:p>
              </w:tc>
              <w:tc>
                <w:tcPr>
                  <w:tcW w:w="3435" w:type="dxa"/>
                  <w:gridSpan w:val="3"/>
                  <w:tcBorders>
                    <w:tl2br w:val="nil"/>
                    <w:tr2bl w:val="nil"/>
                  </w:tcBorders>
                  <w:vAlign w:val="center"/>
                </w:tcPr>
                <w:p w14:paraId="157345B3">
                  <w:pPr>
                    <w:jc w:val="center"/>
                    <w:rPr>
                      <w:rFonts w:ascii="Times New Roman" w:hAnsi="Times New Roman" w:cs="Times New Roman"/>
                      <w:snapToGrid w:val="0"/>
                      <w:color w:val="auto"/>
                      <w:szCs w:val="21"/>
                    </w:rPr>
                  </w:pPr>
                  <w:r>
                    <w:rPr>
                      <w:rFonts w:hint="eastAsia" w:cs="Times New Roman"/>
                      <w:snapToGrid w:val="0"/>
                      <w:color w:val="auto"/>
                      <w:szCs w:val="21"/>
                      <w:lang w:val="en-US" w:eastAsia="zh-CN"/>
                    </w:rPr>
                    <w:t>97-131（无量纲）</w:t>
                  </w:r>
                </w:p>
              </w:tc>
              <w:tc>
                <w:tcPr>
                  <w:tcW w:w="1473" w:type="dxa"/>
                  <w:vMerge w:val="continue"/>
                  <w:tcBorders>
                    <w:tl2br w:val="nil"/>
                    <w:tr2bl w:val="nil"/>
                  </w:tcBorders>
                  <w:vAlign w:val="center"/>
                </w:tcPr>
                <w:p w14:paraId="473C3866">
                  <w:pPr>
                    <w:jc w:val="center"/>
                    <w:rPr>
                      <w:rFonts w:ascii="Times New Roman" w:hAnsi="Times New Roman" w:cs="Times New Roman"/>
                      <w:snapToGrid w:val="0"/>
                      <w:color w:val="auto"/>
                      <w:szCs w:val="21"/>
                    </w:rPr>
                  </w:pPr>
                </w:p>
              </w:tc>
            </w:tr>
            <w:tr w14:paraId="23BAC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continue"/>
                  <w:tcBorders>
                    <w:tl2br w:val="nil"/>
                    <w:tr2bl w:val="nil"/>
                  </w:tcBorders>
                  <w:vAlign w:val="center"/>
                </w:tcPr>
                <w:p w14:paraId="45482A21">
                  <w:pPr>
                    <w:jc w:val="center"/>
                    <w:rPr>
                      <w:rFonts w:hint="eastAsia" w:ascii="Times New Roman" w:hAnsi="Times New Roman" w:cs="Times New Roman"/>
                      <w:snapToGrid w:val="0"/>
                      <w:color w:val="auto"/>
                      <w:szCs w:val="21"/>
                    </w:rPr>
                  </w:pPr>
                </w:p>
              </w:tc>
              <w:tc>
                <w:tcPr>
                  <w:tcW w:w="1182" w:type="dxa"/>
                  <w:vMerge w:val="continue"/>
                  <w:tcBorders>
                    <w:tl2br w:val="nil"/>
                    <w:tr2bl w:val="nil"/>
                  </w:tcBorders>
                  <w:vAlign w:val="center"/>
                </w:tcPr>
                <w:p w14:paraId="2B22856F">
                  <w:pPr>
                    <w:jc w:val="center"/>
                    <w:rPr>
                      <w:rFonts w:hint="eastAsia" w:ascii="Times New Roman" w:hAnsi="Times New Roman" w:cs="Times New Roman"/>
                      <w:snapToGrid w:val="0"/>
                      <w:color w:val="auto"/>
                      <w:szCs w:val="21"/>
                    </w:rPr>
                  </w:pPr>
                </w:p>
              </w:tc>
              <w:tc>
                <w:tcPr>
                  <w:tcW w:w="1717" w:type="dxa"/>
                  <w:tcBorders>
                    <w:tl2br w:val="nil"/>
                    <w:tr2bl w:val="nil"/>
                  </w:tcBorders>
                  <w:vAlign w:val="center"/>
                </w:tcPr>
                <w:p w14:paraId="38C277B4">
                  <w:pPr>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202</w:t>
                  </w:r>
                  <w:r>
                    <w:rPr>
                      <w:rFonts w:hint="eastAsia" w:cs="Times New Roman"/>
                      <w:snapToGrid w:val="0"/>
                      <w:color w:val="auto"/>
                      <w:szCs w:val="21"/>
                      <w:lang w:val="en-US" w:eastAsia="zh-CN"/>
                    </w:rPr>
                    <w:t>5.2.25</w:t>
                  </w:r>
                </w:p>
              </w:tc>
              <w:tc>
                <w:tcPr>
                  <w:tcW w:w="3435" w:type="dxa"/>
                  <w:gridSpan w:val="3"/>
                  <w:tcBorders>
                    <w:tl2br w:val="nil"/>
                    <w:tr2bl w:val="nil"/>
                  </w:tcBorders>
                  <w:vAlign w:val="center"/>
                </w:tcPr>
                <w:p w14:paraId="19FDE9C9">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97-151（无量纲）</w:t>
                  </w:r>
                </w:p>
              </w:tc>
              <w:tc>
                <w:tcPr>
                  <w:tcW w:w="1473" w:type="dxa"/>
                  <w:vMerge w:val="continue"/>
                  <w:tcBorders>
                    <w:tl2br w:val="nil"/>
                    <w:tr2bl w:val="nil"/>
                  </w:tcBorders>
                  <w:vAlign w:val="center"/>
                </w:tcPr>
                <w:p w14:paraId="2EA4AD60">
                  <w:pPr>
                    <w:jc w:val="center"/>
                    <w:rPr>
                      <w:rFonts w:ascii="Times New Roman" w:hAnsi="Times New Roman" w:cs="Times New Roman"/>
                      <w:snapToGrid w:val="0"/>
                      <w:color w:val="auto"/>
                      <w:szCs w:val="21"/>
                    </w:rPr>
                  </w:pPr>
                </w:p>
              </w:tc>
            </w:tr>
            <w:tr w14:paraId="34C3CD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continue"/>
                  <w:tcBorders>
                    <w:tl2br w:val="nil"/>
                    <w:tr2bl w:val="nil"/>
                  </w:tcBorders>
                  <w:vAlign w:val="center"/>
                </w:tcPr>
                <w:p w14:paraId="3549CD6E">
                  <w:pPr>
                    <w:jc w:val="center"/>
                    <w:rPr>
                      <w:rFonts w:hint="eastAsia" w:ascii="Times New Roman" w:hAnsi="Times New Roman" w:cs="Times New Roman"/>
                      <w:snapToGrid w:val="0"/>
                      <w:color w:val="auto"/>
                      <w:szCs w:val="21"/>
                    </w:rPr>
                  </w:pPr>
                </w:p>
              </w:tc>
              <w:tc>
                <w:tcPr>
                  <w:tcW w:w="1182" w:type="dxa"/>
                  <w:tcBorders>
                    <w:tl2br w:val="nil"/>
                    <w:tr2bl w:val="nil"/>
                  </w:tcBorders>
                  <w:vAlign w:val="center"/>
                </w:tcPr>
                <w:p w14:paraId="784C4C0D">
                  <w:pPr>
                    <w:jc w:val="center"/>
                    <w:rPr>
                      <w:rFonts w:hint="eastAsia" w:ascii="Times New Roman" w:hAnsi="Times New Roman" w:cs="Times New Roman"/>
                      <w:snapToGrid w:val="0"/>
                      <w:color w:val="auto"/>
                      <w:szCs w:val="21"/>
                    </w:rPr>
                  </w:pPr>
                  <w:r>
                    <w:rPr>
                      <w:rFonts w:hint="eastAsia" w:cs="Times New Roman"/>
                      <w:snapToGrid w:val="0"/>
                      <w:color w:val="auto"/>
                      <w:szCs w:val="21"/>
                      <w:lang w:eastAsia="zh-CN"/>
                    </w:rPr>
                    <w:t>例行监测</w:t>
                  </w:r>
                </w:p>
              </w:tc>
              <w:tc>
                <w:tcPr>
                  <w:tcW w:w="1717" w:type="dxa"/>
                  <w:tcBorders>
                    <w:tl2br w:val="nil"/>
                    <w:tr2bl w:val="nil"/>
                  </w:tcBorders>
                  <w:vAlign w:val="center"/>
                </w:tcPr>
                <w:p w14:paraId="1F85E73E">
                  <w:pPr>
                    <w:jc w:val="center"/>
                    <w:rPr>
                      <w:rFonts w:ascii="Times New Roman" w:hAnsi="Times New Roman" w:cs="Times New Roman"/>
                      <w:snapToGrid w:val="0"/>
                      <w:color w:val="auto"/>
                      <w:szCs w:val="21"/>
                    </w:rPr>
                  </w:pPr>
                  <w:r>
                    <w:rPr>
                      <w:rFonts w:hint="eastAsia" w:cs="Times New Roman"/>
                      <w:snapToGrid w:val="0"/>
                      <w:color w:val="auto"/>
                      <w:szCs w:val="21"/>
                      <w:lang w:val="en-US" w:eastAsia="zh-CN"/>
                    </w:rPr>
                    <w:t>2025.06.09</w:t>
                  </w:r>
                </w:p>
              </w:tc>
              <w:tc>
                <w:tcPr>
                  <w:tcW w:w="3435" w:type="dxa"/>
                  <w:gridSpan w:val="3"/>
                  <w:tcBorders>
                    <w:tl2br w:val="nil"/>
                    <w:tr2bl w:val="nil"/>
                  </w:tcBorders>
                  <w:vAlign w:val="center"/>
                </w:tcPr>
                <w:p w14:paraId="46077699">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72-97（无量纲）</w:t>
                  </w:r>
                </w:p>
              </w:tc>
              <w:tc>
                <w:tcPr>
                  <w:tcW w:w="1473" w:type="dxa"/>
                  <w:vMerge w:val="continue"/>
                  <w:tcBorders>
                    <w:tl2br w:val="nil"/>
                    <w:tr2bl w:val="nil"/>
                  </w:tcBorders>
                  <w:vAlign w:val="center"/>
                </w:tcPr>
                <w:p w14:paraId="4BB7E623">
                  <w:pPr>
                    <w:jc w:val="center"/>
                    <w:rPr>
                      <w:rFonts w:ascii="Times New Roman" w:hAnsi="Times New Roman" w:cs="Times New Roman"/>
                      <w:snapToGrid w:val="0"/>
                      <w:color w:val="auto"/>
                      <w:szCs w:val="21"/>
                    </w:rPr>
                  </w:pPr>
                </w:p>
              </w:tc>
            </w:tr>
            <w:tr w14:paraId="3F28F1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continue"/>
                  <w:tcBorders>
                    <w:tl2br w:val="nil"/>
                    <w:tr2bl w:val="nil"/>
                  </w:tcBorders>
                  <w:vAlign w:val="center"/>
                </w:tcPr>
                <w:p w14:paraId="57865A0E">
                  <w:pPr>
                    <w:jc w:val="center"/>
                    <w:rPr>
                      <w:rFonts w:hint="eastAsia" w:ascii="Times New Roman" w:hAnsi="Times New Roman" w:cs="Times New Roman"/>
                      <w:snapToGrid w:val="0"/>
                      <w:color w:val="auto"/>
                      <w:szCs w:val="21"/>
                    </w:rPr>
                  </w:pPr>
                </w:p>
              </w:tc>
              <w:tc>
                <w:tcPr>
                  <w:tcW w:w="1182" w:type="dxa"/>
                  <w:tcBorders>
                    <w:tl2br w:val="nil"/>
                    <w:tr2bl w:val="nil"/>
                  </w:tcBorders>
                  <w:vAlign w:val="center"/>
                </w:tcPr>
                <w:p w14:paraId="11D1FF9C">
                  <w:pPr>
                    <w:jc w:val="center"/>
                    <w:rPr>
                      <w:rFonts w:hint="eastAsia" w:ascii="Times New Roman" w:hAnsi="Times New Roman" w:cs="Times New Roman"/>
                      <w:snapToGrid w:val="0"/>
                      <w:color w:val="auto"/>
                      <w:szCs w:val="21"/>
                    </w:rPr>
                  </w:pPr>
                  <w:r>
                    <w:rPr>
                      <w:rFonts w:hint="eastAsia" w:cs="Times New Roman"/>
                      <w:snapToGrid w:val="0"/>
                      <w:color w:val="auto"/>
                      <w:kern w:val="2"/>
                      <w:sz w:val="21"/>
                      <w:szCs w:val="21"/>
                      <w:lang w:val="en-US" w:eastAsia="zh-CN" w:bidi="ar-SA"/>
                    </w:rPr>
                    <w:t>例行监测</w:t>
                  </w:r>
                </w:p>
              </w:tc>
              <w:tc>
                <w:tcPr>
                  <w:tcW w:w="1717" w:type="dxa"/>
                  <w:tcBorders>
                    <w:tl2br w:val="nil"/>
                    <w:tr2bl w:val="nil"/>
                  </w:tcBorders>
                  <w:vAlign w:val="center"/>
                </w:tcPr>
                <w:p w14:paraId="2EAD612D">
                  <w:pPr>
                    <w:jc w:val="center"/>
                    <w:rPr>
                      <w:rFonts w:ascii="Times New Roman" w:hAnsi="Times New Roman" w:cs="Times New Roman"/>
                      <w:snapToGrid w:val="0"/>
                      <w:color w:val="auto"/>
                      <w:szCs w:val="21"/>
                    </w:rPr>
                  </w:pPr>
                  <w:r>
                    <w:rPr>
                      <w:rFonts w:hint="eastAsia" w:cs="Times New Roman"/>
                      <w:snapToGrid w:val="0"/>
                      <w:color w:val="auto"/>
                      <w:kern w:val="2"/>
                      <w:sz w:val="21"/>
                      <w:szCs w:val="21"/>
                      <w:lang w:val="en-US" w:eastAsia="zh-CN" w:bidi="ar-SA"/>
                    </w:rPr>
                    <w:t>2025.08.24</w:t>
                  </w:r>
                </w:p>
              </w:tc>
              <w:tc>
                <w:tcPr>
                  <w:tcW w:w="3435" w:type="dxa"/>
                  <w:gridSpan w:val="3"/>
                  <w:tcBorders>
                    <w:tl2br w:val="nil"/>
                    <w:tr2bl w:val="nil"/>
                  </w:tcBorders>
                  <w:vAlign w:val="center"/>
                </w:tcPr>
                <w:p w14:paraId="55A2157D">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97-151（无量纲）</w:t>
                  </w:r>
                </w:p>
              </w:tc>
              <w:tc>
                <w:tcPr>
                  <w:tcW w:w="1473" w:type="dxa"/>
                  <w:vMerge w:val="continue"/>
                  <w:tcBorders>
                    <w:tl2br w:val="nil"/>
                    <w:tr2bl w:val="nil"/>
                  </w:tcBorders>
                  <w:vAlign w:val="center"/>
                </w:tcPr>
                <w:p w14:paraId="0A955E10">
                  <w:pPr>
                    <w:jc w:val="center"/>
                    <w:rPr>
                      <w:rFonts w:ascii="Times New Roman" w:hAnsi="Times New Roman" w:cs="Times New Roman"/>
                      <w:snapToGrid w:val="0"/>
                      <w:color w:val="auto"/>
                      <w:szCs w:val="21"/>
                    </w:rPr>
                  </w:pPr>
                </w:p>
              </w:tc>
            </w:tr>
            <w:tr w14:paraId="53E271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dxa"/>
                  <w:vMerge w:val="continue"/>
                  <w:tcBorders>
                    <w:tl2br w:val="nil"/>
                    <w:tr2bl w:val="nil"/>
                  </w:tcBorders>
                  <w:vAlign w:val="center"/>
                </w:tcPr>
                <w:p w14:paraId="26C7DCA6">
                  <w:pPr>
                    <w:jc w:val="center"/>
                    <w:rPr>
                      <w:rFonts w:hint="eastAsia" w:ascii="Times New Roman" w:hAnsi="Times New Roman" w:cs="Times New Roman"/>
                      <w:snapToGrid w:val="0"/>
                      <w:color w:val="auto"/>
                      <w:szCs w:val="21"/>
                    </w:rPr>
                  </w:pPr>
                </w:p>
              </w:tc>
              <w:tc>
                <w:tcPr>
                  <w:tcW w:w="1182" w:type="dxa"/>
                  <w:tcBorders>
                    <w:tl2br w:val="nil"/>
                    <w:tr2bl w:val="nil"/>
                  </w:tcBorders>
                  <w:vAlign w:val="center"/>
                </w:tcPr>
                <w:p w14:paraId="63574E13">
                  <w:pPr>
                    <w:jc w:val="center"/>
                    <w:rPr>
                      <w:rFonts w:hint="eastAsia" w:ascii="Times New Roman" w:hAnsi="Times New Roman" w:cs="Times New Roman"/>
                      <w:snapToGrid w:val="0"/>
                      <w:color w:val="auto"/>
                      <w:szCs w:val="21"/>
                    </w:rPr>
                  </w:pPr>
                  <w:r>
                    <w:rPr>
                      <w:rFonts w:hint="eastAsia" w:cs="Times New Roman"/>
                      <w:snapToGrid w:val="0"/>
                      <w:color w:val="auto"/>
                      <w:kern w:val="2"/>
                      <w:sz w:val="21"/>
                      <w:szCs w:val="21"/>
                      <w:lang w:val="en-US" w:eastAsia="zh-CN" w:bidi="ar-SA"/>
                    </w:rPr>
                    <w:t>例行监测</w:t>
                  </w:r>
                </w:p>
              </w:tc>
              <w:tc>
                <w:tcPr>
                  <w:tcW w:w="1717" w:type="dxa"/>
                  <w:tcBorders>
                    <w:tl2br w:val="nil"/>
                    <w:tr2bl w:val="nil"/>
                  </w:tcBorders>
                  <w:vAlign w:val="center"/>
                </w:tcPr>
                <w:p w14:paraId="3937D023">
                  <w:pPr>
                    <w:jc w:val="center"/>
                    <w:rPr>
                      <w:rFonts w:ascii="Times New Roman" w:hAnsi="Times New Roman" w:cs="Times New Roman"/>
                      <w:snapToGrid w:val="0"/>
                      <w:color w:val="auto"/>
                      <w:szCs w:val="21"/>
                    </w:rPr>
                  </w:pPr>
                  <w:r>
                    <w:rPr>
                      <w:rFonts w:hint="eastAsia" w:cs="Times New Roman"/>
                      <w:snapToGrid w:val="0"/>
                      <w:color w:val="auto"/>
                      <w:kern w:val="2"/>
                      <w:sz w:val="21"/>
                      <w:szCs w:val="21"/>
                      <w:lang w:val="en-US" w:eastAsia="zh-CN" w:bidi="ar-SA"/>
                    </w:rPr>
                    <w:t>2025.11.17</w:t>
                  </w:r>
                </w:p>
              </w:tc>
              <w:tc>
                <w:tcPr>
                  <w:tcW w:w="3435" w:type="dxa"/>
                  <w:gridSpan w:val="3"/>
                  <w:tcBorders>
                    <w:tl2br w:val="nil"/>
                    <w:tr2bl w:val="nil"/>
                  </w:tcBorders>
                  <w:vAlign w:val="center"/>
                </w:tcPr>
                <w:p w14:paraId="32E042C1">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131-229（无量纲）</w:t>
                  </w:r>
                </w:p>
              </w:tc>
              <w:tc>
                <w:tcPr>
                  <w:tcW w:w="1473" w:type="dxa"/>
                  <w:vMerge w:val="continue"/>
                  <w:tcBorders>
                    <w:tl2br w:val="nil"/>
                    <w:tr2bl w:val="nil"/>
                  </w:tcBorders>
                  <w:vAlign w:val="center"/>
                </w:tcPr>
                <w:p w14:paraId="527DA99B">
                  <w:pPr>
                    <w:jc w:val="center"/>
                    <w:rPr>
                      <w:rFonts w:ascii="Times New Roman" w:hAnsi="Times New Roman" w:cs="Times New Roman"/>
                      <w:snapToGrid w:val="0"/>
                      <w:color w:val="auto"/>
                      <w:szCs w:val="21"/>
                    </w:rPr>
                  </w:pPr>
                </w:p>
              </w:tc>
            </w:tr>
            <w:tr w14:paraId="60B48B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dxa"/>
                  <w:gridSpan w:val="2"/>
                  <w:tcBorders>
                    <w:tl2br w:val="nil"/>
                    <w:tr2bl w:val="nil"/>
                  </w:tcBorders>
                  <w:vAlign w:val="center"/>
                </w:tcPr>
                <w:p w14:paraId="61A0019A">
                  <w:pPr>
                    <w:jc w:val="center"/>
                    <w:rPr>
                      <w:rFonts w:hint="eastAsia" w:ascii="Times New Roman" w:hAnsi="Times New Roman" w:cs="Times New Roman"/>
                      <w:snapToGrid w:val="0"/>
                      <w:color w:val="auto"/>
                      <w:szCs w:val="21"/>
                    </w:rPr>
                  </w:pPr>
                  <w:r>
                    <w:rPr>
                      <w:rFonts w:hint="eastAsia" w:ascii="Times New Roman" w:hAnsi="Times New Roman" w:cs="Times New Roman"/>
                      <w:snapToGrid w:val="0"/>
                      <w:color w:val="auto"/>
                      <w:szCs w:val="21"/>
                    </w:rPr>
                    <w:t>执行标准</w:t>
                  </w:r>
                </w:p>
              </w:tc>
              <w:tc>
                <w:tcPr>
                  <w:tcW w:w="1717" w:type="dxa"/>
                  <w:tcBorders>
                    <w:tl2br w:val="nil"/>
                    <w:tr2bl w:val="nil"/>
                  </w:tcBorders>
                  <w:vAlign w:val="center"/>
                </w:tcPr>
                <w:p w14:paraId="367CDD2C">
                  <w:pPr>
                    <w:jc w:val="center"/>
                    <w:rPr>
                      <w:rFonts w:hint="eastAsia" w:cs="Times New Roman"/>
                      <w:snapToGrid w:val="0"/>
                      <w:color w:val="auto"/>
                      <w:szCs w:val="21"/>
                      <w:lang w:val="en-US" w:eastAsia="zh-CN"/>
                    </w:rPr>
                  </w:pPr>
                  <w:r>
                    <w:rPr>
                      <w:rFonts w:hint="eastAsia" w:ascii="Times New Roman" w:hAnsi="Times New Roman" w:cs="Times New Roman"/>
                      <w:snapToGrid w:val="0"/>
                      <w:color w:val="auto"/>
                      <w:szCs w:val="21"/>
                    </w:rPr>
                    <w:t>/</w:t>
                  </w:r>
                </w:p>
              </w:tc>
              <w:tc>
                <w:tcPr>
                  <w:tcW w:w="3435" w:type="dxa"/>
                  <w:gridSpan w:val="3"/>
                  <w:tcBorders>
                    <w:tl2br w:val="nil"/>
                    <w:tr2bl w:val="nil"/>
                  </w:tcBorders>
                  <w:vAlign w:val="center"/>
                </w:tcPr>
                <w:p w14:paraId="46DF5000">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6000（无量纲）</w:t>
                  </w:r>
                </w:p>
              </w:tc>
              <w:tc>
                <w:tcPr>
                  <w:tcW w:w="1473" w:type="dxa"/>
                  <w:vMerge w:val="continue"/>
                  <w:tcBorders>
                    <w:tl2br w:val="nil"/>
                    <w:tr2bl w:val="nil"/>
                  </w:tcBorders>
                  <w:vAlign w:val="center"/>
                </w:tcPr>
                <w:p w14:paraId="175A5DF7">
                  <w:pPr>
                    <w:jc w:val="center"/>
                    <w:rPr>
                      <w:rFonts w:ascii="Times New Roman" w:hAnsi="Times New Roman" w:cs="Times New Roman"/>
                      <w:snapToGrid w:val="0"/>
                      <w:color w:val="auto"/>
                      <w:szCs w:val="21"/>
                    </w:rPr>
                  </w:pPr>
                </w:p>
              </w:tc>
            </w:tr>
            <w:tr w14:paraId="2DD3E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dxa"/>
                  <w:gridSpan w:val="2"/>
                  <w:tcBorders>
                    <w:tl2br w:val="nil"/>
                    <w:tr2bl w:val="nil"/>
                  </w:tcBorders>
                  <w:vAlign w:val="center"/>
                </w:tcPr>
                <w:p w14:paraId="05AB8DD6">
                  <w:pPr>
                    <w:jc w:val="center"/>
                    <w:rPr>
                      <w:rFonts w:hint="eastAsia" w:ascii="Times New Roman" w:hAnsi="Times New Roman" w:cs="Times New Roman"/>
                      <w:snapToGrid w:val="0"/>
                      <w:color w:val="auto"/>
                      <w:szCs w:val="21"/>
                    </w:rPr>
                  </w:pPr>
                  <w:r>
                    <w:rPr>
                      <w:rFonts w:hint="eastAsia" w:ascii="Times New Roman" w:hAnsi="Times New Roman" w:cs="Times New Roman"/>
                      <w:snapToGrid w:val="0"/>
                      <w:color w:val="auto"/>
                      <w:szCs w:val="21"/>
                    </w:rPr>
                    <w:t>标准来源</w:t>
                  </w:r>
                </w:p>
              </w:tc>
              <w:tc>
                <w:tcPr>
                  <w:tcW w:w="5152" w:type="dxa"/>
                  <w:gridSpan w:val="4"/>
                  <w:tcBorders>
                    <w:tl2br w:val="nil"/>
                    <w:tr2bl w:val="nil"/>
                  </w:tcBorders>
                  <w:vAlign w:val="center"/>
                </w:tcPr>
                <w:p w14:paraId="43D01292">
                  <w:pPr>
                    <w:jc w:val="center"/>
                    <w:rPr>
                      <w:rFonts w:hint="eastAsia" w:cs="Times New Roman"/>
                      <w:snapToGrid w:val="0"/>
                      <w:color w:val="auto"/>
                      <w:szCs w:val="21"/>
                      <w:lang w:val="en-US" w:eastAsia="zh-CN"/>
                    </w:rPr>
                  </w:pPr>
                  <w:r>
                    <w:rPr>
                      <w:rFonts w:ascii="Times New Roman" w:hAnsi="Times New Roman" w:cs="Times New Roman"/>
                      <w:snapToGrid w:val="0"/>
                      <w:color w:val="auto"/>
                      <w:szCs w:val="21"/>
                    </w:rPr>
                    <w:t>《</w:t>
                  </w:r>
                  <w:r>
                    <w:rPr>
                      <w:rFonts w:hint="eastAsia" w:ascii="Times New Roman" w:hAnsi="Times New Roman" w:cs="Times New Roman"/>
                      <w:snapToGrid w:val="0"/>
                      <w:color w:val="auto"/>
                      <w:szCs w:val="21"/>
                    </w:rPr>
                    <w:t>恶臭污染物排放标准</w:t>
                  </w:r>
                  <w:r>
                    <w:rPr>
                      <w:rFonts w:ascii="Times New Roman" w:hAnsi="Times New Roman" w:cs="Times New Roman"/>
                      <w:snapToGrid w:val="0"/>
                      <w:color w:val="auto"/>
                      <w:szCs w:val="21"/>
                    </w:rPr>
                    <w:t>》</w:t>
                  </w:r>
                  <w:r>
                    <w:rPr>
                      <w:rFonts w:hint="eastAsia" w:cs="Times New Roman"/>
                      <w:snapToGrid w:val="0"/>
                      <w:color w:val="auto"/>
                      <w:szCs w:val="21"/>
                      <w:lang w:eastAsia="zh-CN"/>
                    </w:rPr>
                    <w:t>（</w:t>
                  </w:r>
                  <w:r>
                    <w:rPr>
                      <w:rFonts w:hint="eastAsia" w:ascii="Times New Roman" w:hAnsi="Times New Roman" w:cs="Times New Roman"/>
                      <w:snapToGrid w:val="0"/>
                      <w:color w:val="auto"/>
                      <w:szCs w:val="21"/>
                    </w:rPr>
                    <w:t>GB 14554-93</w:t>
                  </w:r>
                  <w:r>
                    <w:rPr>
                      <w:rFonts w:hint="eastAsia" w:cs="Times New Roman"/>
                      <w:snapToGrid w:val="0"/>
                      <w:color w:val="auto"/>
                      <w:szCs w:val="21"/>
                      <w:lang w:eastAsia="zh-CN"/>
                    </w:rPr>
                    <w:t>）</w:t>
                  </w:r>
                  <w:r>
                    <w:rPr>
                      <w:rFonts w:ascii="Times New Roman" w:hAnsi="Times New Roman" w:cs="Times New Roman"/>
                      <w:snapToGrid w:val="0"/>
                      <w:color w:val="auto"/>
                      <w:szCs w:val="21"/>
                    </w:rPr>
                    <w:t>表</w:t>
                  </w:r>
                  <w:r>
                    <w:rPr>
                      <w:rFonts w:hint="eastAsia" w:cs="Times New Roman"/>
                      <w:snapToGrid w:val="0"/>
                      <w:color w:val="auto"/>
                      <w:szCs w:val="21"/>
                      <w:lang w:val="en-US" w:eastAsia="zh-CN"/>
                    </w:rPr>
                    <w:t>2</w:t>
                  </w:r>
                  <w:r>
                    <w:rPr>
                      <w:rFonts w:hint="eastAsia" w:ascii="Times New Roman" w:hAnsi="Times New Roman" w:cs="Times New Roman"/>
                      <w:snapToGrid w:val="0"/>
                      <w:color w:val="auto"/>
                      <w:szCs w:val="21"/>
                    </w:rPr>
                    <w:t>标准限值</w:t>
                  </w:r>
                </w:p>
              </w:tc>
              <w:tc>
                <w:tcPr>
                  <w:tcW w:w="1473" w:type="dxa"/>
                  <w:vMerge w:val="continue"/>
                  <w:tcBorders>
                    <w:tl2br w:val="nil"/>
                    <w:tr2bl w:val="nil"/>
                  </w:tcBorders>
                  <w:vAlign w:val="center"/>
                </w:tcPr>
                <w:p w14:paraId="59FF38C9">
                  <w:pPr>
                    <w:jc w:val="center"/>
                    <w:rPr>
                      <w:rFonts w:ascii="Times New Roman" w:hAnsi="Times New Roman" w:cs="Times New Roman"/>
                      <w:snapToGrid w:val="0"/>
                      <w:color w:val="auto"/>
                      <w:szCs w:val="21"/>
                    </w:rPr>
                  </w:pPr>
                </w:p>
              </w:tc>
            </w:tr>
            <w:tr w14:paraId="0810C3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4" w:type="dxa"/>
                  <w:gridSpan w:val="2"/>
                  <w:tcBorders>
                    <w:tl2br w:val="nil"/>
                    <w:tr2bl w:val="nil"/>
                  </w:tcBorders>
                  <w:vAlign w:val="center"/>
                </w:tcPr>
                <w:p w14:paraId="57C0AFF6">
                  <w:pPr>
                    <w:jc w:val="center"/>
                    <w:rPr>
                      <w:rFonts w:hint="eastAsia" w:ascii="Times New Roman" w:hAnsi="Times New Roman" w:eastAsia="宋体" w:cs="Times New Roman"/>
                      <w:snapToGrid w:val="0"/>
                      <w:color w:val="auto"/>
                      <w:szCs w:val="21"/>
                      <w:lang w:eastAsia="zh-CN"/>
                    </w:rPr>
                  </w:pPr>
                  <w:r>
                    <w:rPr>
                      <w:rFonts w:hint="eastAsia" w:cs="Times New Roman"/>
                      <w:snapToGrid w:val="0"/>
                      <w:color w:val="auto"/>
                      <w:szCs w:val="21"/>
                      <w:lang w:eastAsia="zh-CN"/>
                    </w:rPr>
                    <w:t>达标情况</w:t>
                  </w:r>
                </w:p>
              </w:tc>
              <w:tc>
                <w:tcPr>
                  <w:tcW w:w="6625" w:type="dxa"/>
                  <w:gridSpan w:val="5"/>
                  <w:tcBorders>
                    <w:tl2br w:val="nil"/>
                    <w:tr2bl w:val="nil"/>
                  </w:tcBorders>
                  <w:vAlign w:val="center"/>
                </w:tcPr>
                <w:p w14:paraId="052FDE58">
                  <w:pPr>
                    <w:jc w:val="center"/>
                    <w:rPr>
                      <w:rFonts w:hint="eastAsia" w:ascii="Times New Roman" w:hAnsi="Times New Roman" w:eastAsia="宋体" w:cs="Times New Roman"/>
                      <w:snapToGrid w:val="0"/>
                      <w:color w:val="auto"/>
                      <w:szCs w:val="21"/>
                      <w:lang w:eastAsia="zh-CN"/>
                    </w:rPr>
                  </w:pPr>
                  <w:r>
                    <w:rPr>
                      <w:rFonts w:hint="eastAsia" w:cs="Times New Roman"/>
                      <w:snapToGrid w:val="0"/>
                      <w:color w:val="auto"/>
                      <w:szCs w:val="21"/>
                      <w:lang w:eastAsia="zh-CN"/>
                    </w:rPr>
                    <w:t>达标</w:t>
                  </w:r>
                </w:p>
              </w:tc>
            </w:tr>
          </w:tbl>
          <w:p w14:paraId="047F2292">
            <w:pPr>
              <w:adjustRightInd w:val="0"/>
              <w:snapToGrid w:val="0"/>
              <w:spacing w:beforeLines="50"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监测结果表明，</w:t>
            </w:r>
            <w:r>
              <w:rPr>
                <w:rFonts w:hint="eastAsia" w:cs="Times New Roman"/>
                <w:color w:val="auto"/>
                <w:sz w:val="24"/>
                <w:lang w:eastAsia="zh-CN"/>
              </w:rPr>
              <w:t>验收监测、</w:t>
            </w:r>
            <w:r>
              <w:rPr>
                <w:rFonts w:ascii="Times New Roman" w:hAnsi="Times New Roman" w:cs="Times New Roman"/>
                <w:color w:val="auto"/>
                <w:sz w:val="24"/>
              </w:rPr>
              <w:t>例行监测结果表明：颗粒物、</w:t>
            </w:r>
            <w:r>
              <w:rPr>
                <w:rFonts w:hint="eastAsia" w:cs="Times New Roman"/>
                <w:color w:val="auto"/>
                <w:sz w:val="24"/>
                <w:lang w:eastAsia="zh-CN"/>
              </w:rPr>
              <w:t>氯气、氯化氢排放</w:t>
            </w:r>
            <w:r>
              <w:rPr>
                <w:rFonts w:ascii="Times New Roman" w:hAnsi="Times New Roman" w:cs="Times New Roman"/>
                <w:color w:val="auto"/>
                <w:sz w:val="24"/>
              </w:rPr>
              <w:t>满足《大气污染物综合排放标准》</w:t>
            </w:r>
            <w:r>
              <w:rPr>
                <w:rFonts w:hint="eastAsia" w:cs="Times New Roman"/>
                <w:color w:val="auto"/>
                <w:sz w:val="24"/>
                <w:lang w:eastAsia="zh-CN"/>
              </w:rPr>
              <w:t>（</w:t>
            </w:r>
            <w:r>
              <w:rPr>
                <w:rFonts w:ascii="Times New Roman" w:hAnsi="Times New Roman" w:cs="Times New Roman"/>
                <w:color w:val="auto"/>
                <w:sz w:val="24"/>
              </w:rPr>
              <w:t>DB32/4041-2021</w:t>
            </w:r>
            <w:r>
              <w:rPr>
                <w:rFonts w:hint="eastAsia" w:cs="Times New Roman"/>
                <w:color w:val="auto"/>
                <w:sz w:val="24"/>
                <w:lang w:eastAsia="zh-CN"/>
              </w:rPr>
              <w:t>）</w:t>
            </w:r>
            <w:r>
              <w:rPr>
                <w:rFonts w:ascii="Times New Roman" w:hAnsi="Times New Roman" w:cs="Times New Roman"/>
                <w:color w:val="auto"/>
                <w:sz w:val="24"/>
              </w:rPr>
              <w:t>表1排放限值要求</w:t>
            </w:r>
            <w:r>
              <w:rPr>
                <w:rFonts w:hint="eastAsia" w:cs="Times New Roman"/>
                <w:color w:val="auto"/>
                <w:sz w:val="24"/>
                <w:lang w:eastAsia="zh-CN"/>
              </w:rPr>
              <w:t>，氨、硫化氢、臭气浓度排放</w:t>
            </w:r>
            <w:r>
              <w:rPr>
                <w:rFonts w:hint="eastAsia" w:ascii="Times New Roman" w:hAnsi="Times New Roman" w:cs="Times New Roman"/>
                <w:color w:val="auto"/>
                <w:sz w:val="24"/>
              </w:rPr>
              <w:t>满足《恶臭污染物排放标准》</w:t>
            </w:r>
            <w:r>
              <w:rPr>
                <w:rFonts w:hint="eastAsia" w:cs="Times New Roman"/>
                <w:color w:val="auto"/>
                <w:sz w:val="24"/>
                <w:lang w:eastAsia="zh-CN"/>
              </w:rPr>
              <w:t>（</w:t>
            </w:r>
            <w:r>
              <w:rPr>
                <w:rFonts w:hint="eastAsia" w:ascii="Times New Roman" w:hAnsi="Times New Roman" w:cs="Times New Roman"/>
                <w:color w:val="auto"/>
                <w:sz w:val="24"/>
              </w:rPr>
              <w:t>GB 14554-93</w:t>
            </w:r>
            <w:r>
              <w:rPr>
                <w:rFonts w:hint="eastAsia" w:cs="Times New Roman"/>
                <w:color w:val="auto"/>
                <w:sz w:val="24"/>
                <w:lang w:eastAsia="zh-CN"/>
              </w:rPr>
              <w:t>）</w:t>
            </w:r>
            <w:r>
              <w:rPr>
                <w:rFonts w:hint="eastAsia" w:ascii="Times New Roman" w:hAnsi="Times New Roman" w:cs="Times New Roman"/>
                <w:color w:val="auto"/>
                <w:sz w:val="24"/>
              </w:rPr>
              <w:t>表2标准限值要求。</w:t>
            </w:r>
          </w:p>
          <w:p w14:paraId="7A1A0F45">
            <w:pPr>
              <w:adjustRightInd w:val="0"/>
              <w:snapToGrid w:val="0"/>
              <w:jc w:val="center"/>
              <w:rPr>
                <w:rFonts w:ascii="Times New Roman" w:hAnsi="Times New Roman" w:cs="Times New Roman"/>
                <w:b/>
                <w:color w:val="auto"/>
                <w:sz w:val="24"/>
              </w:rPr>
            </w:pPr>
            <w:r>
              <w:rPr>
                <w:rFonts w:ascii="Times New Roman" w:hAnsi="Times New Roman" w:cs="Times New Roman"/>
                <w:b/>
                <w:color w:val="auto"/>
                <w:sz w:val="24"/>
              </w:rPr>
              <w:t>表2-1</w:t>
            </w:r>
            <w:r>
              <w:rPr>
                <w:rFonts w:hint="eastAsia" w:cs="Times New Roman"/>
                <w:b/>
                <w:color w:val="auto"/>
                <w:sz w:val="24"/>
                <w:lang w:val="en-US" w:eastAsia="zh-CN"/>
              </w:rPr>
              <w:t>4</w:t>
            </w:r>
            <w:r>
              <w:rPr>
                <w:rFonts w:ascii="Times New Roman" w:hAnsi="Times New Roman" w:cs="Times New Roman"/>
                <w:b/>
                <w:color w:val="auto"/>
                <w:sz w:val="24"/>
              </w:rPr>
              <w:t xml:space="preserve"> </w:t>
            </w:r>
            <w:r>
              <w:rPr>
                <w:rFonts w:hint="eastAsia" w:cs="Times New Roman"/>
                <w:b/>
                <w:color w:val="auto"/>
                <w:sz w:val="24"/>
                <w:lang w:val="en-US" w:eastAsia="zh-CN"/>
              </w:rPr>
              <w:t xml:space="preserve"> </w:t>
            </w:r>
            <w:r>
              <w:rPr>
                <w:rFonts w:ascii="Times New Roman" w:hAnsi="Times New Roman" w:cs="Times New Roman"/>
                <w:b/>
                <w:color w:val="auto"/>
                <w:sz w:val="24"/>
              </w:rPr>
              <w:t>现有项目无组织废气监测结果</w:t>
            </w:r>
          </w:p>
          <w:tbl>
            <w:tblPr>
              <w:tblStyle w:val="88"/>
              <w:tblW w:w="8398"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718"/>
              <w:gridCol w:w="1315"/>
              <w:gridCol w:w="1161"/>
              <w:gridCol w:w="1693"/>
              <w:gridCol w:w="1747"/>
              <w:gridCol w:w="1764"/>
            </w:tblGrid>
            <w:tr w14:paraId="3F7477C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033" w:type="dxa"/>
                  <w:gridSpan w:val="2"/>
                  <w:vMerge w:val="restart"/>
                  <w:vAlign w:val="center"/>
                </w:tcPr>
                <w:p w14:paraId="7DF3CF48">
                  <w:pPr>
                    <w:jc w:val="center"/>
                    <w:rPr>
                      <w:rFonts w:ascii="Times New Roman" w:hAnsi="Times New Roman" w:cs="Times New Roman"/>
                      <w:b/>
                      <w:bCs/>
                      <w:snapToGrid w:val="0"/>
                      <w:color w:val="auto"/>
                      <w:szCs w:val="21"/>
                    </w:rPr>
                  </w:pPr>
                  <w:r>
                    <w:rPr>
                      <w:rFonts w:ascii="Times New Roman" w:hAnsi="Times New Roman" w:cs="Times New Roman"/>
                      <w:b/>
                      <w:bCs/>
                      <w:snapToGrid w:val="0"/>
                      <w:color w:val="auto"/>
                      <w:szCs w:val="21"/>
                    </w:rPr>
                    <w:t>检测项目</w:t>
                  </w:r>
                </w:p>
              </w:tc>
              <w:tc>
                <w:tcPr>
                  <w:tcW w:w="6365" w:type="dxa"/>
                  <w:gridSpan w:val="4"/>
                  <w:vAlign w:val="center"/>
                </w:tcPr>
                <w:p w14:paraId="1053106D">
                  <w:pPr>
                    <w:jc w:val="center"/>
                    <w:rPr>
                      <w:rFonts w:ascii="Times New Roman" w:hAnsi="Times New Roman" w:cs="Times New Roman"/>
                      <w:b/>
                      <w:bCs/>
                      <w:snapToGrid w:val="0"/>
                      <w:color w:val="auto"/>
                      <w:szCs w:val="21"/>
                    </w:rPr>
                  </w:pPr>
                  <w:r>
                    <w:rPr>
                      <w:rFonts w:ascii="Times New Roman" w:hAnsi="Times New Roman" w:cs="Times New Roman"/>
                      <w:b/>
                      <w:bCs/>
                      <w:snapToGrid w:val="0"/>
                      <w:color w:val="auto"/>
                      <w:szCs w:val="21"/>
                    </w:rPr>
                    <w:t>结果</w:t>
                  </w:r>
                </w:p>
              </w:tc>
            </w:tr>
            <w:tr w14:paraId="6BCD17C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033" w:type="dxa"/>
                  <w:gridSpan w:val="2"/>
                  <w:vMerge w:val="continue"/>
                  <w:vAlign w:val="center"/>
                </w:tcPr>
                <w:p w14:paraId="7D7D880D">
                  <w:pPr>
                    <w:jc w:val="center"/>
                    <w:rPr>
                      <w:rFonts w:ascii="Times New Roman" w:hAnsi="Times New Roman" w:cs="Times New Roman"/>
                      <w:snapToGrid w:val="0"/>
                      <w:color w:val="auto"/>
                      <w:szCs w:val="21"/>
                    </w:rPr>
                  </w:pPr>
                </w:p>
              </w:tc>
              <w:tc>
                <w:tcPr>
                  <w:tcW w:w="6365" w:type="dxa"/>
                  <w:gridSpan w:val="4"/>
                  <w:vAlign w:val="center"/>
                </w:tcPr>
                <w:p w14:paraId="4B0068B3">
                  <w:pPr>
                    <w:jc w:val="center"/>
                    <w:rPr>
                      <w:rFonts w:ascii="Times New Roman" w:hAnsi="Times New Roman" w:cs="Times New Roman"/>
                      <w:b/>
                      <w:bCs/>
                      <w:snapToGrid w:val="0"/>
                      <w:color w:val="auto"/>
                      <w:szCs w:val="21"/>
                    </w:rPr>
                  </w:pPr>
                  <w:r>
                    <w:rPr>
                      <w:rFonts w:ascii="Times New Roman" w:hAnsi="Times New Roman" w:cs="Times New Roman"/>
                      <w:b/>
                      <w:bCs/>
                      <w:snapToGrid w:val="0"/>
                      <w:color w:val="auto"/>
                      <w:szCs w:val="21"/>
                    </w:rPr>
                    <w:t>浓度mg/m</w:t>
                  </w:r>
                  <w:r>
                    <w:rPr>
                      <w:rFonts w:ascii="Times New Roman" w:hAnsi="Times New Roman" w:cs="Times New Roman"/>
                      <w:b/>
                      <w:bCs/>
                      <w:snapToGrid w:val="0"/>
                      <w:color w:val="auto"/>
                      <w:szCs w:val="21"/>
                      <w:vertAlign w:val="superscript"/>
                    </w:rPr>
                    <w:t>3</w:t>
                  </w:r>
                </w:p>
              </w:tc>
            </w:tr>
            <w:tr w14:paraId="79E6881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033" w:type="dxa"/>
                  <w:gridSpan w:val="2"/>
                  <w:vMerge w:val="continue"/>
                  <w:vAlign w:val="center"/>
                </w:tcPr>
                <w:p w14:paraId="0095FE29">
                  <w:pPr>
                    <w:jc w:val="center"/>
                    <w:rPr>
                      <w:rFonts w:ascii="Times New Roman" w:hAnsi="Times New Roman" w:cs="Times New Roman"/>
                      <w:snapToGrid w:val="0"/>
                      <w:color w:val="auto"/>
                      <w:szCs w:val="21"/>
                    </w:rPr>
                  </w:pPr>
                </w:p>
              </w:tc>
              <w:tc>
                <w:tcPr>
                  <w:tcW w:w="1161" w:type="dxa"/>
                  <w:vAlign w:val="center"/>
                </w:tcPr>
                <w:p w14:paraId="11D2C189">
                  <w:pPr>
                    <w:jc w:val="center"/>
                    <w:rPr>
                      <w:rFonts w:ascii="Times New Roman" w:hAnsi="Times New Roman" w:cs="Times New Roman"/>
                      <w:b/>
                      <w:bCs/>
                      <w:snapToGrid w:val="0"/>
                      <w:color w:val="auto"/>
                      <w:szCs w:val="21"/>
                    </w:rPr>
                  </w:pPr>
                  <w:r>
                    <w:rPr>
                      <w:rFonts w:ascii="Times New Roman" w:hAnsi="Times New Roman" w:cs="Times New Roman"/>
                      <w:b/>
                      <w:bCs/>
                      <w:snapToGrid w:val="0"/>
                      <w:color w:val="auto"/>
                      <w:szCs w:val="21"/>
                    </w:rPr>
                    <w:t>G1（上风向）</w:t>
                  </w:r>
                </w:p>
              </w:tc>
              <w:tc>
                <w:tcPr>
                  <w:tcW w:w="1693" w:type="dxa"/>
                  <w:vAlign w:val="center"/>
                </w:tcPr>
                <w:p w14:paraId="7408BBCF">
                  <w:pPr>
                    <w:jc w:val="center"/>
                    <w:rPr>
                      <w:rFonts w:ascii="Times New Roman" w:hAnsi="Times New Roman" w:cs="Times New Roman"/>
                      <w:b/>
                      <w:bCs/>
                      <w:snapToGrid w:val="0"/>
                      <w:color w:val="auto"/>
                      <w:szCs w:val="21"/>
                    </w:rPr>
                  </w:pPr>
                  <w:r>
                    <w:rPr>
                      <w:rFonts w:ascii="Times New Roman" w:hAnsi="Times New Roman" w:cs="Times New Roman"/>
                      <w:b/>
                      <w:bCs/>
                      <w:snapToGrid w:val="0"/>
                      <w:color w:val="auto"/>
                      <w:szCs w:val="21"/>
                    </w:rPr>
                    <w:t>G2（下风向）</w:t>
                  </w:r>
                </w:p>
              </w:tc>
              <w:tc>
                <w:tcPr>
                  <w:tcW w:w="1747" w:type="dxa"/>
                  <w:vAlign w:val="center"/>
                </w:tcPr>
                <w:p w14:paraId="22C8C9BC">
                  <w:pPr>
                    <w:jc w:val="center"/>
                    <w:rPr>
                      <w:rFonts w:ascii="Times New Roman" w:hAnsi="Times New Roman" w:cs="Times New Roman"/>
                      <w:b/>
                      <w:bCs/>
                      <w:snapToGrid w:val="0"/>
                      <w:color w:val="auto"/>
                      <w:szCs w:val="21"/>
                    </w:rPr>
                  </w:pPr>
                  <w:r>
                    <w:rPr>
                      <w:rFonts w:ascii="Times New Roman" w:hAnsi="Times New Roman" w:cs="Times New Roman"/>
                      <w:b/>
                      <w:bCs/>
                      <w:snapToGrid w:val="0"/>
                      <w:color w:val="auto"/>
                      <w:szCs w:val="21"/>
                    </w:rPr>
                    <w:t>G3（下风向）</w:t>
                  </w:r>
                </w:p>
              </w:tc>
              <w:tc>
                <w:tcPr>
                  <w:tcW w:w="1764" w:type="dxa"/>
                  <w:vAlign w:val="center"/>
                </w:tcPr>
                <w:p w14:paraId="17DC2CA1">
                  <w:pPr>
                    <w:jc w:val="center"/>
                    <w:rPr>
                      <w:rFonts w:ascii="Times New Roman" w:hAnsi="Times New Roman" w:cs="Times New Roman"/>
                      <w:b/>
                      <w:bCs/>
                      <w:snapToGrid w:val="0"/>
                      <w:color w:val="auto"/>
                      <w:szCs w:val="21"/>
                    </w:rPr>
                  </w:pPr>
                  <w:r>
                    <w:rPr>
                      <w:rFonts w:ascii="Times New Roman" w:hAnsi="Times New Roman" w:cs="Times New Roman"/>
                      <w:b/>
                      <w:bCs/>
                      <w:snapToGrid w:val="0"/>
                      <w:color w:val="auto"/>
                      <w:szCs w:val="21"/>
                    </w:rPr>
                    <w:t>G4（下风向）</w:t>
                  </w:r>
                </w:p>
              </w:tc>
            </w:tr>
            <w:tr w14:paraId="10E2295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18" w:type="dxa"/>
                  <w:vMerge w:val="restart"/>
                  <w:vAlign w:val="center"/>
                </w:tcPr>
                <w:p w14:paraId="0D632B64">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TSP</w:t>
                  </w:r>
                </w:p>
              </w:tc>
              <w:tc>
                <w:tcPr>
                  <w:tcW w:w="1315" w:type="dxa"/>
                  <w:vAlign w:val="center"/>
                </w:tcPr>
                <w:p w14:paraId="70675990">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2025.06.09－例行监测</w:t>
                  </w:r>
                </w:p>
              </w:tc>
              <w:tc>
                <w:tcPr>
                  <w:tcW w:w="1161" w:type="dxa"/>
                  <w:vAlign w:val="center"/>
                </w:tcPr>
                <w:p w14:paraId="48C70F2D">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ND-0.482</w:t>
                  </w:r>
                </w:p>
              </w:tc>
              <w:tc>
                <w:tcPr>
                  <w:tcW w:w="1693" w:type="dxa"/>
                  <w:vAlign w:val="center"/>
                </w:tcPr>
                <w:p w14:paraId="3C7326D7">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ND-0.319</w:t>
                  </w:r>
                </w:p>
              </w:tc>
              <w:tc>
                <w:tcPr>
                  <w:tcW w:w="1747" w:type="dxa"/>
                  <w:vAlign w:val="center"/>
                </w:tcPr>
                <w:p w14:paraId="4D1EE0C3">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0.197-0.370</w:t>
                  </w:r>
                </w:p>
              </w:tc>
              <w:tc>
                <w:tcPr>
                  <w:tcW w:w="1764" w:type="dxa"/>
                  <w:vAlign w:val="center"/>
                </w:tcPr>
                <w:p w14:paraId="0FF0BE52">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ND-0.419</w:t>
                  </w:r>
                </w:p>
              </w:tc>
            </w:tr>
            <w:tr w14:paraId="5588F1E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18" w:type="dxa"/>
                  <w:vMerge w:val="continue"/>
                  <w:vAlign w:val="center"/>
                </w:tcPr>
                <w:p w14:paraId="52128962">
                  <w:pPr>
                    <w:jc w:val="center"/>
                    <w:rPr>
                      <w:rFonts w:hint="eastAsia" w:cs="Times New Roman"/>
                      <w:snapToGrid w:val="0"/>
                      <w:color w:val="auto"/>
                      <w:szCs w:val="21"/>
                      <w:lang w:eastAsia="zh-CN"/>
                    </w:rPr>
                  </w:pPr>
                </w:p>
              </w:tc>
              <w:tc>
                <w:tcPr>
                  <w:tcW w:w="1315" w:type="dxa"/>
                  <w:vAlign w:val="center"/>
                </w:tcPr>
                <w:p w14:paraId="41A83AA1">
                  <w:pPr>
                    <w:jc w:val="center"/>
                    <w:rPr>
                      <w:rFonts w:hint="eastAsia" w:ascii="Times New Roman" w:hAnsi="Times New Roman" w:eastAsia="宋体" w:cs="Times New Roman"/>
                      <w:snapToGrid w:val="0"/>
                      <w:color w:val="auto"/>
                      <w:szCs w:val="21"/>
                      <w:lang w:eastAsia="zh-CN"/>
                    </w:rPr>
                  </w:pPr>
                  <w:r>
                    <w:rPr>
                      <w:rFonts w:hint="eastAsia" w:cs="Times New Roman"/>
                      <w:snapToGrid w:val="0"/>
                      <w:color w:val="auto"/>
                      <w:szCs w:val="21"/>
                      <w:lang w:val="en-US" w:eastAsia="zh-CN"/>
                    </w:rPr>
                    <w:t>2025.08.21－例行监测</w:t>
                  </w:r>
                </w:p>
              </w:tc>
              <w:tc>
                <w:tcPr>
                  <w:tcW w:w="1161" w:type="dxa"/>
                  <w:vAlign w:val="center"/>
                </w:tcPr>
                <w:p w14:paraId="39D7FEAB">
                  <w:pPr>
                    <w:jc w:val="center"/>
                    <w:rPr>
                      <w:rFonts w:hint="eastAsia" w:cs="Times New Roman"/>
                      <w:snapToGrid w:val="0"/>
                      <w:color w:val="auto"/>
                      <w:szCs w:val="21"/>
                      <w:lang w:val="en-US" w:eastAsia="zh-CN"/>
                    </w:rPr>
                  </w:pPr>
                  <w:r>
                    <w:rPr>
                      <w:rFonts w:hint="eastAsia" w:cs="Times New Roman"/>
                      <w:snapToGrid w:val="0"/>
                      <w:color w:val="auto"/>
                      <w:szCs w:val="21"/>
                      <w:lang w:val="en-US" w:eastAsia="zh-CN"/>
                    </w:rPr>
                    <w:t>ND-0.182</w:t>
                  </w:r>
                </w:p>
              </w:tc>
              <w:tc>
                <w:tcPr>
                  <w:tcW w:w="1693" w:type="dxa"/>
                  <w:vAlign w:val="center"/>
                </w:tcPr>
                <w:p w14:paraId="08551289">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ND-0.377</w:t>
                  </w:r>
                </w:p>
              </w:tc>
              <w:tc>
                <w:tcPr>
                  <w:tcW w:w="1747" w:type="dxa"/>
                  <w:vAlign w:val="center"/>
                </w:tcPr>
                <w:p w14:paraId="6C4BEC58">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0.189-0.254</w:t>
                  </w:r>
                </w:p>
              </w:tc>
              <w:tc>
                <w:tcPr>
                  <w:tcW w:w="1764" w:type="dxa"/>
                  <w:vAlign w:val="center"/>
                </w:tcPr>
                <w:p w14:paraId="4816F829">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ND</w:t>
                  </w:r>
                </w:p>
              </w:tc>
            </w:tr>
            <w:tr w14:paraId="4C2D193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18" w:type="dxa"/>
                  <w:vMerge w:val="continue"/>
                  <w:vAlign w:val="center"/>
                </w:tcPr>
                <w:p w14:paraId="564A35A5">
                  <w:pPr>
                    <w:jc w:val="center"/>
                    <w:rPr>
                      <w:rFonts w:hint="eastAsia" w:cs="Times New Roman"/>
                      <w:snapToGrid w:val="0"/>
                      <w:color w:val="auto"/>
                      <w:szCs w:val="21"/>
                      <w:lang w:eastAsia="zh-CN"/>
                    </w:rPr>
                  </w:pPr>
                </w:p>
              </w:tc>
              <w:tc>
                <w:tcPr>
                  <w:tcW w:w="1315" w:type="dxa"/>
                  <w:vAlign w:val="center"/>
                </w:tcPr>
                <w:p w14:paraId="1FB51F17">
                  <w:pPr>
                    <w:jc w:val="center"/>
                    <w:rPr>
                      <w:rFonts w:hint="eastAsia" w:cs="Times New Roman"/>
                      <w:snapToGrid w:val="0"/>
                      <w:color w:val="auto"/>
                      <w:szCs w:val="21"/>
                      <w:lang w:val="en-US" w:eastAsia="zh-CN"/>
                    </w:rPr>
                  </w:pPr>
                  <w:r>
                    <w:rPr>
                      <w:rFonts w:hint="eastAsia" w:cs="Times New Roman"/>
                      <w:snapToGrid w:val="0"/>
                      <w:color w:val="auto"/>
                      <w:szCs w:val="21"/>
                      <w:lang w:val="en-US" w:eastAsia="zh-CN"/>
                    </w:rPr>
                    <w:t>2025.10.12－例行监测</w:t>
                  </w:r>
                </w:p>
              </w:tc>
              <w:tc>
                <w:tcPr>
                  <w:tcW w:w="1161" w:type="dxa"/>
                  <w:vAlign w:val="center"/>
                </w:tcPr>
                <w:p w14:paraId="154B74E6">
                  <w:pPr>
                    <w:jc w:val="center"/>
                    <w:rPr>
                      <w:rFonts w:hint="eastAsia" w:cs="Times New Roman"/>
                      <w:snapToGrid w:val="0"/>
                      <w:color w:val="auto"/>
                      <w:szCs w:val="21"/>
                      <w:lang w:val="en-US" w:eastAsia="zh-CN"/>
                    </w:rPr>
                  </w:pPr>
                  <w:r>
                    <w:rPr>
                      <w:rFonts w:hint="eastAsia" w:cs="Times New Roman"/>
                      <w:snapToGrid w:val="0"/>
                      <w:color w:val="auto"/>
                      <w:szCs w:val="21"/>
                      <w:lang w:val="en-US" w:eastAsia="zh-CN"/>
                    </w:rPr>
                    <w:t>ND</w:t>
                  </w:r>
                </w:p>
              </w:tc>
              <w:tc>
                <w:tcPr>
                  <w:tcW w:w="1693" w:type="dxa"/>
                  <w:vAlign w:val="center"/>
                </w:tcPr>
                <w:p w14:paraId="3154F103">
                  <w:pPr>
                    <w:jc w:val="center"/>
                    <w:rPr>
                      <w:rFonts w:hint="eastAsia" w:cs="Times New Roman"/>
                      <w:snapToGrid w:val="0"/>
                      <w:color w:val="auto"/>
                      <w:szCs w:val="21"/>
                      <w:lang w:val="en-US" w:eastAsia="zh-CN"/>
                    </w:rPr>
                  </w:pPr>
                  <w:r>
                    <w:rPr>
                      <w:rFonts w:hint="eastAsia" w:cs="Times New Roman"/>
                      <w:snapToGrid w:val="0"/>
                      <w:color w:val="auto"/>
                      <w:szCs w:val="21"/>
                      <w:lang w:val="en-US" w:eastAsia="zh-CN"/>
                    </w:rPr>
                    <w:t>ND</w:t>
                  </w:r>
                </w:p>
              </w:tc>
              <w:tc>
                <w:tcPr>
                  <w:tcW w:w="1747" w:type="dxa"/>
                  <w:vAlign w:val="center"/>
                </w:tcPr>
                <w:p w14:paraId="5917BCC2">
                  <w:pPr>
                    <w:jc w:val="center"/>
                    <w:rPr>
                      <w:rFonts w:hint="eastAsia" w:cs="Times New Roman"/>
                      <w:snapToGrid w:val="0"/>
                      <w:color w:val="auto"/>
                      <w:szCs w:val="21"/>
                      <w:lang w:val="en-US" w:eastAsia="zh-CN"/>
                    </w:rPr>
                  </w:pPr>
                  <w:r>
                    <w:rPr>
                      <w:rFonts w:hint="eastAsia" w:cs="Times New Roman"/>
                      <w:snapToGrid w:val="0"/>
                      <w:color w:val="auto"/>
                      <w:szCs w:val="21"/>
                      <w:lang w:val="en-US" w:eastAsia="zh-CN"/>
                    </w:rPr>
                    <w:t>ND</w:t>
                  </w:r>
                </w:p>
              </w:tc>
              <w:tc>
                <w:tcPr>
                  <w:tcW w:w="1764" w:type="dxa"/>
                  <w:vAlign w:val="center"/>
                </w:tcPr>
                <w:p w14:paraId="5AD532FE">
                  <w:pPr>
                    <w:jc w:val="center"/>
                    <w:rPr>
                      <w:rFonts w:hint="eastAsia" w:cs="Times New Roman"/>
                      <w:snapToGrid w:val="0"/>
                      <w:color w:val="auto"/>
                      <w:szCs w:val="21"/>
                      <w:lang w:val="en-US" w:eastAsia="zh-CN"/>
                    </w:rPr>
                  </w:pPr>
                  <w:r>
                    <w:rPr>
                      <w:rFonts w:hint="eastAsia" w:cs="Times New Roman"/>
                      <w:snapToGrid w:val="0"/>
                      <w:color w:val="auto"/>
                      <w:szCs w:val="21"/>
                      <w:lang w:val="en-US" w:eastAsia="zh-CN"/>
                    </w:rPr>
                    <w:t>ND</w:t>
                  </w:r>
                </w:p>
              </w:tc>
            </w:tr>
            <w:tr w14:paraId="6444601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033" w:type="dxa"/>
                  <w:gridSpan w:val="2"/>
                  <w:vAlign w:val="center"/>
                </w:tcPr>
                <w:p w14:paraId="16D1FD42">
                  <w:pPr>
                    <w:jc w:val="center"/>
                    <w:rPr>
                      <w:rFonts w:hint="eastAsia" w:ascii="Times New Roman" w:hAnsi="Times New Roman" w:eastAsia="宋体" w:cs="Times New Roman"/>
                      <w:snapToGrid w:val="0"/>
                      <w:color w:val="auto"/>
                      <w:szCs w:val="21"/>
                      <w:lang w:eastAsia="zh-CN"/>
                    </w:rPr>
                  </w:pPr>
                  <w:r>
                    <w:rPr>
                      <w:rFonts w:hint="eastAsia" w:ascii="Times New Roman" w:hAnsi="Times New Roman" w:cs="Times New Roman"/>
                      <w:snapToGrid w:val="0"/>
                      <w:color w:val="auto"/>
                      <w:szCs w:val="21"/>
                    </w:rPr>
                    <w:t>执行标准</w:t>
                  </w:r>
                </w:p>
              </w:tc>
              <w:tc>
                <w:tcPr>
                  <w:tcW w:w="6365" w:type="dxa"/>
                  <w:gridSpan w:val="4"/>
                  <w:vAlign w:val="center"/>
                </w:tcPr>
                <w:p w14:paraId="13035206">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0.5</w:t>
                  </w:r>
                </w:p>
              </w:tc>
            </w:tr>
            <w:tr w14:paraId="62B2553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033" w:type="dxa"/>
                  <w:gridSpan w:val="2"/>
                  <w:vAlign w:val="center"/>
                </w:tcPr>
                <w:p w14:paraId="17AFE94B">
                  <w:pPr>
                    <w:jc w:val="center"/>
                    <w:rPr>
                      <w:rFonts w:hint="eastAsia" w:ascii="Times New Roman" w:hAnsi="Times New Roman" w:eastAsia="宋体" w:cs="Times New Roman"/>
                      <w:snapToGrid w:val="0"/>
                      <w:color w:val="auto"/>
                      <w:szCs w:val="21"/>
                      <w:lang w:eastAsia="zh-CN"/>
                    </w:rPr>
                  </w:pPr>
                  <w:r>
                    <w:rPr>
                      <w:rFonts w:hint="eastAsia" w:ascii="Times New Roman" w:hAnsi="Times New Roman" w:cs="Times New Roman"/>
                      <w:snapToGrid w:val="0"/>
                      <w:color w:val="auto"/>
                      <w:szCs w:val="21"/>
                    </w:rPr>
                    <w:t>标准来源</w:t>
                  </w:r>
                </w:p>
              </w:tc>
              <w:tc>
                <w:tcPr>
                  <w:tcW w:w="6365" w:type="dxa"/>
                  <w:gridSpan w:val="4"/>
                  <w:vAlign w:val="center"/>
                </w:tcPr>
                <w:p w14:paraId="2032EBF1">
                  <w:pPr>
                    <w:jc w:val="center"/>
                    <w:rPr>
                      <w:rFonts w:hint="eastAsia" w:cs="Times New Roman"/>
                      <w:snapToGrid w:val="0"/>
                      <w:color w:val="auto"/>
                      <w:szCs w:val="21"/>
                      <w:lang w:val="en-US" w:eastAsia="zh-CN"/>
                    </w:rPr>
                  </w:pPr>
                  <w:r>
                    <w:rPr>
                      <w:rFonts w:ascii="Times New Roman" w:hAnsi="Times New Roman" w:cs="Times New Roman"/>
                      <w:snapToGrid w:val="0"/>
                      <w:color w:val="auto"/>
                      <w:szCs w:val="21"/>
                    </w:rPr>
                    <w:t>《大气污染物综合排放标准》（DB32/4041-2021）表3标准</w:t>
                  </w:r>
                  <w:r>
                    <w:rPr>
                      <w:rFonts w:hint="eastAsia" w:ascii="Times New Roman" w:hAnsi="Times New Roman" w:cs="Times New Roman"/>
                      <w:snapToGrid w:val="0"/>
                      <w:color w:val="auto"/>
                      <w:szCs w:val="21"/>
                    </w:rPr>
                    <w:t>限值</w:t>
                  </w:r>
                </w:p>
              </w:tc>
            </w:tr>
            <w:tr w14:paraId="0D3432C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18" w:type="dxa"/>
                  <w:vMerge w:val="restart"/>
                  <w:vAlign w:val="center"/>
                </w:tcPr>
                <w:p w14:paraId="286B3879">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氯气</w:t>
                  </w:r>
                </w:p>
              </w:tc>
              <w:tc>
                <w:tcPr>
                  <w:tcW w:w="1315" w:type="dxa"/>
                  <w:vAlign w:val="center"/>
                </w:tcPr>
                <w:p w14:paraId="1C552A75">
                  <w:pPr>
                    <w:jc w:val="center"/>
                    <w:rPr>
                      <w:rFonts w:hint="eastAsia" w:ascii="Times New Roman" w:hAnsi="Times New Roman" w:eastAsia="宋体" w:cs="Times New Roman"/>
                      <w:snapToGrid w:val="0"/>
                      <w:color w:val="auto"/>
                      <w:szCs w:val="21"/>
                      <w:lang w:eastAsia="zh-CN"/>
                    </w:rPr>
                  </w:pPr>
                  <w:r>
                    <w:rPr>
                      <w:rFonts w:hint="eastAsia" w:cs="Times New Roman"/>
                      <w:snapToGrid w:val="0"/>
                      <w:color w:val="auto"/>
                      <w:szCs w:val="21"/>
                      <w:lang w:val="en-US" w:eastAsia="zh-CN"/>
                    </w:rPr>
                    <w:t>2025.06.09－例行监测</w:t>
                  </w:r>
                </w:p>
              </w:tc>
              <w:tc>
                <w:tcPr>
                  <w:tcW w:w="1161" w:type="dxa"/>
                  <w:vAlign w:val="center"/>
                </w:tcPr>
                <w:p w14:paraId="78673E2D">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0.05-0.06</w:t>
                  </w:r>
                </w:p>
              </w:tc>
              <w:tc>
                <w:tcPr>
                  <w:tcW w:w="1693" w:type="dxa"/>
                  <w:vAlign w:val="center"/>
                </w:tcPr>
                <w:p w14:paraId="5C0CCDE1">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0.06-0.08</w:t>
                  </w:r>
                </w:p>
              </w:tc>
              <w:tc>
                <w:tcPr>
                  <w:tcW w:w="1747" w:type="dxa"/>
                  <w:vAlign w:val="center"/>
                </w:tcPr>
                <w:p w14:paraId="33AFE6CA">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0.07-0.08</w:t>
                  </w:r>
                </w:p>
              </w:tc>
              <w:tc>
                <w:tcPr>
                  <w:tcW w:w="1764" w:type="dxa"/>
                  <w:vAlign w:val="center"/>
                </w:tcPr>
                <w:p w14:paraId="69DECC74">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0.07-0.09</w:t>
                  </w:r>
                </w:p>
              </w:tc>
            </w:tr>
            <w:tr w14:paraId="36C6134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18" w:type="dxa"/>
                  <w:vMerge w:val="continue"/>
                  <w:vAlign w:val="center"/>
                </w:tcPr>
                <w:p w14:paraId="2D4104A0">
                  <w:pPr>
                    <w:jc w:val="center"/>
                    <w:rPr>
                      <w:rFonts w:hint="eastAsia" w:cs="Times New Roman"/>
                      <w:snapToGrid w:val="0"/>
                      <w:color w:val="auto"/>
                      <w:szCs w:val="21"/>
                      <w:lang w:eastAsia="zh-CN"/>
                    </w:rPr>
                  </w:pPr>
                </w:p>
              </w:tc>
              <w:tc>
                <w:tcPr>
                  <w:tcW w:w="1315" w:type="dxa"/>
                  <w:vAlign w:val="center"/>
                </w:tcPr>
                <w:p w14:paraId="32204B93">
                  <w:pPr>
                    <w:jc w:val="center"/>
                    <w:rPr>
                      <w:rFonts w:hint="eastAsia" w:ascii="Times New Roman" w:hAnsi="Times New Roman" w:eastAsia="宋体" w:cs="Times New Roman"/>
                      <w:snapToGrid w:val="0"/>
                      <w:color w:val="auto"/>
                      <w:szCs w:val="21"/>
                      <w:lang w:eastAsia="zh-CN"/>
                    </w:rPr>
                  </w:pPr>
                  <w:r>
                    <w:rPr>
                      <w:rFonts w:hint="eastAsia" w:cs="Times New Roman"/>
                      <w:snapToGrid w:val="0"/>
                      <w:color w:val="auto"/>
                      <w:szCs w:val="21"/>
                      <w:lang w:val="en-US" w:eastAsia="zh-CN"/>
                    </w:rPr>
                    <w:t>2025.08.21－例行监测</w:t>
                  </w:r>
                </w:p>
              </w:tc>
              <w:tc>
                <w:tcPr>
                  <w:tcW w:w="1161" w:type="dxa"/>
                  <w:vAlign w:val="center"/>
                </w:tcPr>
                <w:p w14:paraId="61465492">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0.05-0.06</w:t>
                  </w:r>
                </w:p>
              </w:tc>
              <w:tc>
                <w:tcPr>
                  <w:tcW w:w="1693" w:type="dxa"/>
                  <w:shd w:val="clear" w:color="auto" w:fill="auto"/>
                  <w:vAlign w:val="center"/>
                </w:tcPr>
                <w:p w14:paraId="7D2D790A">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0.06-0.07</w:t>
                  </w:r>
                </w:p>
              </w:tc>
              <w:tc>
                <w:tcPr>
                  <w:tcW w:w="1747" w:type="dxa"/>
                  <w:shd w:val="clear" w:color="auto" w:fill="auto"/>
                  <w:vAlign w:val="center"/>
                </w:tcPr>
                <w:p w14:paraId="5A912775">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0.07-0.09</w:t>
                  </w:r>
                </w:p>
              </w:tc>
              <w:tc>
                <w:tcPr>
                  <w:tcW w:w="1764" w:type="dxa"/>
                  <w:shd w:val="clear" w:color="auto" w:fill="auto"/>
                  <w:vAlign w:val="center"/>
                </w:tcPr>
                <w:p w14:paraId="3D3FB46B">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0.07-0.08</w:t>
                  </w:r>
                </w:p>
              </w:tc>
            </w:tr>
            <w:tr w14:paraId="7F8E341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18" w:type="dxa"/>
                  <w:vMerge w:val="continue"/>
                  <w:vAlign w:val="center"/>
                </w:tcPr>
                <w:p w14:paraId="44059D36">
                  <w:pPr>
                    <w:jc w:val="center"/>
                    <w:rPr>
                      <w:rFonts w:hint="eastAsia" w:cs="Times New Roman"/>
                      <w:snapToGrid w:val="0"/>
                      <w:color w:val="auto"/>
                      <w:szCs w:val="21"/>
                      <w:lang w:eastAsia="zh-CN"/>
                    </w:rPr>
                  </w:pPr>
                </w:p>
              </w:tc>
              <w:tc>
                <w:tcPr>
                  <w:tcW w:w="1315" w:type="dxa"/>
                  <w:vAlign w:val="center"/>
                </w:tcPr>
                <w:p w14:paraId="3CFB845E">
                  <w:pPr>
                    <w:jc w:val="center"/>
                    <w:rPr>
                      <w:rFonts w:hint="eastAsia" w:ascii="Times New Roman" w:hAnsi="Times New Roman" w:eastAsia="宋体" w:cs="Times New Roman"/>
                      <w:snapToGrid w:val="0"/>
                      <w:color w:val="auto"/>
                      <w:szCs w:val="21"/>
                      <w:lang w:eastAsia="zh-CN"/>
                    </w:rPr>
                  </w:pPr>
                  <w:r>
                    <w:rPr>
                      <w:rFonts w:hint="eastAsia" w:cs="Times New Roman"/>
                      <w:snapToGrid w:val="0"/>
                      <w:color w:val="auto"/>
                      <w:szCs w:val="21"/>
                      <w:lang w:val="en-US" w:eastAsia="zh-CN"/>
                    </w:rPr>
                    <w:t>2025.10.12－例行监测</w:t>
                  </w:r>
                </w:p>
              </w:tc>
              <w:tc>
                <w:tcPr>
                  <w:tcW w:w="1161" w:type="dxa"/>
                  <w:shd w:val="clear" w:color="auto" w:fill="auto"/>
                  <w:vAlign w:val="center"/>
                </w:tcPr>
                <w:p w14:paraId="70B6F21C">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0.03-0.04</w:t>
                  </w:r>
                </w:p>
              </w:tc>
              <w:tc>
                <w:tcPr>
                  <w:tcW w:w="1693" w:type="dxa"/>
                  <w:shd w:val="clear" w:color="auto" w:fill="auto"/>
                  <w:vAlign w:val="center"/>
                </w:tcPr>
                <w:p w14:paraId="168E74D9">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0.05-0.06</w:t>
                  </w:r>
                </w:p>
              </w:tc>
              <w:tc>
                <w:tcPr>
                  <w:tcW w:w="1747" w:type="dxa"/>
                  <w:shd w:val="clear" w:color="auto" w:fill="auto"/>
                  <w:vAlign w:val="center"/>
                </w:tcPr>
                <w:p w14:paraId="27C02C7F">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0.05-0.06</w:t>
                  </w:r>
                </w:p>
              </w:tc>
              <w:tc>
                <w:tcPr>
                  <w:tcW w:w="1764" w:type="dxa"/>
                  <w:shd w:val="clear" w:color="auto" w:fill="auto"/>
                  <w:vAlign w:val="center"/>
                </w:tcPr>
                <w:p w14:paraId="49F5CBA7">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0.07-0.08</w:t>
                  </w:r>
                </w:p>
              </w:tc>
            </w:tr>
            <w:tr w14:paraId="6B0C088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033" w:type="dxa"/>
                  <w:gridSpan w:val="2"/>
                  <w:vAlign w:val="center"/>
                </w:tcPr>
                <w:p w14:paraId="4F948EF1">
                  <w:pPr>
                    <w:jc w:val="center"/>
                    <w:rPr>
                      <w:rFonts w:hint="eastAsia" w:ascii="Times New Roman" w:hAnsi="Times New Roman" w:eastAsia="宋体" w:cs="Times New Roman"/>
                      <w:snapToGrid w:val="0"/>
                      <w:color w:val="auto"/>
                      <w:szCs w:val="21"/>
                      <w:lang w:eastAsia="zh-CN"/>
                    </w:rPr>
                  </w:pPr>
                  <w:r>
                    <w:rPr>
                      <w:rFonts w:hint="eastAsia" w:ascii="Times New Roman" w:hAnsi="Times New Roman" w:cs="Times New Roman"/>
                      <w:snapToGrid w:val="0"/>
                      <w:color w:val="auto"/>
                      <w:szCs w:val="21"/>
                    </w:rPr>
                    <w:t>执行标准</w:t>
                  </w:r>
                </w:p>
              </w:tc>
              <w:tc>
                <w:tcPr>
                  <w:tcW w:w="6365" w:type="dxa"/>
                  <w:gridSpan w:val="4"/>
                  <w:vAlign w:val="center"/>
                </w:tcPr>
                <w:p w14:paraId="70FFE006">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0.1</w:t>
                  </w:r>
                </w:p>
              </w:tc>
            </w:tr>
            <w:tr w14:paraId="4C4502F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033" w:type="dxa"/>
                  <w:gridSpan w:val="2"/>
                  <w:vAlign w:val="center"/>
                </w:tcPr>
                <w:p w14:paraId="2E2E4CCB">
                  <w:pPr>
                    <w:jc w:val="center"/>
                    <w:rPr>
                      <w:rFonts w:hint="eastAsia" w:ascii="Times New Roman" w:hAnsi="Times New Roman" w:eastAsia="宋体" w:cs="Times New Roman"/>
                      <w:snapToGrid w:val="0"/>
                      <w:color w:val="auto"/>
                      <w:szCs w:val="21"/>
                      <w:lang w:eastAsia="zh-CN"/>
                    </w:rPr>
                  </w:pPr>
                  <w:r>
                    <w:rPr>
                      <w:rFonts w:hint="eastAsia" w:ascii="Times New Roman" w:hAnsi="Times New Roman" w:cs="Times New Roman"/>
                      <w:snapToGrid w:val="0"/>
                      <w:color w:val="auto"/>
                      <w:szCs w:val="21"/>
                    </w:rPr>
                    <w:t>标准来源</w:t>
                  </w:r>
                </w:p>
              </w:tc>
              <w:tc>
                <w:tcPr>
                  <w:tcW w:w="6365" w:type="dxa"/>
                  <w:gridSpan w:val="4"/>
                  <w:shd w:val="clear" w:color="auto" w:fill="auto"/>
                  <w:vAlign w:val="center"/>
                </w:tcPr>
                <w:p w14:paraId="39528EBA">
                  <w:pPr>
                    <w:jc w:val="center"/>
                    <w:rPr>
                      <w:rFonts w:hint="eastAsia" w:ascii="Times New Roman" w:hAnsi="Times New Roman" w:eastAsia="宋体" w:cs="Times New Roman"/>
                      <w:snapToGrid w:val="0"/>
                      <w:color w:val="auto"/>
                      <w:kern w:val="2"/>
                      <w:sz w:val="21"/>
                      <w:szCs w:val="21"/>
                      <w:lang w:val="en-US" w:eastAsia="zh-CN" w:bidi="ar-SA"/>
                    </w:rPr>
                  </w:pPr>
                  <w:r>
                    <w:rPr>
                      <w:rFonts w:ascii="Times New Roman" w:hAnsi="Times New Roman" w:cs="Times New Roman"/>
                      <w:snapToGrid w:val="0"/>
                      <w:color w:val="auto"/>
                      <w:szCs w:val="21"/>
                    </w:rPr>
                    <w:t>《大气污染物综合排放标准》（DB32/4041-2021）表3标准</w:t>
                  </w:r>
                  <w:r>
                    <w:rPr>
                      <w:rFonts w:hint="eastAsia" w:ascii="Times New Roman" w:hAnsi="Times New Roman" w:cs="Times New Roman"/>
                      <w:snapToGrid w:val="0"/>
                      <w:color w:val="auto"/>
                      <w:szCs w:val="21"/>
                    </w:rPr>
                    <w:t>限值</w:t>
                  </w:r>
                </w:p>
              </w:tc>
            </w:tr>
            <w:tr w14:paraId="0EF3302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18" w:type="dxa"/>
                  <w:vMerge w:val="restart"/>
                  <w:vAlign w:val="center"/>
                </w:tcPr>
                <w:p w14:paraId="4C432EFA">
                  <w:pPr>
                    <w:jc w:val="center"/>
                    <w:rPr>
                      <w:rFonts w:hint="eastAsia" w:ascii="Times New Roman" w:hAnsi="Times New Roman" w:eastAsia="宋体" w:cs="Times New Roman"/>
                      <w:snapToGrid w:val="0"/>
                      <w:color w:val="auto"/>
                      <w:szCs w:val="21"/>
                      <w:lang w:eastAsia="zh-CN"/>
                    </w:rPr>
                  </w:pPr>
                  <w:r>
                    <w:rPr>
                      <w:rFonts w:hint="eastAsia" w:cs="Times New Roman"/>
                      <w:snapToGrid w:val="0"/>
                      <w:color w:val="auto"/>
                      <w:szCs w:val="21"/>
                      <w:lang w:eastAsia="zh-CN"/>
                    </w:rPr>
                    <w:t>氯化氢</w:t>
                  </w:r>
                </w:p>
              </w:tc>
              <w:tc>
                <w:tcPr>
                  <w:tcW w:w="1315" w:type="dxa"/>
                  <w:vAlign w:val="center"/>
                </w:tcPr>
                <w:p w14:paraId="34FB9D9E">
                  <w:pPr>
                    <w:jc w:val="center"/>
                    <w:rPr>
                      <w:rFonts w:hint="default" w:ascii="Times New Roman" w:hAnsi="Times New Roman" w:eastAsia="宋体" w:cs="Times New Roman"/>
                      <w:snapToGrid w:val="0"/>
                      <w:color w:val="auto"/>
                      <w:szCs w:val="21"/>
                      <w:lang w:val="en-US" w:eastAsia="zh-CN"/>
                    </w:rPr>
                  </w:pPr>
                  <w:r>
                    <w:rPr>
                      <w:rFonts w:hint="eastAsia" w:ascii="Times New Roman" w:hAnsi="Times New Roman" w:eastAsia="宋体" w:cs="Times New Roman"/>
                      <w:snapToGrid w:val="0"/>
                      <w:color w:val="auto"/>
                      <w:szCs w:val="21"/>
                      <w:lang w:eastAsia="zh-CN"/>
                    </w:rPr>
                    <w:t>2025.2.24</w:t>
                  </w:r>
                  <w:r>
                    <w:rPr>
                      <w:rFonts w:hint="eastAsia" w:cs="Times New Roman"/>
                      <w:snapToGrid w:val="0"/>
                      <w:color w:val="auto"/>
                      <w:szCs w:val="21"/>
                      <w:lang w:eastAsia="zh-CN"/>
                    </w:rPr>
                    <w:t>－</w:t>
                  </w:r>
                  <w:r>
                    <w:rPr>
                      <w:rFonts w:hint="eastAsia" w:cs="Times New Roman"/>
                      <w:snapToGrid w:val="0"/>
                      <w:color w:val="auto"/>
                      <w:szCs w:val="21"/>
                      <w:lang w:val="en-US" w:eastAsia="zh-CN"/>
                    </w:rPr>
                    <w:t>验收监测</w:t>
                  </w:r>
                </w:p>
              </w:tc>
              <w:tc>
                <w:tcPr>
                  <w:tcW w:w="1161" w:type="dxa"/>
                  <w:vAlign w:val="center"/>
                </w:tcPr>
                <w:p w14:paraId="01198BAC">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ND</w:t>
                  </w:r>
                </w:p>
              </w:tc>
              <w:tc>
                <w:tcPr>
                  <w:tcW w:w="1693" w:type="dxa"/>
                  <w:vAlign w:val="center"/>
                </w:tcPr>
                <w:p w14:paraId="2D6C6B65">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0.024-0.028</w:t>
                  </w:r>
                </w:p>
              </w:tc>
              <w:tc>
                <w:tcPr>
                  <w:tcW w:w="1747" w:type="dxa"/>
                  <w:vAlign w:val="center"/>
                </w:tcPr>
                <w:p w14:paraId="0F6BBD98">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0.039-0.042</w:t>
                  </w:r>
                </w:p>
              </w:tc>
              <w:tc>
                <w:tcPr>
                  <w:tcW w:w="1764" w:type="dxa"/>
                  <w:vAlign w:val="center"/>
                </w:tcPr>
                <w:p w14:paraId="53FDF908">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0.028-0.031</w:t>
                  </w:r>
                </w:p>
              </w:tc>
            </w:tr>
            <w:tr w14:paraId="5237181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18" w:type="dxa"/>
                  <w:vMerge w:val="continue"/>
                  <w:vAlign w:val="center"/>
                </w:tcPr>
                <w:p w14:paraId="2AB4CFC0">
                  <w:pPr>
                    <w:jc w:val="center"/>
                    <w:rPr>
                      <w:rFonts w:hint="eastAsia" w:cs="Times New Roman"/>
                      <w:snapToGrid w:val="0"/>
                      <w:color w:val="auto"/>
                      <w:szCs w:val="21"/>
                      <w:lang w:eastAsia="zh-CN"/>
                    </w:rPr>
                  </w:pPr>
                </w:p>
              </w:tc>
              <w:tc>
                <w:tcPr>
                  <w:tcW w:w="1315" w:type="dxa"/>
                  <w:vAlign w:val="center"/>
                </w:tcPr>
                <w:p w14:paraId="4678F46A">
                  <w:pPr>
                    <w:jc w:val="center"/>
                    <w:rPr>
                      <w:rFonts w:hint="eastAsia" w:ascii="Times New Roman" w:hAnsi="Times New Roman" w:eastAsia="宋体" w:cs="Times New Roman"/>
                      <w:snapToGrid w:val="0"/>
                      <w:color w:val="auto"/>
                      <w:szCs w:val="21"/>
                      <w:lang w:eastAsia="zh-CN"/>
                    </w:rPr>
                  </w:pPr>
                  <w:r>
                    <w:rPr>
                      <w:rFonts w:hint="eastAsia" w:cs="Times New Roman"/>
                      <w:snapToGrid w:val="0"/>
                      <w:color w:val="auto"/>
                      <w:szCs w:val="21"/>
                      <w:lang w:val="en-US" w:eastAsia="zh-CN"/>
                    </w:rPr>
                    <w:t>2025.06.09－例行监测</w:t>
                  </w:r>
                </w:p>
              </w:tc>
              <w:tc>
                <w:tcPr>
                  <w:tcW w:w="1161" w:type="dxa"/>
                  <w:vAlign w:val="center"/>
                </w:tcPr>
                <w:p w14:paraId="21AA14FB">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0.022-0.041</w:t>
                  </w:r>
                </w:p>
              </w:tc>
              <w:tc>
                <w:tcPr>
                  <w:tcW w:w="1693" w:type="dxa"/>
                  <w:vAlign w:val="center"/>
                </w:tcPr>
                <w:p w14:paraId="7411DC64">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0.023-0.037</w:t>
                  </w:r>
                </w:p>
              </w:tc>
              <w:tc>
                <w:tcPr>
                  <w:tcW w:w="1747" w:type="dxa"/>
                  <w:vAlign w:val="center"/>
                </w:tcPr>
                <w:p w14:paraId="3A461833">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0.020-0.027</w:t>
                  </w:r>
                </w:p>
              </w:tc>
              <w:tc>
                <w:tcPr>
                  <w:tcW w:w="1764" w:type="dxa"/>
                  <w:vAlign w:val="center"/>
                </w:tcPr>
                <w:p w14:paraId="241537AF">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0.030-0.039</w:t>
                  </w:r>
                </w:p>
              </w:tc>
            </w:tr>
            <w:tr w14:paraId="6E4CC55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18" w:type="dxa"/>
                  <w:vMerge w:val="continue"/>
                  <w:vAlign w:val="center"/>
                </w:tcPr>
                <w:p w14:paraId="7AD397C6">
                  <w:pPr>
                    <w:jc w:val="center"/>
                    <w:rPr>
                      <w:rFonts w:hint="eastAsia" w:cs="Times New Roman"/>
                      <w:snapToGrid w:val="0"/>
                      <w:color w:val="auto"/>
                      <w:szCs w:val="21"/>
                      <w:lang w:eastAsia="zh-CN"/>
                    </w:rPr>
                  </w:pPr>
                </w:p>
              </w:tc>
              <w:tc>
                <w:tcPr>
                  <w:tcW w:w="1315" w:type="dxa"/>
                  <w:vAlign w:val="center"/>
                </w:tcPr>
                <w:p w14:paraId="552CD4A3">
                  <w:pPr>
                    <w:jc w:val="center"/>
                    <w:rPr>
                      <w:rFonts w:hint="eastAsia" w:cs="Times New Roman"/>
                      <w:snapToGrid w:val="0"/>
                      <w:color w:val="auto"/>
                      <w:szCs w:val="21"/>
                      <w:lang w:val="en-US" w:eastAsia="zh-CN"/>
                    </w:rPr>
                  </w:pPr>
                  <w:r>
                    <w:rPr>
                      <w:rFonts w:hint="eastAsia" w:cs="Times New Roman"/>
                      <w:snapToGrid w:val="0"/>
                      <w:color w:val="auto"/>
                      <w:szCs w:val="21"/>
                      <w:lang w:val="en-US" w:eastAsia="zh-CN"/>
                    </w:rPr>
                    <w:t>2025.08.21－例行监测</w:t>
                  </w:r>
                </w:p>
              </w:tc>
              <w:tc>
                <w:tcPr>
                  <w:tcW w:w="1161" w:type="dxa"/>
                  <w:vAlign w:val="center"/>
                </w:tcPr>
                <w:p w14:paraId="50934E56">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0.026-0.045</w:t>
                  </w:r>
                </w:p>
              </w:tc>
              <w:tc>
                <w:tcPr>
                  <w:tcW w:w="1693" w:type="dxa"/>
                  <w:vAlign w:val="center"/>
                </w:tcPr>
                <w:p w14:paraId="46E9B408">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0.031-0.044</w:t>
                  </w:r>
                </w:p>
              </w:tc>
              <w:tc>
                <w:tcPr>
                  <w:tcW w:w="1747" w:type="dxa"/>
                  <w:vAlign w:val="center"/>
                </w:tcPr>
                <w:p w14:paraId="39ED95C7">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0.033-0.044</w:t>
                  </w:r>
                </w:p>
              </w:tc>
              <w:tc>
                <w:tcPr>
                  <w:tcW w:w="1764" w:type="dxa"/>
                  <w:vAlign w:val="center"/>
                </w:tcPr>
                <w:p w14:paraId="4DCC0159">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0.031-0.041</w:t>
                  </w:r>
                </w:p>
              </w:tc>
            </w:tr>
            <w:tr w14:paraId="76D8DD8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18" w:type="dxa"/>
                  <w:vMerge w:val="continue"/>
                  <w:vAlign w:val="center"/>
                </w:tcPr>
                <w:p w14:paraId="6276FE72">
                  <w:pPr>
                    <w:jc w:val="center"/>
                    <w:rPr>
                      <w:rFonts w:hint="eastAsia" w:cs="Times New Roman"/>
                      <w:snapToGrid w:val="0"/>
                      <w:color w:val="auto"/>
                      <w:szCs w:val="21"/>
                      <w:lang w:eastAsia="zh-CN"/>
                    </w:rPr>
                  </w:pPr>
                </w:p>
              </w:tc>
              <w:tc>
                <w:tcPr>
                  <w:tcW w:w="1315" w:type="dxa"/>
                  <w:vAlign w:val="center"/>
                </w:tcPr>
                <w:p w14:paraId="7976AC7B">
                  <w:pPr>
                    <w:jc w:val="center"/>
                    <w:rPr>
                      <w:rFonts w:hint="eastAsia" w:cs="Times New Roman"/>
                      <w:snapToGrid w:val="0"/>
                      <w:color w:val="auto"/>
                      <w:szCs w:val="21"/>
                      <w:lang w:val="en-US" w:eastAsia="zh-CN"/>
                    </w:rPr>
                  </w:pPr>
                  <w:r>
                    <w:rPr>
                      <w:rFonts w:hint="eastAsia" w:cs="Times New Roman"/>
                      <w:snapToGrid w:val="0"/>
                      <w:color w:val="auto"/>
                      <w:szCs w:val="21"/>
                      <w:lang w:val="en-US" w:eastAsia="zh-CN"/>
                    </w:rPr>
                    <w:t>2025.10.12－例行监测</w:t>
                  </w:r>
                </w:p>
              </w:tc>
              <w:tc>
                <w:tcPr>
                  <w:tcW w:w="1161" w:type="dxa"/>
                  <w:shd w:val="clear" w:color="auto" w:fill="auto"/>
                  <w:vAlign w:val="center"/>
                </w:tcPr>
                <w:p w14:paraId="5BF89C2B">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0.042-0.045</w:t>
                  </w:r>
                </w:p>
              </w:tc>
              <w:tc>
                <w:tcPr>
                  <w:tcW w:w="1693" w:type="dxa"/>
                  <w:shd w:val="clear" w:color="auto" w:fill="auto"/>
                  <w:vAlign w:val="center"/>
                </w:tcPr>
                <w:p w14:paraId="7201056F">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0.037-0.043</w:t>
                  </w:r>
                </w:p>
              </w:tc>
              <w:tc>
                <w:tcPr>
                  <w:tcW w:w="1747" w:type="dxa"/>
                  <w:shd w:val="clear" w:color="auto" w:fill="auto"/>
                  <w:vAlign w:val="center"/>
                </w:tcPr>
                <w:p w14:paraId="63FE058D">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0.041-0.045</w:t>
                  </w:r>
                </w:p>
              </w:tc>
              <w:tc>
                <w:tcPr>
                  <w:tcW w:w="1764" w:type="dxa"/>
                  <w:shd w:val="clear" w:color="auto" w:fill="auto"/>
                  <w:vAlign w:val="center"/>
                </w:tcPr>
                <w:p w14:paraId="45AD4F22">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0.041-0.045</w:t>
                  </w:r>
                </w:p>
              </w:tc>
            </w:tr>
            <w:tr w14:paraId="7FA7E8C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033" w:type="dxa"/>
                  <w:gridSpan w:val="2"/>
                  <w:vAlign w:val="center"/>
                </w:tcPr>
                <w:p w14:paraId="2A6054C7">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执行标准</w:t>
                  </w:r>
                </w:p>
              </w:tc>
              <w:tc>
                <w:tcPr>
                  <w:tcW w:w="6365" w:type="dxa"/>
                  <w:gridSpan w:val="4"/>
                  <w:vAlign w:val="center"/>
                </w:tcPr>
                <w:p w14:paraId="4608AE57">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0.05</w:t>
                  </w:r>
                </w:p>
              </w:tc>
            </w:tr>
            <w:tr w14:paraId="04ADB21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033" w:type="dxa"/>
                  <w:gridSpan w:val="2"/>
                  <w:vAlign w:val="center"/>
                </w:tcPr>
                <w:p w14:paraId="09445384">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标准来源</w:t>
                  </w:r>
                </w:p>
              </w:tc>
              <w:tc>
                <w:tcPr>
                  <w:tcW w:w="6365" w:type="dxa"/>
                  <w:gridSpan w:val="4"/>
                  <w:vAlign w:val="center"/>
                </w:tcPr>
                <w:p w14:paraId="28C2F08B">
                  <w:pPr>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《大气污染物综合排放标准》（DB32/4041-2021）表3标准</w:t>
                  </w:r>
                  <w:r>
                    <w:rPr>
                      <w:rFonts w:hint="eastAsia" w:ascii="Times New Roman" w:hAnsi="Times New Roman" w:cs="Times New Roman"/>
                      <w:snapToGrid w:val="0"/>
                      <w:color w:val="auto"/>
                      <w:szCs w:val="21"/>
                    </w:rPr>
                    <w:t>限值</w:t>
                  </w:r>
                </w:p>
              </w:tc>
            </w:tr>
            <w:tr w14:paraId="06A6AF6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18" w:type="dxa"/>
                  <w:vMerge w:val="restart"/>
                  <w:vAlign w:val="center"/>
                </w:tcPr>
                <w:p w14:paraId="1673344B">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硫化氢</w:t>
                  </w:r>
                </w:p>
              </w:tc>
              <w:tc>
                <w:tcPr>
                  <w:tcW w:w="1315" w:type="dxa"/>
                  <w:vAlign w:val="center"/>
                </w:tcPr>
                <w:p w14:paraId="718FB593">
                  <w:pPr>
                    <w:jc w:val="center"/>
                    <w:rPr>
                      <w:rFonts w:ascii="Times New Roman" w:hAnsi="Times New Roman" w:cs="Times New Roman"/>
                      <w:snapToGrid w:val="0"/>
                      <w:color w:val="auto"/>
                      <w:szCs w:val="21"/>
                    </w:rPr>
                  </w:pPr>
                  <w:r>
                    <w:rPr>
                      <w:rFonts w:hint="eastAsia" w:ascii="Times New Roman" w:hAnsi="Times New Roman" w:eastAsia="宋体" w:cs="Times New Roman"/>
                      <w:snapToGrid w:val="0"/>
                      <w:color w:val="auto"/>
                      <w:szCs w:val="21"/>
                      <w:lang w:eastAsia="zh-CN"/>
                    </w:rPr>
                    <w:t>2025.2.24</w:t>
                  </w:r>
                  <w:r>
                    <w:rPr>
                      <w:rFonts w:hint="eastAsia" w:cs="Times New Roman"/>
                      <w:snapToGrid w:val="0"/>
                      <w:color w:val="auto"/>
                      <w:szCs w:val="21"/>
                      <w:lang w:eastAsia="zh-CN"/>
                    </w:rPr>
                    <w:t>－</w:t>
                  </w:r>
                  <w:r>
                    <w:rPr>
                      <w:rFonts w:hint="eastAsia" w:cs="Times New Roman"/>
                      <w:snapToGrid w:val="0"/>
                      <w:color w:val="auto"/>
                      <w:szCs w:val="21"/>
                      <w:lang w:val="en-US" w:eastAsia="zh-CN"/>
                    </w:rPr>
                    <w:t>验收监测</w:t>
                  </w:r>
                </w:p>
              </w:tc>
              <w:tc>
                <w:tcPr>
                  <w:tcW w:w="1161" w:type="dxa"/>
                  <w:vAlign w:val="center"/>
                </w:tcPr>
                <w:p w14:paraId="4E0F5B7B">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0.002-0.003</w:t>
                  </w:r>
                </w:p>
              </w:tc>
              <w:tc>
                <w:tcPr>
                  <w:tcW w:w="1693" w:type="dxa"/>
                  <w:vAlign w:val="center"/>
                </w:tcPr>
                <w:p w14:paraId="58B74B85">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0.008-0.009</w:t>
                  </w:r>
                </w:p>
              </w:tc>
              <w:tc>
                <w:tcPr>
                  <w:tcW w:w="1747" w:type="dxa"/>
                  <w:vAlign w:val="center"/>
                </w:tcPr>
                <w:p w14:paraId="3033E23C">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0.007-0.009</w:t>
                  </w:r>
                </w:p>
              </w:tc>
              <w:tc>
                <w:tcPr>
                  <w:tcW w:w="1764" w:type="dxa"/>
                  <w:vAlign w:val="center"/>
                </w:tcPr>
                <w:p w14:paraId="6C4482F4">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0.008-0.009</w:t>
                  </w:r>
                </w:p>
              </w:tc>
            </w:tr>
            <w:tr w14:paraId="76C1A15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18" w:type="dxa"/>
                  <w:vMerge w:val="continue"/>
                  <w:vAlign w:val="center"/>
                </w:tcPr>
                <w:p w14:paraId="0D75134A">
                  <w:pPr>
                    <w:jc w:val="center"/>
                    <w:rPr>
                      <w:rFonts w:hint="eastAsia" w:cs="Times New Roman"/>
                      <w:snapToGrid w:val="0"/>
                      <w:color w:val="auto"/>
                      <w:szCs w:val="21"/>
                      <w:lang w:val="en-US" w:eastAsia="zh-CN"/>
                    </w:rPr>
                  </w:pPr>
                </w:p>
              </w:tc>
              <w:tc>
                <w:tcPr>
                  <w:tcW w:w="1315" w:type="dxa"/>
                  <w:vAlign w:val="center"/>
                </w:tcPr>
                <w:p w14:paraId="14642EA9">
                  <w:pPr>
                    <w:jc w:val="center"/>
                    <w:rPr>
                      <w:rFonts w:hint="eastAsia" w:ascii="Times New Roman" w:hAnsi="Times New Roman" w:eastAsia="宋体" w:cs="Times New Roman"/>
                      <w:snapToGrid w:val="0"/>
                      <w:color w:val="auto"/>
                      <w:szCs w:val="21"/>
                      <w:lang w:eastAsia="zh-CN"/>
                    </w:rPr>
                  </w:pPr>
                  <w:r>
                    <w:rPr>
                      <w:rFonts w:hint="eastAsia" w:cs="Times New Roman"/>
                      <w:snapToGrid w:val="0"/>
                      <w:color w:val="auto"/>
                      <w:szCs w:val="21"/>
                      <w:lang w:val="en-US" w:eastAsia="zh-CN"/>
                    </w:rPr>
                    <w:t>2025.06.09－例行监测</w:t>
                  </w:r>
                </w:p>
              </w:tc>
              <w:tc>
                <w:tcPr>
                  <w:tcW w:w="1161" w:type="dxa"/>
                  <w:vAlign w:val="center"/>
                </w:tcPr>
                <w:p w14:paraId="4555400E">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0.002-0.003</w:t>
                  </w:r>
                </w:p>
              </w:tc>
              <w:tc>
                <w:tcPr>
                  <w:tcW w:w="1693" w:type="dxa"/>
                  <w:vAlign w:val="center"/>
                </w:tcPr>
                <w:p w14:paraId="26FE5D9F">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0.002-0.004</w:t>
                  </w:r>
                </w:p>
              </w:tc>
              <w:tc>
                <w:tcPr>
                  <w:tcW w:w="1747" w:type="dxa"/>
                  <w:vAlign w:val="center"/>
                </w:tcPr>
                <w:p w14:paraId="7E0E8291">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0.002</w:t>
                  </w:r>
                </w:p>
              </w:tc>
              <w:tc>
                <w:tcPr>
                  <w:tcW w:w="1764" w:type="dxa"/>
                  <w:vAlign w:val="center"/>
                </w:tcPr>
                <w:p w14:paraId="2CEBD2A0">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0.003</w:t>
                  </w:r>
                </w:p>
              </w:tc>
            </w:tr>
            <w:tr w14:paraId="629C8E2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18" w:type="dxa"/>
                  <w:vMerge w:val="continue"/>
                  <w:vAlign w:val="center"/>
                </w:tcPr>
                <w:p w14:paraId="6D1DDFE9">
                  <w:pPr>
                    <w:jc w:val="center"/>
                    <w:rPr>
                      <w:rFonts w:hint="eastAsia" w:cs="Times New Roman"/>
                      <w:snapToGrid w:val="0"/>
                      <w:color w:val="auto"/>
                      <w:szCs w:val="21"/>
                      <w:lang w:val="en-US" w:eastAsia="zh-CN"/>
                    </w:rPr>
                  </w:pPr>
                </w:p>
              </w:tc>
              <w:tc>
                <w:tcPr>
                  <w:tcW w:w="1315" w:type="dxa"/>
                  <w:vAlign w:val="center"/>
                </w:tcPr>
                <w:p w14:paraId="12CA6959">
                  <w:pPr>
                    <w:jc w:val="center"/>
                    <w:rPr>
                      <w:rFonts w:hint="eastAsia" w:cs="Times New Roman"/>
                      <w:snapToGrid w:val="0"/>
                      <w:color w:val="auto"/>
                      <w:szCs w:val="21"/>
                      <w:lang w:val="en-US" w:eastAsia="zh-CN"/>
                    </w:rPr>
                  </w:pPr>
                  <w:r>
                    <w:rPr>
                      <w:rFonts w:hint="eastAsia" w:cs="Times New Roman"/>
                      <w:snapToGrid w:val="0"/>
                      <w:color w:val="auto"/>
                      <w:szCs w:val="21"/>
                      <w:lang w:val="en-US" w:eastAsia="zh-CN"/>
                    </w:rPr>
                    <w:t>2025.08.21－例行监测</w:t>
                  </w:r>
                </w:p>
              </w:tc>
              <w:tc>
                <w:tcPr>
                  <w:tcW w:w="1161" w:type="dxa"/>
                  <w:shd w:val="clear" w:color="auto" w:fill="auto"/>
                  <w:vAlign w:val="center"/>
                </w:tcPr>
                <w:p w14:paraId="3E57FC8C">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0.002-0.004</w:t>
                  </w:r>
                </w:p>
              </w:tc>
              <w:tc>
                <w:tcPr>
                  <w:tcW w:w="1693" w:type="dxa"/>
                  <w:shd w:val="clear" w:color="auto" w:fill="auto"/>
                  <w:vAlign w:val="center"/>
                </w:tcPr>
                <w:p w14:paraId="5910393B">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0.003-0.006</w:t>
                  </w:r>
                </w:p>
              </w:tc>
              <w:tc>
                <w:tcPr>
                  <w:tcW w:w="1747" w:type="dxa"/>
                  <w:shd w:val="clear" w:color="auto" w:fill="auto"/>
                  <w:vAlign w:val="center"/>
                </w:tcPr>
                <w:p w14:paraId="116D1C22">
                  <w:pPr>
                    <w:jc w:val="center"/>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0.003-0.005</w:t>
                  </w:r>
                </w:p>
              </w:tc>
              <w:tc>
                <w:tcPr>
                  <w:tcW w:w="1764" w:type="dxa"/>
                  <w:shd w:val="clear" w:color="auto" w:fill="auto"/>
                  <w:vAlign w:val="center"/>
                </w:tcPr>
                <w:p w14:paraId="24DCB4BE">
                  <w:pPr>
                    <w:jc w:val="center"/>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0.002-0.004</w:t>
                  </w:r>
                </w:p>
              </w:tc>
            </w:tr>
            <w:tr w14:paraId="6D974E7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18" w:type="dxa"/>
                  <w:vMerge w:val="continue"/>
                  <w:vAlign w:val="center"/>
                </w:tcPr>
                <w:p w14:paraId="404036F8">
                  <w:pPr>
                    <w:jc w:val="center"/>
                    <w:rPr>
                      <w:rFonts w:hint="eastAsia" w:cs="Times New Roman"/>
                      <w:snapToGrid w:val="0"/>
                      <w:color w:val="auto"/>
                      <w:szCs w:val="21"/>
                      <w:lang w:val="en-US" w:eastAsia="zh-CN"/>
                    </w:rPr>
                  </w:pPr>
                </w:p>
              </w:tc>
              <w:tc>
                <w:tcPr>
                  <w:tcW w:w="1315" w:type="dxa"/>
                  <w:vAlign w:val="center"/>
                </w:tcPr>
                <w:p w14:paraId="4ADD188E">
                  <w:pPr>
                    <w:jc w:val="center"/>
                    <w:rPr>
                      <w:rFonts w:hint="eastAsia" w:cs="Times New Roman"/>
                      <w:snapToGrid w:val="0"/>
                      <w:color w:val="auto"/>
                      <w:szCs w:val="21"/>
                      <w:lang w:val="en-US" w:eastAsia="zh-CN"/>
                    </w:rPr>
                  </w:pPr>
                  <w:r>
                    <w:rPr>
                      <w:rFonts w:hint="eastAsia" w:cs="Times New Roman"/>
                      <w:snapToGrid w:val="0"/>
                      <w:color w:val="auto"/>
                      <w:szCs w:val="21"/>
                      <w:lang w:val="en-US" w:eastAsia="zh-CN"/>
                    </w:rPr>
                    <w:t>2025.10.12－例行监测</w:t>
                  </w:r>
                </w:p>
              </w:tc>
              <w:tc>
                <w:tcPr>
                  <w:tcW w:w="1161" w:type="dxa"/>
                  <w:shd w:val="clear" w:color="auto" w:fill="auto"/>
                  <w:vAlign w:val="center"/>
                </w:tcPr>
                <w:p w14:paraId="280941E8">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0.002-0.003</w:t>
                  </w:r>
                </w:p>
              </w:tc>
              <w:tc>
                <w:tcPr>
                  <w:tcW w:w="1693" w:type="dxa"/>
                  <w:shd w:val="clear" w:color="auto" w:fill="auto"/>
                  <w:vAlign w:val="center"/>
                </w:tcPr>
                <w:p w14:paraId="34E733EA">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0.002-0.004</w:t>
                  </w:r>
                </w:p>
              </w:tc>
              <w:tc>
                <w:tcPr>
                  <w:tcW w:w="1747" w:type="dxa"/>
                  <w:shd w:val="clear" w:color="auto" w:fill="auto"/>
                  <w:vAlign w:val="center"/>
                </w:tcPr>
                <w:p w14:paraId="7FF2A638">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0.002-0.003</w:t>
                  </w:r>
                </w:p>
              </w:tc>
              <w:tc>
                <w:tcPr>
                  <w:tcW w:w="1764" w:type="dxa"/>
                  <w:shd w:val="clear" w:color="auto" w:fill="auto"/>
                  <w:vAlign w:val="center"/>
                </w:tcPr>
                <w:p w14:paraId="532649E8">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0.002-0.004</w:t>
                  </w:r>
                </w:p>
              </w:tc>
            </w:tr>
            <w:tr w14:paraId="7FFA6BF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033" w:type="dxa"/>
                  <w:gridSpan w:val="2"/>
                  <w:vAlign w:val="center"/>
                </w:tcPr>
                <w:p w14:paraId="34073EAC">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执行标准</w:t>
                  </w:r>
                </w:p>
              </w:tc>
              <w:tc>
                <w:tcPr>
                  <w:tcW w:w="6365" w:type="dxa"/>
                  <w:gridSpan w:val="4"/>
                  <w:vAlign w:val="center"/>
                </w:tcPr>
                <w:p w14:paraId="0F86532E">
                  <w:pPr>
                    <w:jc w:val="center"/>
                    <w:rPr>
                      <w:rFonts w:hint="default" w:ascii="Times New Roman" w:hAnsi="Times New Roman" w:eastAsia="宋体" w:cs="Times New Roman"/>
                      <w:snapToGrid w:val="0"/>
                      <w:color w:val="auto"/>
                      <w:szCs w:val="21"/>
                      <w:lang w:val="en-US" w:eastAsia="zh-CN"/>
                    </w:rPr>
                  </w:pPr>
                  <w:r>
                    <w:rPr>
                      <w:rFonts w:hint="eastAsia" w:ascii="Times New Roman" w:hAnsi="Times New Roman" w:cs="Times New Roman"/>
                      <w:snapToGrid w:val="0"/>
                      <w:color w:val="auto"/>
                      <w:szCs w:val="21"/>
                    </w:rPr>
                    <w:t>0.</w:t>
                  </w:r>
                  <w:r>
                    <w:rPr>
                      <w:rFonts w:hint="eastAsia" w:cs="Times New Roman"/>
                      <w:snapToGrid w:val="0"/>
                      <w:color w:val="auto"/>
                      <w:szCs w:val="21"/>
                      <w:lang w:val="en-US" w:eastAsia="zh-CN"/>
                    </w:rPr>
                    <w:t>06</w:t>
                  </w:r>
                </w:p>
              </w:tc>
            </w:tr>
            <w:tr w14:paraId="0AC7280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033" w:type="dxa"/>
                  <w:gridSpan w:val="2"/>
                  <w:vAlign w:val="center"/>
                </w:tcPr>
                <w:p w14:paraId="61381CDF">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标准来源</w:t>
                  </w:r>
                </w:p>
              </w:tc>
              <w:tc>
                <w:tcPr>
                  <w:tcW w:w="6365" w:type="dxa"/>
                  <w:gridSpan w:val="4"/>
                  <w:vAlign w:val="center"/>
                </w:tcPr>
                <w:p w14:paraId="704E7503">
                  <w:pPr>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w:t>
                  </w:r>
                  <w:r>
                    <w:rPr>
                      <w:rFonts w:hint="eastAsia" w:ascii="Times New Roman" w:hAnsi="Times New Roman" w:cs="Times New Roman"/>
                      <w:snapToGrid w:val="0"/>
                      <w:color w:val="auto"/>
                      <w:szCs w:val="21"/>
                    </w:rPr>
                    <w:t>恶臭污染物排放标准</w:t>
                  </w:r>
                  <w:r>
                    <w:rPr>
                      <w:rFonts w:ascii="Times New Roman" w:hAnsi="Times New Roman" w:cs="Times New Roman"/>
                      <w:snapToGrid w:val="0"/>
                      <w:color w:val="auto"/>
                      <w:szCs w:val="21"/>
                    </w:rPr>
                    <w:t>》</w:t>
                  </w:r>
                  <w:r>
                    <w:rPr>
                      <w:rFonts w:hint="eastAsia" w:cs="Times New Roman"/>
                      <w:snapToGrid w:val="0"/>
                      <w:color w:val="auto"/>
                      <w:szCs w:val="21"/>
                      <w:lang w:eastAsia="zh-CN"/>
                    </w:rPr>
                    <w:t>（</w:t>
                  </w:r>
                  <w:r>
                    <w:rPr>
                      <w:rFonts w:hint="eastAsia" w:ascii="Times New Roman" w:hAnsi="Times New Roman" w:cs="Times New Roman"/>
                      <w:snapToGrid w:val="0"/>
                      <w:color w:val="auto"/>
                      <w:szCs w:val="21"/>
                    </w:rPr>
                    <w:t>GB 14554-93</w:t>
                  </w:r>
                  <w:r>
                    <w:rPr>
                      <w:rFonts w:hint="eastAsia" w:cs="Times New Roman"/>
                      <w:snapToGrid w:val="0"/>
                      <w:color w:val="auto"/>
                      <w:szCs w:val="21"/>
                      <w:lang w:eastAsia="zh-CN"/>
                    </w:rPr>
                    <w:t>）</w:t>
                  </w:r>
                  <w:r>
                    <w:rPr>
                      <w:rFonts w:ascii="Times New Roman" w:hAnsi="Times New Roman" w:cs="Times New Roman"/>
                      <w:snapToGrid w:val="0"/>
                      <w:color w:val="auto"/>
                      <w:szCs w:val="21"/>
                    </w:rPr>
                    <w:t>表</w:t>
                  </w:r>
                  <w:r>
                    <w:rPr>
                      <w:rFonts w:hint="eastAsia" w:cs="Times New Roman"/>
                      <w:snapToGrid w:val="0"/>
                      <w:color w:val="auto"/>
                      <w:szCs w:val="21"/>
                      <w:lang w:val="en-US" w:eastAsia="zh-CN"/>
                    </w:rPr>
                    <w:t>1</w:t>
                  </w:r>
                  <w:r>
                    <w:rPr>
                      <w:rFonts w:hint="eastAsia" w:ascii="Times New Roman" w:hAnsi="Times New Roman" w:cs="Times New Roman"/>
                      <w:snapToGrid w:val="0"/>
                      <w:color w:val="auto"/>
                      <w:szCs w:val="21"/>
                    </w:rPr>
                    <w:t>标准限值</w:t>
                  </w:r>
                </w:p>
              </w:tc>
            </w:tr>
            <w:tr w14:paraId="61FB06A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18" w:type="dxa"/>
                  <w:vMerge w:val="restart"/>
                  <w:vAlign w:val="center"/>
                </w:tcPr>
                <w:p w14:paraId="3573110B">
                  <w:pPr>
                    <w:jc w:val="center"/>
                    <w:rPr>
                      <w:rFonts w:hint="eastAsia" w:ascii="Times New Roman" w:hAnsi="Times New Roman" w:eastAsia="宋体" w:cs="Times New Roman"/>
                      <w:snapToGrid w:val="0"/>
                      <w:color w:val="auto"/>
                      <w:szCs w:val="21"/>
                      <w:lang w:eastAsia="zh-CN"/>
                    </w:rPr>
                  </w:pPr>
                  <w:r>
                    <w:rPr>
                      <w:rFonts w:hint="eastAsia" w:cs="Times New Roman"/>
                      <w:snapToGrid w:val="0"/>
                      <w:color w:val="auto"/>
                      <w:szCs w:val="21"/>
                      <w:lang w:eastAsia="zh-CN"/>
                    </w:rPr>
                    <w:t>氨</w:t>
                  </w:r>
                </w:p>
              </w:tc>
              <w:tc>
                <w:tcPr>
                  <w:tcW w:w="1315" w:type="dxa"/>
                  <w:vAlign w:val="center"/>
                </w:tcPr>
                <w:p w14:paraId="7B9C367F">
                  <w:pPr>
                    <w:jc w:val="center"/>
                    <w:rPr>
                      <w:rFonts w:ascii="Times New Roman" w:hAnsi="Times New Roman" w:cs="Times New Roman"/>
                      <w:snapToGrid w:val="0"/>
                      <w:color w:val="auto"/>
                      <w:szCs w:val="21"/>
                    </w:rPr>
                  </w:pPr>
                  <w:r>
                    <w:rPr>
                      <w:rFonts w:hint="eastAsia" w:ascii="Times New Roman" w:hAnsi="Times New Roman" w:eastAsia="宋体" w:cs="Times New Roman"/>
                      <w:snapToGrid w:val="0"/>
                      <w:color w:val="auto"/>
                      <w:szCs w:val="21"/>
                      <w:lang w:eastAsia="zh-CN"/>
                    </w:rPr>
                    <w:t>2025.2.24</w:t>
                  </w:r>
                  <w:r>
                    <w:rPr>
                      <w:rFonts w:hint="eastAsia" w:cs="Times New Roman"/>
                      <w:snapToGrid w:val="0"/>
                      <w:color w:val="auto"/>
                      <w:szCs w:val="21"/>
                      <w:lang w:eastAsia="zh-CN"/>
                    </w:rPr>
                    <w:t>－</w:t>
                  </w:r>
                  <w:r>
                    <w:rPr>
                      <w:rFonts w:hint="eastAsia" w:cs="Times New Roman"/>
                      <w:snapToGrid w:val="0"/>
                      <w:color w:val="auto"/>
                      <w:szCs w:val="21"/>
                      <w:lang w:val="en-US" w:eastAsia="zh-CN"/>
                    </w:rPr>
                    <w:t>验收监测</w:t>
                  </w:r>
                </w:p>
              </w:tc>
              <w:tc>
                <w:tcPr>
                  <w:tcW w:w="1161" w:type="dxa"/>
                  <w:vAlign w:val="center"/>
                </w:tcPr>
                <w:p w14:paraId="5CBFB304">
                  <w:pPr>
                    <w:jc w:val="center"/>
                    <w:rPr>
                      <w:rFonts w:ascii="Times New Roman" w:hAnsi="Times New Roman" w:cs="Times New Roman"/>
                      <w:snapToGrid w:val="0"/>
                      <w:color w:val="auto"/>
                      <w:szCs w:val="21"/>
                    </w:rPr>
                  </w:pPr>
                  <w:r>
                    <w:rPr>
                      <w:rFonts w:hint="eastAsia" w:cs="Times New Roman"/>
                      <w:snapToGrid w:val="0"/>
                      <w:color w:val="auto"/>
                      <w:szCs w:val="21"/>
                      <w:lang w:val="en-US" w:eastAsia="zh-CN"/>
                    </w:rPr>
                    <w:t>0.02-0.06</w:t>
                  </w:r>
                </w:p>
              </w:tc>
              <w:tc>
                <w:tcPr>
                  <w:tcW w:w="1693" w:type="dxa"/>
                  <w:vAlign w:val="center"/>
                </w:tcPr>
                <w:p w14:paraId="5EC0FC54">
                  <w:pPr>
                    <w:jc w:val="center"/>
                    <w:rPr>
                      <w:rFonts w:hint="default" w:ascii="Times New Roman" w:hAnsi="Times New Roman" w:cs="Times New Roman"/>
                      <w:snapToGrid w:val="0"/>
                      <w:color w:val="auto"/>
                      <w:szCs w:val="21"/>
                      <w:lang w:val="en-US"/>
                    </w:rPr>
                  </w:pPr>
                  <w:r>
                    <w:rPr>
                      <w:rFonts w:hint="eastAsia" w:cs="Times New Roman"/>
                      <w:snapToGrid w:val="0"/>
                      <w:color w:val="auto"/>
                      <w:szCs w:val="21"/>
                      <w:lang w:val="en-US" w:eastAsia="zh-CN"/>
                    </w:rPr>
                    <w:t>0.08-0.12</w:t>
                  </w:r>
                </w:p>
              </w:tc>
              <w:tc>
                <w:tcPr>
                  <w:tcW w:w="1747" w:type="dxa"/>
                  <w:vAlign w:val="center"/>
                </w:tcPr>
                <w:p w14:paraId="791889F6">
                  <w:pPr>
                    <w:jc w:val="center"/>
                    <w:rPr>
                      <w:rFonts w:ascii="Times New Roman" w:hAnsi="Times New Roman" w:cs="Times New Roman"/>
                      <w:snapToGrid w:val="0"/>
                      <w:color w:val="auto"/>
                      <w:szCs w:val="21"/>
                    </w:rPr>
                  </w:pPr>
                  <w:r>
                    <w:rPr>
                      <w:rFonts w:hint="eastAsia" w:cs="Times New Roman"/>
                      <w:snapToGrid w:val="0"/>
                      <w:color w:val="auto"/>
                      <w:szCs w:val="21"/>
                      <w:lang w:val="en-US" w:eastAsia="zh-CN"/>
                    </w:rPr>
                    <w:t>0.16-0.019</w:t>
                  </w:r>
                </w:p>
              </w:tc>
              <w:tc>
                <w:tcPr>
                  <w:tcW w:w="1764" w:type="dxa"/>
                  <w:vAlign w:val="center"/>
                </w:tcPr>
                <w:p w14:paraId="13438CDE">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0.12-0.15</w:t>
                  </w:r>
                </w:p>
              </w:tc>
            </w:tr>
            <w:tr w14:paraId="673FB6F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18" w:type="dxa"/>
                  <w:vMerge w:val="continue"/>
                  <w:vAlign w:val="center"/>
                </w:tcPr>
                <w:p w14:paraId="38E47663">
                  <w:pPr>
                    <w:jc w:val="center"/>
                    <w:rPr>
                      <w:rFonts w:hint="eastAsia" w:cs="Times New Roman"/>
                      <w:snapToGrid w:val="0"/>
                      <w:color w:val="auto"/>
                      <w:szCs w:val="21"/>
                      <w:lang w:eastAsia="zh-CN"/>
                    </w:rPr>
                  </w:pPr>
                </w:p>
              </w:tc>
              <w:tc>
                <w:tcPr>
                  <w:tcW w:w="1315" w:type="dxa"/>
                  <w:vAlign w:val="center"/>
                </w:tcPr>
                <w:p w14:paraId="661CF81E">
                  <w:pPr>
                    <w:jc w:val="center"/>
                    <w:rPr>
                      <w:rFonts w:hint="eastAsia" w:ascii="Times New Roman" w:hAnsi="Times New Roman" w:eastAsia="宋体" w:cs="Times New Roman"/>
                      <w:snapToGrid w:val="0"/>
                      <w:color w:val="auto"/>
                      <w:szCs w:val="21"/>
                      <w:lang w:eastAsia="zh-CN"/>
                    </w:rPr>
                  </w:pPr>
                  <w:r>
                    <w:rPr>
                      <w:rFonts w:hint="eastAsia" w:cs="Times New Roman"/>
                      <w:snapToGrid w:val="0"/>
                      <w:color w:val="auto"/>
                      <w:szCs w:val="21"/>
                      <w:lang w:val="en-US" w:eastAsia="zh-CN"/>
                    </w:rPr>
                    <w:t>2025.06.09－例行监测</w:t>
                  </w:r>
                </w:p>
              </w:tc>
              <w:tc>
                <w:tcPr>
                  <w:tcW w:w="1161" w:type="dxa"/>
                  <w:vAlign w:val="center"/>
                </w:tcPr>
                <w:p w14:paraId="6CBC8D4E">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0.06</w:t>
                  </w:r>
                </w:p>
              </w:tc>
              <w:tc>
                <w:tcPr>
                  <w:tcW w:w="1693" w:type="dxa"/>
                  <w:vAlign w:val="center"/>
                </w:tcPr>
                <w:p w14:paraId="7525CD1D">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0.07-0.08</w:t>
                  </w:r>
                </w:p>
              </w:tc>
              <w:tc>
                <w:tcPr>
                  <w:tcW w:w="1747" w:type="dxa"/>
                  <w:vAlign w:val="center"/>
                </w:tcPr>
                <w:p w14:paraId="743E18A2">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0.08-0.10</w:t>
                  </w:r>
                </w:p>
              </w:tc>
              <w:tc>
                <w:tcPr>
                  <w:tcW w:w="1764" w:type="dxa"/>
                  <w:vAlign w:val="center"/>
                </w:tcPr>
                <w:p w14:paraId="03E66E0B">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0.07</w:t>
                  </w:r>
                </w:p>
              </w:tc>
            </w:tr>
            <w:tr w14:paraId="0E12A15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18" w:type="dxa"/>
                  <w:vMerge w:val="continue"/>
                  <w:vAlign w:val="center"/>
                </w:tcPr>
                <w:p w14:paraId="12973933">
                  <w:pPr>
                    <w:jc w:val="center"/>
                    <w:rPr>
                      <w:rFonts w:hint="eastAsia" w:cs="Times New Roman"/>
                      <w:snapToGrid w:val="0"/>
                      <w:color w:val="auto"/>
                      <w:szCs w:val="21"/>
                      <w:lang w:eastAsia="zh-CN"/>
                    </w:rPr>
                  </w:pPr>
                </w:p>
              </w:tc>
              <w:tc>
                <w:tcPr>
                  <w:tcW w:w="1315" w:type="dxa"/>
                  <w:vAlign w:val="center"/>
                </w:tcPr>
                <w:p w14:paraId="7D63F8AF">
                  <w:pPr>
                    <w:jc w:val="center"/>
                    <w:rPr>
                      <w:rFonts w:hint="eastAsia" w:cs="Times New Roman"/>
                      <w:snapToGrid w:val="0"/>
                      <w:color w:val="auto"/>
                      <w:szCs w:val="21"/>
                      <w:lang w:val="en-US" w:eastAsia="zh-CN"/>
                    </w:rPr>
                  </w:pPr>
                  <w:r>
                    <w:rPr>
                      <w:rFonts w:hint="eastAsia" w:cs="Times New Roman"/>
                      <w:snapToGrid w:val="0"/>
                      <w:color w:val="auto"/>
                      <w:szCs w:val="21"/>
                      <w:lang w:val="en-US" w:eastAsia="zh-CN"/>
                    </w:rPr>
                    <w:t>2025.08.21－例行监测</w:t>
                  </w:r>
                </w:p>
              </w:tc>
              <w:tc>
                <w:tcPr>
                  <w:tcW w:w="1161" w:type="dxa"/>
                  <w:vAlign w:val="center"/>
                </w:tcPr>
                <w:p w14:paraId="069909B3">
                  <w:pPr>
                    <w:jc w:val="center"/>
                    <w:rPr>
                      <w:rFonts w:hint="default" w:cs="Times New Roman"/>
                      <w:snapToGrid w:val="0"/>
                      <w:color w:val="auto"/>
                      <w:szCs w:val="21"/>
                      <w:lang w:val="en-US" w:eastAsia="zh-CN"/>
                    </w:rPr>
                  </w:pPr>
                  <w:r>
                    <w:rPr>
                      <w:rFonts w:hint="eastAsia" w:cs="Times New Roman"/>
                      <w:snapToGrid w:val="0"/>
                      <w:color w:val="auto"/>
                      <w:szCs w:val="21"/>
                      <w:lang w:val="en-US" w:eastAsia="zh-CN"/>
                    </w:rPr>
                    <w:t>0.04-0.05</w:t>
                  </w:r>
                </w:p>
              </w:tc>
              <w:tc>
                <w:tcPr>
                  <w:tcW w:w="1693" w:type="dxa"/>
                  <w:shd w:val="clear" w:color="auto" w:fill="auto"/>
                  <w:vAlign w:val="center"/>
                </w:tcPr>
                <w:p w14:paraId="170D5680">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0.07-0.08</w:t>
                  </w:r>
                </w:p>
              </w:tc>
              <w:tc>
                <w:tcPr>
                  <w:tcW w:w="1747" w:type="dxa"/>
                  <w:shd w:val="clear" w:color="auto" w:fill="auto"/>
                  <w:vAlign w:val="center"/>
                </w:tcPr>
                <w:p w14:paraId="1B7BEFF0">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0.09</w:t>
                  </w:r>
                </w:p>
              </w:tc>
              <w:tc>
                <w:tcPr>
                  <w:tcW w:w="1764" w:type="dxa"/>
                  <w:shd w:val="clear" w:color="auto" w:fill="auto"/>
                  <w:vAlign w:val="center"/>
                </w:tcPr>
                <w:p w14:paraId="36E8BFE6">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0.07</w:t>
                  </w:r>
                </w:p>
              </w:tc>
            </w:tr>
            <w:tr w14:paraId="70BF8F5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18" w:type="dxa"/>
                  <w:vMerge w:val="continue"/>
                  <w:vAlign w:val="center"/>
                </w:tcPr>
                <w:p w14:paraId="1BC7706F">
                  <w:pPr>
                    <w:jc w:val="center"/>
                    <w:rPr>
                      <w:rFonts w:hint="eastAsia" w:cs="Times New Roman"/>
                      <w:snapToGrid w:val="0"/>
                      <w:color w:val="auto"/>
                      <w:szCs w:val="21"/>
                      <w:lang w:eastAsia="zh-CN"/>
                    </w:rPr>
                  </w:pPr>
                </w:p>
              </w:tc>
              <w:tc>
                <w:tcPr>
                  <w:tcW w:w="1315" w:type="dxa"/>
                  <w:vAlign w:val="center"/>
                </w:tcPr>
                <w:p w14:paraId="00599FD4">
                  <w:pPr>
                    <w:jc w:val="center"/>
                    <w:rPr>
                      <w:rFonts w:hint="eastAsia" w:cs="Times New Roman"/>
                      <w:snapToGrid w:val="0"/>
                      <w:color w:val="auto"/>
                      <w:szCs w:val="21"/>
                      <w:lang w:val="en-US" w:eastAsia="zh-CN"/>
                    </w:rPr>
                  </w:pPr>
                  <w:r>
                    <w:rPr>
                      <w:rFonts w:hint="eastAsia" w:cs="Times New Roman"/>
                      <w:snapToGrid w:val="0"/>
                      <w:color w:val="auto"/>
                      <w:szCs w:val="21"/>
                      <w:lang w:val="en-US" w:eastAsia="zh-CN"/>
                    </w:rPr>
                    <w:t>2025.10.12－例行监测</w:t>
                  </w:r>
                </w:p>
              </w:tc>
              <w:tc>
                <w:tcPr>
                  <w:tcW w:w="1161" w:type="dxa"/>
                  <w:shd w:val="clear" w:color="auto" w:fill="auto"/>
                  <w:vAlign w:val="center"/>
                </w:tcPr>
                <w:p w14:paraId="659FC421">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0.03-0.04</w:t>
                  </w:r>
                </w:p>
              </w:tc>
              <w:tc>
                <w:tcPr>
                  <w:tcW w:w="1693" w:type="dxa"/>
                  <w:shd w:val="clear" w:color="auto" w:fill="auto"/>
                  <w:vAlign w:val="center"/>
                </w:tcPr>
                <w:p w14:paraId="43B6FC8B">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0.05-0.06</w:t>
                  </w:r>
                </w:p>
              </w:tc>
              <w:tc>
                <w:tcPr>
                  <w:tcW w:w="1747" w:type="dxa"/>
                  <w:shd w:val="clear" w:color="auto" w:fill="auto"/>
                  <w:vAlign w:val="center"/>
                </w:tcPr>
                <w:p w14:paraId="026FE7D6">
                  <w:pPr>
                    <w:jc w:val="center"/>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0.05-0.06</w:t>
                  </w:r>
                </w:p>
              </w:tc>
              <w:tc>
                <w:tcPr>
                  <w:tcW w:w="1764" w:type="dxa"/>
                  <w:shd w:val="clear" w:color="auto" w:fill="auto"/>
                  <w:vAlign w:val="center"/>
                </w:tcPr>
                <w:p w14:paraId="35B5724A">
                  <w:pPr>
                    <w:jc w:val="center"/>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0.07-0.08</w:t>
                  </w:r>
                </w:p>
              </w:tc>
            </w:tr>
            <w:tr w14:paraId="37E1D0B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033" w:type="dxa"/>
                  <w:gridSpan w:val="2"/>
                  <w:vAlign w:val="center"/>
                </w:tcPr>
                <w:p w14:paraId="0C8F3424">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执行标准</w:t>
                  </w:r>
                </w:p>
              </w:tc>
              <w:tc>
                <w:tcPr>
                  <w:tcW w:w="6365" w:type="dxa"/>
                  <w:gridSpan w:val="4"/>
                  <w:vAlign w:val="center"/>
                </w:tcPr>
                <w:p w14:paraId="491E8FD0">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1.5</w:t>
                  </w:r>
                </w:p>
              </w:tc>
            </w:tr>
            <w:tr w14:paraId="0282DB0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033" w:type="dxa"/>
                  <w:gridSpan w:val="2"/>
                  <w:vAlign w:val="center"/>
                </w:tcPr>
                <w:p w14:paraId="22D00F53">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标准来源</w:t>
                  </w:r>
                </w:p>
              </w:tc>
              <w:tc>
                <w:tcPr>
                  <w:tcW w:w="6365" w:type="dxa"/>
                  <w:gridSpan w:val="4"/>
                  <w:vAlign w:val="center"/>
                </w:tcPr>
                <w:p w14:paraId="2C9F3228">
                  <w:pPr>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w:t>
                  </w:r>
                  <w:r>
                    <w:rPr>
                      <w:rFonts w:hint="eastAsia" w:ascii="Times New Roman" w:hAnsi="Times New Roman" w:cs="Times New Roman"/>
                      <w:snapToGrid w:val="0"/>
                      <w:color w:val="auto"/>
                      <w:szCs w:val="21"/>
                    </w:rPr>
                    <w:t>恶臭污染物排放标准</w:t>
                  </w:r>
                  <w:r>
                    <w:rPr>
                      <w:rFonts w:ascii="Times New Roman" w:hAnsi="Times New Roman" w:cs="Times New Roman"/>
                      <w:snapToGrid w:val="0"/>
                      <w:color w:val="auto"/>
                      <w:szCs w:val="21"/>
                    </w:rPr>
                    <w:t>》</w:t>
                  </w:r>
                  <w:r>
                    <w:rPr>
                      <w:rFonts w:hint="eastAsia" w:cs="Times New Roman"/>
                      <w:snapToGrid w:val="0"/>
                      <w:color w:val="auto"/>
                      <w:szCs w:val="21"/>
                      <w:lang w:eastAsia="zh-CN"/>
                    </w:rPr>
                    <w:t>（</w:t>
                  </w:r>
                  <w:r>
                    <w:rPr>
                      <w:rFonts w:hint="eastAsia" w:ascii="Times New Roman" w:hAnsi="Times New Roman" w:cs="Times New Roman"/>
                      <w:snapToGrid w:val="0"/>
                      <w:color w:val="auto"/>
                      <w:szCs w:val="21"/>
                    </w:rPr>
                    <w:t>GB 14554-93</w:t>
                  </w:r>
                  <w:r>
                    <w:rPr>
                      <w:rFonts w:hint="eastAsia" w:cs="Times New Roman"/>
                      <w:snapToGrid w:val="0"/>
                      <w:color w:val="auto"/>
                      <w:szCs w:val="21"/>
                      <w:lang w:eastAsia="zh-CN"/>
                    </w:rPr>
                    <w:t>）</w:t>
                  </w:r>
                  <w:r>
                    <w:rPr>
                      <w:rFonts w:ascii="Times New Roman" w:hAnsi="Times New Roman" w:cs="Times New Roman"/>
                      <w:snapToGrid w:val="0"/>
                      <w:color w:val="auto"/>
                      <w:szCs w:val="21"/>
                    </w:rPr>
                    <w:t>表</w:t>
                  </w:r>
                  <w:r>
                    <w:rPr>
                      <w:rFonts w:hint="eastAsia" w:cs="Times New Roman"/>
                      <w:snapToGrid w:val="0"/>
                      <w:color w:val="auto"/>
                      <w:szCs w:val="21"/>
                      <w:lang w:val="en-US" w:eastAsia="zh-CN"/>
                    </w:rPr>
                    <w:t>1</w:t>
                  </w:r>
                  <w:r>
                    <w:rPr>
                      <w:rFonts w:hint="eastAsia" w:ascii="Times New Roman" w:hAnsi="Times New Roman" w:cs="Times New Roman"/>
                      <w:snapToGrid w:val="0"/>
                      <w:color w:val="auto"/>
                      <w:szCs w:val="21"/>
                    </w:rPr>
                    <w:t>标准限值</w:t>
                  </w:r>
                </w:p>
              </w:tc>
            </w:tr>
            <w:tr w14:paraId="43F5CBF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18" w:type="dxa"/>
                  <w:vMerge w:val="restart"/>
                  <w:vAlign w:val="center"/>
                </w:tcPr>
                <w:p w14:paraId="41BEF21B">
                  <w:pPr>
                    <w:jc w:val="center"/>
                    <w:rPr>
                      <w:rFonts w:hint="eastAsia" w:ascii="Times New Roman" w:hAnsi="Times New Roman" w:eastAsia="宋体" w:cs="Times New Roman"/>
                      <w:snapToGrid w:val="0"/>
                      <w:color w:val="auto"/>
                      <w:szCs w:val="21"/>
                      <w:lang w:eastAsia="zh-CN"/>
                    </w:rPr>
                  </w:pPr>
                  <w:r>
                    <w:rPr>
                      <w:rFonts w:hint="eastAsia" w:cs="Times New Roman"/>
                      <w:snapToGrid w:val="0"/>
                      <w:color w:val="auto"/>
                      <w:szCs w:val="21"/>
                      <w:lang w:eastAsia="zh-CN"/>
                    </w:rPr>
                    <w:t>臭气浓度（无量纲）</w:t>
                  </w:r>
                </w:p>
              </w:tc>
              <w:tc>
                <w:tcPr>
                  <w:tcW w:w="1315" w:type="dxa"/>
                  <w:vAlign w:val="center"/>
                </w:tcPr>
                <w:p w14:paraId="4FC542A8">
                  <w:pPr>
                    <w:jc w:val="center"/>
                    <w:rPr>
                      <w:rFonts w:ascii="Times New Roman" w:hAnsi="Times New Roman" w:cs="Times New Roman"/>
                      <w:snapToGrid w:val="0"/>
                      <w:color w:val="auto"/>
                      <w:szCs w:val="21"/>
                    </w:rPr>
                  </w:pPr>
                  <w:r>
                    <w:rPr>
                      <w:rFonts w:hint="eastAsia" w:ascii="Times New Roman" w:hAnsi="Times New Roman" w:eastAsia="宋体" w:cs="Times New Roman"/>
                      <w:snapToGrid w:val="0"/>
                      <w:color w:val="auto"/>
                      <w:szCs w:val="21"/>
                      <w:lang w:eastAsia="zh-CN"/>
                    </w:rPr>
                    <w:t>2025.2.24</w:t>
                  </w:r>
                  <w:r>
                    <w:rPr>
                      <w:rFonts w:hint="eastAsia" w:cs="Times New Roman"/>
                      <w:snapToGrid w:val="0"/>
                      <w:color w:val="auto"/>
                      <w:szCs w:val="21"/>
                      <w:lang w:eastAsia="zh-CN"/>
                    </w:rPr>
                    <w:t>－</w:t>
                  </w:r>
                  <w:r>
                    <w:rPr>
                      <w:rFonts w:hint="eastAsia" w:cs="Times New Roman"/>
                      <w:snapToGrid w:val="0"/>
                      <w:color w:val="auto"/>
                      <w:szCs w:val="21"/>
                      <w:lang w:val="en-US" w:eastAsia="zh-CN"/>
                    </w:rPr>
                    <w:t>验收监测</w:t>
                  </w:r>
                </w:p>
              </w:tc>
              <w:tc>
                <w:tcPr>
                  <w:tcW w:w="1161" w:type="dxa"/>
                  <w:vAlign w:val="center"/>
                </w:tcPr>
                <w:p w14:paraId="6CBF71A7">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&lt;10</w:t>
                  </w:r>
                </w:p>
              </w:tc>
              <w:tc>
                <w:tcPr>
                  <w:tcW w:w="1693" w:type="dxa"/>
                  <w:vAlign w:val="center"/>
                </w:tcPr>
                <w:p w14:paraId="290722F6">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&lt;10</w:t>
                  </w:r>
                </w:p>
              </w:tc>
              <w:tc>
                <w:tcPr>
                  <w:tcW w:w="1747" w:type="dxa"/>
                  <w:vAlign w:val="center"/>
                </w:tcPr>
                <w:p w14:paraId="695ACBBE">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&lt;10</w:t>
                  </w:r>
                </w:p>
              </w:tc>
              <w:tc>
                <w:tcPr>
                  <w:tcW w:w="1764" w:type="dxa"/>
                  <w:vAlign w:val="center"/>
                </w:tcPr>
                <w:p w14:paraId="1CBA74C3">
                  <w:pPr>
                    <w:jc w:val="center"/>
                    <w:rPr>
                      <w:rFonts w:ascii="Times New Roman" w:hAnsi="Times New Roman" w:cs="Times New Roman"/>
                      <w:snapToGrid w:val="0"/>
                      <w:color w:val="auto"/>
                      <w:szCs w:val="21"/>
                    </w:rPr>
                  </w:pPr>
                  <w:r>
                    <w:rPr>
                      <w:rFonts w:hint="eastAsia" w:cs="Times New Roman"/>
                      <w:snapToGrid w:val="0"/>
                      <w:color w:val="auto"/>
                      <w:szCs w:val="21"/>
                      <w:lang w:val="en-US" w:eastAsia="zh-CN"/>
                    </w:rPr>
                    <w:t>&lt;10</w:t>
                  </w:r>
                </w:p>
              </w:tc>
            </w:tr>
            <w:tr w14:paraId="44E4BD5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18" w:type="dxa"/>
                  <w:vMerge w:val="continue"/>
                  <w:vAlign w:val="center"/>
                </w:tcPr>
                <w:p w14:paraId="5B014FEA">
                  <w:pPr>
                    <w:jc w:val="center"/>
                    <w:rPr>
                      <w:rFonts w:hint="eastAsia" w:cs="Times New Roman"/>
                      <w:snapToGrid w:val="0"/>
                      <w:color w:val="auto"/>
                      <w:szCs w:val="21"/>
                      <w:lang w:eastAsia="zh-CN"/>
                    </w:rPr>
                  </w:pPr>
                </w:p>
              </w:tc>
              <w:tc>
                <w:tcPr>
                  <w:tcW w:w="1315" w:type="dxa"/>
                  <w:vAlign w:val="center"/>
                </w:tcPr>
                <w:p w14:paraId="00E76750">
                  <w:pPr>
                    <w:jc w:val="center"/>
                    <w:rPr>
                      <w:rFonts w:hint="eastAsia" w:ascii="Times New Roman" w:hAnsi="Times New Roman" w:eastAsia="宋体" w:cs="Times New Roman"/>
                      <w:snapToGrid w:val="0"/>
                      <w:color w:val="auto"/>
                      <w:szCs w:val="21"/>
                      <w:lang w:eastAsia="zh-CN"/>
                    </w:rPr>
                  </w:pPr>
                  <w:r>
                    <w:rPr>
                      <w:rFonts w:hint="eastAsia" w:cs="Times New Roman"/>
                      <w:snapToGrid w:val="0"/>
                      <w:color w:val="auto"/>
                      <w:szCs w:val="21"/>
                      <w:lang w:val="en-US" w:eastAsia="zh-CN"/>
                    </w:rPr>
                    <w:t>2025.06.09－例行监测</w:t>
                  </w:r>
                </w:p>
              </w:tc>
              <w:tc>
                <w:tcPr>
                  <w:tcW w:w="1161" w:type="dxa"/>
                  <w:shd w:val="clear" w:color="auto" w:fill="auto"/>
                  <w:vAlign w:val="center"/>
                </w:tcPr>
                <w:p w14:paraId="352AF850">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&lt;10</w:t>
                  </w:r>
                </w:p>
              </w:tc>
              <w:tc>
                <w:tcPr>
                  <w:tcW w:w="1693" w:type="dxa"/>
                  <w:shd w:val="clear" w:color="auto" w:fill="auto"/>
                  <w:vAlign w:val="center"/>
                </w:tcPr>
                <w:p w14:paraId="525A1F8F">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&lt;10</w:t>
                  </w:r>
                </w:p>
              </w:tc>
              <w:tc>
                <w:tcPr>
                  <w:tcW w:w="1747" w:type="dxa"/>
                  <w:shd w:val="clear" w:color="auto" w:fill="auto"/>
                  <w:vAlign w:val="center"/>
                </w:tcPr>
                <w:p w14:paraId="781A3CA8">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&lt;10</w:t>
                  </w:r>
                </w:p>
              </w:tc>
              <w:tc>
                <w:tcPr>
                  <w:tcW w:w="1764" w:type="dxa"/>
                  <w:shd w:val="clear" w:color="auto" w:fill="auto"/>
                  <w:vAlign w:val="center"/>
                </w:tcPr>
                <w:p w14:paraId="47F98E03">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&lt;10</w:t>
                  </w:r>
                </w:p>
              </w:tc>
            </w:tr>
            <w:tr w14:paraId="40B113C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18" w:type="dxa"/>
                  <w:vMerge w:val="continue"/>
                  <w:vAlign w:val="center"/>
                </w:tcPr>
                <w:p w14:paraId="18C22A68">
                  <w:pPr>
                    <w:jc w:val="center"/>
                    <w:rPr>
                      <w:rFonts w:hint="eastAsia" w:cs="Times New Roman"/>
                      <w:snapToGrid w:val="0"/>
                      <w:color w:val="auto"/>
                      <w:szCs w:val="21"/>
                      <w:lang w:eastAsia="zh-CN"/>
                    </w:rPr>
                  </w:pPr>
                </w:p>
              </w:tc>
              <w:tc>
                <w:tcPr>
                  <w:tcW w:w="1315" w:type="dxa"/>
                  <w:vAlign w:val="center"/>
                </w:tcPr>
                <w:p w14:paraId="600EFB70">
                  <w:pPr>
                    <w:jc w:val="center"/>
                    <w:rPr>
                      <w:rFonts w:hint="eastAsia" w:cs="Times New Roman"/>
                      <w:snapToGrid w:val="0"/>
                      <w:color w:val="auto"/>
                      <w:szCs w:val="21"/>
                      <w:lang w:val="en-US" w:eastAsia="zh-CN"/>
                    </w:rPr>
                  </w:pPr>
                  <w:r>
                    <w:rPr>
                      <w:rFonts w:hint="eastAsia" w:cs="Times New Roman"/>
                      <w:snapToGrid w:val="0"/>
                      <w:color w:val="auto"/>
                      <w:szCs w:val="21"/>
                      <w:lang w:val="en-US" w:eastAsia="zh-CN"/>
                    </w:rPr>
                    <w:t>2025.08.21－例行监测</w:t>
                  </w:r>
                </w:p>
              </w:tc>
              <w:tc>
                <w:tcPr>
                  <w:tcW w:w="1161" w:type="dxa"/>
                  <w:shd w:val="clear" w:color="auto" w:fill="auto"/>
                  <w:vAlign w:val="center"/>
                </w:tcPr>
                <w:p w14:paraId="0254B0DD">
                  <w:pPr>
                    <w:jc w:val="center"/>
                    <w:rPr>
                      <w:rFonts w:hint="eastAsia" w:cs="Times New Roman"/>
                      <w:snapToGrid w:val="0"/>
                      <w:color w:val="auto"/>
                      <w:szCs w:val="21"/>
                      <w:lang w:val="en-US" w:eastAsia="zh-CN"/>
                    </w:rPr>
                  </w:pPr>
                  <w:r>
                    <w:rPr>
                      <w:rFonts w:hint="eastAsia" w:cs="Times New Roman"/>
                      <w:snapToGrid w:val="0"/>
                      <w:color w:val="auto"/>
                      <w:szCs w:val="21"/>
                      <w:lang w:val="en-US" w:eastAsia="zh-CN"/>
                    </w:rPr>
                    <w:t>&lt;10</w:t>
                  </w:r>
                </w:p>
              </w:tc>
              <w:tc>
                <w:tcPr>
                  <w:tcW w:w="1693" w:type="dxa"/>
                  <w:shd w:val="clear" w:color="auto" w:fill="auto"/>
                  <w:vAlign w:val="center"/>
                </w:tcPr>
                <w:p w14:paraId="08EEF1C3">
                  <w:pPr>
                    <w:jc w:val="center"/>
                    <w:rPr>
                      <w:rFonts w:hint="eastAsia" w:cs="Times New Roman"/>
                      <w:snapToGrid w:val="0"/>
                      <w:color w:val="auto"/>
                      <w:szCs w:val="21"/>
                      <w:lang w:val="en-US" w:eastAsia="zh-CN"/>
                    </w:rPr>
                  </w:pPr>
                  <w:r>
                    <w:rPr>
                      <w:rFonts w:hint="eastAsia" w:cs="Times New Roman"/>
                      <w:snapToGrid w:val="0"/>
                      <w:color w:val="auto"/>
                      <w:szCs w:val="21"/>
                      <w:lang w:val="en-US" w:eastAsia="zh-CN"/>
                    </w:rPr>
                    <w:t>&lt;10</w:t>
                  </w:r>
                </w:p>
              </w:tc>
              <w:tc>
                <w:tcPr>
                  <w:tcW w:w="1747" w:type="dxa"/>
                  <w:shd w:val="clear" w:color="auto" w:fill="auto"/>
                  <w:vAlign w:val="center"/>
                </w:tcPr>
                <w:p w14:paraId="4D81CFF5">
                  <w:pPr>
                    <w:jc w:val="center"/>
                    <w:rPr>
                      <w:rFonts w:hint="eastAsia" w:cs="Times New Roman"/>
                      <w:snapToGrid w:val="0"/>
                      <w:color w:val="auto"/>
                      <w:szCs w:val="21"/>
                      <w:lang w:val="en-US" w:eastAsia="zh-CN"/>
                    </w:rPr>
                  </w:pPr>
                  <w:r>
                    <w:rPr>
                      <w:rFonts w:hint="eastAsia" w:cs="Times New Roman"/>
                      <w:snapToGrid w:val="0"/>
                      <w:color w:val="auto"/>
                      <w:szCs w:val="21"/>
                      <w:lang w:val="en-US" w:eastAsia="zh-CN"/>
                    </w:rPr>
                    <w:t>&lt;10</w:t>
                  </w:r>
                </w:p>
              </w:tc>
              <w:tc>
                <w:tcPr>
                  <w:tcW w:w="1764" w:type="dxa"/>
                  <w:shd w:val="clear" w:color="auto" w:fill="auto"/>
                  <w:vAlign w:val="center"/>
                </w:tcPr>
                <w:p w14:paraId="4A1C392F">
                  <w:pPr>
                    <w:jc w:val="center"/>
                    <w:rPr>
                      <w:rFonts w:hint="eastAsia" w:cs="Times New Roman"/>
                      <w:snapToGrid w:val="0"/>
                      <w:color w:val="auto"/>
                      <w:szCs w:val="21"/>
                      <w:lang w:val="en-US" w:eastAsia="zh-CN"/>
                    </w:rPr>
                  </w:pPr>
                  <w:r>
                    <w:rPr>
                      <w:rFonts w:hint="eastAsia" w:cs="Times New Roman"/>
                      <w:snapToGrid w:val="0"/>
                      <w:color w:val="auto"/>
                      <w:szCs w:val="21"/>
                      <w:lang w:val="en-US" w:eastAsia="zh-CN"/>
                    </w:rPr>
                    <w:t>&lt;10</w:t>
                  </w:r>
                </w:p>
              </w:tc>
            </w:tr>
            <w:tr w14:paraId="1D3B4C3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18" w:type="dxa"/>
                  <w:vMerge w:val="continue"/>
                  <w:vAlign w:val="center"/>
                </w:tcPr>
                <w:p w14:paraId="072766A5">
                  <w:pPr>
                    <w:jc w:val="center"/>
                    <w:rPr>
                      <w:rFonts w:hint="eastAsia" w:cs="Times New Roman"/>
                      <w:snapToGrid w:val="0"/>
                      <w:color w:val="auto"/>
                      <w:szCs w:val="21"/>
                      <w:lang w:eastAsia="zh-CN"/>
                    </w:rPr>
                  </w:pPr>
                </w:p>
              </w:tc>
              <w:tc>
                <w:tcPr>
                  <w:tcW w:w="1315" w:type="dxa"/>
                  <w:vAlign w:val="center"/>
                </w:tcPr>
                <w:p w14:paraId="070D305F">
                  <w:pPr>
                    <w:jc w:val="center"/>
                    <w:rPr>
                      <w:rFonts w:hint="eastAsia" w:cs="Times New Roman"/>
                      <w:snapToGrid w:val="0"/>
                      <w:color w:val="auto"/>
                      <w:szCs w:val="21"/>
                      <w:lang w:val="en-US" w:eastAsia="zh-CN"/>
                    </w:rPr>
                  </w:pPr>
                </w:p>
              </w:tc>
              <w:tc>
                <w:tcPr>
                  <w:tcW w:w="1161" w:type="dxa"/>
                  <w:shd w:val="clear" w:color="auto" w:fill="auto"/>
                  <w:vAlign w:val="center"/>
                </w:tcPr>
                <w:p w14:paraId="5F8C7CC7">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&lt;10</w:t>
                  </w:r>
                </w:p>
              </w:tc>
              <w:tc>
                <w:tcPr>
                  <w:tcW w:w="1693" w:type="dxa"/>
                  <w:shd w:val="clear" w:color="auto" w:fill="auto"/>
                  <w:vAlign w:val="center"/>
                </w:tcPr>
                <w:p w14:paraId="29C8F500">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&lt;10</w:t>
                  </w:r>
                </w:p>
              </w:tc>
              <w:tc>
                <w:tcPr>
                  <w:tcW w:w="1747" w:type="dxa"/>
                  <w:shd w:val="clear" w:color="auto" w:fill="auto"/>
                  <w:vAlign w:val="center"/>
                </w:tcPr>
                <w:p w14:paraId="0031774B">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&lt;10</w:t>
                  </w:r>
                </w:p>
              </w:tc>
              <w:tc>
                <w:tcPr>
                  <w:tcW w:w="1764" w:type="dxa"/>
                  <w:shd w:val="clear" w:color="auto" w:fill="auto"/>
                  <w:vAlign w:val="center"/>
                </w:tcPr>
                <w:p w14:paraId="4E72155C">
                  <w:pPr>
                    <w:jc w:val="center"/>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Cs w:val="21"/>
                      <w:lang w:val="en-US" w:eastAsia="zh-CN"/>
                    </w:rPr>
                    <w:t>&lt;10</w:t>
                  </w:r>
                </w:p>
              </w:tc>
            </w:tr>
            <w:tr w14:paraId="110E82D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033" w:type="dxa"/>
                  <w:gridSpan w:val="2"/>
                  <w:vAlign w:val="center"/>
                </w:tcPr>
                <w:p w14:paraId="2B8C681B">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执行标准</w:t>
                  </w:r>
                </w:p>
              </w:tc>
              <w:tc>
                <w:tcPr>
                  <w:tcW w:w="6365" w:type="dxa"/>
                  <w:gridSpan w:val="4"/>
                  <w:vAlign w:val="center"/>
                </w:tcPr>
                <w:p w14:paraId="00816390">
                  <w:pPr>
                    <w:jc w:val="center"/>
                    <w:rPr>
                      <w:rFonts w:hint="default"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20</w:t>
                  </w:r>
                </w:p>
              </w:tc>
            </w:tr>
            <w:tr w14:paraId="380C39C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033" w:type="dxa"/>
                  <w:gridSpan w:val="2"/>
                  <w:vAlign w:val="center"/>
                </w:tcPr>
                <w:p w14:paraId="118D206E">
                  <w:pPr>
                    <w:jc w:val="center"/>
                    <w:rPr>
                      <w:rFonts w:ascii="Times New Roman" w:hAnsi="Times New Roman" w:cs="Times New Roman"/>
                      <w:snapToGrid w:val="0"/>
                      <w:color w:val="auto"/>
                      <w:szCs w:val="21"/>
                    </w:rPr>
                  </w:pPr>
                  <w:r>
                    <w:rPr>
                      <w:rFonts w:hint="eastAsia" w:ascii="Times New Roman" w:hAnsi="Times New Roman" w:cs="Times New Roman"/>
                      <w:snapToGrid w:val="0"/>
                      <w:color w:val="auto"/>
                      <w:szCs w:val="21"/>
                    </w:rPr>
                    <w:t>标准来源</w:t>
                  </w:r>
                </w:p>
              </w:tc>
              <w:tc>
                <w:tcPr>
                  <w:tcW w:w="6365" w:type="dxa"/>
                  <w:gridSpan w:val="4"/>
                  <w:vAlign w:val="center"/>
                </w:tcPr>
                <w:p w14:paraId="72CD08D1">
                  <w:pPr>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w:t>
                  </w:r>
                  <w:r>
                    <w:rPr>
                      <w:rFonts w:hint="eastAsia" w:ascii="Times New Roman" w:hAnsi="Times New Roman" w:cs="Times New Roman"/>
                      <w:snapToGrid w:val="0"/>
                      <w:color w:val="auto"/>
                      <w:szCs w:val="21"/>
                    </w:rPr>
                    <w:t>恶臭污染物排放标准</w:t>
                  </w:r>
                  <w:r>
                    <w:rPr>
                      <w:rFonts w:ascii="Times New Roman" w:hAnsi="Times New Roman" w:cs="Times New Roman"/>
                      <w:snapToGrid w:val="0"/>
                      <w:color w:val="auto"/>
                      <w:szCs w:val="21"/>
                    </w:rPr>
                    <w:t>》</w:t>
                  </w:r>
                  <w:r>
                    <w:rPr>
                      <w:rFonts w:hint="eastAsia" w:cs="Times New Roman"/>
                      <w:snapToGrid w:val="0"/>
                      <w:color w:val="auto"/>
                      <w:szCs w:val="21"/>
                      <w:lang w:eastAsia="zh-CN"/>
                    </w:rPr>
                    <w:t>（</w:t>
                  </w:r>
                  <w:r>
                    <w:rPr>
                      <w:rFonts w:hint="eastAsia" w:ascii="Times New Roman" w:hAnsi="Times New Roman" w:cs="Times New Roman"/>
                      <w:snapToGrid w:val="0"/>
                      <w:color w:val="auto"/>
                      <w:szCs w:val="21"/>
                    </w:rPr>
                    <w:t>GB 14554-93</w:t>
                  </w:r>
                  <w:r>
                    <w:rPr>
                      <w:rFonts w:hint="eastAsia" w:cs="Times New Roman"/>
                      <w:snapToGrid w:val="0"/>
                      <w:color w:val="auto"/>
                      <w:szCs w:val="21"/>
                      <w:lang w:eastAsia="zh-CN"/>
                    </w:rPr>
                    <w:t>）</w:t>
                  </w:r>
                  <w:r>
                    <w:rPr>
                      <w:rFonts w:ascii="Times New Roman" w:hAnsi="Times New Roman" w:cs="Times New Roman"/>
                      <w:snapToGrid w:val="0"/>
                      <w:color w:val="auto"/>
                      <w:szCs w:val="21"/>
                    </w:rPr>
                    <w:t>表</w:t>
                  </w:r>
                  <w:r>
                    <w:rPr>
                      <w:rFonts w:hint="eastAsia" w:cs="Times New Roman"/>
                      <w:snapToGrid w:val="0"/>
                      <w:color w:val="auto"/>
                      <w:szCs w:val="21"/>
                      <w:lang w:val="en-US" w:eastAsia="zh-CN"/>
                    </w:rPr>
                    <w:t>1</w:t>
                  </w:r>
                  <w:r>
                    <w:rPr>
                      <w:rFonts w:hint="eastAsia" w:ascii="Times New Roman" w:hAnsi="Times New Roman" w:cs="Times New Roman"/>
                      <w:snapToGrid w:val="0"/>
                      <w:color w:val="auto"/>
                      <w:szCs w:val="21"/>
                    </w:rPr>
                    <w:t>标准限值</w:t>
                  </w:r>
                </w:p>
              </w:tc>
            </w:tr>
            <w:tr w14:paraId="388D067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033" w:type="dxa"/>
                  <w:gridSpan w:val="2"/>
                  <w:vAlign w:val="center"/>
                </w:tcPr>
                <w:p w14:paraId="085F1C91">
                  <w:pPr>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达标情况</w:t>
                  </w:r>
                </w:p>
              </w:tc>
              <w:tc>
                <w:tcPr>
                  <w:tcW w:w="6365" w:type="dxa"/>
                  <w:gridSpan w:val="4"/>
                  <w:vAlign w:val="center"/>
                </w:tcPr>
                <w:p w14:paraId="32B30A72">
                  <w:pPr>
                    <w:jc w:val="center"/>
                    <w:rPr>
                      <w:rFonts w:ascii="Times New Roman" w:hAnsi="Times New Roman" w:cs="Times New Roman"/>
                      <w:snapToGrid w:val="0"/>
                      <w:color w:val="auto"/>
                      <w:szCs w:val="21"/>
                    </w:rPr>
                  </w:pPr>
                  <w:r>
                    <w:rPr>
                      <w:rFonts w:ascii="Times New Roman" w:hAnsi="Times New Roman" w:cs="Times New Roman"/>
                      <w:snapToGrid w:val="0"/>
                      <w:color w:val="auto"/>
                      <w:szCs w:val="21"/>
                    </w:rPr>
                    <w:t>达标</w:t>
                  </w:r>
                </w:p>
              </w:tc>
            </w:tr>
          </w:tbl>
          <w:p w14:paraId="55678B01">
            <w:pPr>
              <w:adjustRightInd w:val="0"/>
              <w:snapToGrid w:val="0"/>
              <w:spacing w:beforeLines="50" w:line="360" w:lineRule="auto"/>
              <w:ind w:firstLine="480" w:firstLineChars="200"/>
              <w:rPr>
                <w:rFonts w:hint="eastAsia" w:ascii="Times New Roman" w:hAnsi="Times New Roman" w:eastAsia="宋体" w:cs="Times New Roman"/>
                <w:color w:val="auto"/>
                <w:sz w:val="24"/>
                <w:lang w:eastAsia="zh-CN"/>
              </w:rPr>
            </w:pPr>
            <w:r>
              <w:rPr>
                <w:rFonts w:ascii="Times New Roman" w:hAnsi="Times New Roman" w:cs="Times New Roman"/>
                <w:color w:val="auto"/>
                <w:sz w:val="24"/>
              </w:rPr>
              <w:t>监测结果表明，验收监测</w:t>
            </w:r>
            <w:r>
              <w:rPr>
                <w:rFonts w:hint="eastAsia" w:cs="Times New Roman"/>
                <w:color w:val="auto"/>
                <w:sz w:val="24"/>
                <w:lang w:eastAsia="zh-CN"/>
              </w:rPr>
              <w:t>、例行监测</w:t>
            </w:r>
            <w:r>
              <w:rPr>
                <w:rFonts w:ascii="Times New Roman" w:hAnsi="Times New Roman" w:cs="Times New Roman"/>
                <w:color w:val="auto"/>
                <w:sz w:val="24"/>
              </w:rPr>
              <w:t>期间：企业</w:t>
            </w:r>
            <w:r>
              <w:rPr>
                <w:rFonts w:hint="eastAsia" w:cs="Times New Roman"/>
                <w:color w:val="auto"/>
                <w:sz w:val="24"/>
                <w:lang w:eastAsia="zh-CN"/>
              </w:rPr>
              <w:t>氯化氢、氯气、</w:t>
            </w:r>
            <w:r>
              <w:rPr>
                <w:rFonts w:ascii="Times New Roman" w:hAnsi="Times New Roman" w:cs="Times New Roman"/>
                <w:color w:val="auto"/>
                <w:sz w:val="24"/>
              </w:rPr>
              <w:t>颗粒物无组织排放满足《大气污染物综合排放标准》（DB32/4041-2021）表3标准限值要求</w:t>
            </w:r>
            <w:r>
              <w:rPr>
                <w:rFonts w:hint="eastAsia" w:cs="Times New Roman"/>
                <w:color w:val="auto"/>
                <w:sz w:val="24"/>
                <w:lang w:eastAsia="zh-CN"/>
              </w:rPr>
              <w:t>；氨</w:t>
            </w:r>
            <w:r>
              <w:rPr>
                <w:rFonts w:ascii="Times New Roman" w:hAnsi="Times New Roman" w:cs="Times New Roman"/>
                <w:color w:val="auto"/>
                <w:sz w:val="24"/>
              </w:rPr>
              <w:t>、</w:t>
            </w:r>
            <w:r>
              <w:rPr>
                <w:rFonts w:hint="eastAsia" w:cs="Times New Roman"/>
                <w:color w:val="auto"/>
                <w:sz w:val="24"/>
                <w:lang w:eastAsia="zh-CN"/>
              </w:rPr>
              <w:t>硫化氢</w:t>
            </w:r>
            <w:r>
              <w:rPr>
                <w:rFonts w:ascii="Times New Roman" w:hAnsi="Times New Roman" w:cs="Times New Roman"/>
                <w:color w:val="auto"/>
                <w:sz w:val="24"/>
              </w:rPr>
              <w:t>、</w:t>
            </w:r>
            <w:r>
              <w:rPr>
                <w:rFonts w:hint="eastAsia" w:cs="Times New Roman"/>
                <w:color w:val="auto"/>
                <w:sz w:val="24"/>
                <w:lang w:eastAsia="zh-CN"/>
              </w:rPr>
              <w:t>臭气浓度</w:t>
            </w:r>
            <w:r>
              <w:rPr>
                <w:rFonts w:ascii="Times New Roman" w:hAnsi="Times New Roman" w:cs="Times New Roman"/>
                <w:color w:val="auto"/>
                <w:sz w:val="24"/>
              </w:rPr>
              <w:t>无组织排放满足</w:t>
            </w:r>
            <w:r>
              <w:rPr>
                <w:rFonts w:hint="eastAsia" w:ascii="Times New Roman" w:hAnsi="Times New Roman" w:cs="Times New Roman"/>
                <w:color w:val="auto"/>
                <w:sz w:val="24"/>
              </w:rPr>
              <w:t>《恶臭污染物排放标准》</w:t>
            </w:r>
            <w:r>
              <w:rPr>
                <w:rFonts w:hint="eastAsia" w:cs="Times New Roman"/>
                <w:color w:val="auto"/>
                <w:sz w:val="24"/>
                <w:lang w:eastAsia="zh-CN"/>
              </w:rPr>
              <w:t>（</w:t>
            </w:r>
            <w:r>
              <w:rPr>
                <w:rFonts w:hint="eastAsia" w:ascii="Times New Roman" w:hAnsi="Times New Roman" w:cs="Times New Roman"/>
                <w:color w:val="auto"/>
                <w:sz w:val="24"/>
              </w:rPr>
              <w:t>GB 14554-93</w:t>
            </w:r>
            <w:r>
              <w:rPr>
                <w:rFonts w:hint="eastAsia" w:cs="Times New Roman"/>
                <w:color w:val="auto"/>
                <w:sz w:val="24"/>
                <w:lang w:eastAsia="zh-CN"/>
              </w:rPr>
              <w:t>）</w:t>
            </w:r>
            <w:r>
              <w:rPr>
                <w:rFonts w:hint="eastAsia" w:ascii="Times New Roman" w:hAnsi="Times New Roman" w:cs="Times New Roman"/>
                <w:color w:val="auto"/>
                <w:sz w:val="24"/>
              </w:rPr>
              <w:t>表1</w:t>
            </w:r>
            <w:r>
              <w:rPr>
                <w:rFonts w:ascii="Times New Roman" w:hAnsi="Times New Roman" w:cs="Times New Roman"/>
                <w:color w:val="auto"/>
                <w:sz w:val="24"/>
              </w:rPr>
              <w:t>标准限值要求</w:t>
            </w:r>
            <w:r>
              <w:rPr>
                <w:rFonts w:hint="eastAsia" w:cs="Times New Roman"/>
                <w:color w:val="auto"/>
                <w:sz w:val="24"/>
                <w:lang w:eastAsia="zh-CN"/>
              </w:rPr>
              <w:t>。</w:t>
            </w:r>
          </w:p>
          <w:p w14:paraId="7157FC6F">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B.废水</w:t>
            </w:r>
          </w:p>
          <w:p w14:paraId="16B43370">
            <w:pPr>
              <w:tabs>
                <w:tab w:val="left" w:pos="1800"/>
              </w:tabs>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企业</w:t>
            </w:r>
            <w:r>
              <w:rPr>
                <w:rFonts w:ascii="Times New Roman" w:hAnsi="Times New Roman" w:cs="Times New Roman"/>
                <w:color w:val="auto"/>
                <w:sz w:val="24"/>
                <w:lang w:val="fr-FR"/>
              </w:rPr>
              <w:t>现有项目</w:t>
            </w:r>
            <w:r>
              <w:rPr>
                <w:rFonts w:hint="eastAsia" w:cs="Times New Roman"/>
                <w:color w:val="auto"/>
                <w:sz w:val="24"/>
                <w:lang w:val="fr-FR" w:eastAsia="zh-CN"/>
              </w:rPr>
              <w:t>生产</w:t>
            </w:r>
            <w:r>
              <w:rPr>
                <w:rFonts w:hint="eastAsia" w:ascii="Times New Roman" w:hAnsi="Times New Roman" w:cs="Times New Roman"/>
                <w:color w:val="auto"/>
                <w:sz w:val="24"/>
                <w:lang w:val="fr-FR"/>
              </w:rPr>
              <w:t>废水主要包括废气治理喷淋废水、氯化釜清洗废水、包装瓶清洗废水、循环冷却系统旁滤水处理反冲洗水、初期雨水</w:t>
            </w:r>
            <w:r>
              <w:rPr>
                <w:rFonts w:hint="eastAsia" w:cs="Times New Roman"/>
                <w:color w:val="auto"/>
                <w:sz w:val="24"/>
                <w:lang w:val="fr-FR" w:eastAsia="zh-CN"/>
              </w:rPr>
              <w:t>等，</w:t>
            </w:r>
            <w:r>
              <w:rPr>
                <w:rFonts w:hint="eastAsia" w:ascii="Times New Roman" w:hAnsi="Times New Roman" w:cs="Times New Roman"/>
                <w:color w:val="auto"/>
                <w:sz w:val="24"/>
                <w:lang w:val="fr-FR"/>
              </w:rPr>
              <w:t>经厂区污水处理站（调节 PH+化学除磷+混凝沉淀）处理</w:t>
            </w:r>
            <w:r>
              <w:rPr>
                <w:rFonts w:hint="eastAsia" w:cs="Times New Roman"/>
                <w:color w:val="auto"/>
                <w:sz w:val="24"/>
                <w:lang w:val="fr-FR" w:eastAsia="zh-CN"/>
              </w:rPr>
              <w:t>达到</w:t>
            </w:r>
            <w:r>
              <w:rPr>
                <w:rFonts w:hint="eastAsia" w:ascii="Times New Roman" w:hAnsi="Times New Roman" w:cs="Times New Roman"/>
                <w:color w:val="auto"/>
                <w:sz w:val="24"/>
                <w:lang w:val="fr-FR"/>
              </w:rPr>
              <w:t>接管标准后</w:t>
            </w:r>
            <w:r>
              <w:rPr>
                <w:rFonts w:hint="eastAsia" w:cs="Times New Roman"/>
                <w:color w:val="auto"/>
                <w:sz w:val="24"/>
                <w:lang w:val="fr-FR" w:eastAsia="zh-CN"/>
              </w:rPr>
              <w:t>与经过化粪池处理的生活污水汇合</w:t>
            </w:r>
            <w:r>
              <w:rPr>
                <w:rFonts w:hint="eastAsia" w:ascii="Times New Roman" w:hAnsi="Times New Roman" w:cs="Times New Roman"/>
                <w:color w:val="auto"/>
                <w:sz w:val="24"/>
                <w:lang w:val="fr-FR"/>
              </w:rPr>
              <w:t>，接管至薛行污水处理厂</w:t>
            </w:r>
            <w:r>
              <w:rPr>
                <w:rFonts w:hint="eastAsia" w:ascii="Times New Roman" w:hAnsi="Times New Roman" w:cs="Times New Roman"/>
                <w:color w:val="auto"/>
                <w:sz w:val="24"/>
              </w:rPr>
              <w:t>。</w:t>
            </w:r>
          </w:p>
          <w:p w14:paraId="4A617584">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w:t>
            </w:r>
            <w:r>
              <w:rPr>
                <w:rFonts w:hint="eastAsia" w:cs="Times New Roman"/>
                <w:color w:val="auto"/>
                <w:sz w:val="24"/>
                <w:lang w:eastAsia="zh-CN"/>
              </w:rPr>
              <w:t>现有项目例行检测报告</w:t>
            </w:r>
            <w:r>
              <w:rPr>
                <w:rFonts w:ascii="Times New Roman" w:hAnsi="Times New Roman" w:cs="Times New Roman"/>
                <w:color w:val="auto"/>
                <w:sz w:val="24"/>
              </w:rPr>
              <w:t>，现有项目废水排放</w:t>
            </w:r>
            <w:r>
              <w:rPr>
                <w:rFonts w:hint="eastAsia" w:cs="Times New Roman"/>
                <w:color w:val="auto"/>
                <w:sz w:val="24"/>
                <w:lang w:eastAsia="zh-CN"/>
              </w:rPr>
              <w:t>情况</w:t>
            </w:r>
            <w:r>
              <w:rPr>
                <w:rFonts w:ascii="Times New Roman" w:hAnsi="Times New Roman" w:cs="Times New Roman"/>
                <w:color w:val="auto"/>
                <w:sz w:val="24"/>
              </w:rPr>
              <w:t>见表2-1</w:t>
            </w:r>
            <w:r>
              <w:rPr>
                <w:rFonts w:hint="eastAsia" w:cs="Times New Roman"/>
                <w:color w:val="auto"/>
                <w:sz w:val="24"/>
                <w:lang w:val="en-US" w:eastAsia="zh-CN"/>
              </w:rPr>
              <w:t>5</w:t>
            </w:r>
            <w:r>
              <w:rPr>
                <w:rFonts w:hint="eastAsia" w:ascii="Times New Roman" w:hAnsi="Times New Roman" w:cs="Times New Roman"/>
                <w:color w:val="auto"/>
                <w:sz w:val="24"/>
              </w:rPr>
              <w:t>。</w:t>
            </w:r>
          </w:p>
          <w:p w14:paraId="3A5AB9DA">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bCs/>
                <w:color w:val="auto"/>
                <w:szCs w:val="21"/>
              </w:rPr>
            </w:pPr>
            <w:r>
              <w:rPr>
                <w:rFonts w:ascii="Times New Roman" w:hAnsi="Times New Roman" w:cs="Times New Roman"/>
                <w:b/>
                <w:color w:val="auto"/>
                <w:sz w:val="24"/>
              </w:rPr>
              <w:t>表2-1</w:t>
            </w:r>
            <w:r>
              <w:rPr>
                <w:rFonts w:hint="eastAsia" w:cs="Times New Roman"/>
                <w:b/>
                <w:color w:val="auto"/>
                <w:sz w:val="24"/>
                <w:lang w:val="en-US" w:eastAsia="zh-CN"/>
              </w:rPr>
              <w:t>5</w:t>
            </w:r>
            <w:r>
              <w:rPr>
                <w:rFonts w:hint="eastAsia" w:ascii="Times New Roman" w:hAnsi="Times New Roman" w:cs="Times New Roman"/>
                <w:b/>
                <w:color w:val="auto"/>
                <w:sz w:val="24"/>
              </w:rPr>
              <w:t xml:space="preserve">  </w:t>
            </w:r>
            <w:r>
              <w:rPr>
                <w:rFonts w:ascii="Times New Roman" w:hAnsi="Times New Roman" w:cs="Times New Roman"/>
                <w:b/>
                <w:color w:val="auto"/>
                <w:sz w:val="24"/>
              </w:rPr>
              <w:t xml:space="preserve">废水监测结果及评价    </w:t>
            </w:r>
            <w:r>
              <w:rPr>
                <w:rFonts w:ascii="Times New Roman" w:hAnsi="Times New Roman" w:cs="Times New Roman"/>
                <w:bCs/>
                <w:color w:val="auto"/>
                <w:szCs w:val="21"/>
              </w:rPr>
              <w:t>单位：mg/L（pH无量纲）</w:t>
            </w:r>
          </w:p>
          <w:tbl>
            <w:tblPr>
              <w:tblStyle w:val="88"/>
              <w:tblW w:w="83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1469"/>
              <w:gridCol w:w="1615"/>
              <w:gridCol w:w="1398"/>
              <w:gridCol w:w="1120"/>
              <w:gridCol w:w="1123"/>
            </w:tblGrid>
            <w:tr w14:paraId="6BBE7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0" w:type="dxa"/>
                  <w:vAlign w:val="center"/>
                </w:tcPr>
                <w:p w14:paraId="5C2DE353">
                  <w:pPr>
                    <w:adjustRightInd w:val="0"/>
                    <w:snapToGrid w:val="0"/>
                    <w:jc w:val="center"/>
                    <w:rPr>
                      <w:rFonts w:hint="eastAsia" w:cs="Times New Roman"/>
                      <w:color w:val="auto"/>
                      <w:szCs w:val="21"/>
                      <w:lang w:eastAsia="zh-CN"/>
                    </w:rPr>
                  </w:pPr>
                  <w:r>
                    <w:rPr>
                      <w:rFonts w:ascii="Times New Roman" w:hAnsi="Times New Roman" w:cs="Times New Roman"/>
                      <w:color w:val="auto"/>
                      <w:szCs w:val="21"/>
                    </w:rPr>
                    <w:t>监测点位</w:t>
                  </w:r>
                </w:p>
              </w:tc>
              <w:tc>
                <w:tcPr>
                  <w:tcW w:w="6725" w:type="dxa"/>
                  <w:gridSpan w:val="5"/>
                  <w:vAlign w:val="center"/>
                </w:tcPr>
                <w:p w14:paraId="2F31F396">
                  <w:pPr>
                    <w:adjustRightInd w:val="0"/>
                    <w:snapToGrid w:val="0"/>
                    <w:jc w:val="center"/>
                    <w:rPr>
                      <w:rFonts w:hint="eastAsia" w:ascii="Times New Roman" w:hAnsi="Times New Roman" w:cs="Times New Roman"/>
                      <w:color w:val="auto"/>
                      <w:szCs w:val="21"/>
                    </w:rPr>
                  </w:pPr>
                  <w:r>
                    <w:rPr>
                      <w:rFonts w:hint="eastAsia" w:cs="Times New Roman"/>
                      <w:color w:val="auto"/>
                      <w:szCs w:val="21"/>
                      <w:lang w:eastAsia="zh-CN"/>
                    </w:rPr>
                    <w:t>污水总排口</w:t>
                  </w:r>
                </w:p>
              </w:tc>
            </w:tr>
            <w:tr w14:paraId="55743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0" w:type="dxa"/>
                  <w:vMerge w:val="restart"/>
                  <w:vAlign w:val="center"/>
                </w:tcPr>
                <w:p w14:paraId="574EDBD4">
                  <w:pPr>
                    <w:adjustRightInd w:val="0"/>
                    <w:snapToGrid w:val="0"/>
                    <w:jc w:val="center"/>
                    <w:rPr>
                      <w:rFonts w:hint="eastAsia" w:cs="Times New Roman"/>
                      <w:color w:val="auto"/>
                      <w:szCs w:val="21"/>
                      <w:lang w:eastAsia="zh-CN"/>
                    </w:rPr>
                  </w:pPr>
                  <w:r>
                    <w:rPr>
                      <w:rFonts w:ascii="Times New Roman" w:hAnsi="Times New Roman" w:cs="Times New Roman"/>
                      <w:color w:val="auto"/>
                      <w:szCs w:val="21"/>
                    </w:rPr>
                    <w:t>检测项目</w:t>
                  </w:r>
                </w:p>
              </w:tc>
              <w:tc>
                <w:tcPr>
                  <w:tcW w:w="6725" w:type="dxa"/>
                  <w:gridSpan w:val="5"/>
                  <w:vAlign w:val="center"/>
                </w:tcPr>
                <w:p w14:paraId="62577169">
                  <w:pPr>
                    <w:adjustRightInd w:val="0"/>
                    <w:snapToGrid w:val="0"/>
                    <w:jc w:val="center"/>
                    <w:rPr>
                      <w:rFonts w:hint="eastAsia" w:ascii="Times New Roman" w:hAnsi="Times New Roman" w:cs="Times New Roman"/>
                      <w:color w:val="auto"/>
                      <w:szCs w:val="21"/>
                    </w:rPr>
                  </w:pPr>
                  <w:r>
                    <w:rPr>
                      <w:rFonts w:ascii="Times New Roman" w:hAnsi="Times New Roman" w:cs="Times New Roman"/>
                      <w:color w:val="auto"/>
                      <w:szCs w:val="21"/>
                    </w:rPr>
                    <w:t>检测结果</w:t>
                  </w:r>
                </w:p>
              </w:tc>
            </w:tr>
            <w:tr w14:paraId="6345A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0" w:type="dxa"/>
                  <w:vMerge w:val="continue"/>
                  <w:shd w:val="clear" w:color="auto" w:fill="auto"/>
                  <w:vAlign w:val="center"/>
                </w:tcPr>
                <w:p w14:paraId="698B6419">
                  <w:pPr>
                    <w:adjustRightInd w:val="0"/>
                    <w:snapToGrid w:val="0"/>
                    <w:jc w:val="center"/>
                    <w:rPr>
                      <w:rFonts w:ascii="Times New Roman" w:hAnsi="Times New Roman" w:cs="Times New Roman"/>
                      <w:color w:val="auto"/>
                      <w:szCs w:val="21"/>
                    </w:rPr>
                  </w:pPr>
                </w:p>
              </w:tc>
              <w:tc>
                <w:tcPr>
                  <w:tcW w:w="1469" w:type="dxa"/>
                  <w:shd w:val="clear" w:color="auto" w:fill="auto"/>
                  <w:vAlign w:val="center"/>
                </w:tcPr>
                <w:p w14:paraId="5A6D45E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2025.06.09－例行监测</w:t>
                  </w:r>
                </w:p>
              </w:tc>
              <w:tc>
                <w:tcPr>
                  <w:tcW w:w="1615" w:type="dxa"/>
                  <w:shd w:val="clear" w:color="auto" w:fill="auto"/>
                  <w:vAlign w:val="center"/>
                </w:tcPr>
                <w:p w14:paraId="19342D8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202</w:t>
                  </w:r>
                  <w:r>
                    <w:rPr>
                      <w:rFonts w:hint="eastAsia" w:cs="Times New Roman"/>
                      <w:color w:val="auto"/>
                      <w:szCs w:val="21"/>
                      <w:lang w:val="en-US" w:eastAsia="zh-CN"/>
                    </w:rPr>
                    <w:t>5.08.21－验收监测</w:t>
                  </w:r>
                </w:p>
              </w:tc>
              <w:tc>
                <w:tcPr>
                  <w:tcW w:w="1398" w:type="dxa"/>
                  <w:shd w:val="clear" w:color="auto" w:fill="auto"/>
                  <w:vAlign w:val="center"/>
                </w:tcPr>
                <w:p w14:paraId="1F137FB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202</w:t>
                  </w:r>
                  <w:r>
                    <w:rPr>
                      <w:rFonts w:hint="eastAsia" w:cs="Times New Roman"/>
                      <w:color w:val="auto"/>
                      <w:szCs w:val="21"/>
                      <w:lang w:val="en-US" w:eastAsia="zh-CN"/>
                    </w:rPr>
                    <w:t>5.10.12－例行监测</w:t>
                  </w:r>
                </w:p>
              </w:tc>
              <w:tc>
                <w:tcPr>
                  <w:tcW w:w="1120" w:type="dxa"/>
                  <w:shd w:val="clear" w:color="auto" w:fill="auto"/>
                  <w:vAlign w:val="center"/>
                </w:tcPr>
                <w:p w14:paraId="3C92595E">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单位</w:t>
                  </w:r>
                </w:p>
              </w:tc>
              <w:tc>
                <w:tcPr>
                  <w:tcW w:w="1123" w:type="dxa"/>
                  <w:shd w:val="clear" w:color="auto" w:fill="auto"/>
                  <w:vAlign w:val="center"/>
                </w:tcPr>
                <w:p w14:paraId="2550E987">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标准值</w:t>
                  </w:r>
                </w:p>
              </w:tc>
            </w:tr>
            <w:tr w14:paraId="12089C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0" w:type="dxa"/>
                  <w:shd w:val="clear" w:color="auto" w:fill="auto"/>
                  <w:vAlign w:val="center"/>
                </w:tcPr>
                <w:p w14:paraId="2B5B5EFA">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pH值</w:t>
                  </w:r>
                </w:p>
              </w:tc>
              <w:tc>
                <w:tcPr>
                  <w:tcW w:w="1469" w:type="dxa"/>
                  <w:shd w:val="clear" w:color="auto" w:fill="auto"/>
                  <w:vAlign w:val="center"/>
                </w:tcPr>
                <w:p w14:paraId="0E87177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8.3-8.5</w:t>
                  </w:r>
                </w:p>
              </w:tc>
              <w:tc>
                <w:tcPr>
                  <w:tcW w:w="1615" w:type="dxa"/>
                  <w:shd w:val="clear" w:color="auto" w:fill="auto"/>
                  <w:vAlign w:val="center"/>
                </w:tcPr>
                <w:p w14:paraId="7E7738E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7.7-8.0</w:t>
                  </w:r>
                </w:p>
              </w:tc>
              <w:tc>
                <w:tcPr>
                  <w:tcW w:w="1398" w:type="dxa"/>
                  <w:shd w:val="clear" w:color="auto" w:fill="auto"/>
                  <w:vAlign w:val="center"/>
                </w:tcPr>
                <w:p w14:paraId="78AAB2CC">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6.5-6.6</w:t>
                  </w:r>
                </w:p>
              </w:tc>
              <w:tc>
                <w:tcPr>
                  <w:tcW w:w="1120" w:type="dxa"/>
                  <w:shd w:val="clear" w:color="auto" w:fill="auto"/>
                  <w:vAlign w:val="center"/>
                </w:tcPr>
                <w:p w14:paraId="09A6A992">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无量纲</w:t>
                  </w:r>
                </w:p>
              </w:tc>
              <w:tc>
                <w:tcPr>
                  <w:tcW w:w="1123" w:type="dxa"/>
                  <w:shd w:val="clear" w:color="auto" w:fill="auto"/>
                  <w:vAlign w:val="center"/>
                </w:tcPr>
                <w:p w14:paraId="51413B9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6-9</w:t>
                  </w:r>
                </w:p>
              </w:tc>
            </w:tr>
            <w:tr w14:paraId="5A26FD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0" w:type="dxa"/>
                  <w:shd w:val="clear" w:color="auto" w:fill="auto"/>
                  <w:vAlign w:val="center"/>
                </w:tcPr>
                <w:p w14:paraId="026085A5">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化学需氧量</w:t>
                  </w:r>
                </w:p>
              </w:tc>
              <w:tc>
                <w:tcPr>
                  <w:tcW w:w="1469" w:type="dxa"/>
                  <w:shd w:val="clear" w:color="auto" w:fill="auto"/>
                  <w:vAlign w:val="center"/>
                </w:tcPr>
                <w:p w14:paraId="774150A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37-40</w:t>
                  </w:r>
                </w:p>
              </w:tc>
              <w:tc>
                <w:tcPr>
                  <w:tcW w:w="1615" w:type="dxa"/>
                  <w:shd w:val="clear" w:color="auto" w:fill="auto"/>
                  <w:vAlign w:val="center"/>
                </w:tcPr>
                <w:p w14:paraId="230D082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14-24</w:t>
                  </w:r>
                </w:p>
              </w:tc>
              <w:tc>
                <w:tcPr>
                  <w:tcW w:w="1398" w:type="dxa"/>
                  <w:shd w:val="clear" w:color="auto" w:fill="auto"/>
                  <w:vAlign w:val="center"/>
                </w:tcPr>
                <w:p w14:paraId="486FCD53">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16-17</w:t>
                  </w:r>
                </w:p>
              </w:tc>
              <w:tc>
                <w:tcPr>
                  <w:tcW w:w="1120" w:type="dxa"/>
                  <w:shd w:val="clear" w:color="auto" w:fill="auto"/>
                  <w:vAlign w:val="center"/>
                </w:tcPr>
                <w:p w14:paraId="2BC48433">
                  <w:pPr>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mg/L</w:t>
                  </w:r>
                </w:p>
              </w:tc>
              <w:tc>
                <w:tcPr>
                  <w:tcW w:w="1123" w:type="dxa"/>
                  <w:shd w:val="clear" w:color="auto" w:fill="auto"/>
                  <w:vAlign w:val="center"/>
                </w:tcPr>
                <w:p w14:paraId="3F7835EB">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300</w:t>
                  </w:r>
                </w:p>
              </w:tc>
            </w:tr>
            <w:tr w14:paraId="766A73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0" w:type="dxa"/>
                  <w:shd w:val="clear" w:color="auto" w:fill="auto"/>
                  <w:vAlign w:val="center"/>
                </w:tcPr>
                <w:p w14:paraId="01B13420">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悬浮物</w:t>
                  </w:r>
                </w:p>
              </w:tc>
              <w:tc>
                <w:tcPr>
                  <w:tcW w:w="1469" w:type="dxa"/>
                  <w:shd w:val="clear" w:color="auto" w:fill="auto"/>
                  <w:vAlign w:val="center"/>
                </w:tcPr>
                <w:p w14:paraId="2CC2AFF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7-8</w:t>
                  </w:r>
                </w:p>
              </w:tc>
              <w:tc>
                <w:tcPr>
                  <w:tcW w:w="1615" w:type="dxa"/>
                  <w:shd w:val="clear" w:color="auto" w:fill="auto"/>
                  <w:vAlign w:val="center"/>
                </w:tcPr>
                <w:p w14:paraId="1922130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8-9</w:t>
                  </w:r>
                </w:p>
              </w:tc>
              <w:tc>
                <w:tcPr>
                  <w:tcW w:w="1398" w:type="dxa"/>
                  <w:shd w:val="clear" w:color="auto" w:fill="auto"/>
                  <w:vAlign w:val="center"/>
                </w:tcPr>
                <w:p w14:paraId="48A1ABF9">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7-9</w:t>
                  </w:r>
                </w:p>
              </w:tc>
              <w:tc>
                <w:tcPr>
                  <w:tcW w:w="1120" w:type="dxa"/>
                  <w:shd w:val="clear" w:color="auto" w:fill="auto"/>
                  <w:vAlign w:val="center"/>
                </w:tcPr>
                <w:p w14:paraId="7FE3FAB1">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mg/L</w:t>
                  </w:r>
                </w:p>
              </w:tc>
              <w:tc>
                <w:tcPr>
                  <w:tcW w:w="1123" w:type="dxa"/>
                  <w:shd w:val="clear" w:color="auto" w:fill="auto"/>
                  <w:vAlign w:val="center"/>
                </w:tcPr>
                <w:p w14:paraId="35BA965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100</w:t>
                  </w:r>
                </w:p>
              </w:tc>
            </w:tr>
            <w:tr w14:paraId="4C540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0" w:type="dxa"/>
                  <w:shd w:val="clear" w:color="auto" w:fill="auto"/>
                  <w:vAlign w:val="center"/>
                </w:tcPr>
                <w:p w14:paraId="3590399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氨氮</w:t>
                  </w:r>
                </w:p>
              </w:tc>
              <w:tc>
                <w:tcPr>
                  <w:tcW w:w="1469" w:type="dxa"/>
                  <w:shd w:val="clear" w:color="auto" w:fill="auto"/>
                  <w:vAlign w:val="center"/>
                </w:tcPr>
                <w:p w14:paraId="0437BC9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0.228-0.327</w:t>
                  </w:r>
                </w:p>
              </w:tc>
              <w:tc>
                <w:tcPr>
                  <w:tcW w:w="1615" w:type="dxa"/>
                  <w:shd w:val="clear" w:color="auto" w:fill="auto"/>
                  <w:vAlign w:val="center"/>
                </w:tcPr>
                <w:p w14:paraId="5482797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2.60-2.88</w:t>
                  </w:r>
                </w:p>
              </w:tc>
              <w:tc>
                <w:tcPr>
                  <w:tcW w:w="1398" w:type="dxa"/>
                  <w:shd w:val="clear" w:color="auto" w:fill="auto"/>
                  <w:vAlign w:val="center"/>
                </w:tcPr>
                <w:p w14:paraId="39D9FC38">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0.106-0.139</w:t>
                  </w:r>
                </w:p>
              </w:tc>
              <w:tc>
                <w:tcPr>
                  <w:tcW w:w="1120" w:type="dxa"/>
                  <w:shd w:val="clear" w:color="auto" w:fill="auto"/>
                  <w:vAlign w:val="center"/>
                </w:tcPr>
                <w:p w14:paraId="620D5FF0">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mg/L</w:t>
                  </w:r>
                </w:p>
              </w:tc>
              <w:tc>
                <w:tcPr>
                  <w:tcW w:w="1123" w:type="dxa"/>
                  <w:shd w:val="clear" w:color="auto" w:fill="auto"/>
                  <w:vAlign w:val="center"/>
                </w:tcPr>
                <w:p w14:paraId="5F14F10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30</w:t>
                  </w:r>
                </w:p>
              </w:tc>
            </w:tr>
            <w:tr w14:paraId="11C9CC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0" w:type="dxa"/>
                  <w:shd w:val="clear" w:color="auto" w:fill="auto"/>
                  <w:vAlign w:val="center"/>
                </w:tcPr>
                <w:p w14:paraId="2465AFA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总磷</w:t>
                  </w:r>
                </w:p>
              </w:tc>
              <w:tc>
                <w:tcPr>
                  <w:tcW w:w="1469" w:type="dxa"/>
                  <w:shd w:val="clear" w:color="auto" w:fill="auto"/>
                  <w:vAlign w:val="center"/>
                </w:tcPr>
                <w:p w14:paraId="1250458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0.16</w:t>
                  </w:r>
                </w:p>
              </w:tc>
              <w:tc>
                <w:tcPr>
                  <w:tcW w:w="1615" w:type="dxa"/>
                  <w:shd w:val="clear" w:color="auto" w:fill="auto"/>
                  <w:vAlign w:val="center"/>
                </w:tcPr>
                <w:p w14:paraId="64729D3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0.12-0.13</w:t>
                  </w:r>
                </w:p>
              </w:tc>
              <w:tc>
                <w:tcPr>
                  <w:tcW w:w="1398" w:type="dxa"/>
                  <w:shd w:val="clear" w:color="auto" w:fill="auto"/>
                  <w:vAlign w:val="center"/>
                </w:tcPr>
                <w:p w14:paraId="6BFDE1BB">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0.10-0.12</w:t>
                  </w:r>
                </w:p>
              </w:tc>
              <w:tc>
                <w:tcPr>
                  <w:tcW w:w="1120" w:type="dxa"/>
                  <w:shd w:val="clear" w:color="auto" w:fill="auto"/>
                  <w:vAlign w:val="center"/>
                </w:tcPr>
                <w:p w14:paraId="01DC4A57">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mg/L</w:t>
                  </w:r>
                </w:p>
              </w:tc>
              <w:tc>
                <w:tcPr>
                  <w:tcW w:w="1123" w:type="dxa"/>
                  <w:shd w:val="clear" w:color="auto" w:fill="auto"/>
                  <w:vAlign w:val="center"/>
                </w:tcPr>
                <w:p w14:paraId="4AE49D6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r>
            <w:tr w14:paraId="1812B9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0" w:type="dxa"/>
                  <w:shd w:val="clear" w:color="auto" w:fill="auto"/>
                  <w:vAlign w:val="center"/>
                </w:tcPr>
                <w:p w14:paraId="1B903E67">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总氮</w:t>
                  </w:r>
                </w:p>
              </w:tc>
              <w:tc>
                <w:tcPr>
                  <w:tcW w:w="1469" w:type="dxa"/>
                  <w:shd w:val="clear" w:color="auto" w:fill="auto"/>
                  <w:vAlign w:val="center"/>
                </w:tcPr>
                <w:p w14:paraId="04A3C32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19.1-21.4</w:t>
                  </w:r>
                </w:p>
              </w:tc>
              <w:tc>
                <w:tcPr>
                  <w:tcW w:w="1615" w:type="dxa"/>
                  <w:shd w:val="clear" w:color="auto" w:fill="auto"/>
                  <w:vAlign w:val="center"/>
                </w:tcPr>
                <w:p w14:paraId="5B10930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3.34-4.90</w:t>
                  </w:r>
                </w:p>
              </w:tc>
              <w:tc>
                <w:tcPr>
                  <w:tcW w:w="1398" w:type="dxa"/>
                  <w:shd w:val="clear" w:color="auto" w:fill="auto"/>
                  <w:vAlign w:val="center"/>
                </w:tcPr>
                <w:p w14:paraId="7E06412E">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3.99-4.38</w:t>
                  </w:r>
                </w:p>
              </w:tc>
              <w:tc>
                <w:tcPr>
                  <w:tcW w:w="1120" w:type="dxa"/>
                  <w:shd w:val="clear" w:color="auto" w:fill="auto"/>
                  <w:vAlign w:val="center"/>
                </w:tcPr>
                <w:p w14:paraId="2A9A4B13">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mg/L</w:t>
                  </w:r>
                </w:p>
              </w:tc>
              <w:tc>
                <w:tcPr>
                  <w:tcW w:w="1123" w:type="dxa"/>
                  <w:shd w:val="clear" w:color="auto" w:fill="auto"/>
                  <w:vAlign w:val="center"/>
                </w:tcPr>
                <w:p w14:paraId="4A50EAF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r>
            <w:tr w14:paraId="634642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0" w:type="dxa"/>
                  <w:shd w:val="clear" w:color="auto" w:fill="auto"/>
                  <w:vAlign w:val="center"/>
                </w:tcPr>
                <w:p w14:paraId="24DC5F2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eastAsia="zh-CN"/>
                    </w:rPr>
                    <w:t>石油类</w:t>
                  </w:r>
                </w:p>
              </w:tc>
              <w:tc>
                <w:tcPr>
                  <w:tcW w:w="1469" w:type="dxa"/>
                  <w:shd w:val="clear" w:color="auto" w:fill="auto"/>
                  <w:vAlign w:val="center"/>
                </w:tcPr>
                <w:p w14:paraId="07E90A6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0.06L</w:t>
                  </w:r>
                </w:p>
              </w:tc>
              <w:tc>
                <w:tcPr>
                  <w:tcW w:w="1615" w:type="dxa"/>
                  <w:shd w:val="clear" w:color="auto" w:fill="auto"/>
                  <w:vAlign w:val="center"/>
                </w:tcPr>
                <w:p w14:paraId="4254B68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0.06L</w:t>
                  </w:r>
                </w:p>
              </w:tc>
              <w:tc>
                <w:tcPr>
                  <w:tcW w:w="1398" w:type="dxa"/>
                  <w:shd w:val="clear" w:color="auto" w:fill="auto"/>
                  <w:vAlign w:val="center"/>
                </w:tcPr>
                <w:p w14:paraId="429B7CF6">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0.06L</w:t>
                  </w:r>
                </w:p>
              </w:tc>
              <w:tc>
                <w:tcPr>
                  <w:tcW w:w="1120" w:type="dxa"/>
                  <w:shd w:val="clear" w:color="auto" w:fill="auto"/>
                  <w:vAlign w:val="center"/>
                </w:tcPr>
                <w:p w14:paraId="161D13F9">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mg/L</w:t>
                  </w:r>
                </w:p>
              </w:tc>
              <w:tc>
                <w:tcPr>
                  <w:tcW w:w="1123" w:type="dxa"/>
                  <w:shd w:val="clear" w:color="auto" w:fill="auto"/>
                  <w:vAlign w:val="center"/>
                </w:tcPr>
                <w:p w14:paraId="023BB33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r>
            <w:tr w14:paraId="2616E0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0" w:type="dxa"/>
                  <w:shd w:val="clear" w:color="auto" w:fill="auto"/>
                  <w:vAlign w:val="center"/>
                </w:tcPr>
                <w:p w14:paraId="09618B59">
                  <w:pPr>
                    <w:adjustRightInd w:val="0"/>
                    <w:snapToGrid w:val="0"/>
                    <w:jc w:val="center"/>
                    <w:rPr>
                      <w:rFonts w:hint="eastAsia" w:cs="Times New Roman"/>
                      <w:color w:val="auto"/>
                      <w:szCs w:val="21"/>
                      <w:lang w:eastAsia="zh-CN"/>
                    </w:rPr>
                  </w:pPr>
                  <w:r>
                    <w:rPr>
                      <w:rFonts w:hint="eastAsia" w:cs="Times New Roman"/>
                      <w:color w:val="auto"/>
                      <w:szCs w:val="21"/>
                      <w:lang w:eastAsia="zh-CN"/>
                    </w:rPr>
                    <w:t>全盐量</w:t>
                  </w:r>
                </w:p>
              </w:tc>
              <w:tc>
                <w:tcPr>
                  <w:tcW w:w="1469" w:type="dxa"/>
                  <w:shd w:val="clear" w:color="auto" w:fill="auto"/>
                  <w:vAlign w:val="center"/>
                </w:tcPr>
                <w:p w14:paraId="5515206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2420-2660</w:t>
                  </w:r>
                </w:p>
              </w:tc>
              <w:tc>
                <w:tcPr>
                  <w:tcW w:w="1615" w:type="dxa"/>
                  <w:shd w:val="clear" w:color="auto" w:fill="auto"/>
                  <w:vAlign w:val="center"/>
                </w:tcPr>
                <w:p w14:paraId="125FC39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788-830</w:t>
                  </w:r>
                </w:p>
              </w:tc>
              <w:tc>
                <w:tcPr>
                  <w:tcW w:w="1398" w:type="dxa"/>
                  <w:shd w:val="clear" w:color="auto" w:fill="auto"/>
                  <w:vAlign w:val="center"/>
                </w:tcPr>
                <w:p w14:paraId="2EB18046">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341-406</w:t>
                  </w:r>
                </w:p>
              </w:tc>
              <w:tc>
                <w:tcPr>
                  <w:tcW w:w="1120" w:type="dxa"/>
                  <w:shd w:val="clear" w:color="auto" w:fill="auto"/>
                  <w:vAlign w:val="center"/>
                </w:tcPr>
                <w:p w14:paraId="2472D053">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mg/L</w:t>
                  </w:r>
                </w:p>
              </w:tc>
              <w:tc>
                <w:tcPr>
                  <w:tcW w:w="1123" w:type="dxa"/>
                  <w:shd w:val="clear" w:color="auto" w:fill="auto"/>
                  <w:vAlign w:val="center"/>
                </w:tcPr>
                <w:p w14:paraId="086842F5">
                  <w:pPr>
                    <w:adjustRightInd w:val="0"/>
                    <w:snapToGrid w:val="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5000</w:t>
                  </w:r>
                </w:p>
              </w:tc>
            </w:tr>
            <w:tr w14:paraId="7F9728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0" w:type="dxa"/>
                  <w:shd w:val="clear" w:color="auto" w:fill="auto"/>
                  <w:vAlign w:val="center"/>
                </w:tcPr>
                <w:p w14:paraId="4724243F">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eastAsia="zh-CN"/>
                    </w:rPr>
                    <w:t>硫化物</w:t>
                  </w:r>
                </w:p>
              </w:tc>
              <w:tc>
                <w:tcPr>
                  <w:tcW w:w="1469" w:type="dxa"/>
                  <w:shd w:val="clear" w:color="auto" w:fill="auto"/>
                  <w:vAlign w:val="center"/>
                </w:tcPr>
                <w:p w14:paraId="563B4E2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0.01L</w:t>
                  </w:r>
                </w:p>
              </w:tc>
              <w:tc>
                <w:tcPr>
                  <w:tcW w:w="1615" w:type="dxa"/>
                  <w:shd w:val="clear" w:color="auto" w:fill="auto"/>
                  <w:vAlign w:val="center"/>
                </w:tcPr>
                <w:p w14:paraId="1FA8E5B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0.01L</w:t>
                  </w:r>
                </w:p>
              </w:tc>
              <w:tc>
                <w:tcPr>
                  <w:tcW w:w="1398" w:type="dxa"/>
                  <w:shd w:val="clear" w:color="auto" w:fill="auto"/>
                  <w:vAlign w:val="center"/>
                </w:tcPr>
                <w:p w14:paraId="1ED43316">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0.01L</w:t>
                  </w:r>
                </w:p>
              </w:tc>
              <w:tc>
                <w:tcPr>
                  <w:tcW w:w="1120" w:type="dxa"/>
                  <w:shd w:val="clear" w:color="auto" w:fill="auto"/>
                  <w:vAlign w:val="center"/>
                </w:tcPr>
                <w:p w14:paraId="2EF8AE14">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mg/L</w:t>
                  </w:r>
                </w:p>
              </w:tc>
              <w:tc>
                <w:tcPr>
                  <w:tcW w:w="1123" w:type="dxa"/>
                  <w:shd w:val="clear" w:color="auto" w:fill="auto"/>
                  <w:vAlign w:val="center"/>
                </w:tcPr>
                <w:p w14:paraId="11BB23B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r>
          </w:tbl>
          <w:p w14:paraId="0022C8C9">
            <w:pPr>
              <w:adjustRightInd w:val="0"/>
              <w:snapToGrid w:val="0"/>
              <w:spacing w:beforeLines="50" w:line="360" w:lineRule="auto"/>
              <w:ind w:firstLine="480" w:firstLineChars="200"/>
              <w:rPr>
                <w:rFonts w:hint="eastAsia" w:ascii="Times New Roman" w:hAnsi="Times New Roman" w:cs="Times New Roman"/>
                <w:color w:val="auto"/>
                <w:sz w:val="24"/>
              </w:rPr>
            </w:pPr>
            <w:r>
              <w:rPr>
                <w:rFonts w:ascii="Times New Roman" w:hAnsi="Times New Roman" w:cs="Times New Roman"/>
                <w:color w:val="auto"/>
                <w:sz w:val="24"/>
              </w:rPr>
              <w:t>由表2-1</w:t>
            </w:r>
            <w:r>
              <w:rPr>
                <w:rFonts w:hint="eastAsia" w:cs="Times New Roman"/>
                <w:color w:val="auto"/>
                <w:sz w:val="24"/>
                <w:lang w:val="en-US" w:eastAsia="zh-CN"/>
              </w:rPr>
              <w:t>5</w:t>
            </w:r>
            <w:r>
              <w:rPr>
                <w:rFonts w:hint="eastAsia" w:ascii="Times New Roman" w:hAnsi="Times New Roman" w:cs="Times New Roman"/>
                <w:color w:val="auto"/>
                <w:sz w:val="24"/>
              </w:rPr>
              <w:t>可知</w:t>
            </w:r>
            <w:r>
              <w:rPr>
                <w:rFonts w:ascii="Times New Roman" w:hAnsi="Times New Roman" w:cs="Times New Roman"/>
                <w:color w:val="auto"/>
                <w:sz w:val="24"/>
              </w:rPr>
              <w:t>，</w:t>
            </w:r>
            <w:r>
              <w:rPr>
                <w:rFonts w:hint="eastAsia" w:cs="Times New Roman"/>
                <w:color w:val="auto"/>
                <w:sz w:val="24"/>
                <w:lang w:eastAsia="zh-CN"/>
              </w:rPr>
              <w:t>例行监测期间</w:t>
            </w:r>
            <w:r>
              <w:rPr>
                <w:rFonts w:ascii="Times New Roman" w:hAnsi="Times New Roman" w:cs="Times New Roman"/>
                <w:color w:val="auto"/>
                <w:sz w:val="24"/>
              </w:rPr>
              <w:t>：</w:t>
            </w:r>
            <w:r>
              <w:rPr>
                <w:rFonts w:hint="eastAsia" w:cs="Times New Roman"/>
                <w:color w:val="auto"/>
                <w:sz w:val="24"/>
                <w:lang w:eastAsia="zh-CN"/>
              </w:rPr>
              <w:t>污水</w:t>
            </w:r>
            <w:r>
              <w:rPr>
                <w:rFonts w:ascii="Times New Roman" w:hAnsi="Times New Roman" w:cs="Times New Roman"/>
                <w:color w:val="auto"/>
                <w:sz w:val="24"/>
              </w:rPr>
              <w:t>总排口各项指标排放浓度</w:t>
            </w:r>
            <w:r>
              <w:rPr>
                <w:rFonts w:hint="eastAsia" w:cs="Times New Roman"/>
                <w:color w:val="auto"/>
                <w:sz w:val="24"/>
                <w:lang w:eastAsia="zh-CN"/>
              </w:rPr>
              <w:t>均</w:t>
            </w:r>
            <w:r>
              <w:rPr>
                <w:rFonts w:ascii="Times New Roman" w:hAnsi="Times New Roman" w:cs="Times New Roman"/>
                <w:color w:val="auto"/>
                <w:sz w:val="24"/>
              </w:rPr>
              <w:t>满足涟水经济开发区薛行污水处理厂接管标准要求</w:t>
            </w:r>
            <w:r>
              <w:rPr>
                <w:rFonts w:hint="eastAsia" w:ascii="Times New Roman" w:hAnsi="Times New Roman" w:cs="Times New Roman"/>
                <w:color w:val="auto"/>
                <w:sz w:val="24"/>
              </w:rPr>
              <w:t>。</w:t>
            </w:r>
          </w:p>
          <w:p w14:paraId="332781FA">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w:t>
            </w:r>
            <w:r>
              <w:rPr>
                <w:rFonts w:hint="eastAsia" w:cs="Times New Roman"/>
                <w:color w:val="auto"/>
                <w:sz w:val="24"/>
                <w:lang w:eastAsia="zh-CN"/>
              </w:rPr>
              <w:t>现有项目例行检测报告</w:t>
            </w:r>
            <w:r>
              <w:rPr>
                <w:rFonts w:ascii="Times New Roman" w:hAnsi="Times New Roman" w:cs="Times New Roman"/>
                <w:color w:val="auto"/>
                <w:sz w:val="24"/>
              </w:rPr>
              <w:t>，现有项目</w:t>
            </w:r>
            <w:r>
              <w:rPr>
                <w:rFonts w:hint="eastAsia" w:cs="Times New Roman"/>
                <w:color w:val="auto"/>
                <w:sz w:val="24"/>
                <w:lang w:eastAsia="zh-CN"/>
              </w:rPr>
              <w:t>雨水</w:t>
            </w:r>
            <w:r>
              <w:rPr>
                <w:rFonts w:ascii="Times New Roman" w:hAnsi="Times New Roman" w:cs="Times New Roman"/>
                <w:color w:val="auto"/>
                <w:sz w:val="24"/>
              </w:rPr>
              <w:t>排放</w:t>
            </w:r>
            <w:r>
              <w:rPr>
                <w:rFonts w:hint="eastAsia" w:cs="Times New Roman"/>
                <w:color w:val="auto"/>
                <w:sz w:val="24"/>
                <w:lang w:eastAsia="zh-CN"/>
              </w:rPr>
              <w:t>情况</w:t>
            </w:r>
            <w:r>
              <w:rPr>
                <w:rFonts w:ascii="Times New Roman" w:hAnsi="Times New Roman" w:cs="Times New Roman"/>
                <w:color w:val="auto"/>
                <w:sz w:val="24"/>
              </w:rPr>
              <w:t>见表2-1</w:t>
            </w:r>
            <w:r>
              <w:rPr>
                <w:rFonts w:hint="eastAsia" w:cs="Times New Roman"/>
                <w:color w:val="auto"/>
                <w:sz w:val="24"/>
                <w:lang w:val="en-US" w:eastAsia="zh-CN"/>
              </w:rPr>
              <w:t>6</w:t>
            </w:r>
            <w:r>
              <w:rPr>
                <w:rFonts w:hint="eastAsia" w:ascii="Times New Roman" w:hAnsi="Times New Roman" w:cs="Times New Roman"/>
                <w:color w:val="auto"/>
                <w:sz w:val="24"/>
              </w:rPr>
              <w:t>。</w:t>
            </w:r>
          </w:p>
          <w:p w14:paraId="3B46AB47">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bCs/>
                <w:color w:val="auto"/>
                <w:szCs w:val="21"/>
              </w:rPr>
            </w:pPr>
            <w:r>
              <w:rPr>
                <w:rFonts w:ascii="Times New Roman" w:hAnsi="Times New Roman" w:cs="Times New Roman"/>
                <w:b/>
                <w:color w:val="auto"/>
                <w:sz w:val="24"/>
              </w:rPr>
              <w:t>表2-1</w:t>
            </w:r>
            <w:r>
              <w:rPr>
                <w:rFonts w:hint="eastAsia" w:cs="Times New Roman"/>
                <w:b/>
                <w:color w:val="auto"/>
                <w:sz w:val="24"/>
                <w:lang w:val="en-US" w:eastAsia="zh-CN"/>
              </w:rPr>
              <w:t>5</w:t>
            </w:r>
            <w:r>
              <w:rPr>
                <w:rFonts w:hint="eastAsia" w:ascii="Times New Roman" w:hAnsi="Times New Roman" w:cs="Times New Roman"/>
                <w:b/>
                <w:color w:val="auto"/>
                <w:sz w:val="24"/>
              </w:rPr>
              <w:t xml:space="preserve">  </w:t>
            </w:r>
            <w:r>
              <w:rPr>
                <w:rFonts w:hint="eastAsia" w:cs="Times New Roman"/>
                <w:b/>
                <w:color w:val="auto"/>
                <w:sz w:val="24"/>
                <w:lang w:eastAsia="zh-CN"/>
              </w:rPr>
              <w:t>雨水</w:t>
            </w:r>
            <w:r>
              <w:rPr>
                <w:rFonts w:ascii="Times New Roman" w:hAnsi="Times New Roman" w:cs="Times New Roman"/>
                <w:b/>
                <w:color w:val="auto"/>
                <w:sz w:val="24"/>
              </w:rPr>
              <w:t xml:space="preserve">监测结果及评价    </w:t>
            </w:r>
            <w:r>
              <w:rPr>
                <w:rFonts w:ascii="Times New Roman" w:hAnsi="Times New Roman" w:cs="Times New Roman"/>
                <w:bCs/>
                <w:color w:val="auto"/>
                <w:szCs w:val="21"/>
              </w:rPr>
              <w:t>单位：mg/L（pH无量纲）</w:t>
            </w:r>
          </w:p>
          <w:tbl>
            <w:tblPr>
              <w:tblStyle w:val="88"/>
              <w:tblW w:w="83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1469"/>
              <w:gridCol w:w="1615"/>
              <w:gridCol w:w="1398"/>
              <w:gridCol w:w="1120"/>
              <w:gridCol w:w="1123"/>
            </w:tblGrid>
            <w:tr w14:paraId="253D34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0" w:type="dxa"/>
                  <w:vAlign w:val="center"/>
                </w:tcPr>
                <w:p w14:paraId="15CE81E7">
                  <w:pPr>
                    <w:adjustRightInd w:val="0"/>
                    <w:snapToGrid w:val="0"/>
                    <w:jc w:val="center"/>
                    <w:rPr>
                      <w:rFonts w:hint="eastAsia" w:cs="Times New Roman"/>
                      <w:color w:val="auto"/>
                      <w:szCs w:val="21"/>
                      <w:lang w:eastAsia="zh-CN"/>
                    </w:rPr>
                  </w:pPr>
                  <w:r>
                    <w:rPr>
                      <w:rFonts w:ascii="Times New Roman" w:hAnsi="Times New Roman" w:cs="Times New Roman"/>
                      <w:color w:val="auto"/>
                      <w:szCs w:val="21"/>
                    </w:rPr>
                    <w:t>监测点位</w:t>
                  </w:r>
                </w:p>
              </w:tc>
              <w:tc>
                <w:tcPr>
                  <w:tcW w:w="6725" w:type="dxa"/>
                  <w:gridSpan w:val="5"/>
                  <w:vAlign w:val="center"/>
                </w:tcPr>
                <w:p w14:paraId="5CB951AF">
                  <w:pPr>
                    <w:adjustRightInd w:val="0"/>
                    <w:snapToGrid w:val="0"/>
                    <w:jc w:val="center"/>
                    <w:rPr>
                      <w:rFonts w:hint="eastAsia" w:ascii="Times New Roman" w:hAnsi="Times New Roman" w:cs="Times New Roman"/>
                      <w:color w:val="auto"/>
                      <w:szCs w:val="21"/>
                    </w:rPr>
                  </w:pPr>
                  <w:r>
                    <w:rPr>
                      <w:rFonts w:hint="eastAsia" w:cs="Times New Roman"/>
                      <w:color w:val="auto"/>
                      <w:szCs w:val="21"/>
                      <w:lang w:eastAsia="zh-CN"/>
                    </w:rPr>
                    <w:t>雨水总排口</w:t>
                  </w:r>
                </w:p>
              </w:tc>
            </w:tr>
            <w:tr w14:paraId="684406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0" w:type="dxa"/>
                  <w:vMerge w:val="restart"/>
                  <w:vAlign w:val="center"/>
                </w:tcPr>
                <w:p w14:paraId="61EA0C13">
                  <w:pPr>
                    <w:adjustRightInd w:val="0"/>
                    <w:snapToGrid w:val="0"/>
                    <w:jc w:val="center"/>
                    <w:rPr>
                      <w:rFonts w:hint="eastAsia" w:cs="Times New Roman"/>
                      <w:color w:val="auto"/>
                      <w:szCs w:val="21"/>
                      <w:lang w:eastAsia="zh-CN"/>
                    </w:rPr>
                  </w:pPr>
                  <w:r>
                    <w:rPr>
                      <w:rFonts w:ascii="Times New Roman" w:hAnsi="Times New Roman" w:cs="Times New Roman"/>
                      <w:color w:val="auto"/>
                      <w:szCs w:val="21"/>
                    </w:rPr>
                    <w:t>检测项目</w:t>
                  </w:r>
                </w:p>
              </w:tc>
              <w:tc>
                <w:tcPr>
                  <w:tcW w:w="6725" w:type="dxa"/>
                  <w:gridSpan w:val="5"/>
                  <w:vAlign w:val="center"/>
                </w:tcPr>
                <w:p w14:paraId="7DCDDEDC">
                  <w:pPr>
                    <w:adjustRightInd w:val="0"/>
                    <w:snapToGrid w:val="0"/>
                    <w:jc w:val="center"/>
                    <w:rPr>
                      <w:rFonts w:hint="eastAsia" w:ascii="Times New Roman" w:hAnsi="Times New Roman" w:cs="Times New Roman"/>
                      <w:color w:val="auto"/>
                      <w:szCs w:val="21"/>
                    </w:rPr>
                  </w:pPr>
                  <w:r>
                    <w:rPr>
                      <w:rFonts w:ascii="Times New Roman" w:hAnsi="Times New Roman" w:cs="Times New Roman"/>
                      <w:color w:val="auto"/>
                      <w:szCs w:val="21"/>
                    </w:rPr>
                    <w:t>检测结果</w:t>
                  </w:r>
                </w:p>
              </w:tc>
            </w:tr>
            <w:tr w14:paraId="00801E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0" w:type="dxa"/>
                  <w:vMerge w:val="continue"/>
                  <w:shd w:val="clear" w:color="auto" w:fill="auto"/>
                  <w:vAlign w:val="center"/>
                </w:tcPr>
                <w:p w14:paraId="10456082">
                  <w:pPr>
                    <w:adjustRightInd w:val="0"/>
                    <w:snapToGrid w:val="0"/>
                    <w:jc w:val="center"/>
                    <w:rPr>
                      <w:rFonts w:ascii="Times New Roman" w:hAnsi="Times New Roman" w:cs="Times New Roman"/>
                      <w:color w:val="auto"/>
                      <w:szCs w:val="21"/>
                    </w:rPr>
                  </w:pPr>
                </w:p>
              </w:tc>
              <w:tc>
                <w:tcPr>
                  <w:tcW w:w="1469" w:type="dxa"/>
                  <w:shd w:val="clear" w:color="auto" w:fill="auto"/>
                  <w:vAlign w:val="center"/>
                </w:tcPr>
                <w:p w14:paraId="4D5C545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2025.10.15－例行监测</w:t>
                  </w:r>
                </w:p>
              </w:tc>
              <w:tc>
                <w:tcPr>
                  <w:tcW w:w="1615" w:type="dxa"/>
                  <w:shd w:val="clear" w:color="auto" w:fill="auto"/>
                  <w:vAlign w:val="center"/>
                </w:tcPr>
                <w:p w14:paraId="5FA2C04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202</w:t>
                  </w:r>
                  <w:r>
                    <w:rPr>
                      <w:rFonts w:hint="eastAsia" w:cs="Times New Roman"/>
                      <w:color w:val="auto"/>
                      <w:szCs w:val="21"/>
                      <w:lang w:val="en-US" w:eastAsia="zh-CN"/>
                    </w:rPr>
                    <w:t>5.11.14－验收监测</w:t>
                  </w:r>
                </w:p>
              </w:tc>
              <w:tc>
                <w:tcPr>
                  <w:tcW w:w="1398" w:type="dxa"/>
                  <w:shd w:val="clear" w:color="auto" w:fill="auto"/>
                  <w:vAlign w:val="center"/>
                </w:tcPr>
                <w:p w14:paraId="5A1B98AD">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202</w:t>
                  </w:r>
                  <w:r>
                    <w:rPr>
                      <w:rFonts w:hint="eastAsia" w:cs="Times New Roman"/>
                      <w:color w:val="auto"/>
                      <w:szCs w:val="21"/>
                      <w:lang w:val="en-US" w:eastAsia="zh-CN"/>
                    </w:rPr>
                    <w:t>5.12.18－例行监测</w:t>
                  </w:r>
                </w:p>
              </w:tc>
              <w:tc>
                <w:tcPr>
                  <w:tcW w:w="1120" w:type="dxa"/>
                  <w:shd w:val="clear" w:color="auto" w:fill="auto"/>
                  <w:vAlign w:val="center"/>
                </w:tcPr>
                <w:p w14:paraId="16522A68">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单位</w:t>
                  </w:r>
                </w:p>
              </w:tc>
              <w:tc>
                <w:tcPr>
                  <w:tcW w:w="1123" w:type="dxa"/>
                  <w:shd w:val="clear" w:color="auto" w:fill="auto"/>
                  <w:vAlign w:val="center"/>
                </w:tcPr>
                <w:p w14:paraId="3772E8D3">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标准值</w:t>
                  </w:r>
                </w:p>
              </w:tc>
            </w:tr>
            <w:tr w14:paraId="75CDD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0" w:type="dxa"/>
                  <w:shd w:val="clear" w:color="auto" w:fill="auto"/>
                  <w:vAlign w:val="center"/>
                </w:tcPr>
                <w:p w14:paraId="56FE3AC9">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pH值</w:t>
                  </w:r>
                </w:p>
              </w:tc>
              <w:tc>
                <w:tcPr>
                  <w:tcW w:w="1469" w:type="dxa"/>
                  <w:shd w:val="clear" w:color="auto" w:fill="auto"/>
                  <w:vAlign w:val="center"/>
                </w:tcPr>
                <w:p w14:paraId="7170B25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7.3</w:t>
                  </w:r>
                </w:p>
              </w:tc>
              <w:tc>
                <w:tcPr>
                  <w:tcW w:w="1615" w:type="dxa"/>
                  <w:shd w:val="clear" w:color="auto" w:fill="auto"/>
                  <w:vAlign w:val="center"/>
                </w:tcPr>
                <w:p w14:paraId="7C9EB6D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7.8</w:t>
                  </w:r>
                </w:p>
              </w:tc>
              <w:tc>
                <w:tcPr>
                  <w:tcW w:w="1398" w:type="dxa"/>
                  <w:shd w:val="clear" w:color="auto" w:fill="auto"/>
                  <w:vAlign w:val="center"/>
                </w:tcPr>
                <w:p w14:paraId="1CE9DD49">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7.4</w:t>
                  </w:r>
                </w:p>
              </w:tc>
              <w:tc>
                <w:tcPr>
                  <w:tcW w:w="1120" w:type="dxa"/>
                  <w:shd w:val="clear" w:color="auto" w:fill="auto"/>
                  <w:vAlign w:val="center"/>
                </w:tcPr>
                <w:p w14:paraId="263BF792">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无量纲</w:t>
                  </w:r>
                </w:p>
              </w:tc>
              <w:tc>
                <w:tcPr>
                  <w:tcW w:w="1123" w:type="dxa"/>
                  <w:shd w:val="clear" w:color="auto" w:fill="auto"/>
                  <w:vAlign w:val="center"/>
                </w:tcPr>
                <w:p w14:paraId="6C35BF2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6-9</w:t>
                  </w:r>
                </w:p>
              </w:tc>
            </w:tr>
            <w:tr w14:paraId="443CC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0" w:type="dxa"/>
                  <w:shd w:val="clear" w:color="auto" w:fill="auto"/>
                  <w:vAlign w:val="center"/>
                </w:tcPr>
                <w:p w14:paraId="7E01892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化学需氧量</w:t>
                  </w:r>
                </w:p>
              </w:tc>
              <w:tc>
                <w:tcPr>
                  <w:tcW w:w="1469" w:type="dxa"/>
                  <w:shd w:val="clear" w:color="auto" w:fill="auto"/>
                  <w:vAlign w:val="center"/>
                </w:tcPr>
                <w:p w14:paraId="7639EB8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13</w:t>
                  </w:r>
                </w:p>
              </w:tc>
              <w:tc>
                <w:tcPr>
                  <w:tcW w:w="1615" w:type="dxa"/>
                  <w:shd w:val="clear" w:color="auto" w:fill="auto"/>
                  <w:vAlign w:val="center"/>
                </w:tcPr>
                <w:p w14:paraId="79E4CB5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11</w:t>
                  </w:r>
                </w:p>
              </w:tc>
              <w:tc>
                <w:tcPr>
                  <w:tcW w:w="1398" w:type="dxa"/>
                  <w:shd w:val="clear" w:color="auto" w:fill="auto"/>
                  <w:vAlign w:val="center"/>
                </w:tcPr>
                <w:p w14:paraId="79754D69">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12</w:t>
                  </w:r>
                </w:p>
              </w:tc>
              <w:tc>
                <w:tcPr>
                  <w:tcW w:w="1120" w:type="dxa"/>
                  <w:shd w:val="clear" w:color="auto" w:fill="auto"/>
                  <w:vAlign w:val="center"/>
                </w:tcPr>
                <w:p w14:paraId="681092E7">
                  <w:pPr>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mg/L</w:t>
                  </w:r>
                </w:p>
              </w:tc>
              <w:tc>
                <w:tcPr>
                  <w:tcW w:w="1123" w:type="dxa"/>
                  <w:shd w:val="clear" w:color="auto" w:fill="auto"/>
                  <w:vAlign w:val="center"/>
                </w:tcPr>
                <w:p w14:paraId="7B0B60CA">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r>
            <w:tr w14:paraId="55B026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0" w:type="dxa"/>
                  <w:shd w:val="clear" w:color="auto" w:fill="auto"/>
                  <w:vAlign w:val="center"/>
                </w:tcPr>
                <w:p w14:paraId="737ED908">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氨氮</w:t>
                  </w:r>
                </w:p>
              </w:tc>
              <w:tc>
                <w:tcPr>
                  <w:tcW w:w="1469" w:type="dxa"/>
                  <w:shd w:val="clear" w:color="auto" w:fill="auto"/>
                  <w:vAlign w:val="center"/>
                </w:tcPr>
                <w:p w14:paraId="0EAB99B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0.06</w:t>
                  </w:r>
                </w:p>
              </w:tc>
              <w:tc>
                <w:tcPr>
                  <w:tcW w:w="1615" w:type="dxa"/>
                  <w:shd w:val="clear" w:color="auto" w:fill="auto"/>
                  <w:vAlign w:val="center"/>
                </w:tcPr>
                <w:p w14:paraId="549AA00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0.045</w:t>
                  </w:r>
                </w:p>
              </w:tc>
              <w:tc>
                <w:tcPr>
                  <w:tcW w:w="1398" w:type="dxa"/>
                  <w:shd w:val="clear" w:color="auto" w:fill="auto"/>
                  <w:vAlign w:val="center"/>
                </w:tcPr>
                <w:p w14:paraId="33494BD3">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0.117</w:t>
                  </w:r>
                </w:p>
              </w:tc>
              <w:tc>
                <w:tcPr>
                  <w:tcW w:w="1120" w:type="dxa"/>
                  <w:shd w:val="clear" w:color="auto" w:fill="auto"/>
                  <w:vAlign w:val="center"/>
                </w:tcPr>
                <w:p w14:paraId="17AD87D8">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mg/L</w:t>
                  </w:r>
                </w:p>
              </w:tc>
              <w:tc>
                <w:tcPr>
                  <w:tcW w:w="1123" w:type="dxa"/>
                  <w:shd w:val="clear" w:color="auto" w:fill="auto"/>
                  <w:vAlign w:val="center"/>
                </w:tcPr>
                <w:p w14:paraId="17EDA55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r>
            <w:tr w14:paraId="28AC03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0" w:type="dxa"/>
                  <w:shd w:val="clear" w:color="auto" w:fill="auto"/>
                  <w:vAlign w:val="center"/>
                </w:tcPr>
                <w:p w14:paraId="0F572B2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总磷</w:t>
                  </w:r>
                </w:p>
              </w:tc>
              <w:tc>
                <w:tcPr>
                  <w:tcW w:w="1469" w:type="dxa"/>
                  <w:shd w:val="clear" w:color="auto" w:fill="auto"/>
                  <w:vAlign w:val="center"/>
                </w:tcPr>
                <w:p w14:paraId="6BE3899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0.06</w:t>
                  </w:r>
                </w:p>
              </w:tc>
              <w:tc>
                <w:tcPr>
                  <w:tcW w:w="1615" w:type="dxa"/>
                  <w:shd w:val="clear" w:color="auto" w:fill="auto"/>
                  <w:vAlign w:val="center"/>
                </w:tcPr>
                <w:p w14:paraId="12415DE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0.13</w:t>
                  </w:r>
                </w:p>
              </w:tc>
              <w:tc>
                <w:tcPr>
                  <w:tcW w:w="1398" w:type="dxa"/>
                  <w:shd w:val="clear" w:color="auto" w:fill="auto"/>
                  <w:vAlign w:val="center"/>
                </w:tcPr>
                <w:p w14:paraId="503566CE">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0.02</w:t>
                  </w:r>
                </w:p>
              </w:tc>
              <w:tc>
                <w:tcPr>
                  <w:tcW w:w="1120" w:type="dxa"/>
                  <w:shd w:val="clear" w:color="auto" w:fill="auto"/>
                  <w:vAlign w:val="center"/>
                </w:tcPr>
                <w:p w14:paraId="77BBB461">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mg/L</w:t>
                  </w:r>
                </w:p>
              </w:tc>
              <w:tc>
                <w:tcPr>
                  <w:tcW w:w="1123" w:type="dxa"/>
                  <w:shd w:val="clear" w:color="auto" w:fill="auto"/>
                  <w:vAlign w:val="center"/>
                </w:tcPr>
                <w:p w14:paraId="70DC504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w:t>
                  </w:r>
                </w:p>
              </w:tc>
            </w:tr>
          </w:tbl>
          <w:p w14:paraId="4161611A">
            <w:pPr>
              <w:adjustRightInd w:val="0"/>
              <w:snapToGrid w:val="0"/>
              <w:spacing w:beforeLines="50" w:line="360" w:lineRule="auto"/>
              <w:ind w:firstLine="480" w:firstLineChars="200"/>
              <w:rPr>
                <w:rFonts w:hint="eastAsia" w:ascii="Times New Roman" w:hAnsi="Times New Roman" w:cs="Times New Roman"/>
                <w:color w:val="auto"/>
                <w:sz w:val="24"/>
              </w:rPr>
            </w:pPr>
            <w:r>
              <w:rPr>
                <w:rFonts w:ascii="Times New Roman" w:hAnsi="Times New Roman" w:cs="Times New Roman"/>
                <w:color w:val="auto"/>
                <w:sz w:val="24"/>
              </w:rPr>
              <w:t>由表2-1</w:t>
            </w:r>
            <w:r>
              <w:rPr>
                <w:rFonts w:hint="eastAsia" w:cs="Times New Roman"/>
                <w:color w:val="auto"/>
                <w:sz w:val="24"/>
                <w:lang w:val="en-US" w:eastAsia="zh-CN"/>
              </w:rPr>
              <w:t>5</w:t>
            </w:r>
            <w:r>
              <w:rPr>
                <w:rFonts w:hint="eastAsia" w:ascii="Times New Roman" w:hAnsi="Times New Roman" w:cs="Times New Roman"/>
                <w:color w:val="auto"/>
                <w:sz w:val="24"/>
              </w:rPr>
              <w:t>可知</w:t>
            </w:r>
            <w:r>
              <w:rPr>
                <w:rFonts w:ascii="Times New Roman" w:hAnsi="Times New Roman" w:cs="Times New Roman"/>
                <w:color w:val="auto"/>
                <w:sz w:val="24"/>
              </w:rPr>
              <w:t>，</w:t>
            </w:r>
            <w:r>
              <w:rPr>
                <w:rFonts w:hint="eastAsia" w:cs="Times New Roman"/>
                <w:color w:val="auto"/>
                <w:sz w:val="24"/>
                <w:lang w:eastAsia="zh-CN"/>
              </w:rPr>
              <w:t>例行监测期间</w:t>
            </w:r>
            <w:r>
              <w:rPr>
                <w:rFonts w:ascii="Times New Roman" w:hAnsi="Times New Roman" w:cs="Times New Roman"/>
                <w:color w:val="auto"/>
                <w:sz w:val="24"/>
              </w:rPr>
              <w:t>：</w:t>
            </w:r>
            <w:r>
              <w:rPr>
                <w:rFonts w:hint="eastAsia" w:cs="Times New Roman"/>
                <w:color w:val="auto"/>
                <w:sz w:val="24"/>
                <w:lang w:eastAsia="zh-CN"/>
              </w:rPr>
              <w:t>雨水</w:t>
            </w:r>
            <w:r>
              <w:rPr>
                <w:rFonts w:ascii="Times New Roman" w:hAnsi="Times New Roman" w:cs="Times New Roman"/>
                <w:color w:val="auto"/>
                <w:sz w:val="24"/>
              </w:rPr>
              <w:t>总排口各项指标排放浓度</w:t>
            </w:r>
            <w:r>
              <w:rPr>
                <w:rFonts w:hint="eastAsia" w:cs="Times New Roman"/>
                <w:color w:val="auto"/>
                <w:sz w:val="24"/>
                <w:lang w:eastAsia="zh-CN"/>
              </w:rPr>
              <w:t>均低于《地表水环境质量标准》（GB3838-2002）Ⅲ类</w:t>
            </w:r>
            <w:r>
              <w:rPr>
                <w:rFonts w:ascii="Times New Roman" w:hAnsi="Times New Roman" w:cs="Times New Roman"/>
                <w:color w:val="auto"/>
                <w:sz w:val="24"/>
              </w:rPr>
              <w:t>标准</w:t>
            </w:r>
            <w:r>
              <w:rPr>
                <w:rFonts w:hint="eastAsia" w:cs="Times New Roman"/>
                <w:color w:val="auto"/>
                <w:sz w:val="24"/>
                <w:lang w:eastAsia="zh-CN"/>
              </w:rPr>
              <w:t>，水质较好</w:t>
            </w:r>
            <w:r>
              <w:rPr>
                <w:rFonts w:hint="eastAsia" w:ascii="Times New Roman" w:hAnsi="Times New Roman" w:cs="Times New Roman"/>
                <w:color w:val="auto"/>
                <w:sz w:val="24"/>
              </w:rPr>
              <w:t>。</w:t>
            </w:r>
          </w:p>
          <w:p w14:paraId="464A6FB7">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C.噪声</w:t>
            </w:r>
          </w:p>
          <w:p w14:paraId="1A2D5577">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现有项目工程噪声主要为设备噪声，采用隔声等措施可确保厂界噪声达标。</w:t>
            </w:r>
          </w:p>
          <w:p w14:paraId="5BB18709">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根据现有项目</w:t>
            </w:r>
            <w:r>
              <w:rPr>
                <w:rFonts w:hint="eastAsia" w:ascii="Times New Roman" w:hAnsi="Times New Roman" w:cs="Times New Roman"/>
                <w:color w:val="auto"/>
                <w:sz w:val="24"/>
              </w:rPr>
              <w:t>验收</w:t>
            </w:r>
            <w:r>
              <w:rPr>
                <w:rFonts w:ascii="Times New Roman" w:hAnsi="Times New Roman" w:cs="Times New Roman"/>
                <w:color w:val="auto"/>
                <w:sz w:val="24"/>
              </w:rPr>
              <w:t>监测报告中的内容，现有项目厂界噪声监测结果见表2-</w:t>
            </w:r>
            <w:r>
              <w:rPr>
                <w:rFonts w:hint="eastAsia" w:ascii="Times New Roman" w:hAnsi="Times New Roman" w:cs="Times New Roman"/>
                <w:color w:val="auto"/>
                <w:sz w:val="24"/>
              </w:rPr>
              <w:t>1</w:t>
            </w:r>
            <w:r>
              <w:rPr>
                <w:rFonts w:hint="eastAsia" w:cs="Times New Roman"/>
                <w:color w:val="auto"/>
                <w:sz w:val="24"/>
                <w:lang w:val="en-US" w:eastAsia="zh-CN"/>
              </w:rPr>
              <w:t>7</w:t>
            </w:r>
            <w:r>
              <w:rPr>
                <w:rFonts w:ascii="Times New Roman" w:hAnsi="Times New Roman" w:cs="Times New Roman"/>
                <w:color w:val="auto"/>
                <w:sz w:val="24"/>
              </w:rPr>
              <w:t>。</w:t>
            </w:r>
          </w:p>
          <w:p w14:paraId="2FA880F3">
            <w:pPr>
              <w:adjustRightInd w:val="0"/>
              <w:snapToGrid w:val="0"/>
              <w:jc w:val="center"/>
              <w:rPr>
                <w:rFonts w:ascii="Times New Roman" w:hAnsi="Times New Roman" w:cs="Times New Roman"/>
                <w:b/>
                <w:color w:val="auto"/>
                <w:sz w:val="24"/>
              </w:rPr>
            </w:pPr>
            <w:r>
              <w:rPr>
                <w:rFonts w:ascii="Times New Roman" w:hAnsi="Times New Roman" w:cs="Times New Roman"/>
                <w:b/>
                <w:color w:val="auto"/>
                <w:sz w:val="24"/>
              </w:rPr>
              <w:t>表2-1</w:t>
            </w:r>
            <w:r>
              <w:rPr>
                <w:rFonts w:hint="eastAsia" w:cs="Times New Roman"/>
                <w:b/>
                <w:color w:val="auto"/>
                <w:sz w:val="24"/>
                <w:lang w:val="en-US" w:eastAsia="zh-CN"/>
              </w:rPr>
              <w:t>7</w:t>
            </w:r>
            <w:r>
              <w:rPr>
                <w:rFonts w:ascii="Times New Roman" w:hAnsi="Times New Roman" w:cs="Times New Roman"/>
                <w:b/>
                <w:color w:val="auto"/>
                <w:sz w:val="24"/>
              </w:rPr>
              <w:t xml:space="preserve">  现有项目噪声监测结果    </w:t>
            </w:r>
            <w:r>
              <w:rPr>
                <w:rFonts w:ascii="Times New Roman" w:hAnsi="Times New Roman" w:cs="Times New Roman"/>
                <w:color w:val="auto"/>
              </w:rPr>
              <w:t>单位：dB（A）</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75"/>
              <w:gridCol w:w="1743"/>
              <w:gridCol w:w="1191"/>
              <w:gridCol w:w="1050"/>
              <w:gridCol w:w="1035"/>
              <w:gridCol w:w="1317"/>
            </w:tblGrid>
            <w:tr w14:paraId="76E4D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3" w:type="pct"/>
                  <w:vMerge w:val="restart"/>
                  <w:vAlign w:val="center"/>
                </w:tcPr>
                <w:p w14:paraId="21B023C8">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检测日期</w:t>
                  </w:r>
                </w:p>
              </w:tc>
              <w:tc>
                <w:tcPr>
                  <w:tcW w:w="1036" w:type="pct"/>
                  <w:vMerge w:val="restart"/>
                  <w:vAlign w:val="center"/>
                </w:tcPr>
                <w:p w14:paraId="2C7CEF80">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检测时间</w:t>
                  </w:r>
                </w:p>
              </w:tc>
              <w:tc>
                <w:tcPr>
                  <w:tcW w:w="2730" w:type="pct"/>
                  <w:gridSpan w:val="4"/>
                  <w:vAlign w:val="center"/>
                </w:tcPr>
                <w:p w14:paraId="624CDAB2">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检测点位</w:t>
                  </w:r>
                </w:p>
              </w:tc>
            </w:tr>
            <w:tr w14:paraId="3D9D45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3" w:type="pct"/>
                  <w:vMerge w:val="continue"/>
                  <w:vAlign w:val="center"/>
                </w:tcPr>
                <w:p w14:paraId="6A5AD086">
                  <w:pPr>
                    <w:adjustRightInd w:val="0"/>
                    <w:snapToGrid w:val="0"/>
                    <w:jc w:val="center"/>
                    <w:rPr>
                      <w:rFonts w:ascii="Times New Roman" w:hAnsi="Times New Roman" w:cs="Times New Roman"/>
                      <w:b/>
                      <w:bCs/>
                      <w:color w:val="auto"/>
                      <w:szCs w:val="21"/>
                    </w:rPr>
                  </w:pPr>
                </w:p>
              </w:tc>
              <w:tc>
                <w:tcPr>
                  <w:tcW w:w="1036" w:type="pct"/>
                  <w:vMerge w:val="continue"/>
                  <w:vAlign w:val="center"/>
                </w:tcPr>
                <w:p w14:paraId="168A8C90">
                  <w:pPr>
                    <w:adjustRightInd w:val="0"/>
                    <w:snapToGrid w:val="0"/>
                    <w:jc w:val="center"/>
                    <w:rPr>
                      <w:rFonts w:ascii="Times New Roman" w:hAnsi="Times New Roman" w:cs="Times New Roman"/>
                      <w:b/>
                      <w:bCs/>
                      <w:color w:val="auto"/>
                      <w:szCs w:val="21"/>
                    </w:rPr>
                  </w:pPr>
                </w:p>
              </w:tc>
              <w:tc>
                <w:tcPr>
                  <w:tcW w:w="708" w:type="pct"/>
                  <w:vAlign w:val="center"/>
                </w:tcPr>
                <w:p w14:paraId="1E39487D">
                  <w:pPr>
                    <w:adjustRightInd w:val="0"/>
                    <w:snapToGrid w:val="0"/>
                    <w:jc w:val="center"/>
                    <w:rPr>
                      <w:rFonts w:ascii="Times New Roman" w:hAnsi="Times New Roman" w:cs="Times New Roman"/>
                      <w:b/>
                      <w:bCs/>
                      <w:color w:val="auto"/>
                      <w:szCs w:val="21"/>
                    </w:rPr>
                  </w:pPr>
                  <w:r>
                    <w:rPr>
                      <w:rFonts w:hint="eastAsia" w:cs="Times New Roman"/>
                      <w:color w:val="auto"/>
                      <w:szCs w:val="21"/>
                      <w:lang w:val="en-US" w:eastAsia="zh-CN"/>
                    </w:rPr>
                    <w:t>N1东</w:t>
                  </w:r>
                  <w:r>
                    <w:rPr>
                      <w:rFonts w:hint="eastAsia" w:ascii="Times New Roman" w:hAnsi="Times New Roman" w:cs="Times New Roman"/>
                      <w:color w:val="auto"/>
                      <w:szCs w:val="21"/>
                    </w:rPr>
                    <w:t>厂界</w:t>
                  </w:r>
                </w:p>
              </w:tc>
              <w:tc>
                <w:tcPr>
                  <w:tcW w:w="624" w:type="pct"/>
                  <w:vAlign w:val="center"/>
                </w:tcPr>
                <w:p w14:paraId="71D7B864">
                  <w:pPr>
                    <w:adjustRightInd w:val="0"/>
                    <w:snapToGrid w:val="0"/>
                    <w:jc w:val="center"/>
                    <w:rPr>
                      <w:rFonts w:ascii="Times New Roman" w:hAnsi="Times New Roman" w:cs="Times New Roman"/>
                      <w:b/>
                      <w:bCs/>
                      <w:color w:val="auto"/>
                      <w:szCs w:val="21"/>
                    </w:rPr>
                  </w:pPr>
                  <w:r>
                    <w:rPr>
                      <w:rFonts w:hint="eastAsia" w:cs="Times New Roman"/>
                      <w:color w:val="auto"/>
                      <w:szCs w:val="21"/>
                      <w:lang w:val="en-US" w:eastAsia="zh-CN"/>
                    </w:rPr>
                    <w:t>N2南</w:t>
                  </w:r>
                  <w:r>
                    <w:rPr>
                      <w:rFonts w:hint="eastAsia" w:ascii="Times New Roman" w:hAnsi="Times New Roman" w:cs="Times New Roman"/>
                      <w:color w:val="auto"/>
                      <w:szCs w:val="21"/>
                    </w:rPr>
                    <w:t>厂界</w:t>
                  </w:r>
                </w:p>
              </w:tc>
              <w:tc>
                <w:tcPr>
                  <w:tcW w:w="615" w:type="pct"/>
                  <w:vAlign w:val="center"/>
                </w:tcPr>
                <w:p w14:paraId="0182E46C">
                  <w:pPr>
                    <w:adjustRightInd w:val="0"/>
                    <w:snapToGrid w:val="0"/>
                    <w:jc w:val="center"/>
                    <w:rPr>
                      <w:rFonts w:ascii="Times New Roman" w:hAnsi="Times New Roman" w:cs="Times New Roman"/>
                      <w:b/>
                      <w:bCs/>
                      <w:color w:val="auto"/>
                      <w:szCs w:val="21"/>
                    </w:rPr>
                  </w:pPr>
                  <w:r>
                    <w:rPr>
                      <w:rFonts w:hint="eastAsia" w:cs="Times New Roman"/>
                      <w:color w:val="auto"/>
                      <w:szCs w:val="21"/>
                      <w:lang w:val="en-US" w:eastAsia="zh-CN"/>
                    </w:rPr>
                    <w:t>N3西</w:t>
                  </w:r>
                  <w:r>
                    <w:rPr>
                      <w:rFonts w:hint="eastAsia" w:ascii="Times New Roman" w:hAnsi="Times New Roman" w:cs="Times New Roman"/>
                      <w:color w:val="auto"/>
                      <w:szCs w:val="21"/>
                    </w:rPr>
                    <w:t>厂界</w:t>
                  </w:r>
                </w:p>
              </w:tc>
              <w:tc>
                <w:tcPr>
                  <w:tcW w:w="782" w:type="pct"/>
                  <w:vAlign w:val="center"/>
                </w:tcPr>
                <w:p w14:paraId="0C7A3E53">
                  <w:pPr>
                    <w:adjustRightInd w:val="0"/>
                    <w:snapToGrid w:val="0"/>
                    <w:jc w:val="center"/>
                    <w:rPr>
                      <w:rFonts w:ascii="Times New Roman" w:hAnsi="Times New Roman" w:cs="Times New Roman"/>
                      <w:b/>
                      <w:bCs/>
                      <w:color w:val="auto"/>
                      <w:szCs w:val="21"/>
                    </w:rPr>
                  </w:pPr>
                  <w:r>
                    <w:rPr>
                      <w:rFonts w:hint="eastAsia" w:cs="Times New Roman"/>
                      <w:color w:val="auto"/>
                      <w:szCs w:val="21"/>
                      <w:lang w:val="en-US" w:eastAsia="zh-CN"/>
                    </w:rPr>
                    <w:t>N4北</w:t>
                  </w:r>
                  <w:r>
                    <w:rPr>
                      <w:rFonts w:hint="eastAsia" w:ascii="Times New Roman" w:hAnsi="Times New Roman" w:cs="Times New Roman"/>
                      <w:color w:val="auto"/>
                      <w:szCs w:val="21"/>
                    </w:rPr>
                    <w:t>厂界</w:t>
                  </w:r>
                </w:p>
              </w:tc>
            </w:tr>
            <w:tr w14:paraId="014788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3" w:type="pct"/>
                  <w:vMerge w:val="restart"/>
                  <w:vAlign w:val="center"/>
                </w:tcPr>
                <w:p w14:paraId="6185F8ED">
                  <w:pPr>
                    <w:adjustRightInd w:val="0"/>
                    <w:snapToGrid w:val="0"/>
                    <w:jc w:val="center"/>
                    <w:rPr>
                      <w:rFonts w:hint="default" w:ascii="Times New Roman" w:hAnsi="Times New Roman" w:eastAsia="宋体" w:cs="Times New Roman"/>
                      <w:color w:val="auto"/>
                      <w:szCs w:val="21"/>
                      <w:lang w:val="en-US" w:eastAsia="zh-CN"/>
                    </w:rPr>
                  </w:pPr>
                  <w:r>
                    <w:rPr>
                      <w:rFonts w:ascii="Times New Roman" w:hAnsi="Times New Roman" w:cs="Times New Roman"/>
                      <w:color w:val="auto"/>
                      <w:szCs w:val="21"/>
                    </w:rPr>
                    <w:t>20</w:t>
                  </w:r>
                  <w:r>
                    <w:rPr>
                      <w:rFonts w:hint="eastAsia" w:cs="Times New Roman"/>
                      <w:color w:val="auto"/>
                      <w:szCs w:val="21"/>
                      <w:lang w:val="en-US" w:eastAsia="zh-CN"/>
                    </w:rPr>
                    <w:t>25.2.24</w:t>
                  </w:r>
                </w:p>
              </w:tc>
              <w:tc>
                <w:tcPr>
                  <w:tcW w:w="1036" w:type="pct"/>
                  <w:vAlign w:val="center"/>
                </w:tcPr>
                <w:p w14:paraId="4A9BF665">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昼</w:t>
                  </w:r>
                </w:p>
              </w:tc>
              <w:tc>
                <w:tcPr>
                  <w:tcW w:w="708" w:type="pct"/>
                  <w:vAlign w:val="center"/>
                </w:tcPr>
                <w:p w14:paraId="79604203">
                  <w:pPr>
                    <w:adjustRightInd w:val="0"/>
                    <w:snapToGrid w:val="0"/>
                    <w:jc w:val="center"/>
                    <w:rPr>
                      <w:rFonts w:ascii="Times New Roman" w:hAnsi="Times New Roman" w:cs="Times New Roman"/>
                      <w:color w:val="auto"/>
                      <w:szCs w:val="21"/>
                    </w:rPr>
                  </w:pPr>
                  <w:r>
                    <w:rPr>
                      <w:rFonts w:hint="eastAsia" w:cs="Times New Roman"/>
                      <w:color w:val="auto"/>
                      <w:szCs w:val="21"/>
                      <w:lang w:val="en-US" w:eastAsia="zh-CN"/>
                    </w:rPr>
                    <w:t>59</w:t>
                  </w:r>
                </w:p>
              </w:tc>
              <w:tc>
                <w:tcPr>
                  <w:tcW w:w="624" w:type="pct"/>
                  <w:vAlign w:val="center"/>
                </w:tcPr>
                <w:p w14:paraId="4134F58D">
                  <w:pPr>
                    <w:adjustRightInd w:val="0"/>
                    <w:snapToGrid w:val="0"/>
                    <w:jc w:val="center"/>
                    <w:rPr>
                      <w:rFonts w:ascii="Times New Roman" w:hAnsi="Times New Roman" w:cs="Times New Roman"/>
                      <w:color w:val="auto"/>
                      <w:szCs w:val="21"/>
                    </w:rPr>
                  </w:pPr>
                  <w:r>
                    <w:rPr>
                      <w:rFonts w:hint="eastAsia" w:cs="Times New Roman"/>
                      <w:color w:val="auto"/>
                      <w:szCs w:val="21"/>
                      <w:lang w:val="en-US" w:eastAsia="zh-CN"/>
                    </w:rPr>
                    <w:t>62.8</w:t>
                  </w:r>
                </w:p>
              </w:tc>
              <w:tc>
                <w:tcPr>
                  <w:tcW w:w="615" w:type="pct"/>
                  <w:vAlign w:val="center"/>
                </w:tcPr>
                <w:p w14:paraId="5CAB3EE1">
                  <w:pPr>
                    <w:adjustRightInd w:val="0"/>
                    <w:snapToGrid w:val="0"/>
                    <w:jc w:val="center"/>
                    <w:rPr>
                      <w:rFonts w:ascii="Times New Roman" w:hAnsi="Times New Roman" w:cs="Times New Roman"/>
                      <w:color w:val="auto"/>
                      <w:szCs w:val="21"/>
                    </w:rPr>
                  </w:pPr>
                  <w:r>
                    <w:rPr>
                      <w:rFonts w:hint="eastAsia" w:cs="Times New Roman"/>
                      <w:color w:val="auto"/>
                      <w:szCs w:val="21"/>
                      <w:lang w:val="en-US" w:eastAsia="zh-CN"/>
                    </w:rPr>
                    <w:t>59.9</w:t>
                  </w:r>
                </w:p>
              </w:tc>
              <w:tc>
                <w:tcPr>
                  <w:tcW w:w="782" w:type="pct"/>
                  <w:vAlign w:val="center"/>
                </w:tcPr>
                <w:p w14:paraId="13A867CC">
                  <w:pPr>
                    <w:adjustRightInd w:val="0"/>
                    <w:snapToGrid w:val="0"/>
                    <w:jc w:val="center"/>
                    <w:rPr>
                      <w:rFonts w:ascii="Times New Roman" w:hAnsi="Times New Roman" w:cs="Times New Roman"/>
                      <w:color w:val="auto"/>
                      <w:szCs w:val="21"/>
                    </w:rPr>
                  </w:pPr>
                  <w:r>
                    <w:rPr>
                      <w:rFonts w:hint="eastAsia" w:cs="Times New Roman"/>
                      <w:color w:val="auto"/>
                      <w:szCs w:val="21"/>
                      <w:lang w:val="en-US" w:eastAsia="zh-CN"/>
                    </w:rPr>
                    <w:t>57.8</w:t>
                  </w:r>
                </w:p>
              </w:tc>
            </w:tr>
            <w:tr w14:paraId="6EE48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3" w:type="pct"/>
                  <w:vMerge w:val="continue"/>
                  <w:vAlign w:val="center"/>
                </w:tcPr>
                <w:p w14:paraId="1395956E">
                  <w:pPr>
                    <w:adjustRightInd w:val="0"/>
                    <w:snapToGrid w:val="0"/>
                    <w:jc w:val="center"/>
                    <w:rPr>
                      <w:rFonts w:ascii="Times New Roman" w:hAnsi="Times New Roman" w:cs="Times New Roman"/>
                      <w:color w:val="auto"/>
                      <w:szCs w:val="21"/>
                    </w:rPr>
                  </w:pPr>
                </w:p>
              </w:tc>
              <w:tc>
                <w:tcPr>
                  <w:tcW w:w="1036" w:type="pct"/>
                  <w:vAlign w:val="center"/>
                </w:tcPr>
                <w:p w14:paraId="2D9D5955">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夜</w:t>
                  </w:r>
                </w:p>
              </w:tc>
              <w:tc>
                <w:tcPr>
                  <w:tcW w:w="708" w:type="pct"/>
                  <w:vAlign w:val="center"/>
                </w:tcPr>
                <w:p w14:paraId="55E0934F">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51.6</w:t>
                  </w:r>
                </w:p>
              </w:tc>
              <w:tc>
                <w:tcPr>
                  <w:tcW w:w="624" w:type="pct"/>
                  <w:vAlign w:val="center"/>
                </w:tcPr>
                <w:p w14:paraId="6A89B71E">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53.7</w:t>
                  </w:r>
                </w:p>
              </w:tc>
              <w:tc>
                <w:tcPr>
                  <w:tcW w:w="615" w:type="pct"/>
                  <w:vAlign w:val="center"/>
                </w:tcPr>
                <w:p w14:paraId="35B8FC20">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51.3</w:t>
                  </w:r>
                </w:p>
              </w:tc>
              <w:tc>
                <w:tcPr>
                  <w:tcW w:w="782" w:type="pct"/>
                  <w:vAlign w:val="center"/>
                </w:tcPr>
                <w:p w14:paraId="7B44CAF9">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50.1</w:t>
                  </w:r>
                </w:p>
              </w:tc>
            </w:tr>
            <w:tr w14:paraId="6BD3EE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3" w:type="pct"/>
                  <w:vMerge w:val="restart"/>
                  <w:vAlign w:val="center"/>
                </w:tcPr>
                <w:p w14:paraId="4DE8F118">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w:t>
                  </w:r>
                  <w:r>
                    <w:rPr>
                      <w:rFonts w:hint="eastAsia" w:cs="Times New Roman"/>
                      <w:color w:val="auto"/>
                      <w:szCs w:val="21"/>
                      <w:lang w:val="en-US" w:eastAsia="zh-CN"/>
                    </w:rPr>
                    <w:t>25.2.25</w:t>
                  </w:r>
                </w:p>
              </w:tc>
              <w:tc>
                <w:tcPr>
                  <w:tcW w:w="1036" w:type="pct"/>
                  <w:shd w:val="clear" w:color="auto" w:fill="auto"/>
                  <w:vAlign w:val="center"/>
                </w:tcPr>
                <w:p w14:paraId="45E31420">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昼</w:t>
                  </w:r>
                </w:p>
              </w:tc>
              <w:tc>
                <w:tcPr>
                  <w:tcW w:w="708" w:type="pct"/>
                  <w:vAlign w:val="center"/>
                </w:tcPr>
                <w:p w14:paraId="7231A9E1">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58.4</w:t>
                  </w:r>
                </w:p>
              </w:tc>
              <w:tc>
                <w:tcPr>
                  <w:tcW w:w="624" w:type="pct"/>
                  <w:vAlign w:val="center"/>
                </w:tcPr>
                <w:p w14:paraId="1635C0FD">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61.8</w:t>
                  </w:r>
                </w:p>
              </w:tc>
              <w:tc>
                <w:tcPr>
                  <w:tcW w:w="615" w:type="pct"/>
                  <w:vAlign w:val="center"/>
                </w:tcPr>
                <w:p w14:paraId="77BCC3FE">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59.3</w:t>
                  </w:r>
                </w:p>
              </w:tc>
              <w:tc>
                <w:tcPr>
                  <w:tcW w:w="782" w:type="pct"/>
                  <w:vAlign w:val="center"/>
                </w:tcPr>
                <w:p w14:paraId="2495ED48">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58.1</w:t>
                  </w:r>
                </w:p>
              </w:tc>
            </w:tr>
            <w:tr w14:paraId="0067E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3" w:type="pct"/>
                  <w:vMerge w:val="continue"/>
                  <w:vAlign w:val="center"/>
                </w:tcPr>
                <w:p w14:paraId="1354CB80">
                  <w:pPr>
                    <w:adjustRightInd w:val="0"/>
                    <w:snapToGrid w:val="0"/>
                    <w:jc w:val="center"/>
                    <w:rPr>
                      <w:rFonts w:ascii="Times New Roman" w:hAnsi="Times New Roman" w:cs="Times New Roman"/>
                      <w:color w:val="auto"/>
                      <w:szCs w:val="21"/>
                    </w:rPr>
                  </w:pPr>
                </w:p>
              </w:tc>
              <w:tc>
                <w:tcPr>
                  <w:tcW w:w="1036" w:type="pct"/>
                  <w:shd w:val="clear" w:color="auto" w:fill="auto"/>
                  <w:vAlign w:val="center"/>
                </w:tcPr>
                <w:p w14:paraId="3BFAFE3B">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夜</w:t>
                  </w:r>
                </w:p>
              </w:tc>
              <w:tc>
                <w:tcPr>
                  <w:tcW w:w="708" w:type="pct"/>
                  <w:vAlign w:val="center"/>
                </w:tcPr>
                <w:p w14:paraId="1F827898">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53.4</w:t>
                  </w:r>
                </w:p>
              </w:tc>
              <w:tc>
                <w:tcPr>
                  <w:tcW w:w="624" w:type="pct"/>
                  <w:vAlign w:val="center"/>
                </w:tcPr>
                <w:p w14:paraId="09F5224E">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54.5</w:t>
                  </w:r>
                </w:p>
              </w:tc>
              <w:tc>
                <w:tcPr>
                  <w:tcW w:w="615" w:type="pct"/>
                  <w:vAlign w:val="center"/>
                </w:tcPr>
                <w:p w14:paraId="6710A1B7">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51</w:t>
                  </w:r>
                </w:p>
              </w:tc>
              <w:tc>
                <w:tcPr>
                  <w:tcW w:w="782" w:type="pct"/>
                  <w:vAlign w:val="center"/>
                </w:tcPr>
                <w:p w14:paraId="10845560">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49.8</w:t>
                  </w:r>
                </w:p>
              </w:tc>
            </w:tr>
            <w:tr w14:paraId="2E540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3" w:type="pct"/>
                  <w:vMerge w:val="restart"/>
                  <w:vAlign w:val="center"/>
                </w:tcPr>
                <w:p w14:paraId="792A9AEA">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2025.06.09</w:t>
                  </w:r>
                </w:p>
              </w:tc>
              <w:tc>
                <w:tcPr>
                  <w:tcW w:w="1036" w:type="pct"/>
                  <w:shd w:val="clear" w:color="auto" w:fill="auto"/>
                  <w:vAlign w:val="center"/>
                </w:tcPr>
                <w:p w14:paraId="526340D1">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昼</w:t>
                  </w:r>
                </w:p>
              </w:tc>
              <w:tc>
                <w:tcPr>
                  <w:tcW w:w="708" w:type="pct"/>
                  <w:vAlign w:val="center"/>
                </w:tcPr>
                <w:p w14:paraId="6C5D7FCE">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57.7</w:t>
                  </w:r>
                </w:p>
              </w:tc>
              <w:tc>
                <w:tcPr>
                  <w:tcW w:w="624" w:type="pct"/>
                  <w:vAlign w:val="center"/>
                </w:tcPr>
                <w:p w14:paraId="5C660F09">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54.0</w:t>
                  </w:r>
                </w:p>
              </w:tc>
              <w:tc>
                <w:tcPr>
                  <w:tcW w:w="615" w:type="pct"/>
                  <w:vAlign w:val="center"/>
                </w:tcPr>
                <w:p w14:paraId="72E8EFE3">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59.3</w:t>
                  </w:r>
                </w:p>
              </w:tc>
              <w:tc>
                <w:tcPr>
                  <w:tcW w:w="782" w:type="pct"/>
                  <w:vAlign w:val="center"/>
                </w:tcPr>
                <w:p w14:paraId="7E68E26D">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55.0</w:t>
                  </w:r>
                </w:p>
              </w:tc>
            </w:tr>
            <w:tr w14:paraId="645009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3" w:type="pct"/>
                  <w:vMerge w:val="continue"/>
                  <w:vAlign w:val="center"/>
                </w:tcPr>
                <w:p w14:paraId="42237594">
                  <w:pPr>
                    <w:adjustRightInd w:val="0"/>
                    <w:snapToGrid w:val="0"/>
                    <w:jc w:val="center"/>
                    <w:rPr>
                      <w:rFonts w:ascii="Times New Roman" w:hAnsi="Times New Roman" w:cs="Times New Roman"/>
                      <w:color w:val="auto"/>
                      <w:szCs w:val="21"/>
                    </w:rPr>
                  </w:pPr>
                </w:p>
              </w:tc>
              <w:tc>
                <w:tcPr>
                  <w:tcW w:w="1036" w:type="pct"/>
                  <w:shd w:val="clear" w:color="auto" w:fill="auto"/>
                  <w:vAlign w:val="center"/>
                </w:tcPr>
                <w:p w14:paraId="4519A5EB">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夜</w:t>
                  </w:r>
                </w:p>
              </w:tc>
              <w:tc>
                <w:tcPr>
                  <w:tcW w:w="708" w:type="pct"/>
                  <w:vAlign w:val="center"/>
                </w:tcPr>
                <w:p w14:paraId="68BEFAEA">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50.3</w:t>
                  </w:r>
                </w:p>
              </w:tc>
              <w:tc>
                <w:tcPr>
                  <w:tcW w:w="624" w:type="pct"/>
                  <w:vAlign w:val="center"/>
                </w:tcPr>
                <w:p w14:paraId="15BC8529">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51.4</w:t>
                  </w:r>
                </w:p>
              </w:tc>
              <w:tc>
                <w:tcPr>
                  <w:tcW w:w="615" w:type="pct"/>
                  <w:vAlign w:val="center"/>
                </w:tcPr>
                <w:p w14:paraId="439F9D52">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54.8</w:t>
                  </w:r>
                </w:p>
              </w:tc>
              <w:tc>
                <w:tcPr>
                  <w:tcW w:w="782" w:type="pct"/>
                  <w:vAlign w:val="center"/>
                </w:tcPr>
                <w:p w14:paraId="051183DF">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52.1</w:t>
                  </w:r>
                </w:p>
              </w:tc>
            </w:tr>
            <w:tr w14:paraId="09BBB2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3" w:type="pct"/>
                  <w:vMerge w:val="restart"/>
                  <w:vAlign w:val="center"/>
                </w:tcPr>
                <w:p w14:paraId="44445640">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2025.08.21</w:t>
                  </w:r>
                </w:p>
              </w:tc>
              <w:tc>
                <w:tcPr>
                  <w:tcW w:w="1036" w:type="pct"/>
                  <w:shd w:val="clear" w:color="auto" w:fill="auto"/>
                  <w:vAlign w:val="center"/>
                </w:tcPr>
                <w:p w14:paraId="2280C6D3">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昼</w:t>
                  </w:r>
                </w:p>
              </w:tc>
              <w:tc>
                <w:tcPr>
                  <w:tcW w:w="708" w:type="pct"/>
                  <w:vAlign w:val="center"/>
                </w:tcPr>
                <w:p w14:paraId="634487B0">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61.4</w:t>
                  </w:r>
                </w:p>
              </w:tc>
              <w:tc>
                <w:tcPr>
                  <w:tcW w:w="624" w:type="pct"/>
                  <w:vAlign w:val="center"/>
                </w:tcPr>
                <w:p w14:paraId="58FC5131">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54.0</w:t>
                  </w:r>
                </w:p>
              </w:tc>
              <w:tc>
                <w:tcPr>
                  <w:tcW w:w="615" w:type="pct"/>
                  <w:vAlign w:val="center"/>
                </w:tcPr>
                <w:p w14:paraId="252ADBBB">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64.8</w:t>
                  </w:r>
                </w:p>
              </w:tc>
              <w:tc>
                <w:tcPr>
                  <w:tcW w:w="782" w:type="pct"/>
                  <w:vAlign w:val="center"/>
                </w:tcPr>
                <w:p w14:paraId="2CC19A71">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54.6</w:t>
                  </w:r>
                </w:p>
              </w:tc>
            </w:tr>
            <w:tr w14:paraId="32903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3" w:type="pct"/>
                  <w:vMerge w:val="continue"/>
                  <w:vAlign w:val="center"/>
                </w:tcPr>
                <w:p w14:paraId="6D3F5BB9">
                  <w:pPr>
                    <w:adjustRightInd w:val="0"/>
                    <w:snapToGrid w:val="0"/>
                    <w:jc w:val="center"/>
                    <w:rPr>
                      <w:rFonts w:ascii="Times New Roman" w:hAnsi="Times New Roman" w:cs="Times New Roman"/>
                      <w:color w:val="auto"/>
                      <w:szCs w:val="21"/>
                    </w:rPr>
                  </w:pPr>
                </w:p>
              </w:tc>
              <w:tc>
                <w:tcPr>
                  <w:tcW w:w="1036" w:type="pct"/>
                  <w:shd w:val="clear" w:color="auto" w:fill="auto"/>
                  <w:vAlign w:val="center"/>
                </w:tcPr>
                <w:p w14:paraId="334CDB2D">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夜</w:t>
                  </w:r>
                </w:p>
              </w:tc>
              <w:tc>
                <w:tcPr>
                  <w:tcW w:w="708" w:type="pct"/>
                  <w:vAlign w:val="center"/>
                </w:tcPr>
                <w:p w14:paraId="2C6C80C5">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54.2</w:t>
                  </w:r>
                </w:p>
              </w:tc>
              <w:tc>
                <w:tcPr>
                  <w:tcW w:w="624" w:type="pct"/>
                  <w:vAlign w:val="center"/>
                </w:tcPr>
                <w:p w14:paraId="56FA5F4C">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52.1</w:t>
                  </w:r>
                </w:p>
              </w:tc>
              <w:tc>
                <w:tcPr>
                  <w:tcW w:w="615" w:type="pct"/>
                  <w:vAlign w:val="center"/>
                </w:tcPr>
                <w:p w14:paraId="5BC484C1">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50.6</w:t>
                  </w:r>
                </w:p>
              </w:tc>
              <w:tc>
                <w:tcPr>
                  <w:tcW w:w="782" w:type="pct"/>
                  <w:vAlign w:val="center"/>
                </w:tcPr>
                <w:p w14:paraId="5B21ACDA">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50.3</w:t>
                  </w:r>
                </w:p>
              </w:tc>
            </w:tr>
            <w:tr w14:paraId="320C3C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3" w:type="pct"/>
                  <w:vMerge w:val="restart"/>
                  <w:vAlign w:val="center"/>
                </w:tcPr>
                <w:p w14:paraId="0AE5CBD4">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2025.10.12</w:t>
                  </w:r>
                </w:p>
              </w:tc>
              <w:tc>
                <w:tcPr>
                  <w:tcW w:w="1036" w:type="pct"/>
                  <w:shd w:val="clear" w:color="auto" w:fill="auto"/>
                  <w:vAlign w:val="center"/>
                </w:tcPr>
                <w:p w14:paraId="01C9B2F3">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昼</w:t>
                  </w:r>
                </w:p>
              </w:tc>
              <w:tc>
                <w:tcPr>
                  <w:tcW w:w="708" w:type="pct"/>
                  <w:vAlign w:val="center"/>
                </w:tcPr>
                <w:p w14:paraId="4DAB22FA">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60.0</w:t>
                  </w:r>
                </w:p>
              </w:tc>
              <w:tc>
                <w:tcPr>
                  <w:tcW w:w="624" w:type="pct"/>
                  <w:vAlign w:val="center"/>
                </w:tcPr>
                <w:p w14:paraId="20F526C7">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51.8</w:t>
                  </w:r>
                </w:p>
              </w:tc>
              <w:tc>
                <w:tcPr>
                  <w:tcW w:w="615" w:type="pct"/>
                  <w:vAlign w:val="center"/>
                </w:tcPr>
                <w:p w14:paraId="03182971">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63.7</w:t>
                  </w:r>
                </w:p>
              </w:tc>
              <w:tc>
                <w:tcPr>
                  <w:tcW w:w="782" w:type="pct"/>
                  <w:vAlign w:val="center"/>
                </w:tcPr>
                <w:p w14:paraId="2ACB4A19">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55.1</w:t>
                  </w:r>
                </w:p>
              </w:tc>
            </w:tr>
            <w:tr w14:paraId="5A1CD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3" w:type="pct"/>
                  <w:vMerge w:val="continue"/>
                  <w:vAlign w:val="center"/>
                </w:tcPr>
                <w:p w14:paraId="42CF66D8">
                  <w:pPr>
                    <w:adjustRightInd w:val="0"/>
                    <w:snapToGrid w:val="0"/>
                    <w:jc w:val="center"/>
                    <w:rPr>
                      <w:rFonts w:ascii="Times New Roman" w:hAnsi="Times New Roman" w:cs="Times New Roman"/>
                      <w:color w:val="auto"/>
                      <w:szCs w:val="21"/>
                    </w:rPr>
                  </w:pPr>
                </w:p>
              </w:tc>
              <w:tc>
                <w:tcPr>
                  <w:tcW w:w="1036" w:type="pct"/>
                  <w:shd w:val="clear" w:color="auto" w:fill="auto"/>
                  <w:vAlign w:val="center"/>
                </w:tcPr>
                <w:p w14:paraId="4BF2E447">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夜</w:t>
                  </w:r>
                </w:p>
              </w:tc>
              <w:tc>
                <w:tcPr>
                  <w:tcW w:w="708" w:type="pct"/>
                  <w:vAlign w:val="center"/>
                </w:tcPr>
                <w:p w14:paraId="45545E1A">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50.0</w:t>
                  </w:r>
                </w:p>
              </w:tc>
              <w:tc>
                <w:tcPr>
                  <w:tcW w:w="624" w:type="pct"/>
                  <w:vAlign w:val="center"/>
                </w:tcPr>
                <w:p w14:paraId="35D8577F">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49.2</w:t>
                  </w:r>
                </w:p>
              </w:tc>
              <w:tc>
                <w:tcPr>
                  <w:tcW w:w="615" w:type="pct"/>
                  <w:vAlign w:val="center"/>
                </w:tcPr>
                <w:p w14:paraId="4DD68F7F">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49.4</w:t>
                  </w:r>
                </w:p>
              </w:tc>
              <w:tc>
                <w:tcPr>
                  <w:tcW w:w="782" w:type="pct"/>
                  <w:vAlign w:val="center"/>
                </w:tcPr>
                <w:p w14:paraId="3D4184C6">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47.4</w:t>
                  </w:r>
                </w:p>
              </w:tc>
            </w:tr>
          </w:tbl>
          <w:p w14:paraId="40207260">
            <w:pPr>
              <w:adjustRightInd w:val="0"/>
              <w:snapToGrid w:val="0"/>
              <w:spacing w:beforeLines="50"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噪声监测结果表明，监测期间，企业厂界噪声测点的昼、夜等效声级均达到《工业企业厂界环境噪声排放标准》（GB12348-2008）3类标准限值。</w:t>
            </w:r>
          </w:p>
          <w:p w14:paraId="53A31DCF">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D.固体废弃物</w:t>
            </w:r>
          </w:p>
          <w:p w14:paraId="52655240">
            <w:pPr>
              <w:tabs>
                <w:tab w:val="left" w:pos="1800"/>
              </w:tabs>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现有项目产生的</w:t>
            </w:r>
            <w:r>
              <w:rPr>
                <w:rFonts w:hint="eastAsia" w:ascii="Times New Roman" w:hAnsi="Times New Roman" w:cs="Times New Roman"/>
                <w:color w:val="auto"/>
                <w:sz w:val="24"/>
              </w:rPr>
              <w:t>釜残/蒸馏残渣</w:t>
            </w:r>
            <w:r>
              <w:rPr>
                <w:rFonts w:hint="eastAsia" w:cs="Times New Roman"/>
                <w:color w:val="auto"/>
                <w:sz w:val="24"/>
                <w:lang w:val="en-US" w:eastAsia="zh-CN"/>
              </w:rPr>
              <w:t>251.6</w:t>
            </w:r>
            <w:r>
              <w:rPr>
                <w:rFonts w:ascii="Times New Roman" w:hAnsi="Times New Roman" w:cs="Times New Roman"/>
                <w:color w:val="auto"/>
                <w:sz w:val="24"/>
              </w:rPr>
              <w:t>t/a</w:t>
            </w:r>
            <w:r>
              <w:rPr>
                <w:rFonts w:hint="eastAsia" w:ascii="Times New Roman" w:hAnsi="Times New Roman" w:cs="Times New Roman"/>
                <w:color w:val="auto"/>
                <w:sz w:val="24"/>
              </w:rPr>
              <w:t>、</w:t>
            </w:r>
            <w:r>
              <w:rPr>
                <w:rFonts w:hint="eastAsia" w:cs="Times New Roman"/>
                <w:color w:val="auto"/>
                <w:sz w:val="24"/>
                <w:lang w:eastAsia="zh-CN"/>
              </w:rPr>
              <w:t>板块压滤污泥</w:t>
            </w:r>
            <w:r>
              <w:rPr>
                <w:rFonts w:hint="eastAsia" w:cs="Times New Roman"/>
                <w:color w:val="auto"/>
                <w:sz w:val="24"/>
                <w:lang w:val="en-US" w:eastAsia="zh-CN"/>
              </w:rPr>
              <w:t>22.8</w:t>
            </w:r>
            <w:r>
              <w:rPr>
                <w:rFonts w:hint="eastAsia" w:ascii="Times New Roman" w:hAnsi="Times New Roman" w:cs="Times New Roman"/>
                <w:color w:val="auto"/>
                <w:sz w:val="24"/>
              </w:rPr>
              <w:t>t/a、</w:t>
            </w:r>
            <w:r>
              <w:rPr>
                <w:rFonts w:hint="eastAsia" w:cs="Times New Roman"/>
                <w:color w:val="auto"/>
                <w:sz w:val="24"/>
                <w:lang w:eastAsia="zh-CN"/>
              </w:rPr>
              <w:t>实验室废液</w:t>
            </w:r>
            <w:r>
              <w:rPr>
                <w:rFonts w:hint="eastAsia" w:cs="Times New Roman"/>
                <w:color w:val="auto"/>
                <w:sz w:val="24"/>
                <w:lang w:val="en-US" w:eastAsia="zh-CN"/>
              </w:rPr>
              <w:t>0.17t/a，实验室废气处理产生的废活性炭0.12t/a（装机容量30kg，每季度更换一次），属于危险废物，均</w:t>
            </w:r>
            <w:r>
              <w:rPr>
                <w:rFonts w:hint="eastAsia" w:ascii="Times New Roman" w:hAnsi="Times New Roman" w:cs="Times New Roman"/>
                <w:color w:val="auto"/>
                <w:sz w:val="24"/>
              </w:rPr>
              <w:t>委托有资质单位安全处置，</w:t>
            </w:r>
            <w:r>
              <w:rPr>
                <w:rFonts w:hint="eastAsia" w:cs="Times New Roman"/>
                <w:color w:val="auto"/>
                <w:sz w:val="24"/>
                <w:lang w:eastAsia="zh-CN"/>
              </w:rPr>
              <w:t>纯水制备系统废物</w:t>
            </w:r>
            <w:r>
              <w:rPr>
                <w:rFonts w:hint="eastAsia" w:cs="Times New Roman"/>
                <w:color w:val="auto"/>
                <w:sz w:val="24"/>
                <w:lang w:val="en-US" w:eastAsia="zh-CN"/>
              </w:rPr>
              <w:t>0.2t/a，厂家回收，</w:t>
            </w:r>
            <w:r>
              <w:rPr>
                <w:rFonts w:ascii="Times New Roman" w:hAnsi="Times New Roman" w:cs="Times New Roman"/>
                <w:color w:val="auto"/>
                <w:sz w:val="24"/>
              </w:rPr>
              <w:t>生活垃圾委托环卫部门定期清运；固废排放量为零。</w:t>
            </w:r>
          </w:p>
          <w:p w14:paraId="5A1692D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lang w:eastAsia="zh-CN"/>
              </w:rPr>
            </w:pPr>
            <w:bookmarkStart w:id="38" w:name="_Toc500853387"/>
            <w:r>
              <w:rPr>
                <w:rFonts w:ascii="Times New Roman" w:hAnsi="Times New Roman" w:cs="Times New Roman"/>
                <w:b/>
                <w:bCs/>
                <w:color w:val="auto"/>
                <w:sz w:val="24"/>
                <w:lang w:val="fr-FR"/>
              </w:rPr>
              <w:t>（</w:t>
            </w:r>
            <w:r>
              <w:rPr>
                <w:rFonts w:hint="eastAsia" w:cs="Times New Roman"/>
                <w:b/>
                <w:bCs/>
                <w:color w:val="auto"/>
                <w:sz w:val="24"/>
                <w:lang w:val="en-US" w:eastAsia="zh-CN"/>
              </w:rPr>
              <w:t>4</w:t>
            </w:r>
            <w:r>
              <w:rPr>
                <w:rFonts w:ascii="Times New Roman" w:hAnsi="Times New Roman" w:cs="Times New Roman"/>
                <w:b/>
                <w:bCs/>
                <w:color w:val="auto"/>
                <w:sz w:val="24"/>
                <w:lang w:val="fr-FR"/>
              </w:rPr>
              <w:t>）</w:t>
            </w:r>
            <w:bookmarkEnd w:id="38"/>
            <w:r>
              <w:rPr>
                <w:rFonts w:ascii="Times New Roman" w:hAnsi="Times New Roman" w:cs="Times New Roman"/>
                <w:b/>
                <w:bCs/>
                <w:color w:val="auto"/>
                <w:sz w:val="24"/>
                <w:lang w:val="fr-FR"/>
              </w:rPr>
              <w:t>现有项</w:t>
            </w:r>
            <w:r>
              <w:rPr>
                <w:rFonts w:hint="eastAsia" w:cs="Times New Roman"/>
                <w:b/>
                <w:bCs/>
                <w:color w:val="auto"/>
                <w:sz w:val="24"/>
                <w:lang w:val="fr-FR" w:eastAsia="zh-CN"/>
              </w:rPr>
              <w:t>目污染物实际排放情况</w:t>
            </w:r>
          </w:p>
          <w:p w14:paraId="3080A574">
            <w:pPr>
              <w:pStyle w:val="6"/>
              <w:spacing w:line="360" w:lineRule="auto"/>
              <w:ind w:firstLine="480"/>
              <w:rPr>
                <w:rFonts w:hint="eastAsia" w:ascii="Times New Roman" w:eastAsiaTheme="minorEastAsia"/>
                <w:b/>
                <w:color w:val="auto"/>
                <w:sz w:val="24"/>
                <w:lang w:eastAsia="zh-CN"/>
              </w:rPr>
            </w:pPr>
            <w:r>
              <w:rPr>
                <w:rFonts w:hint="eastAsia" w:ascii="Times New Roman" w:eastAsiaTheme="minorEastAsia"/>
                <w:color w:val="auto"/>
                <w:sz w:val="24"/>
                <w:lang w:val="fr-FR"/>
              </w:rPr>
              <w:t>根据</w:t>
            </w:r>
            <w:r>
              <w:rPr>
                <w:rFonts w:hint="eastAsia" w:ascii="Times New Roman" w:eastAsiaTheme="minorEastAsia"/>
                <w:color w:val="auto"/>
                <w:sz w:val="24"/>
                <w:lang w:val="fr-FR" w:eastAsia="zh-CN"/>
              </w:rPr>
              <w:t>竣工验收监测报告及环评批复</w:t>
            </w:r>
            <w:r>
              <w:rPr>
                <w:rFonts w:ascii="Times New Roman" w:eastAsiaTheme="minorEastAsia"/>
                <w:color w:val="auto"/>
                <w:sz w:val="24"/>
                <w:lang w:val="fr-FR"/>
              </w:rPr>
              <w:t>，现有项目</w:t>
            </w:r>
            <w:r>
              <w:rPr>
                <w:rFonts w:hint="eastAsia" w:ascii="Times New Roman" w:eastAsiaTheme="minorEastAsia"/>
                <w:color w:val="auto"/>
                <w:sz w:val="24"/>
                <w:lang w:val="fr-FR" w:eastAsia="zh-CN"/>
              </w:rPr>
              <w:t>污染物排放能够满足环评批复总量要求。</w:t>
            </w:r>
          </w:p>
          <w:p w14:paraId="59ECE781">
            <w:pPr>
              <w:adjustRightInd w:val="0"/>
              <w:snapToGrid w:val="0"/>
              <w:ind w:firstLine="482" w:firstLineChars="200"/>
              <w:jc w:val="center"/>
              <w:rPr>
                <w:rFonts w:ascii="Times New Roman" w:hAnsi="Times New Roman" w:cs="Times New Roman"/>
                <w:b/>
                <w:color w:val="auto"/>
                <w:sz w:val="24"/>
              </w:rPr>
            </w:pPr>
            <w:r>
              <w:rPr>
                <w:rFonts w:ascii="Times New Roman" w:hAnsi="Times New Roman" w:cs="Times New Roman"/>
                <w:b/>
                <w:color w:val="auto"/>
                <w:sz w:val="24"/>
              </w:rPr>
              <w:t>表2-1</w:t>
            </w:r>
            <w:r>
              <w:rPr>
                <w:rFonts w:hint="eastAsia" w:cs="Times New Roman"/>
                <w:b/>
                <w:color w:val="auto"/>
                <w:sz w:val="24"/>
                <w:lang w:val="en-US" w:eastAsia="zh-CN"/>
              </w:rPr>
              <w:t>8</w:t>
            </w:r>
            <w:r>
              <w:rPr>
                <w:rFonts w:ascii="Times New Roman" w:hAnsi="Times New Roman" w:cs="Times New Roman"/>
                <w:b/>
                <w:color w:val="auto"/>
                <w:sz w:val="24"/>
              </w:rPr>
              <w:t xml:space="preserve">  现有项目污染物</w:t>
            </w:r>
            <w:r>
              <w:rPr>
                <w:rFonts w:hint="eastAsia" w:cs="Times New Roman"/>
                <w:b/>
                <w:color w:val="auto"/>
                <w:sz w:val="24"/>
                <w:lang w:eastAsia="zh-CN"/>
              </w:rPr>
              <w:t>排放情况及达标情况</w:t>
            </w:r>
            <w:r>
              <w:rPr>
                <w:rFonts w:ascii="Times New Roman" w:hAnsi="Times New Roman" w:cs="Times New Roman"/>
                <w:b/>
                <w:color w:val="auto"/>
                <w:sz w:val="24"/>
              </w:rPr>
              <w:t xml:space="preserve">表    </w:t>
            </w:r>
            <w:r>
              <w:rPr>
                <w:rFonts w:ascii="Times New Roman" w:hAnsi="Times New Roman" w:cs="Times New Roman"/>
                <w:color w:val="auto"/>
                <w:szCs w:val="21"/>
              </w:rPr>
              <w:t>单位：t/a</w:t>
            </w:r>
          </w:p>
          <w:tbl>
            <w:tblPr>
              <w:tblStyle w:val="8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1"/>
              <w:gridCol w:w="555"/>
              <w:gridCol w:w="1312"/>
              <w:gridCol w:w="1882"/>
              <w:gridCol w:w="1899"/>
              <w:gridCol w:w="1900"/>
            </w:tblGrid>
            <w:tr w14:paraId="5B9B5C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tl2br w:val="nil"/>
                    <w:tr2bl w:val="nil"/>
                  </w:tcBorders>
                  <w:vAlign w:val="center"/>
                </w:tcPr>
                <w:p w14:paraId="76B82154">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种类</w:t>
                  </w:r>
                </w:p>
              </w:tc>
              <w:tc>
                <w:tcPr>
                  <w:tcW w:w="1110" w:type="pct"/>
                  <w:gridSpan w:val="2"/>
                  <w:tcBorders>
                    <w:tl2br w:val="nil"/>
                    <w:tr2bl w:val="nil"/>
                  </w:tcBorders>
                  <w:vAlign w:val="center"/>
                </w:tcPr>
                <w:p w14:paraId="6CF5B57A">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污染物名称</w:t>
                  </w:r>
                </w:p>
              </w:tc>
              <w:tc>
                <w:tcPr>
                  <w:tcW w:w="1119" w:type="pct"/>
                  <w:tcBorders>
                    <w:tl2br w:val="nil"/>
                    <w:tr2bl w:val="nil"/>
                  </w:tcBorders>
                  <w:vAlign w:val="center"/>
                </w:tcPr>
                <w:p w14:paraId="187E4EB3">
                  <w:pPr>
                    <w:adjustRightInd w:val="0"/>
                    <w:snapToGrid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现有项目排放量</w:t>
                  </w:r>
                </w:p>
              </w:tc>
              <w:tc>
                <w:tcPr>
                  <w:tcW w:w="1129" w:type="pct"/>
                  <w:tcBorders>
                    <w:tl2br w:val="nil"/>
                    <w:tr2bl w:val="nil"/>
                  </w:tcBorders>
                  <w:vAlign w:val="center"/>
                </w:tcPr>
                <w:p w14:paraId="72E41F3F">
                  <w:pPr>
                    <w:adjustRightInd w:val="0"/>
                    <w:snapToGrid w:val="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环评批复量</w:t>
                  </w:r>
                </w:p>
              </w:tc>
              <w:tc>
                <w:tcPr>
                  <w:tcW w:w="1129" w:type="pct"/>
                  <w:tcBorders>
                    <w:tl2br w:val="nil"/>
                    <w:tr2bl w:val="nil"/>
                  </w:tcBorders>
                  <w:vAlign w:val="center"/>
                </w:tcPr>
                <w:p w14:paraId="4F143886">
                  <w:pPr>
                    <w:adjustRightInd w:val="0"/>
                    <w:snapToGri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达标情况</w:t>
                  </w:r>
                </w:p>
              </w:tc>
            </w:tr>
            <w:tr w14:paraId="5AD37E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restart"/>
                  <w:tcBorders>
                    <w:tl2br w:val="nil"/>
                    <w:tr2bl w:val="nil"/>
                  </w:tcBorders>
                  <w:vAlign w:val="center"/>
                </w:tcPr>
                <w:p w14:paraId="7867E70A">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废气</w:t>
                  </w:r>
                </w:p>
              </w:tc>
              <w:tc>
                <w:tcPr>
                  <w:tcW w:w="330" w:type="pct"/>
                  <w:vMerge w:val="restart"/>
                  <w:tcBorders>
                    <w:tl2br w:val="nil"/>
                    <w:tr2bl w:val="nil"/>
                  </w:tcBorders>
                  <w:shd w:val="clear" w:color="auto" w:fill="auto"/>
                  <w:vAlign w:val="center"/>
                </w:tcPr>
                <w:p w14:paraId="2FD40145">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有组织</w:t>
                  </w:r>
                </w:p>
              </w:tc>
              <w:tc>
                <w:tcPr>
                  <w:tcW w:w="779" w:type="pct"/>
                  <w:tcBorders>
                    <w:tl2br w:val="nil"/>
                    <w:tr2bl w:val="nil"/>
                  </w:tcBorders>
                  <w:shd w:val="clear" w:color="auto" w:fill="auto"/>
                  <w:vAlign w:val="center"/>
                </w:tcPr>
                <w:p w14:paraId="027BA0C8">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rPr>
                    <w:t>氯气</w:t>
                  </w:r>
                </w:p>
              </w:tc>
              <w:tc>
                <w:tcPr>
                  <w:tcW w:w="1119" w:type="pct"/>
                  <w:tcBorders>
                    <w:tl2br w:val="nil"/>
                    <w:tr2bl w:val="nil"/>
                  </w:tcBorders>
                  <w:shd w:val="clear" w:color="auto" w:fill="auto"/>
                  <w:vAlign w:val="center"/>
                </w:tcPr>
                <w:p w14:paraId="20E35876">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cs="Times New Roman"/>
                      <w:color w:val="auto"/>
                      <w:sz w:val="21"/>
                      <w:szCs w:val="21"/>
                      <w:lang w:val="en-US" w:eastAsia="zh-CN"/>
                    </w:rPr>
                    <w:t>0.010098</w:t>
                  </w:r>
                </w:p>
              </w:tc>
              <w:tc>
                <w:tcPr>
                  <w:tcW w:w="1129" w:type="pct"/>
                  <w:tcBorders>
                    <w:tl2br w:val="nil"/>
                    <w:tr2bl w:val="nil"/>
                  </w:tcBorders>
                  <w:vAlign w:val="center"/>
                </w:tcPr>
                <w:p w14:paraId="4ED9E893">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ascii="Times New Roman" w:hAnsi="Times New Roman" w:cs="Times New Roman"/>
                      <w:color w:val="auto"/>
                      <w:sz w:val="21"/>
                      <w:szCs w:val="21"/>
                    </w:rPr>
                    <w:t>0.179</w:t>
                  </w:r>
                </w:p>
              </w:tc>
              <w:tc>
                <w:tcPr>
                  <w:tcW w:w="1129" w:type="pct"/>
                  <w:tcBorders>
                    <w:tl2br w:val="nil"/>
                    <w:tr2bl w:val="nil"/>
                  </w:tcBorders>
                  <w:vAlign w:val="center"/>
                </w:tcPr>
                <w:p w14:paraId="7EFC3B44">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cs="Times New Roman"/>
                      <w:color w:val="auto"/>
                      <w:sz w:val="21"/>
                      <w:szCs w:val="21"/>
                      <w:lang w:eastAsia="zh-CN"/>
                    </w:rPr>
                    <w:t>达标</w:t>
                  </w:r>
                </w:p>
              </w:tc>
            </w:tr>
            <w:tr w14:paraId="11A935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tcBorders>
                    <w:tl2br w:val="nil"/>
                    <w:tr2bl w:val="nil"/>
                  </w:tcBorders>
                  <w:vAlign w:val="center"/>
                </w:tcPr>
                <w:p w14:paraId="79EDF9D0">
                  <w:pPr>
                    <w:adjustRightInd w:val="0"/>
                    <w:snapToGrid w:val="0"/>
                    <w:jc w:val="center"/>
                    <w:rPr>
                      <w:rFonts w:ascii="Times New Roman" w:hAnsi="Times New Roman" w:cs="Times New Roman"/>
                      <w:color w:val="auto"/>
                      <w:sz w:val="21"/>
                      <w:szCs w:val="21"/>
                    </w:rPr>
                  </w:pPr>
                </w:p>
              </w:tc>
              <w:tc>
                <w:tcPr>
                  <w:tcW w:w="330" w:type="pct"/>
                  <w:vMerge w:val="continue"/>
                  <w:tcBorders>
                    <w:tl2br w:val="nil"/>
                    <w:tr2bl w:val="nil"/>
                  </w:tcBorders>
                  <w:shd w:val="clear" w:color="auto" w:fill="auto"/>
                  <w:vAlign w:val="center"/>
                </w:tcPr>
                <w:p w14:paraId="22E45D6E">
                  <w:pPr>
                    <w:jc w:val="center"/>
                    <w:rPr>
                      <w:rFonts w:hint="eastAsia" w:ascii="Times New Roman" w:hAnsi="Times New Roman" w:eastAsia="宋体" w:cs="Times New Roman"/>
                      <w:color w:val="auto"/>
                      <w:kern w:val="2"/>
                      <w:sz w:val="21"/>
                      <w:szCs w:val="21"/>
                      <w:lang w:val="en-US" w:eastAsia="zh-CN" w:bidi="ar-SA"/>
                    </w:rPr>
                  </w:pPr>
                </w:p>
              </w:tc>
              <w:tc>
                <w:tcPr>
                  <w:tcW w:w="779" w:type="pct"/>
                  <w:tcBorders>
                    <w:tl2br w:val="nil"/>
                    <w:tr2bl w:val="nil"/>
                  </w:tcBorders>
                  <w:shd w:val="clear" w:color="auto" w:fill="auto"/>
                  <w:vAlign w:val="center"/>
                </w:tcPr>
                <w:p w14:paraId="1D534BFA">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HCl</w:t>
                  </w:r>
                </w:p>
              </w:tc>
              <w:tc>
                <w:tcPr>
                  <w:tcW w:w="1119" w:type="pct"/>
                  <w:tcBorders>
                    <w:tl2br w:val="nil"/>
                    <w:tr2bl w:val="nil"/>
                  </w:tcBorders>
                  <w:shd w:val="clear" w:color="auto" w:fill="auto"/>
                  <w:vAlign w:val="center"/>
                </w:tcPr>
                <w:p w14:paraId="21CD4DBD">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cs="Times New Roman"/>
                      <w:color w:val="auto"/>
                      <w:sz w:val="21"/>
                      <w:szCs w:val="21"/>
                      <w:lang w:val="en-US" w:eastAsia="zh-CN"/>
                    </w:rPr>
                    <w:t>ND</w:t>
                  </w:r>
                </w:p>
              </w:tc>
              <w:tc>
                <w:tcPr>
                  <w:tcW w:w="1129" w:type="pct"/>
                  <w:tcBorders>
                    <w:tl2br w:val="nil"/>
                    <w:tr2bl w:val="nil"/>
                  </w:tcBorders>
                  <w:vAlign w:val="center"/>
                </w:tcPr>
                <w:p w14:paraId="047AD2E1">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ascii="Times New Roman" w:hAnsi="Times New Roman" w:cs="Times New Roman"/>
                      <w:color w:val="auto"/>
                      <w:sz w:val="21"/>
                      <w:szCs w:val="21"/>
                    </w:rPr>
                    <w:t>0.434</w:t>
                  </w:r>
                </w:p>
              </w:tc>
              <w:tc>
                <w:tcPr>
                  <w:tcW w:w="1129" w:type="pct"/>
                  <w:tcBorders>
                    <w:tl2br w:val="nil"/>
                    <w:tr2bl w:val="nil"/>
                  </w:tcBorders>
                  <w:vAlign w:val="center"/>
                </w:tcPr>
                <w:p w14:paraId="0955EEF8">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cs="Times New Roman"/>
                      <w:color w:val="auto"/>
                      <w:sz w:val="21"/>
                      <w:szCs w:val="21"/>
                      <w:lang w:eastAsia="zh-CN"/>
                    </w:rPr>
                    <w:t>达标</w:t>
                  </w:r>
                </w:p>
              </w:tc>
            </w:tr>
            <w:tr w14:paraId="7D4B71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tcBorders>
                    <w:tl2br w:val="nil"/>
                    <w:tr2bl w:val="nil"/>
                  </w:tcBorders>
                  <w:vAlign w:val="center"/>
                </w:tcPr>
                <w:p w14:paraId="15964977">
                  <w:pPr>
                    <w:adjustRightInd w:val="0"/>
                    <w:snapToGrid w:val="0"/>
                    <w:jc w:val="center"/>
                    <w:rPr>
                      <w:rFonts w:ascii="Times New Roman" w:hAnsi="Times New Roman" w:cs="Times New Roman"/>
                      <w:color w:val="auto"/>
                      <w:sz w:val="21"/>
                      <w:szCs w:val="21"/>
                    </w:rPr>
                  </w:pPr>
                </w:p>
              </w:tc>
              <w:tc>
                <w:tcPr>
                  <w:tcW w:w="330" w:type="pct"/>
                  <w:vMerge w:val="continue"/>
                  <w:tcBorders>
                    <w:tl2br w:val="nil"/>
                    <w:tr2bl w:val="nil"/>
                  </w:tcBorders>
                  <w:shd w:val="clear" w:color="auto" w:fill="auto"/>
                  <w:vAlign w:val="center"/>
                </w:tcPr>
                <w:p w14:paraId="2CE6E1CF">
                  <w:pPr>
                    <w:jc w:val="center"/>
                    <w:rPr>
                      <w:rFonts w:hint="eastAsia" w:ascii="Times New Roman" w:hAnsi="Times New Roman" w:eastAsia="宋体" w:cs="Times New Roman"/>
                      <w:color w:val="auto"/>
                      <w:kern w:val="2"/>
                      <w:sz w:val="21"/>
                      <w:szCs w:val="21"/>
                      <w:lang w:val="en-US" w:eastAsia="zh-CN" w:bidi="ar-SA"/>
                    </w:rPr>
                  </w:pPr>
                </w:p>
              </w:tc>
              <w:tc>
                <w:tcPr>
                  <w:tcW w:w="779" w:type="pct"/>
                  <w:tcBorders>
                    <w:tl2br w:val="nil"/>
                    <w:tr2bl w:val="nil"/>
                  </w:tcBorders>
                  <w:shd w:val="clear" w:color="auto" w:fill="auto"/>
                  <w:vAlign w:val="center"/>
                </w:tcPr>
                <w:p w14:paraId="0B8D65D8">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rPr>
                    <w:t>磷酸雾</w:t>
                  </w:r>
                </w:p>
              </w:tc>
              <w:tc>
                <w:tcPr>
                  <w:tcW w:w="1119" w:type="pct"/>
                  <w:tcBorders>
                    <w:tl2br w:val="nil"/>
                    <w:tr2bl w:val="nil"/>
                  </w:tcBorders>
                  <w:shd w:val="clear" w:color="auto" w:fill="auto"/>
                  <w:vAlign w:val="center"/>
                </w:tcPr>
                <w:p w14:paraId="57F76700">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cs="Times New Roman"/>
                      <w:color w:val="auto"/>
                      <w:sz w:val="21"/>
                      <w:szCs w:val="21"/>
                      <w:lang w:val="en-US" w:eastAsia="zh-CN"/>
                    </w:rPr>
                    <w:t>ND</w:t>
                  </w:r>
                </w:p>
              </w:tc>
              <w:tc>
                <w:tcPr>
                  <w:tcW w:w="1129" w:type="pct"/>
                  <w:tcBorders>
                    <w:tl2br w:val="nil"/>
                    <w:tr2bl w:val="nil"/>
                  </w:tcBorders>
                  <w:vAlign w:val="center"/>
                </w:tcPr>
                <w:p w14:paraId="3333D87F">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ascii="Times New Roman" w:hAnsi="Times New Roman" w:cs="Times New Roman"/>
                      <w:color w:val="auto"/>
                      <w:sz w:val="21"/>
                      <w:szCs w:val="21"/>
                    </w:rPr>
                    <w:t>0.017</w:t>
                  </w:r>
                </w:p>
              </w:tc>
              <w:tc>
                <w:tcPr>
                  <w:tcW w:w="1895" w:type="dxa"/>
                  <w:tcBorders>
                    <w:tl2br w:val="nil"/>
                    <w:tr2bl w:val="nil"/>
                  </w:tcBorders>
                  <w:vAlign w:val="center"/>
                </w:tcPr>
                <w:p w14:paraId="4261980F">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cs="Times New Roman"/>
                      <w:color w:val="auto"/>
                      <w:sz w:val="21"/>
                      <w:szCs w:val="21"/>
                      <w:lang w:eastAsia="zh-CN"/>
                    </w:rPr>
                    <w:t>达标</w:t>
                  </w:r>
                </w:p>
              </w:tc>
            </w:tr>
            <w:tr w14:paraId="4D64D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tcBorders>
                    <w:tl2br w:val="nil"/>
                    <w:tr2bl w:val="nil"/>
                  </w:tcBorders>
                  <w:vAlign w:val="center"/>
                </w:tcPr>
                <w:p w14:paraId="6FA70546">
                  <w:pPr>
                    <w:adjustRightInd w:val="0"/>
                    <w:snapToGrid w:val="0"/>
                    <w:jc w:val="center"/>
                    <w:rPr>
                      <w:rFonts w:ascii="Times New Roman" w:hAnsi="Times New Roman" w:cs="Times New Roman"/>
                      <w:color w:val="auto"/>
                      <w:sz w:val="21"/>
                      <w:szCs w:val="21"/>
                    </w:rPr>
                  </w:pPr>
                </w:p>
              </w:tc>
              <w:tc>
                <w:tcPr>
                  <w:tcW w:w="330" w:type="pct"/>
                  <w:vMerge w:val="continue"/>
                  <w:tcBorders>
                    <w:tl2br w:val="nil"/>
                    <w:tr2bl w:val="nil"/>
                  </w:tcBorders>
                  <w:shd w:val="clear" w:color="auto" w:fill="auto"/>
                  <w:vAlign w:val="center"/>
                </w:tcPr>
                <w:p w14:paraId="68EDD4FE">
                  <w:pPr>
                    <w:jc w:val="center"/>
                    <w:rPr>
                      <w:rFonts w:hint="eastAsia" w:ascii="Times New Roman" w:hAnsi="Times New Roman" w:eastAsia="宋体" w:cs="Times New Roman"/>
                      <w:color w:val="auto"/>
                      <w:kern w:val="2"/>
                      <w:sz w:val="21"/>
                      <w:szCs w:val="21"/>
                      <w:lang w:val="en-US" w:eastAsia="zh-CN" w:bidi="ar-SA"/>
                    </w:rPr>
                  </w:pPr>
                </w:p>
              </w:tc>
              <w:tc>
                <w:tcPr>
                  <w:tcW w:w="779" w:type="pct"/>
                  <w:tcBorders>
                    <w:tl2br w:val="nil"/>
                    <w:tr2bl w:val="nil"/>
                  </w:tcBorders>
                  <w:shd w:val="clear" w:color="auto" w:fill="auto"/>
                  <w:vAlign w:val="center"/>
                </w:tcPr>
                <w:p w14:paraId="2F35C17E">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rPr>
                    <w:t>氨气</w:t>
                  </w:r>
                </w:p>
              </w:tc>
              <w:tc>
                <w:tcPr>
                  <w:tcW w:w="1119" w:type="pct"/>
                  <w:tcBorders>
                    <w:tl2br w:val="nil"/>
                    <w:tr2bl w:val="nil"/>
                  </w:tcBorders>
                  <w:shd w:val="clear" w:color="auto" w:fill="auto"/>
                  <w:vAlign w:val="center"/>
                </w:tcPr>
                <w:p w14:paraId="670FA6E4">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cs="Times New Roman"/>
                      <w:color w:val="auto"/>
                      <w:sz w:val="21"/>
                      <w:szCs w:val="21"/>
                      <w:lang w:val="en-US" w:eastAsia="zh-CN"/>
                    </w:rPr>
                    <w:t>ND</w:t>
                  </w:r>
                </w:p>
              </w:tc>
              <w:tc>
                <w:tcPr>
                  <w:tcW w:w="1129" w:type="pct"/>
                  <w:tcBorders>
                    <w:tl2br w:val="nil"/>
                    <w:tr2bl w:val="nil"/>
                  </w:tcBorders>
                  <w:vAlign w:val="center"/>
                </w:tcPr>
                <w:p w14:paraId="7E09A63B">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ascii="Times New Roman" w:hAnsi="Times New Roman" w:cs="Times New Roman"/>
                      <w:color w:val="auto"/>
                      <w:sz w:val="21"/>
                      <w:szCs w:val="21"/>
                    </w:rPr>
                    <w:t>0.014</w:t>
                  </w:r>
                </w:p>
              </w:tc>
              <w:tc>
                <w:tcPr>
                  <w:tcW w:w="1895" w:type="dxa"/>
                  <w:tcBorders>
                    <w:tl2br w:val="nil"/>
                    <w:tr2bl w:val="nil"/>
                  </w:tcBorders>
                  <w:vAlign w:val="center"/>
                </w:tcPr>
                <w:p w14:paraId="0A01C488">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cs="Times New Roman"/>
                      <w:color w:val="auto"/>
                      <w:sz w:val="21"/>
                      <w:szCs w:val="21"/>
                      <w:lang w:eastAsia="zh-CN"/>
                    </w:rPr>
                    <w:t>达标</w:t>
                  </w:r>
                </w:p>
              </w:tc>
            </w:tr>
            <w:tr w14:paraId="749B9C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tcBorders>
                    <w:tl2br w:val="nil"/>
                    <w:tr2bl w:val="nil"/>
                  </w:tcBorders>
                  <w:vAlign w:val="center"/>
                </w:tcPr>
                <w:p w14:paraId="53F6EC7A">
                  <w:pPr>
                    <w:adjustRightInd w:val="0"/>
                    <w:snapToGrid w:val="0"/>
                    <w:jc w:val="center"/>
                    <w:rPr>
                      <w:rFonts w:ascii="Times New Roman" w:hAnsi="Times New Roman" w:cs="Times New Roman"/>
                      <w:color w:val="auto"/>
                      <w:sz w:val="21"/>
                      <w:szCs w:val="21"/>
                    </w:rPr>
                  </w:pPr>
                </w:p>
              </w:tc>
              <w:tc>
                <w:tcPr>
                  <w:tcW w:w="330" w:type="pct"/>
                  <w:vMerge w:val="continue"/>
                  <w:tcBorders>
                    <w:tl2br w:val="nil"/>
                    <w:tr2bl w:val="nil"/>
                  </w:tcBorders>
                  <w:shd w:val="clear" w:color="auto" w:fill="auto"/>
                  <w:vAlign w:val="center"/>
                </w:tcPr>
                <w:p w14:paraId="51C0626E">
                  <w:pPr>
                    <w:jc w:val="center"/>
                    <w:rPr>
                      <w:rFonts w:hint="eastAsia" w:ascii="Times New Roman" w:hAnsi="Times New Roman" w:eastAsia="宋体" w:cs="Times New Roman"/>
                      <w:color w:val="auto"/>
                      <w:kern w:val="2"/>
                      <w:sz w:val="21"/>
                      <w:szCs w:val="21"/>
                      <w:lang w:val="en-US" w:eastAsia="zh-CN" w:bidi="ar-SA"/>
                    </w:rPr>
                  </w:pPr>
                </w:p>
              </w:tc>
              <w:tc>
                <w:tcPr>
                  <w:tcW w:w="779" w:type="pct"/>
                  <w:tcBorders>
                    <w:tl2br w:val="nil"/>
                    <w:tr2bl w:val="nil"/>
                  </w:tcBorders>
                  <w:shd w:val="clear" w:color="auto" w:fill="auto"/>
                  <w:vAlign w:val="center"/>
                </w:tcPr>
                <w:p w14:paraId="132FD2DC">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rPr>
                    <w:t>硫化氢</w:t>
                  </w:r>
                </w:p>
              </w:tc>
              <w:tc>
                <w:tcPr>
                  <w:tcW w:w="1119" w:type="pct"/>
                  <w:tcBorders>
                    <w:tl2br w:val="nil"/>
                    <w:tr2bl w:val="nil"/>
                  </w:tcBorders>
                  <w:shd w:val="clear" w:color="auto" w:fill="auto"/>
                  <w:vAlign w:val="center"/>
                </w:tcPr>
                <w:p w14:paraId="0D0BFCDB">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cs="Times New Roman"/>
                      <w:color w:val="auto"/>
                      <w:sz w:val="21"/>
                      <w:szCs w:val="21"/>
                      <w:lang w:val="en-US" w:eastAsia="zh-CN"/>
                    </w:rPr>
                    <w:t>0.0010512</w:t>
                  </w:r>
                </w:p>
              </w:tc>
              <w:tc>
                <w:tcPr>
                  <w:tcW w:w="1129" w:type="pct"/>
                  <w:tcBorders>
                    <w:tl2br w:val="nil"/>
                    <w:tr2bl w:val="nil"/>
                  </w:tcBorders>
                  <w:vAlign w:val="center"/>
                </w:tcPr>
                <w:p w14:paraId="5B238977">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ascii="Times New Roman" w:hAnsi="Times New Roman" w:cs="Times New Roman"/>
                      <w:color w:val="auto"/>
                      <w:sz w:val="21"/>
                      <w:szCs w:val="21"/>
                    </w:rPr>
                    <w:t>0.0016</w:t>
                  </w:r>
                </w:p>
              </w:tc>
              <w:tc>
                <w:tcPr>
                  <w:tcW w:w="1895" w:type="dxa"/>
                  <w:tcBorders>
                    <w:tl2br w:val="nil"/>
                    <w:tr2bl w:val="nil"/>
                  </w:tcBorders>
                  <w:vAlign w:val="center"/>
                </w:tcPr>
                <w:p w14:paraId="07EE7DD3">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cs="Times New Roman"/>
                      <w:color w:val="auto"/>
                      <w:sz w:val="21"/>
                      <w:szCs w:val="21"/>
                      <w:lang w:eastAsia="zh-CN"/>
                    </w:rPr>
                    <w:t>达标</w:t>
                  </w:r>
                </w:p>
              </w:tc>
            </w:tr>
            <w:tr w14:paraId="1A954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tcBorders>
                    <w:tl2br w:val="nil"/>
                    <w:tr2bl w:val="nil"/>
                  </w:tcBorders>
                  <w:vAlign w:val="center"/>
                </w:tcPr>
                <w:p w14:paraId="4A2E764B">
                  <w:pPr>
                    <w:adjustRightInd w:val="0"/>
                    <w:snapToGrid w:val="0"/>
                    <w:jc w:val="center"/>
                    <w:rPr>
                      <w:rFonts w:ascii="Times New Roman" w:hAnsi="Times New Roman" w:cs="Times New Roman"/>
                      <w:color w:val="auto"/>
                      <w:sz w:val="21"/>
                      <w:szCs w:val="21"/>
                    </w:rPr>
                  </w:pPr>
                </w:p>
              </w:tc>
              <w:tc>
                <w:tcPr>
                  <w:tcW w:w="330" w:type="pct"/>
                  <w:vMerge w:val="restart"/>
                  <w:tcBorders>
                    <w:tl2br w:val="nil"/>
                    <w:tr2bl w:val="nil"/>
                  </w:tcBorders>
                  <w:shd w:val="clear" w:color="auto" w:fill="auto"/>
                  <w:vAlign w:val="center"/>
                </w:tcPr>
                <w:p w14:paraId="6B722F8F">
                  <w:pPr>
                    <w:jc w:val="center"/>
                    <w:rPr>
                      <w:rFonts w:hint="eastAsia" w:cs="Times New Roman"/>
                      <w:color w:val="auto"/>
                      <w:sz w:val="21"/>
                      <w:szCs w:val="21"/>
                      <w:lang w:eastAsia="zh-CN"/>
                    </w:rPr>
                  </w:pPr>
                  <w:r>
                    <w:rPr>
                      <w:rFonts w:hint="eastAsia" w:cs="Times New Roman"/>
                      <w:color w:val="auto"/>
                      <w:sz w:val="21"/>
                      <w:szCs w:val="21"/>
                      <w:lang w:eastAsia="zh-CN"/>
                    </w:rPr>
                    <w:t>无组织</w:t>
                  </w:r>
                </w:p>
              </w:tc>
              <w:tc>
                <w:tcPr>
                  <w:tcW w:w="779" w:type="pct"/>
                  <w:tcBorders>
                    <w:tl2br w:val="nil"/>
                    <w:tr2bl w:val="nil"/>
                  </w:tcBorders>
                  <w:shd w:val="clear" w:color="auto" w:fill="auto"/>
                  <w:vAlign w:val="center"/>
                </w:tcPr>
                <w:p w14:paraId="5EE9DAB2">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cs="Times New Roman"/>
                      <w:color w:val="auto"/>
                      <w:sz w:val="21"/>
                      <w:szCs w:val="21"/>
                      <w:lang w:eastAsia="zh-CN"/>
                    </w:rPr>
                  </w:pPr>
                  <w:r>
                    <w:rPr>
                      <w:rFonts w:ascii="Times New Roman" w:hAnsi="Times New Roman" w:cs="Times New Roman"/>
                      <w:color w:val="auto"/>
                      <w:sz w:val="21"/>
                      <w:szCs w:val="21"/>
                    </w:rPr>
                    <w:t>HCl</w:t>
                  </w:r>
                </w:p>
              </w:tc>
              <w:tc>
                <w:tcPr>
                  <w:tcW w:w="1119" w:type="pct"/>
                  <w:tcBorders>
                    <w:tl2br w:val="nil"/>
                    <w:tr2bl w:val="nil"/>
                  </w:tcBorders>
                  <w:shd w:val="clear" w:color="auto" w:fill="auto"/>
                  <w:vAlign w:val="center"/>
                </w:tcPr>
                <w:p w14:paraId="3B4ABE90">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1129" w:type="pct"/>
                  <w:tcBorders>
                    <w:tl2br w:val="nil"/>
                    <w:tr2bl w:val="nil"/>
                  </w:tcBorders>
                  <w:vAlign w:val="center"/>
                </w:tcPr>
                <w:p w14:paraId="1E6A2263">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0.060</w:t>
                  </w:r>
                </w:p>
              </w:tc>
              <w:tc>
                <w:tcPr>
                  <w:tcW w:w="1895" w:type="dxa"/>
                  <w:tcBorders>
                    <w:tl2br w:val="nil"/>
                    <w:tr2bl w:val="nil"/>
                  </w:tcBorders>
                  <w:vAlign w:val="center"/>
                </w:tcPr>
                <w:p w14:paraId="63111201">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cs="Times New Roman"/>
                      <w:color w:val="auto"/>
                      <w:sz w:val="21"/>
                      <w:szCs w:val="21"/>
                      <w:lang w:eastAsia="zh-CN"/>
                    </w:rPr>
                    <w:t>达标</w:t>
                  </w:r>
                </w:p>
              </w:tc>
            </w:tr>
            <w:tr w14:paraId="692B3B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tcBorders>
                    <w:tl2br w:val="nil"/>
                    <w:tr2bl w:val="nil"/>
                  </w:tcBorders>
                  <w:vAlign w:val="center"/>
                </w:tcPr>
                <w:p w14:paraId="23222399">
                  <w:pPr>
                    <w:adjustRightInd w:val="0"/>
                    <w:snapToGrid w:val="0"/>
                    <w:jc w:val="center"/>
                    <w:rPr>
                      <w:rFonts w:ascii="Times New Roman" w:hAnsi="Times New Roman" w:cs="Times New Roman"/>
                      <w:color w:val="auto"/>
                      <w:sz w:val="21"/>
                      <w:szCs w:val="21"/>
                    </w:rPr>
                  </w:pPr>
                </w:p>
              </w:tc>
              <w:tc>
                <w:tcPr>
                  <w:tcW w:w="330" w:type="pct"/>
                  <w:vMerge w:val="continue"/>
                  <w:tcBorders>
                    <w:tl2br w:val="nil"/>
                    <w:tr2bl w:val="nil"/>
                  </w:tcBorders>
                  <w:shd w:val="clear" w:color="auto" w:fill="auto"/>
                  <w:vAlign w:val="center"/>
                </w:tcPr>
                <w:p w14:paraId="119DC9B1">
                  <w:pPr>
                    <w:jc w:val="center"/>
                    <w:rPr>
                      <w:rFonts w:hint="eastAsia" w:cs="Times New Roman"/>
                      <w:color w:val="auto"/>
                      <w:sz w:val="21"/>
                      <w:szCs w:val="21"/>
                      <w:lang w:eastAsia="zh-CN"/>
                    </w:rPr>
                  </w:pPr>
                </w:p>
              </w:tc>
              <w:tc>
                <w:tcPr>
                  <w:tcW w:w="779" w:type="pct"/>
                  <w:tcBorders>
                    <w:tl2br w:val="nil"/>
                    <w:tr2bl w:val="nil"/>
                  </w:tcBorders>
                  <w:shd w:val="clear" w:color="auto" w:fill="auto"/>
                  <w:vAlign w:val="center"/>
                </w:tcPr>
                <w:p w14:paraId="623896B3">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cs="Times New Roman"/>
                      <w:color w:val="auto"/>
                      <w:sz w:val="21"/>
                      <w:szCs w:val="21"/>
                      <w:lang w:eastAsia="zh-CN"/>
                    </w:rPr>
                  </w:pPr>
                  <w:r>
                    <w:rPr>
                      <w:rFonts w:hint="eastAsia" w:ascii="Times New Roman" w:hAnsi="Times New Roman" w:cs="Times New Roman"/>
                      <w:color w:val="auto"/>
                      <w:sz w:val="21"/>
                      <w:szCs w:val="21"/>
                    </w:rPr>
                    <w:t>磷酸雾</w:t>
                  </w:r>
                </w:p>
              </w:tc>
              <w:tc>
                <w:tcPr>
                  <w:tcW w:w="1119" w:type="pct"/>
                  <w:tcBorders>
                    <w:tl2br w:val="nil"/>
                    <w:tr2bl w:val="nil"/>
                  </w:tcBorders>
                  <w:shd w:val="clear" w:color="auto" w:fill="auto"/>
                  <w:vAlign w:val="center"/>
                </w:tcPr>
                <w:p w14:paraId="1A2D3FB8">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1129" w:type="pct"/>
                  <w:tcBorders>
                    <w:tl2br w:val="nil"/>
                    <w:tr2bl w:val="nil"/>
                  </w:tcBorders>
                  <w:vAlign w:val="center"/>
                </w:tcPr>
                <w:p w14:paraId="1EB176B9">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0.036</w:t>
                  </w:r>
                </w:p>
              </w:tc>
              <w:tc>
                <w:tcPr>
                  <w:tcW w:w="1895" w:type="dxa"/>
                  <w:tcBorders>
                    <w:tl2br w:val="nil"/>
                    <w:tr2bl w:val="nil"/>
                  </w:tcBorders>
                  <w:vAlign w:val="center"/>
                </w:tcPr>
                <w:p w14:paraId="6E8E51C1">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cs="Times New Roman"/>
                      <w:color w:val="auto"/>
                      <w:sz w:val="21"/>
                      <w:szCs w:val="21"/>
                      <w:lang w:eastAsia="zh-CN"/>
                    </w:rPr>
                    <w:t>达标</w:t>
                  </w:r>
                </w:p>
              </w:tc>
            </w:tr>
            <w:tr w14:paraId="71C435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tcBorders>
                    <w:tl2br w:val="nil"/>
                    <w:tr2bl w:val="nil"/>
                  </w:tcBorders>
                  <w:vAlign w:val="center"/>
                </w:tcPr>
                <w:p w14:paraId="2F9E6E2A">
                  <w:pPr>
                    <w:adjustRightInd w:val="0"/>
                    <w:snapToGrid w:val="0"/>
                    <w:jc w:val="center"/>
                    <w:rPr>
                      <w:rFonts w:ascii="Times New Roman" w:hAnsi="Times New Roman" w:cs="Times New Roman"/>
                      <w:color w:val="auto"/>
                      <w:sz w:val="21"/>
                      <w:szCs w:val="21"/>
                    </w:rPr>
                  </w:pPr>
                </w:p>
              </w:tc>
              <w:tc>
                <w:tcPr>
                  <w:tcW w:w="330" w:type="pct"/>
                  <w:vMerge w:val="continue"/>
                  <w:tcBorders>
                    <w:tl2br w:val="nil"/>
                    <w:tr2bl w:val="nil"/>
                  </w:tcBorders>
                  <w:shd w:val="clear" w:color="auto" w:fill="auto"/>
                  <w:vAlign w:val="center"/>
                </w:tcPr>
                <w:p w14:paraId="76883175">
                  <w:pPr>
                    <w:jc w:val="center"/>
                    <w:rPr>
                      <w:rFonts w:hint="eastAsia" w:cs="Times New Roman"/>
                      <w:color w:val="auto"/>
                      <w:sz w:val="21"/>
                      <w:szCs w:val="21"/>
                      <w:lang w:eastAsia="zh-CN"/>
                    </w:rPr>
                  </w:pPr>
                </w:p>
              </w:tc>
              <w:tc>
                <w:tcPr>
                  <w:tcW w:w="779" w:type="pct"/>
                  <w:tcBorders>
                    <w:tl2br w:val="nil"/>
                    <w:tr2bl w:val="nil"/>
                  </w:tcBorders>
                  <w:shd w:val="clear" w:color="auto" w:fill="auto"/>
                  <w:vAlign w:val="center"/>
                </w:tcPr>
                <w:p w14:paraId="2DBE38D1">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cs="Times New Roman"/>
                      <w:color w:val="auto"/>
                      <w:sz w:val="21"/>
                      <w:szCs w:val="21"/>
                      <w:lang w:eastAsia="zh-CN"/>
                    </w:rPr>
                  </w:pPr>
                  <w:r>
                    <w:rPr>
                      <w:rFonts w:hint="eastAsia" w:ascii="Times New Roman" w:hAnsi="Times New Roman" w:cs="Times New Roman"/>
                      <w:color w:val="auto"/>
                      <w:sz w:val="21"/>
                      <w:szCs w:val="21"/>
                    </w:rPr>
                    <w:t>氨气</w:t>
                  </w:r>
                </w:p>
              </w:tc>
              <w:tc>
                <w:tcPr>
                  <w:tcW w:w="1119" w:type="pct"/>
                  <w:tcBorders>
                    <w:tl2br w:val="nil"/>
                    <w:tr2bl w:val="nil"/>
                  </w:tcBorders>
                  <w:shd w:val="clear" w:color="auto" w:fill="auto"/>
                  <w:vAlign w:val="center"/>
                </w:tcPr>
                <w:p w14:paraId="426815DE">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1129" w:type="pct"/>
                  <w:tcBorders>
                    <w:tl2br w:val="nil"/>
                    <w:tr2bl w:val="nil"/>
                  </w:tcBorders>
                  <w:vAlign w:val="center"/>
                </w:tcPr>
                <w:p w14:paraId="0A1D03E7">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0.015</w:t>
                  </w:r>
                </w:p>
              </w:tc>
              <w:tc>
                <w:tcPr>
                  <w:tcW w:w="1895" w:type="dxa"/>
                  <w:tcBorders>
                    <w:tl2br w:val="nil"/>
                    <w:tr2bl w:val="nil"/>
                  </w:tcBorders>
                  <w:vAlign w:val="center"/>
                </w:tcPr>
                <w:p w14:paraId="3CE3566A">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cs="Times New Roman"/>
                      <w:color w:val="auto"/>
                      <w:sz w:val="21"/>
                      <w:szCs w:val="21"/>
                      <w:lang w:eastAsia="zh-CN"/>
                    </w:rPr>
                    <w:t>达标</w:t>
                  </w:r>
                </w:p>
              </w:tc>
            </w:tr>
            <w:tr w14:paraId="6A2D7C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tcBorders>
                    <w:tl2br w:val="nil"/>
                    <w:tr2bl w:val="nil"/>
                  </w:tcBorders>
                  <w:vAlign w:val="center"/>
                </w:tcPr>
                <w:p w14:paraId="2F6F1338">
                  <w:pPr>
                    <w:adjustRightInd w:val="0"/>
                    <w:snapToGrid w:val="0"/>
                    <w:jc w:val="center"/>
                    <w:rPr>
                      <w:rFonts w:ascii="Times New Roman" w:hAnsi="Times New Roman" w:cs="Times New Roman"/>
                      <w:color w:val="auto"/>
                      <w:sz w:val="21"/>
                      <w:szCs w:val="21"/>
                    </w:rPr>
                  </w:pPr>
                </w:p>
              </w:tc>
              <w:tc>
                <w:tcPr>
                  <w:tcW w:w="330" w:type="pct"/>
                  <w:vMerge w:val="continue"/>
                  <w:tcBorders>
                    <w:tl2br w:val="nil"/>
                    <w:tr2bl w:val="nil"/>
                  </w:tcBorders>
                  <w:shd w:val="clear" w:color="auto" w:fill="auto"/>
                  <w:vAlign w:val="center"/>
                </w:tcPr>
                <w:p w14:paraId="49314D2A">
                  <w:pPr>
                    <w:jc w:val="center"/>
                    <w:rPr>
                      <w:rFonts w:hint="eastAsia" w:cs="Times New Roman"/>
                      <w:color w:val="auto"/>
                      <w:sz w:val="21"/>
                      <w:szCs w:val="21"/>
                      <w:lang w:eastAsia="zh-CN"/>
                    </w:rPr>
                  </w:pPr>
                </w:p>
              </w:tc>
              <w:tc>
                <w:tcPr>
                  <w:tcW w:w="779" w:type="pct"/>
                  <w:tcBorders>
                    <w:tl2br w:val="nil"/>
                    <w:tr2bl w:val="nil"/>
                  </w:tcBorders>
                  <w:shd w:val="clear" w:color="auto" w:fill="auto"/>
                  <w:vAlign w:val="center"/>
                </w:tcPr>
                <w:p w14:paraId="4FEF5FB9">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cs="Times New Roman"/>
                      <w:color w:val="auto"/>
                      <w:sz w:val="21"/>
                      <w:szCs w:val="21"/>
                      <w:lang w:eastAsia="zh-CN"/>
                    </w:rPr>
                  </w:pPr>
                  <w:r>
                    <w:rPr>
                      <w:rFonts w:hint="eastAsia" w:ascii="Times New Roman" w:hAnsi="Times New Roman" w:cs="Times New Roman"/>
                      <w:color w:val="auto"/>
                      <w:sz w:val="21"/>
                      <w:szCs w:val="21"/>
                    </w:rPr>
                    <w:t>硫化氢</w:t>
                  </w:r>
                </w:p>
              </w:tc>
              <w:tc>
                <w:tcPr>
                  <w:tcW w:w="1119" w:type="pct"/>
                  <w:tcBorders>
                    <w:tl2br w:val="nil"/>
                    <w:tr2bl w:val="nil"/>
                  </w:tcBorders>
                  <w:shd w:val="clear" w:color="auto" w:fill="auto"/>
                  <w:vAlign w:val="center"/>
                </w:tcPr>
                <w:p w14:paraId="0C7BA4C3">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1129" w:type="pct"/>
                  <w:tcBorders>
                    <w:tl2br w:val="nil"/>
                    <w:tr2bl w:val="nil"/>
                  </w:tcBorders>
                  <w:vAlign w:val="center"/>
                </w:tcPr>
                <w:p w14:paraId="2BBC3FD4">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0.0006</w:t>
                  </w:r>
                </w:p>
              </w:tc>
              <w:tc>
                <w:tcPr>
                  <w:tcW w:w="1895" w:type="dxa"/>
                  <w:tcBorders>
                    <w:tl2br w:val="nil"/>
                    <w:tr2bl w:val="nil"/>
                  </w:tcBorders>
                  <w:vAlign w:val="center"/>
                </w:tcPr>
                <w:p w14:paraId="5C628230">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cs="Times New Roman"/>
                      <w:color w:val="auto"/>
                      <w:sz w:val="21"/>
                      <w:szCs w:val="21"/>
                      <w:lang w:eastAsia="zh-CN"/>
                    </w:rPr>
                    <w:t>达标</w:t>
                  </w:r>
                </w:p>
              </w:tc>
            </w:tr>
            <w:tr w14:paraId="62752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restart"/>
                  <w:tcBorders>
                    <w:tl2br w:val="nil"/>
                    <w:tr2bl w:val="nil"/>
                  </w:tcBorders>
                  <w:vAlign w:val="center"/>
                </w:tcPr>
                <w:p w14:paraId="52BD471A">
                  <w:pPr>
                    <w:adjustRightInd w:val="0"/>
                    <w:snapToGrid w:val="0"/>
                    <w:jc w:val="center"/>
                    <w:rPr>
                      <w:rFonts w:hint="eastAsia" w:ascii="Times New Roman" w:hAnsi="Times New Roman" w:eastAsia="宋体" w:cs="Times New Roman"/>
                      <w:color w:val="auto"/>
                      <w:sz w:val="21"/>
                      <w:szCs w:val="21"/>
                      <w:lang w:eastAsia="zh-CN"/>
                    </w:rPr>
                  </w:pPr>
                  <w:r>
                    <w:rPr>
                      <w:rFonts w:ascii="Times New Roman" w:hAnsi="Times New Roman" w:cs="Times New Roman"/>
                      <w:color w:val="auto"/>
                      <w:sz w:val="21"/>
                      <w:szCs w:val="21"/>
                    </w:rPr>
                    <w:t>废水</w:t>
                  </w:r>
                  <w:r>
                    <w:rPr>
                      <w:rFonts w:hint="eastAsia" w:cs="Times New Roman"/>
                      <w:color w:val="auto"/>
                      <w:sz w:val="21"/>
                      <w:szCs w:val="21"/>
                      <w:lang w:eastAsia="zh-CN"/>
                    </w:rPr>
                    <w:t>（接管量）</w:t>
                  </w:r>
                </w:p>
              </w:tc>
              <w:tc>
                <w:tcPr>
                  <w:tcW w:w="1110" w:type="pct"/>
                  <w:gridSpan w:val="2"/>
                  <w:tcBorders>
                    <w:tl2br w:val="nil"/>
                    <w:tr2bl w:val="nil"/>
                  </w:tcBorders>
                  <w:shd w:val="clear" w:color="auto" w:fill="auto"/>
                  <w:vAlign w:val="center"/>
                </w:tcPr>
                <w:p w14:paraId="2F90B3EF">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COD</w:t>
                  </w:r>
                </w:p>
              </w:tc>
              <w:tc>
                <w:tcPr>
                  <w:tcW w:w="1119" w:type="pct"/>
                  <w:tcBorders>
                    <w:tl2br w:val="nil"/>
                    <w:tr2bl w:val="nil"/>
                  </w:tcBorders>
                  <w:shd w:val="clear" w:color="auto" w:fill="auto"/>
                  <w:vAlign w:val="center"/>
                </w:tcPr>
                <w:p w14:paraId="71A156CC">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0.1472</w:t>
                  </w:r>
                </w:p>
              </w:tc>
              <w:tc>
                <w:tcPr>
                  <w:tcW w:w="1129" w:type="pct"/>
                  <w:tcBorders>
                    <w:tl2br w:val="nil"/>
                    <w:tr2bl w:val="nil"/>
                  </w:tcBorders>
                  <w:shd w:val="clear" w:color="auto" w:fill="auto"/>
                  <w:vAlign w:val="center"/>
                </w:tcPr>
                <w:p w14:paraId="677CBC8C">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1.699</w:t>
                  </w:r>
                </w:p>
              </w:tc>
              <w:tc>
                <w:tcPr>
                  <w:tcW w:w="1895" w:type="dxa"/>
                  <w:tcBorders>
                    <w:tl2br w:val="nil"/>
                    <w:tr2bl w:val="nil"/>
                  </w:tcBorders>
                  <w:shd w:val="clear" w:color="auto" w:fill="auto"/>
                  <w:vAlign w:val="center"/>
                </w:tcPr>
                <w:p w14:paraId="479B1380">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cs="Times New Roman"/>
                      <w:color w:val="auto"/>
                      <w:sz w:val="21"/>
                      <w:szCs w:val="21"/>
                      <w:lang w:eastAsia="zh-CN"/>
                    </w:rPr>
                    <w:t>达标</w:t>
                  </w:r>
                </w:p>
              </w:tc>
            </w:tr>
            <w:tr w14:paraId="174AEF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tcBorders>
                    <w:tl2br w:val="nil"/>
                    <w:tr2bl w:val="nil"/>
                  </w:tcBorders>
                  <w:vAlign w:val="center"/>
                </w:tcPr>
                <w:p w14:paraId="2FE72D58">
                  <w:pPr>
                    <w:adjustRightInd w:val="0"/>
                    <w:snapToGrid w:val="0"/>
                    <w:jc w:val="center"/>
                    <w:rPr>
                      <w:rFonts w:ascii="Times New Roman" w:hAnsi="Times New Roman" w:cs="Times New Roman"/>
                      <w:color w:val="auto"/>
                      <w:sz w:val="21"/>
                      <w:szCs w:val="21"/>
                    </w:rPr>
                  </w:pPr>
                </w:p>
              </w:tc>
              <w:tc>
                <w:tcPr>
                  <w:tcW w:w="1110" w:type="pct"/>
                  <w:gridSpan w:val="2"/>
                  <w:tcBorders>
                    <w:tl2br w:val="nil"/>
                    <w:tr2bl w:val="nil"/>
                  </w:tcBorders>
                  <w:vAlign w:val="center"/>
                </w:tcPr>
                <w:p w14:paraId="16BF2D3B">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SS</w:t>
                  </w:r>
                </w:p>
              </w:tc>
              <w:tc>
                <w:tcPr>
                  <w:tcW w:w="1119" w:type="pct"/>
                  <w:tcBorders>
                    <w:tl2br w:val="nil"/>
                    <w:tr2bl w:val="nil"/>
                  </w:tcBorders>
                  <w:vAlign w:val="center"/>
                </w:tcPr>
                <w:p w14:paraId="46B05755">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0.0639</w:t>
                  </w:r>
                </w:p>
              </w:tc>
              <w:tc>
                <w:tcPr>
                  <w:tcW w:w="1129" w:type="pct"/>
                  <w:tcBorders>
                    <w:tl2br w:val="nil"/>
                    <w:tr2bl w:val="nil"/>
                  </w:tcBorders>
                  <w:vAlign w:val="center"/>
                </w:tcPr>
                <w:p w14:paraId="61390E7D">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0.697</w:t>
                  </w:r>
                </w:p>
              </w:tc>
              <w:tc>
                <w:tcPr>
                  <w:tcW w:w="1895" w:type="dxa"/>
                  <w:tcBorders>
                    <w:tl2br w:val="nil"/>
                    <w:tr2bl w:val="nil"/>
                  </w:tcBorders>
                  <w:vAlign w:val="center"/>
                </w:tcPr>
                <w:p w14:paraId="293C23A7">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cs="Times New Roman"/>
                      <w:color w:val="auto"/>
                      <w:sz w:val="21"/>
                      <w:szCs w:val="21"/>
                      <w:lang w:eastAsia="zh-CN"/>
                    </w:rPr>
                    <w:t>达标</w:t>
                  </w:r>
                </w:p>
              </w:tc>
            </w:tr>
            <w:tr w14:paraId="214938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tcBorders>
                    <w:tl2br w:val="nil"/>
                    <w:tr2bl w:val="nil"/>
                  </w:tcBorders>
                  <w:vAlign w:val="center"/>
                </w:tcPr>
                <w:p w14:paraId="62708DA2">
                  <w:pPr>
                    <w:adjustRightInd w:val="0"/>
                    <w:snapToGrid w:val="0"/>
                    <w:jc w:val="center"/>
                    <w:rPr>
                      <w:rFonts w:ascii="Times New Roman" w:hAnsi="Times New Roman" w:cs="Times New Roman"/>
                      <w:color w:val="auto"/>
                      <w:sz w:val="21"/>
                      <w:szCs w:val="21"/>
                    </w:rPr>
                  </w:pPr>
                </w:p>
              </w:tc>
              <w:tc>
                <w:tcPr>
                  <w:tcW w:w="1110" w:type="pct"/>
                  <w:gridSpan w:val="2"/>
                  <w:tcBorders>
                    <w:tl2br w:val="nil"/>
                    <w:tr2bl w:val="nil"/>
                  </w:tcBorders>
                  <w:vAlign w:val="center"/>
                </w:tcPr>
                <w:p w14:paraId="08525CDF">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氨氮</w:t>
                  </w:r>
                </w:p>
              </w:tc>
              <w:tc>
                <w:tcPr>
                  <w:tcW w:w="1119" w:type="pct"/>
                  <w:tcBorders>
                    <w:tl2br w:val="nil"/>
                    <w:tr2bl w:val="nil"/>
                  </w:tcBorders>
                  <w:vAlign w:val="center"/>
                </w:tcPr>
                <w:p w14:paraId="00A87E67">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0.0210</w:t>
                  </w:r>
                </w:p>
              </w:tc>
              <w:tc>
                <w:tcPr>
                  <w:tcW w:w="1129" w:type="pct"/>
                  <w:tcBorders>
                    <w:tl2br w:val="nil"/>
                    <w:tr2bl w:val="nil"/>
                  </w:tcBorders>
                  <w:vAlign w:val="center"/>
                </w:tcPr>
                <w:p w14:paraId="600C08EF">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0.065</w:t>
                  </w:r>
                </w:p>
              </w:tc>
              <w:tc>
                <w:tcPr>
                  <w:tcW w:w="1895" w:type="dxa"/>
                  <w:tcBorders>
                    <w:tl2br w:val="nil"/>
                    <w:tr2bl w:val="nil"/>
                  </w:tcBorders>
                  <w:vAlign w:val="center"/>
                </w:tcPr>
                <w:p w14:paraId="593FC661">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cs="Times New Roman"/>
                      <w:color w:val="auto"/>
                      <w:sz w:val="21"/>
                      <w:szCs w:val="21"/>
                      <w:lang w:eastAsia="zh-CN"/>
                    </w:rPr>
                    <w:t>达标</w:t>
                  </w:r>
                </w:p>
              </w:tc>
            </w:tr>
            <w:tr w14:paraId="646B69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12" w:type="pct"/>
                  <w:vMerge w:val="continue"/>
                  <w:tcBorders>
                    <w:tl2br w:val="nil"/>
                    <w:tr2bl w:val="nil"/>
                  </w:tcBorders>
                  <w:vAlign w:val="center"/>
                </w:tcPr>
                <w:p w14:paraId="341BA981">
                  <w:pPr>
                    <w:adjustRightInd w:val="0"/>
                    <w:snapToGrid w:val="0"/>
                    <w:jc w:val="center"/>
                    <w:rPr>
                      <w:rFonts w:ascii="Times New Roman" w:hAnsi="Times New Roman" w:cs="Times New Roman"/>
                      <w:color w:val="auto"/>
                      <w:sz w:val="21"/>
                      <w:szCs w:val="21"/>
                    </w:rPr>
                  </w:pPr>
                </w:p>
              </w:tc>
              <w:tc>
                <w:tcPr>
                  <w:tcW w:w="1110" w:type="pct"/>
                  <w:gridSpan w:val="2"/>
                  <w:tcBorders>
                    <w:tl2br w:val="nil"/>
                    <w:tr2bl w:val="nil"/>
                  </w:tcBorders>
                  <w:vAlign w:val="center"/>
                </w:tcPr>
                <w:p w14:paraId="5F3BD364">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总氮</w:t>
                  </w:r>
                </w:p>
              </w:tc>
              <w:tc>
                <w:tcPr>
                  <w:tcW w:w="1119" w:type="pct"/>
                  <w:tcBorders>
                    <w:tl2br w:val="nil"/>
                    <w:tr2bl w:val="nil"/>
                  </w:tcBorders>
                  <w:vAlign w:val="center"/>
                </w:tcPr>
                <w:p w14:paraId="328EBF2B">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0.0323</w:t>
                  </w:r>
                </w:p>
              </w:tc>
              <w:tc>
                <w:tcPr>
                  <w:tcW w:w="1129" w:type="pct"/>
                  <w:tcBorders>
                    <w:tl2br w:val="nil"/>
                    <w:tr2bl w:val="nil"/>
                  </w:tcBorders>
                  <w:vAlign w:val="center"/>
                </w:tcPr>
                <w:p w14:paraId="3CFAA0E4">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0.127</w:t>
                  </w:r>
                </w:p>
              </w:tc>
              <w:tc>
                <w:tcPr>
                  <w:tcW w:w="1895" w:type="dxa"/>
                  <w:tcBorders>
                    <w:tl2br w:val="nil"/>
                    <w:tr2bl w:val="nil"/>
                  </w:tcBorders>
                  <w:vAlign w:val="center"/>
                </w:tcPr>
                <w:p w14:paraId="51B09BCC">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cs="Times New Roman"/>
                      <w:color w:val="auto"/>
                      <w:sz w:val="21"/>
                      <w:szCs w:val="21"/>
                      <w:lang w:eastAsia="zh-CN"/>
                    </w:rPr>
                    <w:t>达标</w:t>
                  </w:r>
                </w:p>
              </w:tc>
            </w:tr>
            <w:tr w14:paraId="5B929A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tcBorders>
                    <w:tl2br w:val="nil"/>
                    <w:tr2bl w:val="nil"/>
                  </w:tcBorders>
                  <w:vAlign w:val="center"/>
                </w:tcPr>
                <w:p w14:paraId="4FC2DC0B">
                  <w:pPr>
                    <w:adjustRightInd w:val="0"/>
                    <w:snapToGrid w:val="0"/>
                    <w:jc w:val="center"/>
                    <w:rPr>
                      <w:rFonts w:ascii="Times New Roman" w:hAnsi="Times New Roman" w:cs="Times New Roman"/>
                      <w:color w:val="auto"/>
                      <w:sz w:val="21"/>
                      <w:szCs w:val="21"/>
                    </w:rPr>
                  </w:pPr>
                </w:p>
              </w:tc>
              <w:tc>
                <w:tcPr>
                  <w:tcW w:w="1110" w:type="pct"/>
                  <w:gridSpan w:val="2"/>
                  <w:tcBorders>
                    <w:tl2br w:val="nil"/>
                    <w:tr2bl w:val="nil"/>
                  </w:tcBorders>
                  <w:vAlign w:val="center"/>
                </w:tcPr>
                <w:p w14:paraId="5FD8676A">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总磷</w:t>
                  </w:r>
                </w:p>
              </w:tc>
              <w:tc>
                <w:tcPr>
                  <w:tcW w:w="1119" w:type="pct"/>
                  <w:tcBorders>
                    <w:tl2br w:val="nil"/>
                    <w:tr2bl w:val="nil"/>
                  </w:tcBorders>
                  <w:vAlign w:val="center"/>
                </w:tcPr>
                <w:p w14:paraId="31A73C50">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0.0009</w:t>
                  </w:r>
                </w:p>
              </w:tc>
              <w:tc>
                <w:tcPr>
                  <w:tcW w:w="1129" w:type="pct"/>
                  <w:tcBorders>
                    <w:tl2br w:val="nil"/>
                    <w:tr2bl w:val="nil"/>
                  </w:tcBorders>
                  <w:vAlign w:val="center"/>
                </w:tcPr>
                <w:p w14:paraId="46C2257B">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0.008</w:t>
                  </w:r>
                </w:p>
              </w:tc>
              <w:tc>
                <w:tcPr>
                  <w:tcW w:w="1895" w:type="dxa"/>
                  <w:tcBorders>
                    <w:tl2br w:val="nil"/>
                    <w:tr2bl w:val="nil"/>
                  </w:tcBorders>
                  <w:vAlign w:val="center"/>
                </w:tcPr>
                <w:p w14:paraId="74E5D02F">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cs="Times New Roman"/>
                      <w:color w:val="auto"/>
                      <w:sz w:val="21"/>
                      <w:szCs w:val="21"/>
                      <w:lang w:eastAsia="zh-CN"/>
                    </w:rPr>
                    <w:t>达标</w:t>
                  </w:r>
                </w:p>
              </w:tc>
            </w:tr>
            <w:tr w14:paraId="3BFF3D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tcBorders>
                    <w:tl2br w:val="nil"/>
                    <w:tr2bl w:val="nil"/>
                  </w:tcBorders>
                  <w:vAlign w:val="center"/>
                </w:tcPr>
                <w:p w14:paraId="609ECAE1">
                  <w:pPr>
                    <w:adjustRightInd w:val="0"/>
                    <w:snapToGrid w:val="0"/>
                    <w:jc w:val="center"/>
                    <w:rPr>
                      <w:rFonts w:ascii="Times New Roman" w:hAnsi="Times New Roman" w:cs="Times New Roman"/>
                      <w:color w:val="auto"/>
                      <w:sz w:val="21"/>
                      <w:szCs w:val="21"/>
                    </w:rPr>
                  </w:pPr>
                </w:p>
              </w:tc>
              <w:tc>
                <w:tcPr>
                  <w:tcW w:w="1110" w:type="pct"/>
                  <w:gridSpan w:val="2"/>
                  <w:tcBorders>
                    <w:tl2br w:val="nil"/>
                    <w:tr2bl w:val="nil"/>
                  </w:tcBorders>
                  <w:vAlign w:val="center"/>
                </w:tcPr>
                <w:p w14:paraId="76A3022F">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石油类</w:t>
                  </w:r>
                </w:p>
              </w:tc>
              <w:tc>
                <w:tcPr>
                  <w:tcW w:w="1119" w:type="pct"/>
                  <w:tcBorders>
                    <w:tl2br w:val="nil"/>
                    <w:tr2bl w:val="nil"/>
                  </w:tcBorders>
                  <w:vAlign w:val="center"/>
                </w:tcPr>
                <w:p w14:paraId="5B9A6B4C">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lang w:val="en-US" w:eastAsia="zh-CN"/>
                    </w:rPr>
                    <w:t>ND</w:t>
                  </w:r>
                </w:p>
              </w:tc>
              <w:tc>
                <w:tcPr>
                  <w:tcW w:w="1129" w:type="pct"/>
                  <w:tcBorders>
                    <w:tl2br w:val="nil"/>
                    <w:tr2bl w:val="nil"/>
                  </w:tcBorders>
                  <w:vAlign w:val="center"/>
                </w:tcPr>
                <w:p w14:paraId="4009A3AE">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0.009</w:t>
                  </w:r>
                </w:p>
              </w:tc>
              <w:tc>
                <w:tcPr>
                  <w:tcW w:w="1895" w:type="dxa"/>
                  <w:tcBorders>
                    <w:tl2br w:val="nil"/>
                    <w:tr2bl w:val="nil"/>
                  </w:tcBorders>
                  <w:vAlign w:val="center"/>
                </w:tcPr>
                <w:p w14:paraId="09737CF1">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cs="Times New Roman"/>
                      <w:color w:val="auto"/>
                      <w:sz w:val="21"/>
                      <w:szCs w:val="21"/>
                      <w:lang w:eastAsia="zh-CN"/>
                    </w:rPr>
                    <w:t>达标</w:t>
                  </w:r>
                </w:p>
              </w:tc>
            </w:tr>
            <w:tr w14:paraId="29CD50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tcBorders>
                    <w:tl2br w:val="nil"/>
                    <w:tr2bl w:val="nil"/>
                  </w:tcBorders>
                  <w:vAlign w:val="center"/>
                </w:tcPr>
                <w:p w14:paraId="4C5CCEC8">
                  <w:pPr>
                    <w:adjustRightInd w:val="0"/>
                    <w:snapToGrid w:val="0"/>
                    <w:jc w:val="center"/>
                    <w:rPr>
                      <w:rFonts w:ascii="Times New Roman" w:hAnsi="Times New Roman" w:cs="Times New Roman"/>
                      <w:color w:val="auto"/>
                      <w:sz w:val="21"/>
                      <w:szCs w:val="21"/>
                    </w:rPr>
                  </w:pPr>
                </w:p>
              </w:tc>
              <w:tc>
                <w:tcPr>
                  <w:tcW w:w="1110" w:type="pct"/>
                  <w:gridSpan w:val="2"/>
                  <w:tcBorders>
                    <w:tl2br w:val="nil"/>
                    <w:tr2bl w:val="nil"/>
                  </w:tcBorders>
                  <w:vAlign w:val="center"/>
                </w:tcPr>
                <w:p w14:paraId="2CA9D620">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盐分</w:t>
                  </w:r>
                </w:p>
              </w:tc>
              <w:tc>
                <w:tcPr>
                  <w:tcW w:w="1119" w:type="pct"/>
                  <w:tcBorders>
                    <w:tl2br w:val="nil"/>
                    <w:tr2bl w:val="nil"/>
                  </w:tcBorders>
                  <w:vAlign w:val="center"/>
                </w:tcPr>
                <w:p w14:paraId="6D470DA8">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6.1837</w:t>
                  </w:r>
                </w:p>
              </w:tc>
              <w:tc>
                <w:tcPr>
                  <w:tcW w:w="1129" w:type="pct"/>
                  <w:tcBorders>
                    <w:tl2br w:val="nil"/>
                    <w:tr2bl w:val="nil"/>
                  </w:tcBorders>
                  <w:vAlign w:val="center"/>
                </w:tcPr>
                <w:p w14:paraId="14544283">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19.364</w:t>
                  </w:r>
                </w:p>
              </w:tc>
              <w:tc>
                <w:tcPr>
                  <w:tcW w:w="1895" w:type="dxa"/>
                  <w:tcBorders>
                    <w:tl2br w:val="nil"/>
                    <w:tr2bl w:val="nil"/>
                  </w:tcBorders>
                  <w:vAlign w:val="center"/>
                </w:tcPr>
                <w:p w14:paraId="1C9DB9B3">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cs="Times New Roman"/>
                      <w:color w:val="auto"/>
                      <w:sz w:val="21"/>
                      <w:szCs w:val="21"/>
                      <w:lang w:eastAsia="zh-CN"/>
                    </w:rPr>
                    <w:t>达标</w:t>
                  </w:r>
                </w:p>
              </w:tc>
            </w:tr>
            <w:tr w14:paraId="6443A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restart"/>
                  <w:tcBorders>
                    <w:tl2br w:val="nil"/>
                    <w:tr2bl w:val="nil"/>
                  </w:tcBorders>
                  <w:vAlign w:val="center"/>
                </w:tcPr>
                <w:p w14:paraId="69EA5DDF">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固废</w:t>
                  </w:r>
                </w:p>
              </w:tc>
              <w:tc>
                <w:tcPr>
                  <w:tcW w:w="1110" w:type="pct"/>
                  <w:gridSpan w:val="2"/>
                  <w:tcBorders>
                    <w:tl2br w:val="nil"/>
                    <w:tr2bl w:val="nil"/>
                  </w:tcBorders>
                  <w:vAlign w:val="center"/>
                </w:tcPr>
                <w:p w14:paraId="16D1C9DF">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危险废物</w:t>
                  </w:r>
                </w:p>
              </w:tc>
              <w:tc>
                <w:tcPr>
                  <w:tcW w:w="1119" w:type="pct"/>
                  <w:tcBorders>
                    <w:tl2br w:val="nil"/>
                    <w:tr2bl w:val="nil"/>
                  </w:tcBorders>
                  <w:vAlign w:val="center"/>
                </w:tcPr>
                <w:p w14:paraId="3E34533A">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w:t>
                  </w:r>
                </w:p>
              </w:tc>
              <w:tc>
                <w:tcPr>
                  <w:tcW w:w="1129" w:type="pct"/>
                  <w:tcBorders>
                    <w:tl2br w:val="nil"/>
                    <w:tr2bl w:val="nil"/>
                  </w:tcBorders>
                  <w:vAlign w:val="center"/>
                </w:tcPr>
                <w:p w14:paraId="2527AD8E">
                  <w:pPr>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1895" w:type="dxa"/>
                  <w:tcBorders>
                    <w:tl2br w:val="nil"/>
                    <w:tr2bl w:val="nil"/>
                  </w:tcBorders>
                  <w:vAlign w:val="center"/>
                </w:tcPr>
                <w:p w14:paraId="5B06EDF2">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cs="Times New Roman"/>
                      <w:color w:val="auto"/>
                      <w:sz w:val="21"/>
                      <w:szCs w:val="21"/>
                      <w:lang w:eastAsia="zh-CN"/>
                    </w:rPr>
                    <w:t>达标</w:t>
                  </w:r>
                </w:p>
              </w:tc>
            </w:tr>
            <w:tr w14:paraId="32094B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tcBorders>
                    <w:tl2br w:val="nil"/>
                    <w:tr2bl w:val="nil"/>
                  </w:tcBorders>
                  <w:vAlign w:val="center"/>
                </w:tcPr>
                <w:p w14:paraId="301F76C0">
                  <w:pPr>
                    <w:adjustRightInd w:val="0"/>
                    <w:snapToGrid w:val="0"/>
                    <w:jc w:val="center"/>
                    <w:rPr>
                      <w:rFonts w:ascii="Times New Roman" w:hAnsi="Times New Roman" w:cs="Times New Roman"/>
                      <w:color w:val="auto"/>
                      <w:sz w:val="21"/>
                      <w:szCs w:val="21"/>
                    </w:rPr>
                  </w:pPr>
                </w:p>
              </w:tc>
              <w:tc>
                <w:tcPr>
                  <w:tcW w:w="1110" w:type="pct"/>
                  <w:gridSpan w:val="2"/>
                  <w:tcBorders>
                    <w:tl2br w:val="nil"/>
                    <w:tr2bl w:val="nil"/>
                  </w:tcBorders>
                  <w:vAlign w:val="center"/>
                </w:tcPr>
                <w:p w14:paraId="3CCF15FE">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一般固废</w:t>
                  </w:r>
                </w:p>
              </w:tc>
              <w:tc>
                <w:tcPr>
                  <w:tcW w:w="1119" w:type="pct"/>
                  <w:tcBorders>
                    <w:tl2br w:val="nil"/>
                    <w:tr2bl w:val="nil"/>
                  </w:tcBorders>
                  <w:vAlign w:val="center"/>
                </w:tcPr>
                <w:p w14:paraId="0E5C9F4B">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w:t>
                  </w:r>
                </w:p>
              </w:tc>
              <w:tc>
                <w:tcPr>
                  <w:tcW w:w="1129" w:type="pct"/>
                  <w:tcBorders>
                    <w:tl2br w:val="nil"/>
                    <w:tr2bl w:val="nil"/>
                  </w:tcBorders>
                  <w:vAlign w:val="center"/>
                </w:tcPr>
                <w:p w14:paraId="7BAE4F4D">
                  <w:pPr>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1895" w:type="dxa"/>
                  <w:tcBorders>
                    <w:tl2br w:val="nil"/>
                    <w:tr2bl w:val="nil"/>
                  </w:tcBorders>
                  <w:vAlign w:val="center"/>
                </w:tcPr>
                <w:p w14:paraId="464CAC31">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cs="Times New Roman"/>
                      <w:color w:val="auto"/>
                      <w:sz w:val="21"/>
                      <w:szCs w:val="21"/>
                      <w:lang w:eastAsia="zh-CN"/>
                    </w:rPr>
                    <w:t>达标</w:t>
                  </w:r>
                </w:p>
              </w:tc>
            </w:tr>
            <w:tr w14:paraId="0DC6B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vMerge w:val="continue"/>
                  <w:tcBorders>
                    <w:tl2br w:val="nil"/>
                    <w:tr2bl w:val="nil"/>
                  </w:tcBorders>
                  <w:vAlign w:val="center"/>
                </w:tcPr>
                <w:p w14:paraId="52FEB255">
                  <w:pPr>
                    <w:adjustRightInd w:val="0"/>
                    <w:snapToGrid w:val="0"/>
                    <w:jc w:val="center"/>
                    <w:rPr>
                      <w:rFonts w:ascii="Times New Roman" w:hAnsi="Times New Roman" w:cs="Times New Roman"/>
                      <w:color w:val="auto"/>
                      <w:sz w:val="21"/>
                      <w:szCs w:val="21"/>
                    </w:rPr>
                  </w:pPr>
                </w:p>
              </w:tc>
              <w:tc>
                <w:tcPr>
                  <w:tcW w:w="1110" w:type="pct"/>
                  <w:gridSpan w:val="2"/>
                  <w:tcBorders>
                    <w:tl2br w:val="nil"/>
                    <w:tr2bl w:val="nil"/>
                  </w:tcBorders>
                  <w:vAlign w:val="center"/>
                </w:tcPr>
                <w:p w14:paraId="0DF419FF">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生活垃圾</w:t>
                  </w:r>
                </w:p>
              </w:tc>
              <w:tc>
                <w:tcPr>
                  <w:tcW w:w="1119" w:type="pct"/>
                  <w:tcBorders>
                    <w:tl2br w:val="nil"/>
                    <w:tr2bl w:val="nil"/>
                  </w:tcBorders>
                  <w:vAlign w:val="center"/>
                </w:tcPr>
                <w:p w14:paraId="168405E2">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0</w:t>
                  </w:r>
                </w:p>
              </w:tc>
              <w:tc>
                <w:tcPr>
                  <w:tcW w:w="1129" w:type="pct"/>
                  <w:tcBorders>
                    <w:tl2br w:val="nil"/>
                    <w:tr2bl w:val="nil"/>
                  </w:tcBorders>
                  <w:vAlign w:val="center"/>
                </w:tcPr>
                <w:p w14:paraId="46F1CB66">
                  <w:pPr>
                    <w:jc w:val="center"/>
                    <w:rPr>
                      <w:rFonts w:ascii="Times New Roman" w:hAnsi="Times New Roman" w:cs="Times New Roman"/>
                      <w:color w:val="auto"/>
                      <w:sz w:val="21"/>
                      <w:szCs w:val="21"/>
                    </w:rPr>
                  </w:pPr>
                  <w:r>
                    <w:rPr>
                      <w:rFonts w:ascii="Times New Roman" w:hAnsi="Times New Roman" w:cs="Times New Roman"/>
                      <w:color w:val="auto"/>
                      <w:sz w:val="21"/>
                      <w:szCs w:val="21"/>
                    </w:rPr>
                    <w:t>0</w:t>
                  </w:r>
                </w:p>
              </w:tc>
              <w:tc>
                <w:tcPr>
                  <w:tcW w:w="1895" w:type="dxa"/>
                  <w:tcBorders>
                    <w:tl2br w:val="nil"/>
                    <w:tr2bl w:val="nil"/>
                  </w:tcBorders>
                  <w:vAlign w:val="center"/>
                </w:tcPr>
                <w:p w14:paraId="6014569C">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cs="Times New Roman"/>
                      <w:color w:val="auto"/>
                      <w:sz w:val="21"/>
                      <w:szCs w:val="21"/>
                      <w:lang w:eastAsia="zh-CN"/>
                    </w:rPr>
                    <w:t>达标</w:t>
                  </w:r>
                </w:p>
              </w:tc>
            </w:tr>
          </w:tbl>
          <w:p w14:paraId="44F3645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s="Times New Roman"/>
                <w:b w:val="0"/>
                <w:bCs/>
                <w:color w:val="auto"/>
                <w:sz w:val="21"/>
                <w:szCs w:val="21"/>
                <w:lang w:val="en-US" w:eastAsia="zh-CN"/>
              </w:rPr>
            </w:pPr>
            <w:r>
              <w:rPr>
                <w:rFonts w:hint="eastAsia" w:cs="Times New Roman"/>
                <w:b w:val="0"/>
                <w:bCs/>
                <w:color w:val="auto"/>
                <w:sz w:val="21"/>
                <w:szCs w:val="21"/>
                <w:lang w:val="en-US" w:eastAsia="zh-CN"/>
              </w:rPr>
              <w:t>注：ND为未检出。</w:t>
            </w:r>
          </w:p>
          <w:p w14:paraId="58B4978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color w:val="auto"/>
                <w:sz w:val="24"/>
                <w:szCs w:val="24"/>
                <w:lang w:eastAsia="zh-CN"/>
              </w:rPr>
            </w:pPr>
            <w:r>
              <w:rPr>
                <w:rFonts w:hint="eastAsia" w:cs="Times New Roman"/>
                <w:b/>
                <w:bCs w:val="0"/>
                <w:color w:val="auto"/>
                <w:sz w:val="24"/>
                <w:szCs w:val="24"/>
                <w:lang w:val="en-US" w:eastAsia="zh-CN"/>
              </w:rPr>
              <w:t>（5）</w:t>
            </w:r>
            <w:r>
              <w:rPr>
                <w:rFonts w:hint="eastAsia"/>
                <w:b/>
                <w:bCs/>
                <w:color w:val="auto"/>
                <w:sz w:val="24"/>
                <w:szCs w:val="24"/>
                <w:lang w:eastAsia="zh-CN"/>
              </w:rPr>
              <w:t>现有项目与原环评批复相符性分析及改进措施</w:t>
            </w:r>
          </w:p>
          <w:p w14:paraId="1C7B48C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color w:val="auto"/>
                <w:sz w:val="24"/>
                <w:szCs w:val="24"/>
                <w:lang w:eastAsia="zh-CN"/>
              </w:rPr>
              <w:t>与</w:t>
            </w:r>
            <w:r>
              <w:rPr>
                <w:rFonts w:hint="eastAsia" w:ascii="Times New Roman" w:hAnsi="Times New Roman" w:eastAsia="宋体" w:cs="Times New Roman"/>
                <w:color w:val="auto"/>
                <w:sz w:val="24"/>
                <w:szCs w:val="24"/>
                <w:lang w:eastAsia="zh-CN"/>
              </w:rPr>
              <w:t>“年产14.5万吨三氯氧磷（其中电子级0.5万吨）、11万吨电子级五氯化磷技改项目环境影响报告书”及其环评批复：淮环发〔2023〕125号相符性分析见表</w:t>
            </w:r>
            <w:r>
              <w:rPr>
                <w:rFonts w:hint="eastAsia" w:ascii="Times New Roman" w:hAnsi="Times New Roman" w:eastAsia="宋体" w:cs="Times New Roman"/>
                <w:color w:val="auto"/>
                <w:sz w:val="24"/>
                <w:szCs w:val="24"/>
                <w:lang w:val="en-US" w:eastAsia="zh-CN"/>
              </w:rPr>
              <w:t>2-1</w:t>
            </w:r>
            <w:r>
              <w:rPr>
                <w:rFonts w:hint="eastAsia" w:cs="Times New Roman"/>
                <w:color w:val="auto"/>
                <w:sz w:val="24"/>
                <w:szCs w:val="24"/>
                <w:lang w:val="en-US" w:eastAsia="zh-CN"/>
              </w:rPr>
              <w:t>9</w:t>
            </w:r>
            <w:r>
              <w:rPr>
                <w:rFonts w:hint="eastAsia" w:ascii="Times New Roman" w:hAnsi="Times New Roman" w:eastAsia="宋体" w:cs="Times New Roman"/>
                <w:color w:val="auto"/>
                <w:sz w:val="24"/>
                <w:szCs w:val="24"/>
                <w:lang w:val="en-US" w:eastAsia="zh-CN"/>
              </w:rPr>
              <w:t>。</w:t>
            </w:r>
          </w:p>
          <w:p w14:paraId="31F527AB">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center"/>
              <w:textAlignment w:val="auto"/>
              <w:rPr>
                <w:rFonts w:hint="eastAsia"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en-US" w:eastAsia="zh-CN"/>
              </w:rPr>
              <w:t>表2-1</w:t>
            </w:r>
            <w:r>
              <w:rPr>
                <w:rFonts w:hint="eastAsia" w:cs="Times New Roman"/>
                <w:b/>
                <w:bCs/>
                <w:color w:val="auto"/>
                <w:sz w:val="24"/>
                <w:szCs w:val="24"/>
                <w:lang w:val="en-US" w:eastAsia="zh-CN"/>
              </w:rPr>
              <w:t>9</w:t>
            </w:r>
            <w:r>
              <w:rPr>
                <w:rFonts w:hint="eastAsia" w:ascii="Times New Roman" w:hAnsi="Times New Roman" w:eastAsia="宋体" w:cs="Times New Roman"/>
                <w:b/>
                <w:bCs/>
                <w:color w:val="auto"/>
                <w:sz w:val="24"/>
                <w:szCs w:val="24"/>
                <w:lang w:val="en-US" w:eastAsia="zh-CN"/>
              </w:rPr>
              <w:t xml:space="preserve">  现有项目与</w:t>
            </w:r>
            <w:r>
              <w:rPr>
                <w:rFonts w:hint="eastAsia" w:ascii="Times New Roman" w:hAnsi="Times New Roman" w:eastAsia="宋体" w:cs="Times New Roman"/>
                <w:b/>
                <w:bCs/>
                <w:color w:val="auto"/>
                <w:sz w:val="24"/>
                <w:szCs w:val="24"/>
                <w:lang w:eastAsia="zh-CN"/>
              </w:rPr>
              <w:t>淮环发〔2023〕125号相符性分析一览表</w:t>
            </w:r>
          </w:p>
          <w:tbl>
            <w:tblPr>
              <w:tblStyle w:val="89"/>
              <w:tblW w:w="841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1"/>
              <w:gridCol w:w="3635"/>
              <w:gridCol w:w="3150"/>
              <w:gridCol w:w="1058"/>
            </w:tblGrid>
            <w:tr w14:paraId="54D3B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1" w:type="dxa"/>
                  <w:tcBorders>
                    <w:tl2br w:val="nil"/>
                    <w:tr2bl w:val="nil"/>
                  </w:tcBorders>
                  <w:vAlign w:val="center"/>
                </w:tcPr>
                <w:p w14:paraId="746BE6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序号</w:t>
                  </w:r>
                </w:p>
              </w:tc>
              <w:tc>
                <w:tcPr>
                  <w:tcW w:w="3635" w:type="dxa"/>
                  <w:tcBorders>
                    <w:tl2br w:val="nil"/>
                    <w:tr2bl w:val="nil"/>
                  </w:tcBorders>
                  <w:vAlign w:val="center"/>
                </w:tcPr>
                <w:p w14:paraId="77BE18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原环评批复情况</w:t>
                  </w:r>
                </w:p>
              </w:tc>
              <w:tc>
                <w:tcPr>
                  <w:tcW w:w="3150" w:type="dxa"/>
                  <w:tcBorders>
                    <w:tl2br w:val="nil"/>
                    <w:tr2bl w:val="nil"/>
                  </w:tcBorders>
                  <w:vAlign w:val="center"/>
                </w:tcPr>
                <w:p w14:paraId="63E11A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实际情况</w:t>
                  </w:r>
                </w:p>
              </w:tc>
              <w:tc>
                <w:tcPr>
                  <w:tcW w:w="1058" w:type="dxa"/>
                  <w:tcBorders>
                    <w:tl2br w:val="nil"/>
                    <w:tr2bl w:val="nil"/>
                  </w:tcBorders>
                  <w:vAlign w:val="center"/>
                </w:tcPr>
                <w:p w14:paraId="62BF9A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相符性</w:t>
                  </w:r>
                </w:p>
              </w:tc>
            </w:tr>
            <w:tr w14:paraId="327C6A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1" w:type="dxa"/>
                  <w:tcBorders>
                    <w:tl2br w:val="nil"/>
                    <w:tr2bl w:val="nil"/>
                  </w:tcBorders>
                  <w:vAlign w:val="center"/>
                </w:tcPr>
                <w:p w14:paraId="1DF19A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p>
              </w:tc>
              <w:tc>
                <w:tcPr>
                  <w:tcW w:w="3635" w:type="dxa"/>
                  <w:tcBorders>
                    <w:tl2br w:val="nil"/>
                    <w:tr2bl w:val="nil"/>
                  </w:tcBorders>
                  <w:vAlign w:val="center"/>
                </w:tcPr>
                <w:p w14:paraId="2C83D6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按“雨污分流、清污分流、分类收集、分质处理”的原则完善厂区给排水管网，污水管网应明管化。本项目雨、污水排口依托现有。喷淋废水、清洗废水、旁滤水处理系统反冲洗水经厂区污水处理站</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调节PH+化学除磷+混凝沉淀</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处理</w:t>
                  </w:r>
                  <w:r>
                    <w:rPr>
                      <w:rFonts w:hint="eastAsia" w:cs="Times New Roman"/>
                      <w:b w:val="0"/>
                      <w:bCs w:val="0"/>
                      <w:color w:val="auto"/>
                      <w:sz w:val="21"/>
                      <w:szCs w:val="21"/>
                      <w:vertAlign w:val="baseline"/>
                      <w:lang w:val="en-US" w:eastAsia="zh-CN"/>
                    </w:rPr>
                    <w:t>达到</w:t>
                  </w:r>
                  <w:r>
                    <w:rPr>
                      <w:rFonts w:hint="default" w:ascii="Times New Roman" w:hAnsi="Times New Roman" w:eastAsia="宋体" w:cs="Times New Roman"/>
                      <w:b w:val="0"/>
                      <w:bCs w:val="0"/>
                      <w:color w:val="auto"/>
                      <w:sz w:val="21"/>
                      <w:szCs w:val="21"/>
                      <w:vertAlign w:val="baseline"/>
                      <w:lang w:val="en-US" w:eastAsia="zh-CN"/>
                    </w:rPr>
                    <w:t>接管标准后，接管至薛行污水处理厂集中处理。纯水制备排水、蒸汽冷凝水回用至循环冷却系统补充水。</w:t>
                  </w:r>
                </w:p>
              </w:tc>
              <w:tc>
                <w:tcPr>
                  <w:tcW w:w="3150" w:type="dxa"/>
                  <w:tcBorders>
                    <w:tl2br w:val="nil"/>
                    <w:tr2bl w:val="nil"/>
                  </w:tcBorders>
                  <w:vAlign w:val="center"/>
                </w:tcPr>
                <w:p w14:paraId="1A2430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企业已按“雨污分流、清污分流”的原则设计厂区给排水管网、厂内污水管，污水管网明管化，</w:t>
                  </w:r>
                  <w:r>
                    <w:rPr>
                      <w:rFonts w:hint="default" w:ascii="Times New Roman" w:hAnsi="Times New Roman" w:eastAsia="宋体" w:cs="Times New Roman"/>
                      <w:b w:val="0"/>
                      <w:bCs w:val="0"/>
                      <w:color w:val="auto"/>
                      <w:sz w:val="21"/>
                      <w:szCs w:val="21"/>
                      <w:vertAlign w:val="baseline"/>
                      <w:lang w:val="en-US" w:eastAsia="zh-CN"/>
                    </w:rPr>
                    <w:t>喷淋废水、清洗废水、旁滤水处理系统反冲洗水经厂区污水处理站</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调节PH+化学除磷+混凝沉淀</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处理</w:t>
                  </w:r>
                  <w:r>
                    <w:rPr>
                      <w:rFonts w:hint="eastAsia" w:cs="Times New Roman"/>
                      <w:b w:val="0"/>
                      <w:bCs w:val="0"/>
                      <w:color w:val="auto"/>
                      <w:sz w:val="21"/>
                      <w:szCs w:val="21"/>
                      <w:vertAlign w:val="baseline"/>
                      <w:lang w:val="en-US" w:eastAsia="zh-CN"/>
                    </w:rPr>
                    <w:t>达到</w:t>
                  </w:r>
                  <w:r>
                    <w:rPr>
                      <w:rFonts w:hint="default" w:ascii="Times New Roman" w:hAnsi="Times New Roman" w:eastAsia="宋体" w:cs="Times New Roman"/>
                      <w:b w:val="0"/>
                      <w:bCs w:val="0"/>
                      <w:color w:val="auto"/>
                      <w:sz w:val="21"/>
                      <w:szCs w:val="21"/>
                      <w:vertAlign w:val="baseline"/>
                      <w:lang w:val="en-US" w:eastAsia="zh-CN"/>
                    </w:rPr>
                    <w:t>接管标准后，接管至薛行污水处理厂集中处理。纯水制备排水、蒸汽冷凝水回用至循环冷却系统补充水。</w:t>
                  </w:r>
                </w:p>
              </w:tc>
              <w:tc>
                <w:tcPr>
                  <w:tcW w:w="1058" w:type="dxa"/>
                  <w:tcBorders>
                    <w:tl2br w:val="nil"/>
                    <w:tr2bl w:val="nil"/>
                  </w:tcBorders>
                  <w:vAlign w:val="center"/>
                </w:tcPr>
                <w:p w14:paraId="6A1C48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符合</w:t>
                  </w:r>
                </w:p>
              </w:tc>
            </w:tr>
            <w:tr w14:paraId="39B82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1" w:type="dxa"/>
                  <w:tcBorders>
                    <w:tl2br w:val="nil"/>
                    <w:tr2bl w:val="nil"/>
                  </w:tcBorders>
                  <w:vAlign w:val="center"/>
                </w:tcPr>
                <w:p w14:paraId="0A4FFC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635" w:type="dxa"/>
                  <w:tcBorders>
                    <w:tl2br w:val="nil"/>
                    <w:tr2bl w:val="nil"/>
                  </w:tcBorders>
                  <w:vAlign w:val="center"/>
                </w:tcPr>
                <w:p w14:paraId="577F4002">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本项目新增3根排气筒。</w:t>
                  </w:r>
                </w:p>
                <w:p w14:paraId="359626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车间三氯氧磷生产过程中产生的不凝气、储罐废气以及二车间电子级三氯氧磷生产过程中产生的不凝气分别经管道收集，与经密闭负压收集的二车间电子级三氯氧磷生产过程中产生的瓶装废气一起混合经三级降膜水吸收工艺处理后，再经过“一级水吸收+二级碱吸收”装置处理，通过25m高2#排气筒排放。</w:t>
                  </w:r>
                </w:p>
                <w:p w14:paraId="416903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二车间电子级五氯化磷生产过程中产生的进料废气、槽车充装废气分别经管道收集经布袋除尘器处理后，与经管道收集的不凝气一起混合经三级降膜水吸收工艺处理后，再经过“一级水吸收+二级碱吸收”装置处理，通过25m高3#排气筒排放。二车间盐酸、磷酸生产线混酸分离产生的氧化反应废气、脱氯化氢废气经三级降膜水吸收工艺处理后产生的废气，与经密闭</w:t>
                  </w:r>
                </w:p>
                <w:p w14:paraId="29F1C7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管道收集的盐酸储罐废气、经密闭负压收集的危废库废气以及经</w:t>
                  </w:r>
                </w:p>
                <w:p w14:paraId="6ADF0A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密闭收集的污水处理站废气混合至“一级水吸收+二级碱吸收”装</w:t>
                  </w:r>
                </w:p>
                <w:p w14:paraId="1F7FE5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置处理，通过25m高4#排气筒排放。氯气、氯化氢执行《大气污染物综合排放标准》</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DB32/4041 -2021</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表1排放限值，磷酸雾参照执行上海市《大气污染物综合排放标准》</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DB31/933-2015</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 xml:space="preserve"> 表1排放限值</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氨、硫化氢、臭气浓度执行《恶臭污染物排放标准》</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GB 14554-93</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表2排放标准值。</w:t>
                  </w:r>
                </w:p>
                <w:p w14:paraId="5BC556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上述未被收集的废气</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氯化氢、氨、硫化氢</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无组织排放。厂界氯化氢执行《大气污染物综合排放标准》</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DB32/4041-2021</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表3排放限值</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厂界氨、硫化氢、</w:t>
                  </w:r>
                  <w:r>
                    <w:rPr>
                      <w:rFonts w:hint="eastAsia" w:cs="Times New Roman"/>
                      <w:b w:val="0"/>
                      <w:bCs w:val="0"/>
                      <w:color w:val="auto"/>
                      <w:sz w:val="21"/>
                      <w:szCs w:val="21"/>
                      <w:vertAlign w:val="baseline"/>
                      <w:lang w:val="en-US" w:eastAsia="zh-CN"/>
                    </w:rPr>
                    <w:t>臭气浓度</w:t>
                  </w:r>
                  <w:r>
                    <w:rPr>
                      <w:rFonts w:hint="default" w:ascii="Times New Roman" w:hAnsi="Times New Roman" w:eastAsia="宋体" w:cs="Times New Roman"/>
                      <w:b w:val="0"/>
                      <w:bCs w:val="0"/>
                      <w:color w:val="auto"/>
                      <w:sz w:val="21"/>
                      <w:szCs w:val="21"/>
                      <w:vertAlign w:val="baseline"/>
                      <w:lang w:val="en-US" w:eastAsia="zh-CN"/>
                    </w:rPr>
                    <w:t>执行《恶臭污染物排放标准》</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GB14554-93</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表1二级新扩改建厂界标准值。</w:t>
                  </w:r>
                </w:p>
              </w:tc>
              <w:tc>
                <w:tcPr>
                  <w:tcW w:w="3150" w:type="dxa"/>
                  <w:tcBorders>
                    <w:tl2br w:val="nil"/>
                    <w:tr2bl w:val="nil"/>
                  </w:tcBorders>
                  <w:vAlign w:val="center"/>
                </w:tcPr>
                <w:p w14:paraId="53F240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本项目新增1根排气筒，部分尾气合并排放，减少2根排</w:t>
                  </w:r>
                  <w:r>
                    <w:rPr>
                      <w:rFonts w:hint="eastAsia" w:cs="Times New Roman"/>
                      <w:b w:val="0"/>
                      <w:bCs w:val="0"/>
                      <w:color w:val="auto"/>
                      <w:sz w:val="21"/>
                      <w:szCs w:val="21"/>
                      <w:vertAlign w:val="baseline"/>
                      <w:lang w:val="en-US" w:eastAsia="zh-CN"/>
                    </w:rPr>
                    <w:t>气筒</w:t>
                  </w:r>
                  <w:r>
                    <w:rPr>
                      <w:rFonts w:hint="default" w:ascii="Times New Roman" w:hAnsi="Times New Roman" w:eastAsia="宋体" w:cs="Times New Roman"/>
                      <w:b w:val="0"/>
                      <w:bCs w:val="0"/>
                      <w:color w:val="auto"/>
                      <w:sz w:val="21"/>
                      <w:szCs w:val="21"/>
                      <w:vertAlign w:val="baseline"/>
                      <w:lang w:val="en-US" w:eastAsia="zh-CN"/>
                    </w:rPr>
                    <w:t>。</w:t>
                  </w:r>
                </w:p>
                <w:p w14:paraId="280DB0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车间三氯氧磷生产过程中产生的不凝气、储罐废气以及二车间电子级三氯氧磷生产过程中产生的不凝气分别经管道收集，与经密闭负压收集的二车间电子级三氯氧磷生产过程中产生的瓶装废气一起混合经三级降膜水吸收工艺处理后，再经过“</w:t>
                  </w:r>
                  <w:r>
                    <w:rPr>
                      <w:rFonts w:hint="eastAsia" w:ascii="Times New Roman" w:hAnsi="Times New Roman" w:eastAsia="宋体" w:cs="Times New Roman"/>
                      <w:b w:val="0"/>
                      <w:bCs w:val="0"/>
                      <w:color w:val="auto"/>
                      <w:sz w:val="21"/>
                      <w:szCs w:val="21"/>
                      <w:vertAlign w:val="baseline"/>
                      <w:lang w:val="en-US" w:eastAsia="zh-CN"/>
                    </w:rPr>
                    <w:t>一</w:t>
                  </w:r>
                  <w:r>
                    <w:rPr>
                      <w:rFonts w:hint="default" w:ascii="Times New Roman" w:hAnsi="Times New Roman" w:eastAsia="宋体" w:cs="Times New Roman"/>
                      <w:b w:val="0"/>
                      <w:bCs w:val="0"/>
                      <w:color w:val="auto"/>
                      <w:sz w:val="21"/>
                      <w:szCs w:val="21"/>
                      <w:vertAlign w:val="baseline"/>
                      <w:lang w:val="en-US" w:eastAsia="zh-CN"/>
                    </w:rPr>
                    <w:t>级水吸收+二级碱吸收”装置处理通过25m高排气筒</w:t>
                  </w:r>
                  <w:r>
                    <w:rPr>
                      <w:rFonts w:hint="eastAsia" w:cs="Times New Roman"/>
                      <w:b w:val="0"/>
                      <w:bCs w:val="0"/>
                      <w:color w:val="auto"/>
                      <w:sz w:val="21"/>
                      <w:szCs w:val="21"/>
                      <w:vertAlign w:val="baseline"/>
                      <w:lang w:val="en-US" w:eastAsia="zh-CN"/>
                    </w:rPr>
                    <w:t>（DA001）</w:t>
                  </w:r>
                  <w:r>
                    <w:rPr>
                      <w:rFonts w:hint="default" w:ascii="Times New Roman" w:hAnsi="Times New Roman" w:eastAsia="宋体" w:cs="Times New Roman"/>
                      <w:b w:val="0"/>
                      <w:bCs w:val="0"/>
                      <w:color w:val="auto"/>
                      <w:sz w:val="21"/>
                      <w:szCs w:val="21"/>
                      <w:vertAlign w:val="baseline"/>
                      <w:lang w:val="en-US" w:eastAsia="zh-CN"/>
                    </w:rPr>
                    <w:t>排放。</w:t>
                  </w:r>
                </w:p>
                <w:p w14:paraId="67E5E9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二车间电子级五氯化磷生产过程中产生的进料废气、槽车充装废气分别经管道收集经布袋除尘器处理后</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与经管道收集的不凝气一起混合经三级降膜水吸收工艺处理后</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再经过“一级水吸收+二级碱吸收”装置处理通过25m高排气筒</w:t>
                  </w:r>
                  <w:r>
                    <w:rPr>
                      <w:rFonts w:hint="eastAsia" w:cs="Times New Roman"/>
                      <w:b w:val="0"/>
                      <w:bCs w:val="0"/>
                      <w:color w:val="auto"/>
                      <w:sz w:val="21"/>
                      <w:szCs w:val="21"/>
                      <w:vertAlign w:val="baseline"/>
                      <w:lang w:val="en-US" w:eastAsia="zh-CN"/>
                    </w:rPr>
                    <w:t>（DA002）</w:t>
                  </w:r>
                  <w:r>
                    <w:rPr>
                      <w:rFonts w:hint="default" w:ascii="Times New Roman" w:hAnsi="Times New Roman" w:eastAsia="宋体" w:cs="Times New Roman"/>
                      <w:b w:val="0"/>
                      <w:bCs w:val="0"/>
                      <w:color w:val="auto"/>
                      <w:sz w:val="21"/>
                      <w:szCs w:val="21"/>
                      <w:vertAlign w:val="baseline"/>
                      <w:lang w:val="en-US" w:eastAsia="zh-CN"/>
                    </w:rPr>
                    <w:t>排放。</w:t>
                  </w:r>
                </w:p>
                <w:p w14:paraId="0B978E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二车间盐酸、磷酸生产线混酸分离产生的氧化反应废气、脱氯化氢废气经三级降膜水吸收工艺处理后产生的废气，与经密闭</w:t>
                  </w:r>
                  <w:r>
                    <w:rPr>
                      <w:rFonts w:hint="eastAsia" w:cs="Times New Roman"/>
                      <w:b w:val="0"/>
                      <w:bCs w:val="0"/>
                      <w:color w:val="auto"/>
                      <w:sz w:val="21"/>
                      <w:szCs w:val="21"/>
                      <w:vertAlign w:val="baseline"/>
                      <w:lang w:val="en-US" w:eastAsia="zh-CN"/>
                    </w:rPr>
                    <w:t>管道</w:t>
                  </w:r>
                  <w:r>
                    <w:rPr>
                      <w:rFonts w:hint="default" w:ascii="Times New Roman" w:hAnsi="Times New Roman" w:eastAsia="宋体" w:cs="Times New Roman"/>
                      <w:b w:val="0"/>
                      <w:bCs w:val="0"/>
                      <w:color w:val="auto"/>
                      <w:sz w:val="21"/>
                      <w:szCs w:val="21"/>
                      <w:vertAlign w:val="baseline"/>
                      <w:lang w:val="en-US" w:eastAsia="zh-CN"/>
                    </w:rPr>
                    <w:t>收集的盐酸储罐废气、经密闭负压收集的危废库废气以及经密闭收集的污水处理站废气混合至“一级水吸收+二级碱吸收”装置处理，通过25m高排气筒</w:t>
                  </w:r>
                  <w:r>
                    <w:rPr>
                      <w:rFonts w:hint="eastAsia" w:cs="Times New Roman"/>
                      <w:b w:val="0"/>
                      <w:bCs w:val="0"/>
                      <w:color w:val="auto"/>
                      <w:sz w:val="21"/>
                      <w:szCs w:val="21"/>
                      <w:vertAlign w:val="baseline"/>
                      <w:lang w:val="en-US" w:eastAsia="zh-CN"/>
                    </w:rPr>
                    <w:t>（DA002）</w:t>
                  </w:r>
                  <w:r>
                    <w:rPr>
                      <w:rFonts w:hint="default" w:ascii="Times New Roman" w:hAnsi="Times New Roman" w:eastAsia="宋体" w:cs="Times New Roman"/>
                      <w:b w:val="0"/>
                      <w:bCs w:val="0"/>
                      <w:color w:val="auto"/>
                      <w:sz w:val="21"/>
                      <w:szCs w:val="21"/>
                      <w:vertAlign w:val="baseline"/>
                      <w:lang w:val="en-US" w:eastAsia="zh-CN"/>
                    </w:rPr>
                    <w:t>排放。</w:t>
                  </w:r>
                </w:p>
                <w:p w14:paraId="41191C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实验室废气通过通风橱收集+一级活性炭吸附+5m排气筒排放，</w:t>
                  </w:r>
                  <w:r>
                    <w:rPr>
                      <w:rFonts w:hint="default" w:ascii="Times New Roman" w:hAnsi="Times New Roman" w:eastAsia="宋体" w:cs="Times New Roman"/>
                      <w:b w:val="0"/>
                      <w:bCs w:val="0"/>
                      <w:color w:val="auto"/>
                      <w:sz w:val="21"/>
                      <w:szCs w:val="21"/>
                      <w:vertAlign w:val="baseline"/>
                      <w:lang w:val="en-US" w:eastAsia="zh-CN"/>
                    </w:rPr>
                    <w:t>根据验收监测结果，氯气、氯化氢满足《大气污染物综合排放标准》</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DB32/4041-2021</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表1排放限值</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氨、硫化氢、臭气浓度满足《恶臭污染物排放标准》</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GB 14554-93</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表2排放标准值。磷酸雾目前尚无测定方法，待国家污染物监测方法标准发布后实施检测，磷酸雾参照执行上海市《大气污染物综合排放标准》</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DB31/933-2015</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表1排放限值。根据验收监测结果，厂界氯化氢满足《大气污染物综合排放标准》</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DB32/4041-202 1</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表3排放限值</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厂界氨、硫化氢、臭气浓度满足《恶臭污染物排放标准》</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GB14554-93</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表1二级新扩改建厂界标准值。</w:t>
                  </w:r>
                </w:p>
              </w:tc>
              <w:tc>
                <w:tcPr>
                  <w:tcW w:w="1058" w:type="dxa"/>
                  <w:tcBorders>
                    <w:tl2br w:val="nil"/>
                    <w:tr2bl w:val="nil"/>
                  </w:tcBorders>
                  <w:vAlign w:val="center"/>
                </w:tcPr>
                <w:p w14:paraId="1F22AA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排气筒数量减少，部分排尾气合并排放，但是废气处理工艺没变，除实验室废气处理设施改造外，其他变动内容均已纳入验收和排污许可证，实验室废气处理设施改造已进行环评登记，</w:t>
                  </w:r>
                  <w:r>
                    <w:rPr>
                      <w:rFonts w:hint="eastAsia" w:ascii="Times New Roman" w:hAnsi="Times New Roman" w:eastAsia="宋体" w:cs="Times New Roman"/>
                      <w:b/>
                      <w:bCs/>
                      <w:color w:val="auto"/>
                      <w:sz w:val="21"/>
                      <w:szCs w:val="21"/>
                      <w:vertAlign w:val="baseline"/>
                      <w:lang w:val="en-US" w:eastAsia="zh-CN"/>
                    </w:rPr>
                    <w:t>符合</w:t>
                  </w:r>
                </w:p>
              </w:tc>
            </w:tr>
            <w:tr w14:paraId="7857B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1" w:type="dxa"/>
                  <w:tcBorders>
                    <w:tl2br w:val="nil"/>
                    <w:tr2bl w:val="nil"/>
                  </w:tcBorders>
                  <w:vAlign w:val="center"/>
                </w:tcPr>
                <w:p w14:paraId="655766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c>
                <w:tcPr>
                  <w:tcW w:w="3635" w:type="dxa"/>
                  <w:tcBorders>
                    <w:tl2br w:val="nil"/>
                    <w:tr2bl w:val="nil"/>
                  </w:tcBorders>
                  <w:vAlign w:val="center"/>
                </w:tcPr>
                <w:p w14:paraId="32AD81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厂区合理布局，对主要噪声源采取隔音消声或减震等措施，确保厂界噪声符合《工业企业厂界环境噪声排放标准》</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GB12348-2008</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 xml:space="preserve"> 3类标准。</w:t>
                  </w:r>
                </w:p>
              </w:tc>
              <w:tc>
                <w:tcPr>
                  <w:tcW w:w="3150" w:type="dxa"/>
                  <w:tcBorders>
                    <w:tl2br w:val="nil"/>
                    <w:tr2bl w:val="nil"/>
                  </w:tcBorders>
                  <w:vAlign w:val="center"/>
                </w:tcPr>
                <w:p w14:paraId="61694A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厂区合理布局，对主要噪声源采取隔音消声或减震等措施，确保厂界噪声符合《工业企业厂界环境噪声排放标准》</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GB12348-2008</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3类标准。</w:t>
                  </w:r>
                </w:p>
              </w:tc>
              <w:tc>
                <w:tcPr>
                  <w:tcW w:w="1058" w:type="dxa"/>
                  <w:tcBorders>
                    <w:tl2br w:val="nil"/>
                    <w:tr2bl w:val="nil"/>
                  </w:tcBorders>
                  <w:vAlign w:val="center"/>
                </w:tcPr>
                <w:p w14:paraId="2422C9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符合</w:t>
                  </w:r>
                </w:p>
              </w:tc>
            </w:tr>
            <w:tr w14:paraId="4711D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1" w:type="dxa"/>
                  <w:tcBorders>
                    <w:tl2br w:val="nil"/>
                    <w:tr2bl w:val="nil"/>
                  </w:tcBorders>
                  <w:vAlign w:val="center"/>
                </w:tcPr>
                <w:p w14:paraId="700922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w:t>
                  </w:r>
                </w:p>
              </w:tc>
              <w:tc>
                <w:tcPr>
                  <w:tcW w:w="3635" w:type="dxa"/>
                  <w:tcBorders>
                    <w:tl2br w:val="nil"/>
                    <w:tr2bl w:val="nil"/>
                  </w:tcBorders>
                  <w:vAlign w:val="center"/>
                </w:tcPr>
                <w:p w14:paraId="6282FD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产生的危险废物主要是釜残、蒸馏残渣、废分子筛、废布袋、板框压滤污泥、废包装瓶/袋、化验室废液等，需委托有资质单位处理。一般工业固废纯水制备系统废物由厂家回收。混酸分离制得的盐酸和磷酸应按照《固体废物鉴别标准通则》</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GB34330-2017</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《固体废物再生利用污染防治技术导则》</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HJ 1091-2020</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《废无机酸综合利用污染控制技术规范》</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DB32/T4371-2022</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《危险废物综合利用与处置技术规范通则》</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DB32/T4370-2022</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等文件的要求及时开展环境风险定性及定量评价</w:t>
                  </w:r>
                  <w:r>
                    <w:rPr>
                      <w:rFonts w:hint="eastAsia" w:cs="Times New Roman"/>
                      <w:b w:val="0"/>
                      <w:bCs w:val="0"/>
                      <w:color w:val="auto"/>
                      <w:sz w:val="21"/>
                      <w:szCs w:val="21"/>
                      <w:vertAlign w:val="baseline"/>
                      <w:lang w:val="en-US" w:eastAsia="zh-CN"/>
                    </w:rPr>
                    <w:t>，在</w:t>
                  </w:r>
                  <w:r>
                    <w:rPr>
                      <w:rFonts w:hint="default" w:ascii="Times New Roman" w:hAnsi="Times New Roman" w:eastAsia="宋体" w:cs="Times New Roman"/>
                      <w:b w:val="0"/>
                      <w:bCs w:val="0"/>
                      <w:color w:val="auto"/>
                      <w:sz w:val="21"/>
                      <w:szCs w:val="21"/>
                      <w:vertAlign w:val="baseline"/>
                      <w:lang w:val="en-US" w:eastAsia="zh-CN"/>
                    </w:rPr>
                    <w:t>评价结果环境风险可接受的前提下，开展定向利用可行性评估</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评估结论可行后，满足定向利用各项指标要求的盐酸、磷酸作为综合利用产物定向销售利用，否则，盐酸、磷酸全部作为危险废物进行管理。</w:t>
                  </w:r>
                </w:p>
              </w:tc>
              <w:tc>
                <w:tcPr>
                  <w:tcW w:w="3150" w:type="dxa"/>
                  <w:tcBorders>
                    <w:tl2br w:val="nil"/>
                    <w:tr2bl w:val="nil"/>
                  </w:tcBorders>
                  <w:vAlign w:val="center"/>
                </w:tcPr>
                <w:p w14:paraId="5010DA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危险废物的收集和储存已严格执行《危险废物贮存污染控制标准》</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GB18597-20</w:t>
                  </w:r>
                  <w:r>
                    <w:rPr>
                      <w:rFonts w:hint="eastAsia" w:cs="Times New Roman"/>
                      <w:b w:val="0"/>
                      <w:bCs w:val="0"/>
                      <w:color w:val="auto"/>
                      <w:sz w:val="21"/>
                      <w:szCs w:val="21"/>
                      <w:vertAlign w:val="baseline"/>
                      <w:lang w:val="en-US" w:eastAsia="zh-CN"/>
                    </w:rPr>
                    <w:t>23</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规定，危险废物的转移已按《危险废物转移联单管理办法》及其他有关规定执行。</w:t>
                  </w:r>
                </w:p>
                <w:p w14:paraId="2878D0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项目产生的危险废物主要有釜残、蒸馏残渣、废分子筛、废布袋、板框压滤污泥、废包装瓶/袋、化验室废液等，全部委托有资质单位处置。一般工业固废纯水制备系统废物由厂家回收。混酸分离制得的盐酸和磷酸已按照《固体废物鉴别标准通则》</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GB34330-2017</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《固体废物再生利用污染防治技术导则》</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HJ1091-2020</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《废无机酸综合利用污染控制技术规范》</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DB32/T4371-2022</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《危险废物综合利用与处置技术规范通则》</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DB32/T4370-2022</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等文件的要求开展了环境风险定性及定量评价及定向利用可行性评估，评估结论可行，满足定向利用各项指标要求的盐酸、磷酸作为综合利用产物定向销售利用。</w:t>
                  </w:r>
                </w:p>
              </w:tc>
              <w:tc>
                <w:tcPr>
                  <w:tcW w:w="1058" w:type="dxa"/>
                  <w:tcBorders>
                    <w:tl2br w:val="nil"/>
                    <w:tr2bl w:val="nil"/>
                  </w:tcBorders>
                  <w:vAlign w:val="center"/>
                </w:tcPr>
                <w:p w14:paraId="0F8721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符合</w:t>
                  </w:r>
                </w:p>
              </w:tc>
            </w:tr>
            <w:tr w14:paraId="0D4CEC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1" w:type="dxa"/>
                  <w:tcBorders>
                    <w:tl2br w:val="nil"/>
                    <w:tr2bl w:val="nil"/>
                  </w:tcBorders>
                  <w:vAlign w:val="center"/>
                </w:tcPr>
                <w:p w14:paraId="3DBC49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w:t>
                  </w:r>
                </w:p>
              </w:tc>
              <w:tc>
                <w:tcPr>
                  <w:tcW w:w="3635" w:type="dxa"/>
                  <w:tcBorders>
                    <w:tl2br w:val="nil"/>
                    <w:tr2bl w:val="nil"/>
                  </w:tcBorders>
                  <w:vAlign w:val="center"/>
                </w:tcPr>
                <w:p w14:paraId="16EEC7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本项目建成后，拆除危废库废气及污水处理站废气治理装置过程应满足《企业拆除活动污染防治技术规定</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试行</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环保部公告2017年第78号</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要求。拆除工作实施前应编制《企业拆除活动污染防治方案</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拆除活动环境应急预案》</w:t>
                  </w:r>
                </w:p>
              </w:tc>
              <w:tc>
                <w:tcPr>
                  <w:tcW w:w="3150" w:type="dxa"/>
                  <w:tcBorders>
                    <w:tl2br w:val="nil"/>
                    <w:tr2bl w:val="nil"/>
                  </w:tcBorders>
                  <w:vAlign w:val="center"/>
                </w:tcPr>
                <w:p w14:paraId="57EC66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企业</w:t>
                  </w:r>
                  <w:r>
                    <w:rPr>
                      <w:rFonts w:hint="default" w:ascii="Times New Roman" w:hAnsi="Times New Roman" w:eastAsia="宋体" w:cs="Times New Roman"/>
                      <w:b w:val="0"/>
                      <w:bCs w:val="0"/>
                      <w:color w:val="auto"/>
                      <w:sz w:val="21"/>
                      <w:szCs w:val="21"/>
                      <w:vertAlign w:val="baseline"/>
                      <w:lang w:val="en-US" w:eastAsia="zh-CN"/>
                    </w:rPr>
                    <w:t>拆除危废库废气及污水处理站废气治理装置过程满足《企业拆除活动污染防治技术规定</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试行</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环保部公告2017年第78号</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要求。拆除工作实施前已编制《企业拆除活动污染防治方案》并经专家咨询通过，已编制《拆除活动环境应急预案》</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并已</w:t>
                  </w:r>
                  <w:r>
                    <w:rPr>
                      <w:rFonts w:hint="eastAsia" w:cs="Times New Roman"/>
                      <w:b w:val="0"/>
                      <w:bCs w:val="0"/>
                      <w:color w:val="auto"/>
                      <w:sz w:val="21"/>
                      <w:szCs w:val="21"/>
                      <w:vertAlign w:val="baseline"/>
                      <w:lang w:val="en-US" w:eastAsia="zh-CN"/>
                    </w:rPr>
                    <w:t>取得淮安市涟水生态环境局</w:t>
                  </w:r>
                  <w:r>
                    <w:rPr>
                      <w:rFonts w:hint="default" w:ascii="Times New Roman" w:hAnsi="Times New Roman" w:eastAsia="宋体" w:cs="Times New Roman"/>
                      <w:b w:val="0"/>
                      <w:bCs w:val="0"/>
                      <w:color w:val="auto"/>
                      <w:sz w:val="21"/>
                      <w:szCs w:val="21"/>
                      <w:vertAlign w:val="baseline"/>
                      <w:lang w:val="en-US" w:eastAsia="zh-CN"/>
                    </w:rPr>
                    <w:t>备案</w:t>
                  </w:r>
                  <w:r>
                    <w:rPr>
                      <w:rFonts w:hint="eastAsia"/>
                      <w:color w:val="auto"/>
                      <w:lang w:eastAsia="zh-CN"/>
                    </w:rPr>
                    <w:t>。</w:t>
                  </w:r>
                </w:p>
              </w:tc>
              <w:tc>
                <w:tcPr>
                  <w:tcW w:w="1058" w:type="dxa"/>
                  <w:tcBorders>
                    <w:tl2br w:val="nil"/>
                    <w:tr2bl w:val="nil"/>
                  </w:tcBorders>
                  <w:vAlign w:val="center"/>
                </w:tcPr>
                <w:p w14:paraId="6BA120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符合</w:t>
                  </w:r>
                </w:p>
              </w:tc>
            </w:tr>
            <w:tr w14:paraId="68A0F9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1" w:type="dxa"/>
                  <w:tcBorders>
                    <w:tl2br w:val="nil"/>
                    <w:tr2bl w:val="nil"/>
                  </w:tcBorders>
                  <w:vAlign w:val="center"/>
                </w:tcPr>
                <w:p w14:paraId="651338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w:t>
                  </w:r>
                </w:p>
              </w:tc>
              <w:tc>
                <w:tcPr>
                  <w:tcW w:w="3635" w:type="dxa"/>
                  <w:tcBorders>
                    <w:tl2br w:val="nil"/>
                    <w:tr2bl w:val="nil"/>
                  </w:tcBorders>
                  <w:vAlign w:val="center"/>
                </w:tcPr>
                <w:p w14:paraId="0FB2A7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做好土壤和地下水污染防治工作。落实《报告书》中提出的分区防渗要求</w:t>
                  </w:r>
                  <w:r>
                    <w:rPr>
                      <w:rFonts w:hint="eastAsia" w:ascii="Times New Roman" w:hAnsi="Times New Roman" w:eastAsia="宋体" w:cs="Times New Roman"/>
                      <w:b w:val="0"/>
                      <w:bCs w:val="0"/>
                      <w:color w:val="auto"/>
                      <w:sz w:val="21"/>
                      <w:szCs w:val="21"/>
                      <w:vertAlign w:val="baseline"/>
                      <w:lang w:val="en-US" w:eastAsia="zh-CN"/>
                    </w:rPr>
                    <w:t>，一</w:t>
                  </w:r>
                  <w:r>
                    <w:rPr>
                      <w:rFonts w:hint="default" w:ascii="Times New Roman" w:hAnsi="Times New Roman" w:eastAsia="宋体" w:cs="Times New Roman"/>
                      <w:b w:val="0"/>
                      <w:bCs w:val="0"/>
                      <w:color w:val="auto"/>
                      <w:sz w:val="21"/>
                      <w:szCs w:val="21"/>
                      <w:vertAlign w:val="baseline"/>
                      <w:lang w:val="en-US" w:eastAsia="zh-CN"/>
                    </w:rPr>
                    <w:t>车间、二车间、罐区一</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三氯化磷、三氯氧磷储罐</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、罐区二</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盐酸储罐</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、污水处理站、危废库、黄磷池、雨水收集池、事故应急池等进行重点防腐防渗。制定土壤、地下水跟踪监测计划和应急响应措施并落实到位。</w:t>
                  </w:r>
                </w:p>
              </w:tc>
              <w:tc>
                <w:tcPr>
                  <w:tcW w:w="3150" w:type="dxa"/>
                  <w:tcBorders>
                    <w:tl2br w:val="nil"/>
                    <w:tr2bl w:val="nil"/>
                  </w:tcBorders>
                  <w:vAlign w:val="center"/>
                </w:tcPr>
                <w:p w14:paraId="2FCF96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已落实《报告书》中提出的分区防渗要求，一车间、二车间、罐区一</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三氯化磷、三氯氧磷储罐</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、罐区二</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盐酸储罐</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污水处理站、危废库、黄磷池、雨水收集池、事故应急池等进行重点防腐防渗。已制定土壤、地下水跟踪监测计划和应急响应措施并落实到位。</w:t>
                  </w:r>
                </w:p>
              </w:tc>
              <w:tc>
                <w:tcPr>
                  <w:tcW w:w="1058" w:type="dxa"/>
                  <w:tcBorders>
                    <w:tl2br w:val="nil"/>
                    <w:tr2bl w:val="nil"/>
                  </w:tcBorders>
                  <w:vAlign w:val="center"/>
                </w:tcPr>
                <w:p w14:paraId="77BA41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符合</w:t>
                  </w:r>
                </w:p>
              </w:tc>
            </w:tr>
            <w:tr w14:paraId="674446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1" w:type="dxa"/>
                  <w:tcBorders>
                    <w:tl2br w:val="nil"/>
                    <w:tr2bl w:val="nil"/>
                  </w:tcBorders>
                  <w:vAlign w:val="center"/>
                </w:tcPr>
                <w:p w14:paraId="6FC2A8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w:t>
                  </w:r>
                </w:p>
              </w:tc>
              <w:tc>
                <w:tcPr>
                  <w:tcW w:w="3635" w:type="dxa"/>
                  <w:tcBorders>
                    <w:tl2br w:val="nil"/>
                    <w:tr2bl w:val="nil"/>
                  </w:tcBorders>
                  <w:vAlign w:val="center"/>
                </w:tcPr>
                <w:p w14:paraId="6C994E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落实环境风险防范措施。落实《报告书》提出的环境风险防范措施和突发环境事件应急预案编制要求定期排查突发环境事件隐患并开展应急演练。采取切实可行的工程控制和管理措施，配备环境应急设备和物资</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依托现有960m</w:t>
                  </w:r>
                  <w:r>
                    <w:rPr>
                      <w:rFonts w:hint="eastAsia"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事故池，防止生产过程、储运过程及污染治理设施事故发生。</w:t>
                  </w:r>
                </w:p>
              </w:tc>
              <w:tc>
                <w:tcPr>
                  <w:tcW w:w="3150" w:type="dxa"/>
                  <w:tcBorders>
                    <w:tl2br w:val="nil"/>
                    <w:tr2bl w:val="nil"/>
                  </w:tcBorders>
                  <w:vAlign w:val="center"/>
                </w:tcPr>
                <w:p w14:paraId="57C20C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已落实 《报告书》提出的环境风险防范措施和突发环境事件应急预案编制要求，最新应急预案备案编号为320826-2024-046-H，已制定定期排查突发环境事件隐患及应急演练方案将定期执行。已配备环境应急设备和物资，依托现有960m</w:t>
                  </w:r>
                  <w:r>
                    <w:rPr>
                      <w:rFonts w:hint="eastAsia"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事故池，防止生产过程、储运过程及污染治理设施事故发生。</w:t>
                  </w:r>
                </w:p>
              </w:tc>
              <w:tc>
                <w:tcPr>
                  <w:tcW w:w="1058" w:type="dxa"/>
                  <w:tcBorders>
                    <w:tl2br w:val="nil"/>
                    <w:tr2bl w:val="nil"/>
                  </w:tcBorders>
                  <w:vAlign w:val="center"/>
                </w:tcPr>
                <w:p w14:paraId="2C4C72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符合</w:t>
                  </w:r>
                </w:p>
              </w:tc>
            </w:tr>
            <w:tr w14:paraId="043680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1" w:type="dxa"/>
                  <w:tcBorders>
                    <w:tl2br w:val="nil"/>
                    <w:tr2bl w:val="nil"/>
                  </w:tcBorders>
                  <w:vAlign w:val="center"/>
                </w:tcPr>
                <w:p w14:paraId="4AB27E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w:t>
                  </w:r>
                </w:p>
              </w:tc>
              <w:tc>
                <w:tcPr>
                  <w:tcW w:w="3635" w:type="dxa"/>
                  <w:tcBorders>
                    <w:tl2br w:val="nil"/>
                    <w:tr2bl w:val="nil"/>
                  </w:tcBorders>
                  <w:vAlign w:val="center"/>
                </w:tcPr>
                <w:p w14:paraId="4FFDA5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加强施工期及运营期的环境管理。项目建成后，全厂卫生防护距离设置为厂界外100m范围，卫生防护距离内禁止新建居民点、学校、医院等环境敏感建筑物。</w:t>
                  </w:r>
                </w:p>
              </w:tc>
              <w:tc>
                <w:tcPr>
                  <w:tcW w:w="3150" w:type="dxa"/>
                  <w:tcBorders>
                    <w:tl2br w:val="nil"/>
                    <w:tr2bl w:val="nil"/>
                  </w:tcBorders>
                  <w:vAlign w:val="center"/>
                </w:tcPr>
                <w:p w14:paraId="67FE83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企业加强施</w:t>
                  </w:r>
                  <w:r>
                    <w:rPr>
                      <w:rFonts w:hint="eastAsia" w:ascii="Times New Roman" w:hAnsi="Times New Roman" w:eastAsia="宋体" w:cs="Times New Roman"/>
                      <w:b w:val="0"/>
                      <w:bCs w:val="0"/>
                      <w:color w:val="auto"/>
                      <w:sz w:val="21"/>
                      <w:szCs w:val="21"/>
                      <w:vertAlign w:val="baseline"/>
                      <w:lang w:val="en-US" w:eastAsia="zh-CN"/>
                    </w:rPr>
                    <w:t>工</w:t>
                  </w:r>
                  <w:r>
                    <w:rPr>
                      <w:rFonts w:hint="default" w:ascii="Times New Roman" w:hAnsi="Times New Roman" w:eastAsia="宋体" w:cs="Times New Roman"/>
                      <w:b w:val="0"/>
                      <w:bCs w:val="0"/>
                      <w:color w:val="auto"/>
                      <w:sz w:val="21"/>
                      <w:szCs w:val="21"/>
                      <w:vertAlign w:val="baseline"/>
                      <w:lang w:val="en-US" w:eastAsia="zh-CN"/>
                    </w:rPr>
                    <w:t>期及运营期的环境管理。项目建成后，全厂卫生防护距离设置为厂界外100m范围，卫生防护距离内无居民点、学校、医院等环境敏感建筑物，以后也禁止新建居民点、学校、医院等环境敏感建筑物</w:t>
                  </w:r>
                  <w:r>
                    <w:rPr>
                      <w:rFonts w:hint="eastAsia" w:ascii="Times New Roman" w:hAnsi="Times New Roman" w:eastAsia="宋体" w:cs="Times New Roman"/>
                      <w:b w:val="0"/>
                      <w:bCs w:val="0"/>
                      <w:color w:val="auto"/>
                      <w:sz w:val="21"/>
                      <w:szCs w:val="21"/>
                      <w:vertAlign w:val="baseline"/>
                      <w:lang w:val="en-US" w:eastAsia="zh-CN"/>
                    </w:rPr>
                    <w:t>。</w:t>
                  </w:r>
                </w:p>
              </w:tc>
              <w:tc>
                <w:tcPr>
                  <w:tcW w:w="1058" w:type="dxa"/>
                  <w:tcBorders>
                    <w:tl2br w:val="nil"/>
                    <w:tr2bl w:val="nil"/>
                  </w:tcBorders>
                  <w:vAlign w:val="center"/>
                </w:tcPr>
                <w:p w14:paraId="7F23A5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符合</w:t>
                  </w:r>
                </w:p>
              </w:tc>
            </w:tr>
            <w:tr w14:paraId="66715C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1" w:type="dxa"/>
                  <w:tcBorders>
                    <w:tl2br w:val="nil"/>
                    <w:tr2bl w:val="nil"/>
                  </w:tcBorders>
                  <w:vAlign w:val="center"/>
                </w:tcPr>
                <w:p w14:paraId="3DF48A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9</w:t>
                  </w:r>
                </w:p>
              </w:tc>
              <w:tc>
                <w:tcPr>
                  <w:tcW w:w="3635" w:type="dxa"/>
                  <w:tcBorders>
                    <w:tl2br w:val="nil"/>
                    <w:tr2bl w:val="nil"/>
                  </w:tcBorders>
                  <w:vAlign w:val="center"/>
                </w:tcPr>
                <w:p w14:paraId="1CF8C1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按《江苏省排污口设置及规范化整治管理办法》</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苏环控</w:t>
                  </w:r>
                  <w:r>
                    <w:rPr>
                      <w:rFonts w:hint="eastAsia" w:cs="Times New Roman"/>
                      <w:b w:val="0"/>
                      <w:bCs w:val="0"/>
                      <w:color w:val="auto"/>
                      <w:sz w:val="21"/>
                      <w:szCs w:val="21"/>
                      <w:vertAlign w:val="baseline"/>
                      <w:lang w:val="en-US" w:eastAsia="zh-CN"/>
                    </w:rPr>
                    <w:t>〔1997〕122号</w:t>
                  </w:r>
                  <w:r>
                    <w:rPr>
                      <w:rFonts w:hint="default" w:ascii="Times New Roman" w:hAnsi="Times New Roman" w:eastAsia="宋体" w:cs="Times New Roman"/>
                      <w:b w:val="0"/>
                      <w:bCs w:val="0"/>
                      <w:color w:val="auto"/>
                      <w:sz w:val="21"/>
                      <w:szCs w:val="21"/>
                      <w:vertAlign w:val="baseline"/>
                      <w:lang w:val="en-US" w:eastAsia="zh-CN"/>
                    </w:rPr>
                    <w:t>文</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的要求设置与管理排污口，并按照相关文件规定在排污口附近醒目设置标志牌。按照《排污许可证申请与核发技术规范无机化学工业》</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HJ1035</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2019</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、《排污单位自行监测技术指南无机化学工业》</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HJ 1138-2020</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、《省生态环境厅关于印发</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全省排污单位自动监测监控全覆盖</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全联全控</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工作方案</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2021年排污单位自动监测监控联网工作计划</w:t>
                  </w:r>
                  <w:r>
                    <w:rPr>
                      <w:rFonts w:hint="eastAsia" w:cs="Times New Roman"/>
                      <w:b w:val="0"/>
                      <w:bCs w:val="0"/>
                      <w:color w:val="auto"/>
                      <w:sz w:val="21"/>
                      <w:szCs w:val="21"/>
                      <w:vertAlign w:val="baseline"/>
                      <w:lang w:val="en-US" w:eastAsia="zh-CN"/>
                    </w:rPr>
                    <w:t>〉的通知》</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 xml:space="preserve">苏环办 </w:t>
                  </w:r>
                  <w:r>
                    <w:rPr>
                      <w:rFonts w:hint="eastAsia" w:cs="Times New Roman"/>
                      <w:b w:val="0"/>
                      <w:bCs w:val="0"/>
                      <w:color w:val="auto"/>
                      <w:sz w:val="21"/>
                      <w:szCs w:val="21"/>
                      <w:vertAlign w:val="baseline"/>
                      <w:lang w:val="en-US" w:eastAsia="zh-CN"/>
                    </w:rPr>
                    <w:t>〔2021〕146号</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等要求建设、安装在线自动监控设施。严格按《报告书》要求制定和实施自行监测计划，建立污染源监测数据台账。</w:t>
                  </w:r>
                </w:p>
              </w:tc>
              <w:tc>
                <w:tcPr>
                  <w:tcW w:w="3150" w:type="dxa"/>
                  <w:tcBorders>
                    <w:tl2br w:val="nil"/>
                    <w:tr2bl w:val="nil"/>
                  </w:tcBorders>
                  <w:vAlign w:val="center"/>
                </w:tcPr>
                <w:p w14:paraId="4C0244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按《江苏省排污口设置及规范化整治管理办法》</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苏环控</w:t>
                  </w:r>
                  <w:r>
                    <w:rPr>
                      <w:rFonts w:hint="eastAsia" w:cs="Times New Roman"/>
                      <w:b w:val="0"/>
                      <w:bCs w:val="0"/>
                      <w:color w:val="auto"/>
                      <w:sz w:val="21"/>
                      <w:szCs w:val="21"/>
                      <w:vertAlign w:val="baseline"/>
                      <w:lang w:val="en-US" w:eastAsia="zh-CN"/>
                    </w:rPr>
                    <w:t>〔1997〕122号</w:t>
                  </w:r>
                  <w:r>
                    <w:rPr>
                      <w:rFonts w:hint="default" w:ascii="Times New Roman" w:hAnsi="Times New Roman" w:eastAsia="宋体" w:cs="Times New Roman"/>
                      <w:b w:val="0"/>
                      <w:bCs w:val="0"/>
                      <w:color w:val="auto"/>
                      <w:sz w:val="21"/>
                      <w:szCs w:val="21"/>
                      <w:vertAlign w:val="baseline"/>
                      <w:lang w:val="en-US" w:eastAsia="zh-CN"/>
                    </w:rPr>
                    <w:t>文</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的要求设置与管理排污口，并按照相关文件规定在排污口附近醒目设置标志牌。企业按照《排污许可证申请与核发技术规范无机化学工业》</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HJ 1035-2019</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、《排污单位自行监测技术指南无机化学工业》</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HJ 1138-2020</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、《省生态环境厅关于印发</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全省排污单位自动监测监控全覆盖</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全联全控</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工作方案</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2021年排污单位自动监测监控联网工作计划</w:t>
                  </w:r>
                  <w:r>
                    <w:rPr>
                      <w:rFonts w:hint="eastAsia" w:cs="Times New Roman"/>
                      <w:b w:val="0"/>
                      <w:bCs w:val="0"/>
                      <w:color w:val="auto"/>
                      <w:sz w:val="21"/>
                      <w:szCs w:val="21"/>
                      <w:vertAlign w:val="baseline"/>
                      <w:lang w:val="en-US" w:eastAsia="zh-CN"/>
                    </w:rPr>
                    <w:t>〉的通知》</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苏环办</w:t>
                  </w:r>
                  <w:r>
                    <w:rPr>
                      <w:rFonts w:hint="eastAsia" w:cs="Times New Roman"/>
                      <w:b w:val="0"/>
                      <w:bCs w:val="0"/>
                      <w:color w:val="auto"/>
                      <w:sz w:val="21"/>
                      <w:szCs w:val="21"/>
                      <w:vertAlign w:val="baseline"/>
                      <w:lang w:val="en-US" w:eastAsia="zh-CN"/>
                    </w:rPr>
                    <w:t>〔2021〕146号</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等要求建设、安装在线自动监控设施。企业已按《报告书》要求制定和实施自行监测计划，建立污染源监测数据台账。</w:t>
                  </w:r>
                </w:p>
              </w:tc>
              <w:tc>
                <w:tcPr>
                  <w:tcW w:w="1058" w:type="dxa"/>
                  <w:tcBorders>
                    <w:tl2br w:val="nil"/>
                    <w:tr2bl w:val="nil"/>
                  </w:tcBorders>
                  <w:vAlign w:val="center"/>
                </w:tcPr>
                <w:p w14:paraId="03DB86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符合</w:t>
                  </w:r>
                </w:p>
              </w:tc>
            </w:tr>
          </w:tbl>
          <w:p w14:paraId="0173BA34">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ascii="Times New Roman" w:hAnsi="Times New Roman" w:cs="Times New Roman"/>
                <w:b/>
                <w:color w:val="auto"/>
                <w:sz w:val="24"/>
              </w:rPr>
            </w:pPr>
            <w:r>
              <w:rPr>
                <w:rFonts w:ascii="Times New Roman" w:hAnsi="Times New Roman" w:cs="Times New Roman"/>
                <w:b/>
                <w:color w:val="auto"/>
                <w:sz w:val="24"/>
              </w:rPr>
              <w:t>（</w:t>
            </w:r>
            <w:r>
              <w:rPr>
                <w:rFonts w:hint="eastAsia" w:cs="Times New Roman"/>
                <w:b/>
                <w:color w:val="auto"/>
                <w:sz w:val="24"/>
                <w:lang w:val="en-US" w:eastAsia="zh-CN"/>
              </w:rPr>
              <w:t>6</w:t>
            </w:r>
            <w:r>
              <w:rPr>
                <w:rFonts w:ascii="Times New Roman" w:hAnsi="Times New Roman" w:cs="Times New Roman"/>
                <w:b/>
                <w:color w:val="auto"/>
                <w:sz w:val="24"/>
              </w:rPr>
              <w:t>）现有项目存在的主要环境问题及“以新带老”措施</w:t>
            </w:r>
          </w:p>
          <w:p w14:paraId="78D07778">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①本项目目前尚未开工建设，无未批先建行为。</w:t>
            </w:r>
          </w:p>
          <w:p w14:paraId="524C06BB">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②</w:t>
            </w:r>
            <w:r>
              <w:rPr>
                <w:rFonts w:hint="default" w:ascii="Times New Roman" w:hAnsi="Times New Roman" w:eastAsia="宋体" w:cs="Times New Roman"/>
                <w:color w:val="auto"/>
                <w:sz w:val="24"/>
                <w:szCs w:val="24"/>
                <w:lang w:eastAsia="zh-CN"/>
              </w:rPr>
              <w:t>企业</w:t>
            </w:r>
            <w:r>
              <w:rPr>
                <w:rFonts w:hint="default" w:ascii="Times New Roman" w:hAnsi="Times New Roman" w:eastAsia="宋体" w:cs="Times New Roman"/>
                <w:color w:val="auto"/>
                <w:sz w:val="24"/>
                <w:szCs w:val="24"/>
                <w:lang w:val="en-US" w:eastAsia="zh-CN"/>
              </w:rPr>
              <w:t>实验室废气采用通风橱收集+一级活性炭吸附+5m排气筒排放，上述改造于2025年12月进行了环评登记，登记编号：202532082600000069，目前</w:t>
            </w:r>
            <w:r>
              <w:rPr>
                <w:rFonts w:hint="eastAsia" w:ascii="Times New Roman" w:hAnsi="Times New Roman" w:eastAsia="宋体" w:cs="Times New Roman"/>
                <w:color w:val="auto"/>
                <w:sz w:val="24"/>
                <w:szCs w:val="24"/>
                <w:lang w:val="en-US" w:eastAsia="zh-CN"/>
              </w:rPr>
              <w:t>暂未</w:t>
            </w:r>
            <w:r>
              <w:rPr>
                <w:rFonts w:hint="default" w:ascii="Times New Roman" w:hAnsi="Times New Roman" w:eastAsia="宋体" w:cs="Times New Roman"/>
                <w:color w:val="auto"/>
                <w:sz w:val="24"/>
                <w:szCs w:val="24"/>
                <w:lang w:val="en-US" w:eastAsia="zh-CN"/>
              </w:rPr>
              <w:t>纳入排污许可证，本次评价要求，</w:t>
            </w:r>
            <w:r>
              <w:rPr>
                <w:rFonts w:hint="eastAsia" w:ascii="Times New Roman" w:eastAsia="宋体" w:cs="Times New Roman"/>
                <w:color w:val="auto"/>
                <w:sz w:val="24"/>
                <w:szCs w:val="24"/>
                <w:lang w:val="en-US" w:eastAsia="zh-CN"/>
              </w:rPr>
              <w:t>企业应尽快落实排污许可证变更调整事宜</w:t>
            </w:r>
            <w:r>
              <w:rPr>
                <w:rFonts w:hint="default" w:ascii="Times New Roman" w:hAnsi="Times New Roman" w:eastAsia="宋体" w:cs="Times New Roman"/>
                <w:color w:val="auto"/>
                <w:sz w:val="24"/>
                <w:szCs w:val="24"/>
                <w:lang w:val="en-US" w:eastAsia="zh-CN"/>
              </w:rPr>
              <w:t>。</w:t>
            </w:r>
          </w:p>
          <w:p w14:paraId="73297186">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p>
          <w:p w14:paraId="6A6F9E67">
            <w:pPr>
              <w:pStyle w:val="2"/>
              <w:rPr>
                <w:rFonts w:hint="default"/>
                <w:color w:val="auto"/>
                <w:lang w:val="en-US"/>
              </w:rPr>
            </w:pPr>
          </w:p>
          <w:p w14:paraId="7F2A6A9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rPr>
            </w:pPr>
          </w:p>
        </w:tc>
      </w:tr>
    </w:tbl>
    <w:p w14:paraId="38466745">
      <w:pPr>
        <w:pStyle w:val="81"/>
        <w:jc w:val="center"/>
        <w:rPr>
          <w:rFonts w:ascii="Times New Roman" w:hAnsi="Times New Roman" w:eastAsia="黑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F1E2459">
      <w:pPr>
        <w:pStyle w:val="81"/>
        <w:jc w:val="center"/>
        <w:outlineLvl w:val="0"/>
        <w:rPr>
          <w:rFonts w:ascii="Times New Roman" w:hAnsi="Times New Roman" w:eastAsia="黑体" w:cs="Times New Roman"/>
          <w:snapToGrid w:val="0"/>
          <w:color w:val="auto"/>
          <w:sz w:val="30"/>
          <w:szCs w:val="30"/>
        </w:rPr>
      </w:pPr>
      <w:bookmarkStart w:id="39" w:name="_Toc3985"/>
      <w:r>
        <w:rPr>
          <w:rFonts w:hint="eastAsia" w:ascii="Times New Roman" w:hAnsi="Times New Roman" w:eastAsia="黑体" w:cs="Times New Roman"/>
          <w:snapToGrid w:val="0"/>
          <w:color w:val="auto"/>
          <w:sz w:val="30"/>
          <w:szCs w:val="30"/>
        </w:rPr>
        <w:t>三</w:t>
      </w:r>
      <w:r>
        <w:rPr>
          <w:rFonts w:ascii="Times New Roman" w:hAnsi="Times New Roman" w:eastAsia="黑体" w:cs="Times New Roman"/>
          <w:snapToGrid w:val="0"/>
          <w:color w:val="auto"/>
          <w:sz w:val="30"/>
          <w:szCs w:val="30"/>
        </w:rPr>
        <w:t>、区域环境质量现状、环境保护目标及评价标准</w:t>
      </w:r>
      <w:bookmarkEnd w:id="39"/>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606"/>
      </w:tblGrid>
      <w:tr w14:paraId="41F2F4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357" w:type="dxa"/>
            <w:vAlign w:val="center"/>
          </w:tcPr>
          <w:p w14:paraId="5FFC3C75">
            <w:pPr>
              <w:adjustRightInd w:val="0"/>
              <w:snapToGrid w:val="0"/>
              <w:jc w:val="center"/>
              <w:rPr>
                <w:color w:val="auto"/>
                <w:kern w:val="0"/>
                <w:sz w:val="24"/>
              </w:rPr>
            </w:pPr>
            <w:r>
              <w:rPr>
                <w:color w:val="auto"/>
                <w:kern w:val="0"/>
                <w:sz w:val="24"/>
              </w:rPr>
              <w:t>区域</w:t>
            </w:r>
          </w:p>
          <w:p w14:paraId="1804E8A2">
            <w:pPr>
              <w:adjustRightInd w:val="0"/>
              <w:snapToGrid w:val="0"/>
              <w:jc w:val="center"/>
              <w:rPr>
                <w:color w:val="auto"/>
                <w:kern w:val="0"/>
                <w:sz w:val="24"/>
              </w:rPr>
            </w:pPr>
            <w:r>
              <w:rPr>
                <w:color w:val="auto"/>
                <w:kern w:val="0"/>
                <w:sz w:val="24"/>
              </w:rPr>
              <w:t>环境</w:t>
            </w:r>
          </w:p>
          <w:p w14:paraId="1D429198">
            <w:pPr>
              <w:adjustRightInd w:val="0"/>
              <w:snapToGrid w:val="0"/>
              <w:jc w:val="center"/>
              <w:rPr>
                <w:color w:val="auto"/>
                <w:kern w:val="0"/>
                <w:sz w:val="24"/>
              </w:rPr>
            </w:pPr>
            <w:r>
              <w:rPr>
                <w:color w:val="auto"/>
                <w:kern w:val="0"/>
                <w:sz w:val="24"/>
              </w:rPr>
              <w:t>质量</w:t>
            </w:r>
          </w:p>
          <w:p w14:paraId="6C93634C">
            <w:pPr>
              <w:adjustRightInd w:val="0"/>
              <w:snapToGrid w:val="0"/>
              <w:jc w:val="center"/>
              <w:rPr>
                <w:color w:val="auto"/>
                <w:kern w:val="0"/>
                <w:szCs w:val="21"/>
              </w:rPr>
            </w:pPr>
            <w:r>
              <w:rPr>
                <w:color w:val="auto"/>
                <w:kern w:val="0"/>
                <w:sz w:val="24"/>
              </w:rPr>
              <w:t>现状</w:t>
            </w:r>
          </w:p>
        </w:tc>
        <w:tc>
          <w:tcPr>
            <w:tcW w:w="8633" w:type="dxa"/>
            <w:vAlign w:val="center"/>
          </w:tcPr>
          <w:p w14:paraId="1F9AB9EF">
            <w:pPr>
              <w:adjustRightInd w:val="0"/>
              <w:snapToGrid w:val="0"/>
              <w:spacing w:line="360" w:lineRule="auto"/>
              <w:rPr>
                <w:rFonts w:eastAsiaTheme="minorEastAsia"/>
                <w:b/>
                <w:color w:val="auto"/>
                <w:kern w:val="0"/>
                <w:sz w:val="24"/>
                <w:lang w:val="zh-CN"/>
              </w:rPr>
            </w:pPr>
            <w:r>
              <w:rPr>
                <w:rFonts w:eastAsiaTheme="minorEastAsia"/>
                <w:b/>
                <w:color w:val="auto"/>
                <w:kern w:val="0"/>
                <w:sz w:val="24"/>
                <w:lang w:val="zh-CN"/>
              </w:rPr>
              <w:t>3.1大气环境</w:t>
            </w:r>
          </w:p>
          <w:p w14:paraId="3BC72E59">
            <w:pPr>
              <w:wordWrap w:val="0"/>
              <w:snapToGrid w:val="0"/>
              <w:spacing w:line="360" w:lineRule="auto"/>
              <w:ind w:firstLine="482" w:firstLineChars="200"/>
              <w:rPr>
                <w:b/>
                <w:bCs/>
                <w:color w:val="auto"/>
                <w:sz w:val="24"/>
              </w:rPr>
            </w:pPr>
            <w:r>
              <w:rPr>
                <w:b/>
                <w:bCs/>
                <w:color w:val="auto"/>
                <w:sz w:val="24"/>
              </w:rPr>
              <w:t>1.环境空气</w:t>
            </w:r>
          </w:p>
          <w:p w14:paraId="1F09EAF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sz w:val="24"/>
              </w:rPr>
            </w:pPr>
            <w:r>
              <w:rPr>
                <w:color w:val="auto"/>
                <w:sz w:val="24"/>
              </w:rPr>
              <w:t>本项目位于</w:t>
            </w:r>
            <w:r>
              <w:rPr>
                <w:rFonts w:hint="eastAsia"/>
                <w:color w:val="auto"/>
                <w:sz w:val="24"/>
              </w:rPr>
              <w:t>淮安市</w:t>
            </w:r>
            <w:r>
              <w:rPr>
                <w:rFonts w:hint="eastAsia" w:hAnsi="宋体" w:eastAsia="宋体"/>
                <w:color w:val="auto"/>
                <w:sz w:val="24"/>
                <w:lang w:eastAsia="zh-CN"/>
              </w:rPr>
              <w:t>涟水经济开发区循环经济产业园</w:t>
            </w:r>
            <w:r>
              <w:rPr>
                <w:color w:val="auto"/>
                <w:sz w:val="24"/>
              </w:rPr>
              <w:t>，</w:t>
            </w:r>
            <w:r>
              <w:rPr>
                <w:rFonts w:hint="eastAsia"/>
                <w:color w:val="auto"/>
                <w:sz w:val="24"/>
              </w:rPr>
              <w:t>项目</w:t>
            </w:r>
            <w:r>
              <w:rPr>
                <w:rFonts w:hint="eastAsia"/>
                <w:color w:val="auto"/>
                <w:sz w:val="24"/>
                <w:lang w:eastAsia="zh-CN"/>
              </w:rPr>
              <w:t>所在</w:t>
            </w:r>
            <w:r>
              <w:rPr>
                <w:rFonts w:hint="eastAsia"/>
                <w:color w:val="auto"/>
                <w:sz w:val="24"/>
              </w:rPr>
              <w:t>区域为环境空气二类功能区，执行《环境空气质量标准》（</w:t>
            </w:r>
            <w:r>
              <w:rPr>
                <w:color w:val="auto"/>
                <w:sz w:val="24"/>
              </w:rPr>
              <w:t>GB3095-2012</w:t>
            </w:r>
            <w:r>
              <w:rPr>
                <w:rFonts w:hint="eastAsia"/>
                <w:color w:val="auto"/>
                <w:sz w:val="24"/>
              </w:rPr>
              <w:t>）及其修改单中二级标准。</w:t>
            </w:r>
          </w:p>
          <w:p w14:paraId="70888D23">
            <w:pPr>
              <w:pStyle w:val="3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eastAsiaTheme="minorEastAsia"/>
                <w:color w:val="auto"/>
                <w:kern w:val="2"/>
                <w:sz w:val="24"/>
                <w:szCs w:val="24"/>
                <w:lang w:val="en-US" w:eastAsia="zh-CN" w:bidi="ar-SA"/>
              </w:rPr>
              <w:t>根据《</w:t>
            </w:r>
            <w:r>
              <w:rPr>
                <w:rFonts w:hint="eastAsia" w:ascii="Times New Roman" w:hAnsi="Times New Roman" w:cs="Times New Roman" w:eastAsiaTheme="minorEastAsia"/>
                <w:color w:val="auto"/>
                <w:kern w:val="2"/>
                <w:sz w:val="24"/>
                <w:szCs w:val="24"/>
                <w:lang w:val="en-US" w:eastAsia="zh-CN" w:bidi="ar-SA"/>
              </w:rPr>
              <w:t>2024年涟水县环境质量状况</w:t>
            </w:r>
            <w:r>
              <w:rPr>
                <w:rFonts w:hint="default" w:ascii="Times New Roman" w:hAnsi="Times New Roman" w:cs="Times New Roman"/>
                <w:color w:val="auto"/>
                <w:sz w:val="24"/>
              </w:rPr>
              <w:t>公报》</w:t>
            </w:r>
            <w:r>
              <w:rPr>
                <w:rFonts w:hint="eastAsia" w:cs="Times New Roman"/>
                <w:color w:val="auto"/>
                <w:sz w:val="24"/>
                <w:lang w:eastAsia="zh-CN"/>
              </w:rPr>
              <w:t>：</w:t>
            </w:r>
            <w:r>
              <w:rPr>
                <w:rFonts w:hint="eastAsia" w:cs="Times New Roman"/>
                <w:color w:val="auto"/>
                <w:sz w:val="24"/>
                <w:lang w:val="en-US" w:eastAsia="zh-CN"/>
              </w:rPr>
              <w:t>2024年涟水县</w:t>
            </w:r>
            <w:r>
              <w:rPr>
                <w:rFonts w:hint="eastAsia" w:cs="Times New Roman"/>
                <w:color w:val="auto"/>
                <w:sz w:val="24"/>
                <w:lang w:eastAsia="zh-CN"/>
              </w:rPr>
              <w:t>细颗粒物（PM</w:t>
            </w:r>
            <w:r>
              <w:rPr>
                <w:rFonts w:hint="eastAsia" w:cs="Times New Roman"/>
                <w:color w:val="auto"/>
                <w:sz w:val="24"/>
                <w:vertAlign w:val="subscript"/>
                <w:lang w:eastAsia="zh-CN"/>
              </w:rPr>
              <w:t>2.5）</w:t>
            </w:r>
            <w:r>
              <w:rPr>
                <w:rFonts w:hint="eastAsia" w:cs="Times New Roman"/>
                <w:color w:val="auto"/>
                <w:sz w:val="24"/>
                <w:lang w:eastAsia="zh-CN"/>
              </w:rPr>
              <w:t>可吸入颗粒物（PM</w:t>
            </w:r>
            <w:r>
              <w:rPr>
                <w:rFonts w:hint="eastAsia" w:cs="Times New Roman"/>
                <w:color w:val="auto"/>
                <w:sz w:val="24"/>
                <w:vertAlign w:val="subscript"/>
                <w:lang w:eastAsia="zh-CN"/>
              </w:rPr>
              <w:t>10</w:t>
            </w:r>
            <w:r>
              <w:rPr>
                <w:rFonts w:hint="eastAsia" w:cs="Times New Roman"/>
                <w:color w:val="auto"/>
                <w:sz w:val="24"/>
                <w:lang w:eastAsia="zh-CN"/>
              </w:rPr>
              <w:t>）、二氧化硫（SO</w:t>
            </w:r>
            <w:r>
              <w:rPr>
                <w:rFonts w:hint="eastAsia" w:cs="Times New Roman"/>
                <w:color w:val="auto"/>
                <w:sz w:val="24"/>
                <w:vertAlign w:val="subscript"/>
                <w:lang w:eastAsia="zh-CN"/>
              </w:rPr>
              <w:t>2</w:t>
            </w:r>
            <w:r>
              <w:rPr>
                <w:rFonts w:hint="eastAsia" w:cs="Times New Roman"/>
                <w:color w:val="auto"/>
                <w:sz w:val="24"/>
                <w:lang w:eastAsia="zh-CN"/>
              </w:rPr>
              <w:t>）、二氧化氮（NO</w:t>
            </w:r>
            <w:r>
              <w:rPr>
                <w:rFonts w:hint="eastAsia" w:cs="Times New Roman"/>
                <w:color w:val="auto"/>
                <w:sz w:val="24"/>
                <w:vertAlign w:val="subscript"/>
                <w:lang w:eastAsia="zh-CN"/>
              </w:rPr>
              <w:t>2</w:t>
            </w:r>
            <w:r>
              <w:rPr>
                <w:rFonts w:hint="eastAsia" w:cs="Times New Roman"/>
                <w:color w:val="auto"/>
                <w:sz w:val="24"/>
                <w:lang w:eastAsia="zh-CN"/>
              </w:rPr>
              <w:t>）、一氧化碳（CO）和臭氧（O</w:t>
            </w:r>
            <w:r>
              <w:rPr>
                <w:rFonts w:hint="eastAsia" w:cs="Times New Roman"/>
                <w:color w:val="auto"/>
                <w:sz w:val="24"/>
                <w:vertAlign w:val="subscript"/>
                <w:lang w:eastAsia="zh-CN"/>
              </w:rPr>
              <w:t>3</w:t>
            </w:r>
            <w:r>
              <w:rPr>
                <w:rFonts w:hint="eastAsia" w:cs="Times New Roman"/>
                <w:color w:val="auto"/>
                <w:sz w:val="24"/>
                <w:lang w:eastAsia="zh-CN"/>
              </w:rPr>
              <w:t>）浓度年均浓度分别为</w:t>
            </w:r>
            <w:r>
              <w:rPr>
                <w:rFonts w:hint="eastAsia" w:cs="Times New Roman"/>
                <w:color w:val="auto"/>
                <w:sz w:val="24"/>
                <w:lang w:val="en-US" w:eastAsia="zh-CN"/>
              </w:rPr>
              <w:t>35</w:t>
            </w:r>
            <w:r>
              <w:rPr>
                <w:rFonts w:hint="eastAsia" w:cs="Times New Roman"/>
                <w:color w:val="auto"/>
                <w:sz w:val="24"/>
                <w:lang w:eastAsia="zh-CN"/>
              </w:rPr>
              <w:t>微克/立方米、</w:t>
            </w:r>
            <w:r>
              <w:rPr>
                <w:rFonts w:hint="eastAsia" w:cs="Times New Roman"/>
                <w:color w:val="auto"/>
                <w:sz w:val="24"/>
                <w:lang w:val="en-US" w:eastAsia="zh-CN"/>
              </w:rPr>
              <w:t>58</w:t>
            </w:r>
            <w:r>
              <w:rPr>
                <w:rFonts w:hint="eastAsia" w:cs="Times New Roman"/>
                <w:color w:val="auto"/>
                <w:sz w:val="24"/>
                <w:lang w:eastAsia="zh-CN"/>
              </w:rPr>
              <w:t>微克/立方米、</w:t>
            </w:r>
            <w:r>
              <w:rPr>
                <w:rFonts w:hint="eastAsia" w:cs="Times New Roman"/>
                <w:color w:val="auto"/>
                <w:sz w:val="24"/>
                <w:lang w:val="en-US" w:eastAsia="zh-CN"/>
              </w:rPr>
              <w:t>7</w:t>
            </w:r>
            <w:r>
              <w:rPr>
                <w:rFonts w:hint="eastAsia" w:cs="Times New Roman"/>
                <w:color w:val="auto"/>
                <w:sz w:val="24"/>
                <w:lang w:eastAsia="zh-CN"/>
              </w:rPr>
              <w:t>微克/立方米、</w:t>
            </w:r>
            <w:r>
              <w:rPr>
                <w:rFonts w:hint="eastAsia" w:cs="Times New Roman"/>
                <w:color w:val="auto"/>
                <w:sz w:val="24"/>
                <w:lang w:val="en-US" w:eastAsia="zh-CN"/>
              </w:rPr>
              <w:t>18</w:t>
            </w:r>
            <w:r>
              <w:rPr>
                <w:rFonts w:hint="eastAsia" w:cs="Times New Roman"/>
                <w:color w:val="auto"/>
                <w:sz w:val="24"/>
                <w:lang w:eastAsia="zh-CN"/>
              </w:rPr>
              <w:t>微克/立方米、</w:t>
            </w:r>
            <w:r>
              <w:rPr>
                <w:rFonts w:hint="eastAsia" w:cs="Times New Roman"/>
                <w:color w:val="auto"/>
                <w:sz w:val="24"/>
                <w:lang w:val="en-US" w:eastAsia="zh-CN"/>
              </w:rPr>
              <w:t>0.7</w:t>
            </w:r>
            <w:r>
              <w:rPr>
                <w:rFonts w:hint="eastAsia" w:cs="Times New Roman"/>
                <w:color w:val="auto"/>
                <w:sz w:val="24"/>
                <w:lang w:eastAsia="zh-CN"/>
              </w:rPr>
              <w:t>毫克/立方米、1</w:t>
            </w:r>
            <w:r>
              <w:rPr>
                <w:rFonts w:hint="eastAsia" w:cs="Times New Roman"/>
                <w:color w:val="auto"/>
                <w:sz w:val="24"/>
                <w:lang w:val="en-US" w:eastAsia="zh-CN"/>
              </w:rPr>
              <w:t>05</w:t>
            </w:r>
            <w:r>
              <w:rPr>
                <w:rFonts w:hint="eastAsia" w:cs="Times New Roman"/>
                <w:color w:val="auto"/>
                <w:sz w:val="24"/>
                <w:lang w:eastAsia="zh-CN"/>
              </w:rPr>
              <w:t>微克/立方米。涟水县2024年优良天数307天，污染天数59天，PM</w:t>
            </w:r>
            <w:r>
              <w:rPr>
                <w:rFonts w:hint="eastAsia" w:cs="Times New Roman"/>
                <w:color w:val="auto"/>
                <w:sz w:val="24"/>
                <w:vertAlign w:val="subscript"/>
                <w:lang w:eastAsia="zh-CN"/>
              </w:rPr>
              <w:t>2.5</w:t>
            </w:r>
            <w:r>
              <w:rPr>
                <w:rFonts w:hint="eastAsia" w:cs="Times New Roman"/>
                <w:color w:val="auto"/>
                <w:sz w:val="24"/>
                <w:lang w:eastAsia="zh-CN"/>
              </w:rPr>
              <w:t>均值为34.8μg/m</w:t>
            </w:r>
            <w:r>
              <w:rPr>
                <w:rFonts w:hint="eastAsia" w:cs="Times New Roman"/>
                <w:color w:val="auto"/>
                <w:sz w:val="24"/>
                <w:vertAlign w:val="superscript"/>
                <w:lang w:eastAsia="zh-CN"/>
              </w:rPr>
              <w:t>3</w:t>
            </w:r>
            <w:r>
              <w:rPr>
                <w:rFonts w:hint="eastAsia" w:cs="Times New Roman"/>
                <w:color w:val="auto"/>
                <w:sz w:val="24"/>
                <w:lang w:eastAsia="zh-CN"/>
              </w:rPr>
              <w:t xml:space="preserve"> （年度目标值31μg/m</w:t>
            </w:r>
            <w:r>
              <w:rPr>
                <w:rFonts w:hint="eastAsia" w:cs="Times New Roman"/>
                <w:color w:val="auto"/>
                <w:sz w:val="24"/>
                <w:vertAlign w:val="superscript"/>
                <w:lang w:eastAsia="zh-CN"/>
              </w:rPr>
              <w:t>3）</w:t>
            </w:r>
            <w:r>
              <w:rPr>
                <w:rFonts w:hint="eastAsia" w:cs="Times New Roman"/>
                <w:color w:val="auto"/>
                <w:sz w:val="24"/>
                <w:lang w:eastAsia="zh-CN"/>
              </w:rPr>
              <w:t>，同比下降6.6%；优良天数比率为83.9%（年度目标值81.5%），同比上升6.6%，</w:t>
            </w:r>
            <w:r>
              <w:rPr>
                <w:rFonts w:hint="default" w:ascii="Times New Roman" w:hAnsi="Times New Roman" w:cs="Times New Roman"/>
                <w:color w:val="auto"/>
                <w:sz w:val="24"/>
              </w:rPr>
              <w:t>可吸入颗粒物（PM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）、细颗粒物（PM</w:t>
            </w:r>
            <w:r>
              <w:rPr>
                <w:rFonts w:hint="default" w:ascii="Times New Roman" w:hAnsi="Times New Roman" w:cs="Times New Roman"/>
                <w:color w:val="auto"/>
                <w:sz w:val="24"/>
                <w:vertAlign w:val="subscript"/>
              </w:rPr>
              <w:t>2.</w:t>
            </w:r>
            <w:r>
              <w:rPr>
                <w:rFonts w:hint="eastAsia" w:cs="Times New Roman"/>
                <w:color w:val="auto"/>
                <w:sz w:val="24"/>
                <w:vertAlign w:val="subscript"/>
                <w:lang w:eastAsia="zh-CN"/>
              </w:rPr>
              <w:t>5）</w:t>
            </w:r>
            <w:r>
              <w:rPr>
                <w:rFonts w:hint="default" w:ascii="Times New Roman" w:hAnsi="Times New Roman" w:cs="Times New Roman"/>
                <w:color w:val="auto"/>
                <w:sz w:val="24"/>
              </w:rPr>
              <w:t>二氧化硫（SO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）、二氧化氮（NO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）、一氧化碳（CO）和臭氧（O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）浓度均达到国家二级标准限值。因此，本项目所在区域环境空气质量为达标区。</w:t>
            </w:r>
          </w:p>
          <w:p w14:paraId="5FEFF005">
            <w:pPr>
              <w:adjustRightInd w:val="0"/>
              <w:snapToGrid w:val="0"/>
              <w:spacing w:line="360" w:lineRule="auto"/>
              <w:ind w:firstLine="482"/>
              <w:rPr>
                <w:b w:val="0"/>
                <w:bCs w:val="0"/>
                <w:color w:val="auto"/>
                <w:sz w:val="24"/>
              </w:rPr>
            </w:pPr>
            <w:r>
              <w:rPr>
                <w:rFonts w:eastAsia="宋体"/>
                <w:b/>
                <w:color w:val="auto"/>
                <w:kern w:val="0"/>
                <w:sz w:val="24"/>
                <w:lang w:val="zh-CN"/>
              </w:rPr>
              <w:t>3.</w:t>
            </w:r>
            <w:r>
              <w:rPr>
                <w:rFonts w:hint="eastAsia" w:eastAsia="宋体"/>
                <w:b/>
                <w:color w:val="auto"/>
                <w:kern w:val="0"/>
                <w:sz w:val="24"/>
                <w:lang w:val="en-US" w:eastAsia="zh-CN"/>
              </w:rPr>
              <w:t>2地表水</w:t>
            </w:r>
            <w:r>
              <w:rPr>
                <w:rFonts w:hAnsi="宋体" w:eastAsia="宋体"/>
                <w:b/>
                <w:color w:val="auto"/>
                <w:kern w:val="0"/>
                <w:sz w:val="24"/>
                <w:lang w:val="zh-CN"/>
              </w:rPr>
              <w:t>环境</w:t>
            </w:r>
          </w:p>
          <w:p w14:paraId="50365B75">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w:t>
            </w:r>
            <w:r>
              <w:rPr>
                <w:rFonts w:hint="eastAsia" w:ascii="Times New Roman" w:hAnsi="Times New Roman" w:cs="Times New Roman" w:eastAsiaTheme="minorEastAsia"/>
                <w:color w:val="auto"/>
                <w:kern w:val="2"/>
                <w:sz w:val="24"/>
                <w:szCs w:val="24"/>
                <w:lang w:val="en-US" w:eastAsia="zh-CN" w:bidi="ar-SA"/>
              </w:rPr>
              <w:t>2024年涟水县环境质量状况</w:t>
            </w:r>
            <w:r>
              <w:rPr>
                <w:rFonts w:hint="default" w:ascii="Times New Roman" w:hAnsi="Times New Roman" w:cs="Times New Roman"/>
                <w:color w:val="auto"/>
                <w:sz w:val="24"/>
              </w:rPr>
              <w:t>公报</w:t>
            </w:r>
            <w:r>
              <w:rPr>
                <w:rFonts w:hint="default" w:ascii="Times New Roman" w:hAnsi="Times New Roman" w:eastAsia="宋体" w:cs="Times New Roman"/>
                <w:color w:val="auto"/>
                <w:sz w:val="24"/>
                <w:lang w:val="en-US" w:eastAsia="zh-CN"/>
              </w:rPr>
              <w:t>》，废黄河、唐响河、南六塘河、盐河水质年均值达到《地表水环境质量标准》（GB 3838</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2002）中Ⅲ类水标准；公兴河、一帆河水质年均值达到《地表水环境质量标准》（GB 3838</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2002）中Ⅳ类水标准。涟水县内水环境质量总体保持稳定，主要河流断面整体水质状况良好。</w:t>
            </w:r>
          </w:p>
          <w:p w14:paraId="2E9162C0">
            <w:pPr>
              <w:adjustRightInd w:val="0"/>
              <w:snapToGrid w:val="0"/>
              <w:spacing w:line="360" w:lineRule="auto"/>
              <w:ind w:firstLine="482"/>
              <w:rPr>
                <w:rFonts w:eastAsia="宋体"/>
                <w:b/>
                <w:color w:val="auto"/>
                <w:kern w:val="0"/>
                <w:sz w:val="24"/>
                <w:lang w:val="zh-CN"/>
              </w:rPr>
            </w:pPr>
            <w:r>
              <w:rPr>
                <w:rFonts w:eastAsia="宋体"/>
                <w:b/>
                <w:color w:val="auto"/>
                <w:kern w:val="0"/>
                <w:sz w:val="24"/>
                <w:lang w:val="zh-CN"/>
              </w:rPr>
              <w:t>3.</w:t>
            </w:r>
            <w:r>
              <w:rPr>
                <w:rFonts w:hint="eastAsia" w:eastAsia="宋体"/>
                <w:b/>
                <w:color w:val="auto"/>
                <w:kern w:val="0"/>
                <w:sz w:val="24"/>
                <w:lang w:val="en-US" w:eastAsia="zh-CN"/>
              </w:rPr>
              <w:t>3</w:t>
            </w:r>
            <w:r>
              <w:rPr>
                <w:rFonts w:hint="eastAsia" w:hAnsi="宋体" w:eastAsia="宋体"/>
                <w:b/>
                <w:color w:val="auto"/>
                <w:kern w:val="0"/>
                <w:sz w:val="24"/>
                <w:lang w:val="zh-CN"/>
              </w:rPr>
              <w:t>声</w:t>
            </w:r>
            <w:r>
              <w:rPr>
                <w:rFonts w:hAnsi="宋体" w:eastAsia="宋体"/>
                <w:b/>
                <w:color w:val="auto"/>
                <w:kern w:val="0"/>
                <w:sz w:val="24"/>
                <w:lang w:val="zh-CN"/>
              </w:rPr>
              <w:t>环境</w:t>
            </w:r>
          </w:p>
          <w:p w14:paraId="084A4940">
            <w:pPr>
              <w:pStyle w:val="87"/>
              <w:keepNext w:val="0"/>
              <w:keepLines w:val="0"/>
              <w:pageBreakBefore w:val="0"/>
              <w:kinsoku/>
              <w:wordWrap/>
              <w:overflowPunct/>
              <w:topLinePunct w:val="0"/>
              <w:bidi w:val="0"/>
              <w:spacing w:after="0" w:line="360" w:lineRule="auto"/>
              <w:ind w:left="0" w:leftChars="0" w:firstLine="480"/>
              <w:textAlignment w:val="auto"/>
              <w:rPr>
                <w:rFonts w:hint="eastAsia"/>
                <w:color w:val="auto"/>
                <w:sz w:val="24"/>
              </w:rPr>
            </w:pPr>
            <w:r>
              <w:rPr>
                <w:rFonts w:hint="default" w:ascii="Times New Roman" w:hAnsi="Times New Roman" w:eastAsia="宋体" w:cs="Times New Roman"/>
                <w:color w:val="auto"/>
                <w:sz w:val="24"/>
              </w:rPr>
              <w:t>根据《</w:t>
            </w:r>
            <w:r>
              <w:rPr>
                <w:rFonts w:hint="eastAsia" w:ascii="Times New Roman" w:hAnsi="宋体" w:eastAsia="宋体" w:cs="Times New Roman"/>
                <w:color w:val="auto"/>
                <w:kern w:val="0"/>
                <w:sz w:val="24"/>
                <w:szCs w:val="24"/>
                <w:lang w:val="en-US" w:eastAsia="zh-CN" w:bidi="ar-SA"/>
              </w:rPr>
              <w:t>2024年涟水县环境质量状况</w:t>
            </w:r>
            <w:r>
              <w:rPr>
                <w:rFonts w:hint="default" w:ascii="Times New Roman" w:hAnsi="宋体" w:eastAsia="宋体" w:cs="Times New Roman"/>
                <w:color w:val="auto"/>
                <w:kern w:val="0"/>
                <w:sz w:val="24"/>
                <w:szCs w:val="24"/>
                <w:lang w:val="zh-CN" w:eastAsia="zh-CN" w:bidi="ar-SA"/>
              </w:rPr>
              <w:t>公报》，2024年涟水县声环境质量总体较好，未超过国家标准。</w:t>
            </w:r>
          </w:p>
          <w:p w14:paraId="645A0ECA">
            <w:pPr>
              <w:adjustRightInd w:val="0"/>
              <w:snapToGrid w:val="0"/>
              <w:spacing w:line="360" w:lineRule="auto"/>
              <w:ind w:firstLine="480" w:firstLineChars="200"/>
              <w:jc w:val="left"/>
              <w:rPr>
                <w:rFonts w:eastAsia="宋体"/>
                <w:color w:val="auto"/>
                <w:kern w:val="0"/>
                <w:sz w:val="24"/>
                <w:lang w:val="zh-CN"/>
              </w:rPr>
            </w:pPr>
            <w:r>
              <w:rPr>
                <w:rFonts w:hAnsi="宋体" w:eastAsia="宋体"/>
                <w:color w:val="auto"/>
                <w:kern w:val="0"/>
                <w:sz w:val="24"/>
                <w:lang w:val="zh-CN"/>
              </w:rPr>
              <w:t>根据</w:t>
            </w:r>
            <w:r>
              <w:rPr>
                <w:rFonts w:hint="eastAsia" w:hAnsi="宋体"/>
                <w:color w:val="auto"/>
                <w:kern w:val="0"/>
                <w:sz w:val="24"/>
                <w:lang w:val="zh-CN"/>
              </w:rPr>
              <w:t>《建设项目环境影响报告表编制技术指南污染影响类（试行）》</w:t>
            </w:r>
            <w:r>
              <w:rPr>
                <w:rFonts w:hAnsi="宋体" w:eastAsia="宋体"/>
                <w:color w:val="auto"/>
                <w:kern w:val="0"/>
                <w:sz w:val="24"/>
                <w:lang w:val="zh-CN"/>
              </w:rPr>
              <w:t>，</w:t>
            </w:r>
            <w:r>
              <w:rPr>
                <w:rFonts w:eastAsia="宋体"/>
                <w:color w:val="auto"/>
                <w:kern w:val="0"/>
                <w:sz w:val="24"/>
                <w:lang w:val="zh-CN"/>
              </w:rPr>
              <w:t>“</w:t>
            </w:r>
            <w:r>
              <w:rPr>
                <w:rFonts w:hAnsi="宋体" w:eastAsia="宋体"/>
                <w:color w:val="auto"/>
                <w:kern w:val="0"/>
                <w:sz w:val="24"/>
                <w:lang w:val="zh-CN"/>
              </w:rPr>
              <w:t>厂界外周边</w:t>
            </w:r>
            <w:r>
              <w:rPr>
                <w:rFonts w:eastAsia="宋体"/>
                <w:color w:val="auto"/>
                <w:kern w:val="0"/>
                <w:sz w:val="24"/>
                <w:lang w:val="zh-CN"/>
              </w:rPr>
              <w:t>50</w:t>
            </w:r>
            <w:r>
              <w:rPr>
                <w:rFonts w:hAnsi="宋体" w:eastAsia="宋体"/>
                <w:color w:val="auto"/>
                <w:kern w:val="0"/>
                <w:sz w:val="24"/>
                <w:lang w:val="zh-CN"/>
              </w:rPr>
              <w:t>米范围内存在声环境保护目标的建设项目，应监测保护目标声环境质量现状并评价达标情况。</w:t>
            </w:r>
            <w:r>
              <w:rPr>
                <w:rFonts w:eastAsia="宋体"/>
                <w:color w:val="auto"/>
                <w:kern w:val="0"/>
                <w:sz w:val="24"/>
                <w:lang w:val="zh-CN"/>
              </w:rPr>
              <w:t>”</w:t>
            </w:r>
          </w:p>
          <w:p w14:paraId="26D63CF9">
            <w:pPr>
              <w:adjustRightInd w:val="0"/>
              <w:snapToGrid w:val="0"/>
              <w:spacing w:line="360" w:lineRule="auto"/>
              <w:ind w:firstLine="480" w:firstLineChars="200"/>
              <w:rPr>
                <w:rFonts w:eastAsia="宋体"/>
                <w:color w:val="auto"/>
                <w:sz w:val="24"/>
              </w:rPr>
            </w:pPr>
            <w:r>
              <w:rPr>
                <w:rFonts w:hAnsi="宋体" w:eastAsia="宋体"/>
                <w:color w:val="auto"/>
                <w:sz w:val="24"/>
              </w:rPr>
              <w:t>项目</w:t>
            </w:r>
            <w:r>
              <w:rPr>
                <w:rFonts w:eastAsia="宋体"/>
                <w:color w:val="auto"/>
                <w:sz w:val="24"/>
              </w:rPr>
              <w:t>50m</w:t>
            </w:r>
            <w:r>
              <w:rPr>
                <w:rFonts w:hAnsi="宋体" w:eastAsia="宋体"/>
                <w:color w:val="auto"/>
                <w:sz w:val="24"/>
              </w:rPr>
              <w:t>范围内无声环境敏感保护目标，不需要进行声环境质量现状监测。</w:t>
            </w:r>
          </w:p>
          <w:p w14:paraId="2FC3207E">
            <w:pPr>
              <w:adjustRightInd w:val="0"/>
              <w:snapToGrid w:val="0"/>
              <w:spacing w:line="360" w:lineRule="auto"/>
              <w:rPr>
                <w:rFonts w:eastAsiaTheme="minorEastAsia"/>
                <w:b/>
                <w:color w:val="auto"/>
                <w:kern w:val="0"/>
                <w:sz w:val="24"/>
                <w:lang w:val="zh-CN"/>
              </w:rPr>
            </w:pPr>
            <w:r>
              <w:rPr>
                <w:rFonts w:eastAsiaTheme="minorEastAsia"/>
                <w:b/>
                <w:color w:val="auto"/>
                <w:kern w:val="0"/>
                <w:sz w:val="24"/>
                <w:lang w:val="zh-CN"/>
              </w:rPr>
              <w:t>3.4生态环境</w:t>
            </w:r>
          </w:p>
          <w:p w14:paraId="5557F38D">
            <w:pPr>
              <w:adjustRightInd w:val="0"/>
              <w:snapToGrid w:val="0"/>
              <w:spacing w:line="360" w:lineRule="auto"/>
              <w:ind w:firstLine="480" w:firstLineChars="200"/>
              <w:rPr>
                <w:rFonts w:eastAsiaTheme="minorEastAsia"/>
                <w:color w:val="auto"/>
                <w:kern w:val="0"/>
                <w:sz w:val="24"/>
                <w:lang w:val="zh-CN"/>
              </w:rPr>
            </w:pPr>
            <w:r>
              <w:rPr>
                <w:rFonts w:eastAsiaTheme="minorEastAsia"/>
                <w:color w:val="auto"/>
                <w:kern w:val="0"/>
                <w:sz w:val="24"/>
                <w:lang w:val="zh-CN"/>
              </w:rPr>
              <w:t>本项目位于</w:t>
            </w:r>
            <w:r>
              <w:rPr>
                <w:rFonts w:hint="eastAsia"/>
                <w:color w:val="auto"/>
                <w:sz w:val="24"/>
                <w:lang w:eastAsia="zh-CN"/>
              </w:rPr>
              <w:t>涟水经济开发区循环经济产业园</w:t>
            </w:r>
            <w:r>
              <w:rPr>
                <w:rFonts w:eastAsiaTheme="minorEastAsia"/>
                <w:color w:val="auto"/>
                <w:kern w:val="0"/>
                <w:sz w:val="24"/>
                <w:lang w:val="zh-CN"/>
              </w:rPr>
              <w:t>，不需</w:t>
            </w:r>
            <w:r>
              <w:rPr>
                <w:color w:val="auto"/>
                <w:sz w:val="24"/>
              </w:rPr>
              <w:t>进行</w:t>
            </w:r>
            <w:r>
              <w:rPr>
                <w:rFonts w:eastAsiaTheme="minorEastAsia"/>
                <w:color w:val="auto"/>
                <w:kern w:val="0"/>
                <w:sz w:val="24"/>
                <w:lang w:val="zh-CN"/>
              </w:rPr>
              <w:t>生态现状调查。</w:t>
            </w:r>
          </w:p>
          <w:p w14:paraId="40A0C3B2">
            <w:pPr>
              <w:adjustRightInd w:val="0"/>
              <w:snapToGrid w:val="0"/>
              <w:spacing w:line="360" w:lineRule="auto"/>
              <w:rPr>
                <w:rFonts w:eastAsiaTheme="minorEastAsia"/>
                <w:b/>
                <w:color w:val="auto"/>
                <w:kern w:val="0"/>
                <w:sz w:val="24"/>
                <w:lang w:val="zh-CN"/>
              </w:rPr>
            </w:pPr>
            <w:r>
              <w:rPr>
                <w:rFonts w:eastAsiaTheme="minorEastAsia"/>
                <w:b/>
                <w:color w:val="auto"/>
                <w:kern w:val="0"/>
                <w:sz w:val="24"/>
                <w:lang w:val="zh-CN"/>
              </w:rPr>
              <w:t>3.5电磁辐射</w:t>
            </w:r>
          </w:p>
          <w:p w14:paraId="7F7B639A">
            <w:pPr>
              <w:adjustRightInd w:val="0"/>
              <w:snapToGrid w:val="0"/>
              <w:spacing w:line="360" w:lineRule="auto"/>
              <w:ind w:firstLine="480" w:firstLineChars="200"/>
              <w:rPr>
                <w:rFonts w:eastAsiaTheme="minorEastAsia"/>
                <w:color w:val="auto"/>
                <w:kern w:val="0"/>
                <w:sz w:val="24"/>
                <w:lang w:val="zh-CN"/>
              </w:rPr>
            </w:pPr>
            <w:r>
              <w:rPr>
                <w:rFonts w:eastAsiaTheme="minorEastAsia"/>
                <w:color w:val="auto"/>
                <w:kern w:val="0"/>
                <w:sz w:val="24"/>
                <w:lang w:val="zh-CN"/>
              </w:rPr>
              <w:t>项目不涉及电磁辐射影响，不需开展现状开展电磁辐射现状监测与评价。</w:t>
            </w:r>
          </w:p>
          <w:p w14:paraId="376EAFD2">
            <w:pPr>
              <w:adjustRightInd w:val="0"/>
              <w:snapToGrid w:val="0"/>
              <w:spacing w:line="360" w:lineRule="auto"/>
              <w:rPr>
                <w:rFonts w:eastAsiaTheme="minorEastAsia"/>
                <w:b/>
                <w:color w:val="auto"/>
                <w:kern w:val="0"/>
                <w:sz w:val="24"/>
                <w:lang w:val="zh-CN"/>
              </w:rPr>
            </w:pPr>
            <w:r>
              <w:rPr>
                <w:rFonts w:eastAsiaTheme="minorEastAsia"/>
                <w:b/>
                <w:color w:val="auto"/>
                <w:kern w:val="0"/>
                <w:sz w:val="24"/>
                <w:lang w:val="zh-CN"/>
              </w:rPr>
              <w:t>3.6地下水、</w:t>
            </w:r>
            <w:r>
              <w:rPr>
                <w:b/>
                <w:color w:val="auto"/>
                <w:sz w:val="24"/>
              </w:rPr>
              <w:t>土壤环境</w:t>
            </w:r>
          </w:p>
          <w:p w14:paraId="6090308F">
            <w:pPr>
              <w:adjustRightInd w:val="0"/>
              <w:snapToGrid w:val="0"/>
              <w:spacing w:line="360" w:lineRule="auto"/>
              <w:ind w:firstLine="480" w:firstLineChars="200"/>
              <w:rPr>
                <w:rFonts w:hint="eastAsia" w:eastAsiaTheme="minorEastAsia"/>
                <w:color w:val="auto"/>
                <w:kern w:val="0"/>
                <w:sz w:val="24"/>
                <w:lang w:val="en-US" w:eastAsia="zh-CN"/>
              </w:rPr>
            </w:pPr>
            <w:r>
              <w:rPr>
                <w:rFonts w:hint="eastAsia" w:eastAsiaTheme="minorEastAsia"/>
                <w:color w:val="auto"/>
                <w:kern w:val="0"/>
                <w:sz w:val="24"/>
                <w:lang w:val="zh-CN"/>
              </w:rPr>
              <w:t>企业于</w:t>
            </w:r>
            <w:r>
              <w:rPr>
                <w:rFonts w:hint="eastAsia" w:eastAsiaTheme="minorEastAsia"/>
                <w:color w:val="auto"/>
                <w:kern w:val="0"/>
                <w:sz w:val="24"/>
                <w:lang w:val="en-US" w:eastAsia="zh-CN"/>
              </w:rPr>
              <w:t>2024年11月委托资质单位进行了地下水和土壤检测，并编制了地下水和土壤自行监测报告。</w:t>
            </w:r>
          </w:p>
          <w:p w14:paraId="5BBB6CC3">
            <w:pPr>
              <w:adjustRightInd w:val="0"/>
              <w:snapToGrid w:val="0"/>
              <w:spacing w:line="360" w:lineRule="auto"/>
              <w:ind w:firstLine="480" w:firstLineChars="200"/>
              <w:rPr>
                <w:rFonts w:hint="eastAsia" w:eastAsiaTheme="minorEastAsia"/>
                <w:color w:val="auto"/>
                <w:kern w:val="0"/>
                <w:sz w:val="24"/>
                <w:lang w:val="en-US" w:eastAsia="zh-CN"/>
              </w:rPr>
            </w:pPr>
            <w:r>
              <w:rPr>
                <w:rFonts w:hint="eastAsia" w:eastAsiaTheme="minorEastAsia"/>
                <w:color w:val="auto"/>
                <w:kern w:val="0"/>
                <w:sz w:val="24"/>
                <w:lang w:val="en-US" w:eastAsia="zh-CN"/>
              </w:rPr>
              <w:t>根据《淮安华源化工有限公司土壤和地下水自行监测报告》结论，调查地块内共设置9个土壤监测点位，累计送检24个土壤样品以及3个土壤平行样。根据地块用地历史及现状调查结果，主要分析了pH值、砷、汞、六价铬、铅、镉、铜、镍、苯胺、石油烃、总磷。调查所有土壤样品中除六价铬未检出外，其余因子均有检出，检出值均低于《土壤环境质量 建设用地土壤污染风险管控标准（试行）》（GB36600-2018） 中第二类用地筛选值。</w:t>
            </w:r>
          </w:p>
          <w:p w14:paraId="61D4846B">
            <w:pPr>
              <w:adjustRightInd w:val="0"/>
              <w:snapToGrid w:val="0"/>
              <w:spacing w:line="360" w:lineRule="auto"/>
              <w:ind w:firstLine="480" w:firstLineChars="200"/>
              <w:rPr>
                <w:rFonts w:hint="eastAsia" w:eastAsiaTheme="minorEastAsia"/>
                <w:color w:val="auto"/>
                <w:kern w:val="0"/>
                <w:sz w:val="24"/>
                <w:lang w:val="en-US" w:eastAsia="zh-CN"/>
              </w:rPr>
            </w:pPr>
            <w:r>
              <w:rPr>
                <w:rFonts w:hint="eastAsia" w:eastAsiaTheme="minorEastAsia"/>
                <w:color w:val="auto"/>
                <w:kern w:val="0"/>
                <w:sz w:val="24"/>
                <w:lang w:val="en-US" w:eastAsia="zh-CN"/>
              </w:rPr>
              <w:t>地块内共设置7个地下水测点，累计送检8个地下水样品（包括对照点样品和平行样），根据地块用地历史及现状调查结果，主要分析了pH值、溶解性总固体、总硬度、耗氧量、氨氮、硝酸盐氮、氯化物、挥发酚、石油烃。调查的地块内地下水样品检测因子除氰化物、碘化物、镉、铬（六价）、三氯甲烷、四氯化碳未检出，GW1、GW2、GW5等点位部分因子超标（肉眼可见物、总硬度、溶解性总固体），其余因子均符合《地下水质量标准》（GB/T14848-2017）Ⅳ类标准要求。</w:t>
            </w:r>
          </w:p>
          <w:p w14:paraId="313BD14F">
            <w:pPr>
              <w:adjustRightInd w:val="0"/>
              <w:snapToGrid w:val="0"/>
              <w:spacing w:line="360" w:lineRule="auto"/>
              <w:ind w:firstLine="480" w:firstLineChars="200"/>
              <w:rPr>
                <w:rFonts w:hint="eastAsia" w:eastAsiaTheme="minorEastAsia"/>
                <w:color w:val="auto"/>
                <w:kern w:val="0"/>
                <w:sz w:val="24"/>
                <w:lang w:val="en-US" w:eastAsia="zh-CN"/>
              </w:rPr>
            </w:pPr>
            <w:r>
              <w:rPr>
                <w:rFonts w:hint="eastAsia" w:eastAsiaTheme="minorEastAsia"/>
                <w:color w:val="auto"/>
                <w:kern w:val="0"/>
                <w:sz w:val="24"/>
                <w:lang w:val="en-US" w:eastAsia="zh-CN"/>
              </w:rPr>
              <w:t>为进一步减少土壤与地下水环境污染的隐患，针对自行监测识别出的问题，《淮安华源化工有限公司土壤和地下水自行监测报告》提出以下建议措施：</w:t>
            </w:r>
          </w:p>
          <w:p w14:paraId="4B7AFEE0">
            <w:pPr>
              <w:adjustRightInd w:val="0"/>
              <w:snapToGrid w:val="0"/>
              <w:spacing w:line="360" w:lineRule="auto"/>
              <w:ind w:firstLine="480" w:firstLineChars="200"/>
              <w:rPr>
                <w:rFonts w:hint="eastAsia" w:eastAsiaTheme="minorEastAsia"/>
                <w:color w:val="auto"/>
                <w:kern w:val="0"/>
                <w:sz w:val="24"/>
                <w:lang w:val="en-US" w:eastAsia="zh-CN"/>
              </w:rPr>
            </w:pPr>
            <w:r>
              <w:rPr>
                <w:rFonts w:hint="eastAsia" w:eastAsiaTheme="minorEastAsia"/>
                <w:color w:val="auto"/>
                <w:kern w:val="0"/>
                <w:sz w:val="24"/>
                <w:lang w:val="en-US" w:eastAsia="zh-CN"/>
              </w:rPr>
              <w:t>（1）考虑到企业重点设施运行时间较长，存在一定隐患，因此建议对各重点区域内的设备及重点设施定期进行维护和保养，防止跑冒滴漏的发生，如产生事故时应有专业人员和设备进行应对，以防止污染物扩散、渗入土壤或地下水造成污染；</w:t>
            </w:r>
          </w:p>
          <w:p w14:paraId="4B6494F6">
            <w:pPr>
              <w:adjustRightInd w:val="0"/>
              <w:snapToGrid w:val="0"/>
              <w:spacing w:line="360" w:lineRule="auto"/>
              <w:ind w:firstLine="480" w:firstLineChars="200"/>
              <w:rPr>
                <w:rFonts w:hint="eastAsia" w:eastAsiaTheme="minorEastAsia"/>
                <w:color w:val="auto"/>
                <w:kern w:val="0"/>
                <w:sz w:val="24"/>
                <w:lang w:val="en-US" w:eastAsia="zh-CN"/>
              </w:rPr>
            </w:pPr>
            <w:r>
              <w:rPr>
                <w:rFonts w:hint="eastAsia" w:eastAsiaTheme="minorEastAsia"/>
                <w:color w:val="auto"/>
                <w:kern w:val="0"/>
                <w:sz w:val="24"/>
                <w:lang w:val="en-US" w:eastAsia="zh-CN"/>
              </w:rPr>
              <w:t>（2）本次初步调查结论是基于现有规划条件下形成的，若现有规划发生改变，应对本地块土壤与地下水环境质量重新进行评估，以确保该地块土壤与地下水环境质量满足相应规划要求；</w:t>
            </w:r>
          </w:p>
          <w:p w14:paraId="1A4411C5">
            <w:pPr>
              <w:adjustRightInd w:val="0"/>
              <w:snapToGrid w:val="0"/>
              <w:spacing w:line="360" w:lineRule="auto"/>
              <w:ind w:firstLine="480" w:firstLineChars="200"/>
              <w:rPr>
                <w:rFonts w:hint="eastAsia" w:eastAsiaTheme="minorEastAsia"/>
                <w:color w:val="auto"/>
                <w:kern w:val="0"/>
                <w:sz w:val="24"/>
                <w:lang w:val="en-US" w:eastAsia="zh-CN"/>
              </w:rPr>
            </w:pPr>
            <w:r>
              <w:rPr>
                <w:rFonts w:hint="eastAsia" w:eastAsiaTheme="minorEastAsia"/>
                <w:color w:val="auto"/>
                <w:kern w:val="0"/>
                <w:sz w:val="24"/>
                <w:lang w:val="en-US" w:eastAsia="zh-CN"/>
              </w:rPr>
              <w:t>（3）建议在产企业正常生产过程中应依据环境应急预案实行管理。如遇突发环境问题，应及时采取措施并汇报给当地环境保护主管部门。</w:t>
            </w:r>
          </w:p>
          <w:p w14:paraId="6AC03A7C">
            <w:pPr>
              <w:adjustRightInd w:val="0"/>
              <w:snapToGrid w:val="0"/>
              <w:spacing w:line="360" w:lineRule="auto"/>
              <w:rPr>
                <w:rFonts w:hint="eastAsia" w:eastAsiaTheme="minorEastAsia"/>
                <w:color w:val="auto"/>
                <w:kern w:val="0"/>
                <w:sz w:val="24"/>
                <w:lang w:val="en-US" w:eastAsia="zh-CN"/>
              </w:rPr>
            </w:pPr>
          </w:p>
        </w:tc>
      </w:tr>
      <w:tr w14:paraId="1E2DC8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357" w:type="dxa"/>
            <w:vAlign w:val="center"/>
          </w:tcPr>
          <w:p w14:paraId="3416310A">
            <w:pPr>
              <w:adjustRightInd w:val="0"/>
              <w:snapToGrid w:val="0"/>
              <w:jc w:val="center"/>
              <w:rPr>
                <w:color w:val="auto"/>
                <w:kern w:val="0"/>
                <w:sz w:val="24"/>
              </w:rPr>
            </w:pPr>
            <w:r>
              <w:rPr>
                <w:color w:val="auto"/>
                <w:kern w:val="0"/>
                <w:sz w:val="24"/>
              </w:rPr>
              <w:t>环境</w:t>
            </w:r>
          </w:p>
          <w:p w14:paraId="1282E8C3">
            <w:pPr>
              <w:adjustRightInd w:val="0"/>
              <w:snapToGrid w:val="0"/>
              <w:jc w:val="center"/>
              <w:rPr>
                <w:color w:val="auto"/>
                <w:kern w:val="0"/>
                <w:sz w:val="24"/>
              </w:rPr>
            </w:pPr>
            <w:r>
              <w:rPr>
                <w:color w:val="auto"/>
                <w:kern w:val="0"/>
                <w:sz w:val="24"/>
              </w:rPr>
              <w:t>保护</w:t>
            </w:r>
          </w:p>
          <w:p w14:paraId="73B8EB9B">
            <w:pPr>
              <w:adjustRightInd w:val="0"/>
              <w:snapToGrid w:val="0"/>
              <w:jc w:val="center"/>
              <w:rPr>
                <w:color w:val="auto"/>
                <w:kern w:val="0"/>
                <w:szCs w:val="21"/>
              </w:rPr>
            </w:pPr>
            <w:r>
              <w:rPr>
                <w:color w:val="auto"/>
                <w:kern w:val="0"/>
                <w:sz w:val="24"/>
              </w:rPr>
              <w:t>目标</w:t>
            </w:r>
          </w:p>
        </w:tc>
        <w:tc>
          <w:tcPr>
            <w:tcW w:w="8633" w:type="dxa"/>
            <w:vAlign w:val="center"/>
          </w:tcPr>
          <w:p w14:paraId="28D424EB">
            <w:pPr>
              <w:adjustRightInd w:val="0"/>
              <w:snapToGrid w:val="0"/>
              <w:spacing w:line="360" w:lineRule="auto"/>
              <w:rPr>
                <w:rFonts w:eastAsiaTheme="minorEastAsia"/>
                <w:b/>
                <w:color w:val="auto"/>
                <w:kern w:val="0"/>
                <w:sz w:val="24"/>
                <w:lang w:val="zh-CN"/>
              </w:rPr>
            </w:pPr>
            <w:r>
              <w:rPr>
                <w:rFonts w:eastAsiaTheme="minorEastAsia"/>
                <w:b/>
                <w:color w:val="auto"/>
                <w:kern w:val="0"/>
                <w:sz w:val="24"/>
                <w:lang w:val="zh-CN"/>
              </w:rPr>
              <w:t>3.7主要环境保护目标</w:t>
            </w:r>
          </w:p>
          <w:p w14:paraId="0CC7065D">
            <w:pPr>
              <w:adjustRightInd w:val="0"/>
              <w:snapToGrid w:val="0"/>
              <w:spacing w:line="360" w:lineRule="auto"/>
              <w:ind w:firstLine="480" w:firstLineChars="200"/>
              <w:rPr>
                <w:rFonts w:eastAsiaTheme="minorEastAsia"/>
                <w:color w:val="auto"/>
                <w:kern w:val="0"/>
                <w:sz w:val="24"/>
                <w:lang w:val="zh-CN"/>
              </w:rPr>
            </w:pPr>
            <w:r>
              <w:rPr>
                <w:rFonts w:eastAsiaTheme="minorEastAsia"/>
                <w:color w:val="auto"/>
                <w:kern w:val="0"/>
                <w:sz w:val="24"/>
                <w:lang w:val="zh-CN"/>
              </w:rPr>
              <w:t>建设项目主要环境保护目标见表3-</w:t>
            </w:r>
            <w:r>
              <w:rPr>
                <w:rFonts w:hint="eastAsia" w:eastAsiaTheme="minorEastAsia"/>
                <w:color w:val="auto"/>
                <w:kern w:val="0"/>
                <w:sz w:val="24"/>
                <w:lang w:val="zh-CN"/>
              </w:rPr>
              <w:t>1</w:t>
            </w:r>
            <w:r>
              <w:rPr>
                <w:rFonts w:eastAsiaTheme="minorEastAsia"/>
                <w:color w:val="auto"/>
                <w:kern w:val="0"/>
                <w:sz w:val="24"/>
                <w:lang w:val="zh-CN"/>
              </w:rPr>
              <w:t>。</w:t>
            </w:r>
          </w:p>
          <w:p w14:paraId="70F1B572">
            <w:pPr>
              <w:adjustRightInd w:val="0"/>
              <w:snapToGrid w:val="0"/>
              <w:jc w:val="center"/>
              <w:rPr>
                <w:b/>
                <w:color w:val="auto"/>
                <w:sz w:val="24"/>
              </w:rPr>
            </w:pPr>
            <w:r>
              <w:rPr>
                <w:b/>
                <w:color w:val="auto"/>
                <w:sz w:val="24"/>
              </w:rPr>
              <w:t>表3-</w:t>
            </w:r>
            <w:r>
              <w:rPr>
                <w:rFonts w:hint="eastAsia"/>
                <w:b/>
                <w:color w:val="auto"/>
                <w:sz w:val="24"/>
              </w:rPr>
              <w:t>1</w:t>
            </w:r>
            <w:r>
              <w:rPr>
                <w:b/>
                <w:color w:val="auto"/>
                <w:sz w:val="24"/>
              </w:rPr>
              <w:t xml:space="preserve">  建设项目主要环境保护目标一览表</w:t>
            </w:r>
          </w:p>
          <w:tbl>
            <w:tblPr>
              <w:tblStyle w:val="88"/>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15" w:type="dxa"/>
                <w:left w:w="15" w:type="dxa"/>
                <w:bottom w:w="15" w:type="dxa"/>
                <w:right w:w="15" w:type="dxa"/>
              </w:tblCellMar>
            </w:tblPr>
            <w:tblGrid>
              <w:gridCol w:w="401"/>
              <w:gridCol w:w="1020"/>
              <w:gridCol w:w="1020"/>
              <w:gridCol w:w="849"/>
              <w:gridCol w:w="834"/>
              <w:gridCol w:w="834"/>
              <w:gridCol w:w="695"/>
              <w:gridCol w:w="2737"/>
            </w:tblGrid>
            <w:tr w14:paraId="0D95F5E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286" w:hRule="atLeast"/>
                <w:jc w:val="center"/>
              </w:trPr>
              <w:tc>
                <w:tcPr>
                  <w:tcW w:w="239" w:type="pct"/>
                  <w:vMerge w:val="restart"/>
                  <w:shd w:val="clear" w:color="auto" w:fill="auto"/>
                  <w:vAlign w:val="center"/>
                </w:tcPr>
                <w:p w14:paraId="0D47B837">
                  <w:pPr>
                    <w:jc w:val="center"/>
                    <w:textAlignment w:val="center"/>
                    <w:rPr>
                      <w:rFonts w:eastAsiaTheme="minorEastAsia"/>
                      <w:bCs/>
                      <w:color w:val="auto"/>
                      <w:szCs w:val="21"/>
                    </w:rPr>
                  </w:pPr>
                  <w:r>
                    <w:rPr>
                      <w:rFonts w:eastAsiaTheme="minorEastAsia"/>
                      <w:bCs/>
                      <w:color w:val="auto"/>
                      <w:szCs w:val="21"/>
                    </w:rPr>
                    <w:t>名称</w:t>
                  </w:r>
                </w:p>
              </w:tc>
              <w:tc>
                <w:tcPr>
                  <w:tcW w:w="1214" w:type="pct"/>
                  <w:gridSpan w:val="2"/>
                  <w:shd w:val="clear" w:color="auto" w:fill="auto"/>
                  <w:vAlign w:val="center"/>
                </w:tcPr>
                <w:p w14:paraId="24758AE2">
                  <w:pPr>
                    <w:jc w:val="center"/>
                    <w:textAlignment w:val="center"/>
                    <w:rPr>
                      <w:rFonts w:eastAsiaTheme="minorEastAsia"/>
                      <w:bCs/>
                      <w:color w:val="auto"/>
                      <w:szCs w:val="21"/>
                    </w:rPr>
                  </w:pPr>
                  <w:r>
                    <w:rPr>
                      <w:rFonts w:eastAsiaTheme="minorEastAsia"/>
                      <w:bCs/>
                      <w:color w:val="auto"/>
                      <w:szCs w:val="21"/>
                    </w:rPr>
                    <w:t>坐标/</w:t>
                  </w:r>
                  <w:r>
                    <w:rPr>
                      <w:rFonts w:hint="eastAsia" w:eastAsiaTheme="minorEastAsia"/>
                      <w:bCs/>
                      <w:color w:val="auto"/>
                      <w:szCs w:val="21"/>
                    </w:rPr>
                    <w:t>UTM</w:t>
                  </w:r>
                </w:p>
              </w:tc>
              <w:tc>
                <w:tcPr>
                  <w:tcW w:w="506" w:type="pct"/>
                  <w:vMerge w:val="restart"/>
                  <w:shd w:val="clear" w:color="auto" w:fill="auto"/>
                  <w:vAlign w:val="center"/>
                </w:tcPr>
                <w:p w14:paraId="6CF7E527">
                  <w:pPr>
                    <w:jc w:val="center"/>
                    <w:textAlignment w:val="center"/>
                    <w:rPr>
                      <w:rFonts w:eastAsiaTheme="minorEastAsia"/>
                      <w:bCs/>
                      <w:color w:val="auto"/>
                      <w:szCs w:val="21"/>
                    </w:rPr>
                  </w:pPr>
                  <w:r>
                    <w:rPr>
                      <w:rFonts w:eastAsiaTheme="minorEastAsia"/>
                      <w:bCs/>
                      <w:color w:val="auto"/>
                      <w:szCs w:val="21"/>
                    </w:rPr>
                    <w:t>保护对象</w:t>
                  </w:r>
                </w:p>
              </w:tc>
              <w:tc>
                <w:tcPr>
                  <w:tcW w:w="497" w:type="pct"/>
                  <w:vMerge w:val="restart"/>
                  <w:shd w:val="clear" w:color="auto" w:fill="auto"/>
                  <w:vAlign w:val="center"/>
                </w:tcPr>
                <w:p w14:paraId="1D640C3F">
                  <w:pPr>
                    <w:jc w:val="center"/>
                    <w:textAlignment w:val="center"/>
                    <w:rPr>
                      <w:rFonts w:eastAsiaTheme="minorEastAsia"/>
                      <w:bCs/>
                      <w:color w:val="auto"/>
                      <w:szCs w:val="21"/>
                    </w:rPr>
                  </w:pPr>
                  <w:r>
                    <w:rPr>
                      <w:rFonts w:eastAsiaTheme="minorEastAsia"/>
                      <w:bCs/>
                      <w:color w:val="auto"/>
                      <w:szCs w:val="21"/>
                    </w:rPr>
                    <w:t>保护内容</w:t>
                  </w:r>
                </w:p>
              </w:tc>
              <w:tc>
                <w:tcPr>
                  <w:tcW w:w="497" w:type="pct"/>
                  <w:vMerge w:val="restart"/>
                  <w:shd w:val="clear" w:color="auto" w:fill="auto"/>
                  <w:vAlign w:val="center"/>
                </w:tcPr>
                <w:p w14:paraId="6CADA69D">
                  <w:pPr>
                    <w:jc w:val="center"/>
                    <w:textAlignment w:val="center"/>
                    <w:rPr>
                      <w:rFonts w:eastAsiaTheme="minorEastAsia"/>
                      <w:bCs/>
                      <w:color w:val="auto"/>
                      <w:szCs w:val="21"/>
                    </w:rPr>
                  </w:pPr>
                  <w:r>
                    <w:rPr>
                      <w:rFonts w:eastAsiaTheme="minorEastAsia"/>
                      <w:bCs/>
                      <w:color w:val="auto"/>
                      <w:szCs w:val="21"/>
                    </w:rPr>
                    <w:t>方位</w:t>
                  </w:r>
                </w:p>
              </w:tc>
              <w:tc>
                <w:tcPr>
                  <w:tcW w:w="414" w:type="pct"/>
                  <w:vMerge w:val="restart"/>
                  <w:shd w:val="clear" w:color="auto" w:fill="auto"/>
                  <w:vAlign w:val="center"/>
                </w:tcPr>
                <w:p w14:paraId="4D83E6C7">
                  <w:pPr>
                    <w:jc w:val="center"/>
                    <w:textAlignment w:val="center"/>
                    <w:rPr>
                      <w:rFonts w:eastAsiaTheme="minorEastAsia"/>
                      <w:bCs/>
                      <w:color w:val="auto"/>
                      <w:szCs w:val="21"/>
                    </w:rPr>
                  </w:pPr>
                  <w:r>
                    <w:rPr>
                      <w:rFonts w:eastAsiaTheme="minorEastAsia"/>
                      <w:bCs/>
                      <w:color w:val="auto"/>
                      <w:szCs w:val="21"/>
                    </w:rPr>
                    <w:t>距离厂界/m</w:t>
                  </w:r>
                </w:p>
              </w:tc>
              <w:tc>
                <w:tcPr>
                  <w:tcW w:w="1631" w:type="pct"/>
                  <w:vMerge w:val="restart"/>
                  <w:shd w:val="clear" w:color="auto" w:fill="auto"/>
                  <w:vAlign w:val="center"/>
                </w:tcPr>
                <w:p w14:paraId="594BF310">
                  <w:pPr>
                    <w:jc w:val="center"/>
                    <w:textAlignment w:val="center"/>
                    <w:rPr>
                      <w:rFonts w:eastAsiaTheme="minorEastAsia"/>
                      <w:bCs/>
                      <w:color w:val="auto"/>
                      <w:szCs w:val="21"/>
                    </w:rPr>
                  </w:pPr>
                  <w:r>
                    <w:rPr>
                      <w:rFonts w:eastAsiaTheme="minorEastAsia"/>
                      <w:color w:val="auto"/>
                      <w:szCs w:val="21"/>
                    </w:rPr>
                    <w:t>环境质量标准</w:t>
                  </w:r>
                </w:p>
              </w:tc>
            </w:tr>
            <w:tr w14:paraId="34800B8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316" w:hRule="atLeast"/>
                <w:jc w:val="center"/>
              </w:trPr>
              <w:tc>
                <w:tcPr>
                  <w:tcW w:w="239" w:type="pct"/>
                  <w:vMerge w:val="continue"/>
                  <w:shd w:val="clear" w:color="auto" w:fill="auto"/>
                  <w:vAlign w:val="center"/>
                </w:tcPr>
                <w:p w14:paraId="47923D76">
                  <w:pPr>
                    <w:jc w:val="center"/>
                    <w:rPr>
                      <w:rFonts w:eastAsiaTheme="minorEastAsia"/>
                      <w:color w:val="auto"/>
                      <w:szCs w:val="21"/>
                    </w:rPr>
                  </w:pPr>
                </w:p>
              </w:tc>
              <w:tc>
                <w:tcPr>
                  <w:tcW w:w="607" w:type="pct"/>
                  <w:shd w:val="clear" w:color="auto" w:fill="auto"/>
                  <w:vAlign w:val="center"/>
                </w:tcPr>
                <w:p w14:paraId="40184D82">
                  <w:pPr>
                    <w:jc w:val="center"/>
                    <w:textAlignment w:val="center"/>
                    <w:rPr>
                      <w:rFonts w:eastAsiaTheme="minorEastAsia"/>
                      <w:bCs/>
                      <w:color w:val="auto"/>
                      <w:szCs w:val="21"/>
                    </w:rPr>
                  </w:pPr>
                  <w:r>
                    <w:rPr>
                      <w:rFonts w:eastAsiaTheme="minorEastAsia"/>
                      <w:bCs/>
                      <w:color w:val="auto"/>
                      <w:szCs w:val="21"/>
                    </w:rPr>
                    <w:t>X</w:t>
                  </w:r>
                </w:p>
              </w:tc>
              <w:tc>
                <w:tcPr>
                  <w:tcW w:w="606" w:type="pct"/>
                  <w:shd w:val="clear" w:color="auto" w:fill="auto"/>
                  <w:vAlign w:val="center"/>
                </w:tcPr>
                <w:p w14:paraId="01428ACA">
                  <w:pPr>
                    <w:jc w:val="center"/>
                    <w:textAlignment w:val="center"/>
                    <w:rPr>
                      <w:rFonts w:eastAsiaTheme="minorEastAsia"/>
                      <w:bCs/>
                      <w:color w:val="auto"/>
                      <w:szCs w:val="21"/>
                    </w:rPr>
                  </w:pPr>
                  <w:r>
                    <w:rPr>
                      <w:rFonts w:eastAsiaTheme="minorEastAsia"/>
                      <w:bCs/>
                      <w:color w:val="auto"/>
                      <w:szCs w:val="21"/>
                    </w:rPr>
                    <w:t>Y</w:t>
                  </w:r>
                </w:p>
              </w:tc>
              <w:tc>
                <w:tcPr>
                  <w:tcW w:w="506" w:type="pct"/>
                  <w:vMerge w:val="continue"/>
                  <w:shd w:val="clear" w:color="auto" w:fill="auto"/>
                  <w:vAlign w:val="center"/>
                </w:tcPr>
                <w:p w14:paraId="47A6F230">
                  <w:pPr>
                    <w:jc w:val="center"/>
                    <w:rPr>
                      <w:rFonts w:eastAsiaTheme="minorEastAsia"/>
                      <w:color w:val="auto"/>
                      <w:szCs w:val="21"/>
                    </w:rPr>
                  </w:pPr>
                </w:p>
              </w:tc>
              <w:tc>
                <w:tcPr>
                  <w:tcW w:w="497" w:type="pct"/>
                  <w:vMerge w:val="continue"/>
                  <w:shd w:val="clear" w:color="auto" w:fill="auto"/>
                  <w:vAlign w:val="center"/>
                </w:tcPr>
                <w:p w14:paraId="6B20AB79">
                  <w:pPr>
                    <w:jc w:val="center"/>
                    <w:rPr>
                      <w:rFonts w:eastAsiaTheme="minorEastAsia"/>
                      <w:color w:val="auto"/>
                      <w:szCs w:val="21"/>
                    </w:rPr>
                  </w:pPr>
                </w:p>
              </w:tc>
              <w:tc>
                <w:tcPr>
                  <w:tcW w:w="497" w:type="pct"/>
                  <w:vMerge w:val="continue"/>
                  <w:shd w:val="clear" w:color="auto" w:fill="auto"/>
                  <w:vAlign w:val="center"/>
                </w:tcPr>
                <w:p w14:paraId="419A14DF">
                  <w:pPr>
                    <w:jc w:val="center"/>
                    <w:rPr>
                      <w:rFonts w:eastAsiaTheme="minorEastAsia"/>
                      <w:color w:val="auto"/>
                      <w:szCs w:val="21"/>
                    </w:rPr>
                  </w:pPr>
                </w:p>
              </w:tc>
              <w:tc>
                <w:tcPr>
                  <w:tcW w:w="414" w:type="pct"/>
                  <w:vMerge w:val="continue"/>
                  <w:shd w:val="clear" w:color="auto" w:fill="auto"/>
                  <w:vAlign w:val="center"/>
                </w:tcPr>
                <w:p w14:paraId="53F3C34A">
                  <w:pPr>
                    <w:jc w:val="center"/>
                    <w:rPr>
                      <w:rFonts w:eastAsiaTheme="minorEastAsia"/>
                      <w:color w:val="auto"/>
                      <w:szCs w:val="21"/>
                    </w:rPr>
                  </w:pPr>
                </w:p>
              </w:tc>
              <w:tc>
                <w:tcPr>
                  <w:tcW w:w="1631" w:type="pct"/>
                  <w:vMerge w:val="continue"/>
                  <w:shd w:val="clear" w:color="auto" w:fill="auto"/>
                  <w:vAlign w:val="center"/>
                </w:tcPr>
                <w:p w14:paraId="05959FEB">
                  <w:pPr>
                    <w:jc w:val="center"/>
                    <w:rPr>
                      <w:rFonts w:eastAsiaTheme="minorEastAsia"/>
                      <w:color w:val="auto"/>
                      <w:szCs w:val="21"/>
                    </w:rPr>
                  </w:pPr>
                </w:p>
              </w:tc>
            </w:tr>
            <w:tr w14:paraId="50DF8E4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86" w:hRule="atLeast"/>
                <w:jc w:val="center"/>
              </w:trPr>
              <w:tc>
                <w:tcPr>
                  <w:tcW w:w="239" w:type="pct"/>
                  <w:shd w:val="clear" w:color="auto" w:fill="auto"/>
                  <w:vAlign w:val="center"/>
                </w:tcPr>
                <w:p w14:paraId="04D2AA29">
                  <w:pPr>
                    <w:adjustRightInd w:val="0"/>
                    <w:snapToGrid w:val="0"/>
                    <w:jc w:val="center"/>
                    <w:rPr>
                      <w:rFonts w:hint="eastAsia" w:eastAsiaTheme="minorEastAsia"/>
                      <w:color w:val="auto"/>
                      <w:szCs w:val="21"/>
                      <w:lang w:eastAsia="zh-CN"/>
                    </w:rPr>
                  </w:pPr>
                  <w:r>
                    <w:rPr>
                      <w:rFonts w:hint="eastAsia" w:eastAsiaTheme="minorEastAsia"/>
                      <w:color w:val="auto"/>
                      <w:szCs w:val="21"/>
                      <w:lang w:eastAsia="zh-CN"/>
                    </w:rPr>
                    <w:t>大气环境</w:t>
                  </w:r>
                </w:p>
              </w:tc>
              <w:tc>
                <w:tcPr>
                  <w:tcW w:w="607" w:type="pct"/>
                  <w:shd w:val="clear" w:color="auto" w:fill="auto"/>
                  <w:vAlign w:val="center"/>
                </w:tcPr>
                <w:p w14:paraId="4D820262">
                  <w:pPr>
                    <w:adjustRightInd w:val="0"/>
                    <w:snapToGrid w:val="0"/>
                    <w:jc w:val="center"/>
                    <w:rPr>
                      <w:rFonts w:hint="eastAsia" w:eastAsiaTheme="minorEastAsia"/>
                      <w:color w:val="auto"/>
                      <w:szCs w:val="21"/>
                      <w:lang w:eastAsia="zh-CN"/>
                    </w:rPr>
                  </w:pPr>
                  <w:r>
                    <w:rPr>
                      <w:rFonts w:hint="eastAsia" w:eastAsiaTheme="minorEastAsia"/>
                      <w:color w:val="auto"/>
                      <w:szCs w:val="21"/>
                      <w:lang w:eastAsia="zh-CN"/>
                    </w:rPr>
                    <w:t>119.326694</w:t>
                  </w:r>
                </w:p>
              </w:tc>
              <w:tc>
                <w:tcPr>
                  <w:tcW w:w="606" w:type="pct"/>
                  <w:shd w:val="clear" w:color="auto" w:fill="auto"/>
                  <w:vAlign w:val="center"/>
                </w:tcPr>
                <w:p w14:paraId="38502858">
                  <w:pPr>
                    <w:adjustRightInd w:val="0"/>
                    <w:snapToGrid w:val="0"/>
                    <w:jc w:val="center"/>
                    <w:rPr>
                      <w:rFonts w:hint="eastAsia" w:eastAsiaTheme="minorEastAsia"/>
                      <w:color w:val="auto"/>
                      <w:szCs w:val="21"/>
                      <w:lang w:eastAsia="zh-CN"/>
                    </w:rPr>
                  </w:pPr>
                  <w:r>
                    <w:rPr>
                      <w:rFonts w:hint="eastAsia" w:eastAsiaTheme="minorEastAsia"/>
                      <w:color w:val="auto"/>
                      <w:szCs w:val="21"/>
                      <w:lang w:eastAsia="zh-CN"/>
                    </w:rPr>
                    <w:t>33.816290</w:t>
                  </w:r>
                </w:p>
              </w:tc>
              <w:tc>
                <w:tcPr>
                  <w:tcW w:w="506" w:type="pct"/>
                  <w:shd w:val="clear" w:color="auto" w:fill="auto"/>
                  <w:vAlign w:val="center"/>
                </w:tcPr>
                <w:p w14:paraId="0D08961E">
                  <w:pPr>
                    <w:adjustRightInd w:val="0"/>
                    <w:snapToGrid w:val="0"/>
                    <w:jc w:val="center"/>
                    <w:rPr>
                      <w:rFonts w:hint="eastAsia" w:eastAsiaTheme="minorEastAsia"/>
                      <w:color w:val="auto"/>
                      <w:szCs w:val="21"/>
                      <w:lang w:eastAsia="zh-CN"/>
                    </w:rPr>
                  </w:pPr>
                  <w:r>
                    <w:rPr>
                      <w:rFonts w:hint="eastAsia" w:eastAsiaTheme="minorEastAsia"/>
                      <w:color w:val="auto"/>
                      <w:szCs w:val="21"/>
                      <w:lang w:eastAsia="zh-CN"/>
                    </w:rPr>
                    <w:t>李集村委会</w:t>
                  </w:r>
                </w:p>
              </w:tc>
              <w:tc>
                <w:tcPr>
                  <w:tcW w:w="497" w:type="pct"/>
                  <w:shd w:val="clear" w:color="auto" w:fill="auto"/>
                  <w:vAlign w:val="center"/>
                </w:tcPr>
                <w:p w14:paraId="36240EAD">
                  <w:pPr>
                    <w:adjustRightInd w:val="0"/>
                    <w:snapToGrid w:val="0"/>
                    <w:jc w:val="center"/>
                    <w:rPr>
                      <w:rFonts w:eastAsiaTheme="minorEastAsia"/>
                      <w:color w:val="auto"/>
                      <w:szCs w:val="21"/>
                    </w:rPr>
                  </w:pPr>
                  <w:r>
                    <w:rPr>
                      <w:rFonts w:hint="eastAsia" w:eastAsiaTheme="minorEastAsia"/>
                      <w:color w:val="auto"/>
                      <w:szCs w:val="21"/>
                    </w:rPr>
                    <w:t>居民</w:t>
                  </w:r>
                </w:p>
              </w:tc>
              <w:tc>
                <w:tcPr>
                  <w:tcW w:w="497" w:type="pct"/>
                  <w:shd w:val="clear" w:color="auto" w:fill="auto"/>
                  <w:vAlign w:val="center"/>
                </w:tcPr>
                <w:p w14:paraId="01800A37">
                  <w:pPr>
                    <w:adjustRightInd w:val="0"/>
                    <w:snapToGrid w:val="0"/>
                    <w:jc w:val="center"/>
                    <w:rPr>
                      <w:rFonts w:hint="eastAsia" w:eastAsiaTheme="minorEastAsia"/>
                      <w:color w:val="auto"/>
                      <w:szCs w:val="21"/>
                      <w:lang w:val="en-US" w:eastAsia="zh-CN"/>
                    </w:rPr>
                  </w:pPr>
                  <w:r>
                    <w:rPr>
                      <w:rFonts w:hint="eastAsia" w:eastAsiaTheme="minorEastAsia"/>
                      <w:color w:val="auto"/>
                      <w:szCs w:val="21"/>
                    </w:rPr>
                    <w:t>S</w:t>
                  </w:r>
                  <w:r>
                    <w:rPr>
                      <w:rFonts w:hint="eastAsia" w:eastAsiaTheme="minorEastAsia"/>
                      <w:color w:val="auto"/>
                      <w:szCs w:val="21"/>
                      <w:lang w:val="en-US" w:eastAsia="zh-CN"/>
                    </w:rPr>
                    <w:t>E</w:t>
                  </w:r>
                </w:p>
              </w:tc>
              <w:tc>
                <w:tcPr>
                  <w:tcW w:w="414" w:type="pct"/>
                  <w:shd w:val="clear" w:color="auto" w:fill="auto"/>
                  <w:vAlign w:val="center"/>
                </w:tcPr>
                <w:p w14:paraId="0515A196">
                  <w:pPr>
                    <w:jc w:val="center"/>
                    <w:rPr>
                      <w:rFonts w:eastAsiaTheme="minorEastAsia"/>
                      <w:color w:val="auto"/>
                      <w:szCs w:val="21"/>
                    </w:rPr>
                  </w:pPr>
                  <w:r>
                    <w:rPr>
                      <w:rFonts w:hint="eastAsia"/>
                      <w:color w:val="auto"/>
                      <w:szCs w:val="21"/>
                    </w:rPr>
                    <w:t>2</w:t>
                  </w:r>
                  <w:r>
                    <w:rPr>
                      <w:rFonts w:hint="eastAsia"/>
                      <w:color w:val="auto"/>
                      <w:szCs w:val="21"/>
                      <w:lang w:val="en-US" w:eastAsia="zh-CN"/>
                    </w:rPr>
                    <w:t>4</w:t>
                  </w:r>
                  <w:r>
                    <w:rPr>
                      <w:rFonts w:hint="eastAsia"/>
                      <w:color w:val="auto"/>
                      <w:szCs w:val="21"/>
                    </w:rPr>
                    <w:t>0</w:t>
                  </w:r>
                </w:p>
              </w:tc>
              <w:tc>
                <w:tcPr>
                  <w:tcW w:w="1631" w:type="pct"/>
                  <w:shd w:val="clear" w:color="auto" w:fill="auto"/>
                  <w:vAlign w:val="center"/>
                </w:tcPr>
                <w:p w14:paraId="61DF40B2">
                  <w:pPr>
                    <w:jc w:val="center"/>
                    <w:rPr>
                      <w:rFonts w:eastAsiaTheme="minorEastAsia"/>
                      <w:color w:val="auto"/>
                      <w:szCs w:val="21"/>
                    </w:rPr>
                  </w:pPr>
                  <w:r>
                    <w:rPr>
                      <w:rFonts w:eastAsiaTheme="minorEastAsia"/>
                      <w:color w:val="auto"/>
                      <w:szCs w:val="21"/>
                    </w:rPr>
                    <w:t>《环境空气质量标准》（GB3095-2012）及修改单二级标准</w:t>
                  </w:r>
                </w:p>
              </w:tc>
            </w:tr>
            <w:tr w14:paraId="4680AAE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316" w:hRule="atLeast"/>
                <w:jc w:val="center"/>
              </w:trPr>
              <w:tc>
                <w:tcPr>
                  <w:tcW w:w="1454" w:type="pct"/>
                  <w:gridSpan w:val="3"/>
                  <w:vMerge w:val="restart"/>
                  <w:shd w:val="clear" w:color="auto" w:fill="auto"/>
                  <w:vAlign w:val="center"/>
                </w:tcPr>
                <w:p w14:paraId="31CA8F4D">
                  <w:pPr>
                    <w:jc w:val="center"/>
                    <w:rPr>
                      <w:rFonts w:eastAsiaTheme="minorEastAsia"/>
                      <w:color w:val="auto"/>
                      <w:szCs w:val="21"/>
                    </w:rPr>
                  </w:pPr>
                  <w:r>
                    <w:rPr>
                      <w:rFonts w:eastAsiaTheme="minorEastAsia"/>
                      <w:color w:val="auto"/>
                      <w:szCs w:val="21"/>
                    </w:rPr>
                    <w:t>地表水环境</w:t>
                  </w:r>
                </w:p>
              </w:tc>
              <w:tc>
                <w:tcPr>
                  <w:tcW w:w="506" w:type="pct"/>
                  <w:shd w:val="clear" w:color="auto" w:fill="auto"/>
                  <w:vAlign w:val="center"/>
                </w:tcPr>
                <w:p w14:paraId="503B74EA">
                  <w:pPr>
                    <w:pStyle w:val="6"/>
                    <w:ind w:firstLine="0" w:firstLineChars="0"/>
                    <w:jc w:val="center"/>
                    <w:rPr>
                      <w:rFonts w:ascii="Times New Roman" w:hAnsi="Times New Roman" w:cs="Times New Roman" w:eastAsiaTheme="minorEastAsia"/>
                      <w:color w:val="auto"/>
                      <w:kern w:val="2"/>
                      <w:sz w:val="21"/>
                      <w:szCs w:val="21"/>
                      <w:lang w:val="en-US" w:eastAsia="zh-CN" w:bidi="ar-SA"/>
                    </w:rPr>
                  </w:pPr>
                  <w:r>
                    <w:rPr>
                      <w:rFonts w:ascii="Times New Roman" w:eastAsiaTheme="minorEastAsia"/>
                      <w:color w:val="auto"/>
                      <w:sz w:val="21"/>
                      <w:szCs w:val="21"/>
                    </w:rPr>
                    <w:t>盐河</w:t>
                  </w:r>
                </w:p>
              </w:tc>
              <w:tc>
                <w:tcPr>
                  <w:tcW w:w="497" w:type="pct"/>
                  <w:shd w:val="clear" w:color="auto" w:fill="auto"/>
                  <w:vAlign w:val="center"/>
                </w:tcPr>
                <w:p w14:paraId="2D06ED73">
                  <w:pPr>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szCs w:val="21"/>
                    </w:rPr>
                    <w:t>水体</w:t>
                  </w:r>
                </w:p>
              </w:tc>
              <w:tc>
                <w:tcPr>
                  <w:tcW w:w="497" w:type="pct"/>
                  <w:shd w:val="clear" w:color="auto" w:fill="auto"/>
                  <w:vAlign w:val="center"/>
                </w:tcPr>
                <w:p w14:paraId="44413CF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w:t>
                  </w:r>
                </w:p>
              </w:tc>
              <w:tc>
                <w:tcPr>
                  <w:tcW w:w="414" w:type="pct"/>
                  <w:shd w:val="clear" w:color="auto" w:fill="auto"/>
                  <w:vAlign w:val="center"/>
                </w:tcPr>
                <w:p w14:paraId="1E086E38">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680</w:t>
                  </w:r>
                </w:p>
              </w:tc>
              <w:tc>
                <w:tcPr>
                  <w:tcW w:w="1631" w:type="pct"/>
                  <w:shd w:val="clear" w:color="auto" w:fill="auto"/>
                  <w:vAlign w:val="center"/>
                </w:tcPr>
                <w:p w14:paraId="6766EAD2">
                  <w:pPr>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szCs w:val="21"/>
                    </w:rPr>
                    <w:t>《地表水环境质量标准》（GB3838-2002）Ⅲ类标准</w:t>
                  </w:r>
                </w:p>
              </w:tc>
            </w:tr>
            <w:tr w14:paraId="1B12EEC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316" w:hRule="atLeast"/>
                <w:jc w:val="center"/>
              </w:trPr>
              <w:tc>
                <w:tcPr>
                  <w:tcW w:w="1454" w:type="pct"/>
                  <w:gridSpan w:val="3"/>
                  <w:vMerge w:val="continue"/>
                  <w:shd w:val="clear" w:color="auto" w:fill="auto"/>
                  <w:vAlign w:val="center"/>
                </w:tcPr>
                <w:p w14:paraId="4A077B3A">
                  <w:pPr>
                    <w:jc w:val="center"/>
                    <w:rPr>
                      <w:rFonts w:eastAsiaTheme="minorEastAsia"/>
                      <w:color w:val="auto"/>
                      <w:szCs w:val="21"/>
                    </w:rPr>
                  </w:pPr>
                </w:p>
              </w:tc>
              <w:tc>
                <w:tcPr>
                  <w:tcW w:w="506" w:type="pct"/>
                  <w:shd w:val="clear" w:color="auto" w:fill="auto"/>
                  <w:vAlign w:val="center"/>
                </w:tcPr>
                <w:p w14:paraId="15B565D5">
                  <w:pPr>
                    <w:pStyle w:val="6"/>
                    <w:ind w:firstLine="0" w:firstLineChars="0"/>
                    <w:jc w:val="center"/>
                    <w:rPr>
                      <w:rFonts w:ascii="Times New Roman" w:eastAsiaTheme="minorEastAsia"/>
                      <w:color w:val="auto"/>
                      <w:sz w:val="21"/>
                      <w:szCs w:val="21"/>
                    </w:rPr>
                  </w:pPr>
                  <w:r>
                    <w:rPr>
                      <w:rFonts w:hint="eastAsia" w:ascii="Times New Roman" w:eastAsiaTheme="minorEastAsia"/>
                      <w:color w:val="auto"/>
                      <w:sz w:val="21"/>
                      <w:szCs w:val="21"/>
                    </w:rPr>
                    <w:t>涟新路斗渠</w:t>
                  </w:r>
                </w:p>
              </w:tc>
              <w:tc>
                <w:tcPr>
                  <w:tcW w:w="497" w:type="pct"/>
                  <w:shd w:val="clear" w:color="auto" w:fill="auto"/>
                  <w:vAlign w:val="center"/>
                </w:tcPr>
                <w:p w14:paraId="7C2997E2">
                  <w:pPr>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szCs w:val="21"/>
                    </w:rPr>
                    <w:t>水体</w:t>
                  </w:r>
                </w:p>
              </w:tc>
              <w:tc>
                <w:tcPr>
                  <w:tcW w:w="497" w:type="pct"/>
                  <w:shd w:val="clear" w:color="auto" w:fill="auto"/>
                  <w:vAlign w:val="center"/>
                </w:tcPr>
                <w:p w14:paraId="6DF7862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E</w:t>
                  </w:r>
                </w:p>
              </w:tc>
              <w:tc>
                <w:tcPr>
                  <w:tcW w:w="414" w:type="pct"/>
                  <w:shd w:val="clear" w:color="auto" w:fill="auto"/>
                  <w:vAlign w:val="center"/>
                </w:tcPr>
                <w:p w14:paraId="1712B53F">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130</w:t>
                  </w:r>
                </w:p>
              </w:tc>
              <w:tc>
                <w:tcPr>
                  <w:tcW w:w="1631" w:type="pct"/>
                  <w:shd w:val="clear" w:color="auto" w:fill="auto"/>
                  <w:vAlign w:val="center"/>
                </w:tcPr>
                <w:p w14:paraId="73B0ADA6">
                  <w:pPr>
                    <w:jc w:val="center"/>
                    <w:rPr>
                      <w:rFonts w:eastAsiaTheme="minorEastAsia"/>
                      <w:color w:val="auto"/>
                      <w:szCs w:val="21"/>
                    </w:rPr>
                  </w:pPr>
                  <w:r>
                    <w:rPr>
                      <w:rFonts w:eastAsiaTheme="minorEastAsia"/>
                      <w:color w:val="auto"/>
                      <w:szCs w:val="21"/>
                    </w:rPr>
                    <w:t>《地表水环境质量标准》（GB3838-2002）</w:t>
                  </w:r>
                  <w:r>
                    <w:rPr>
                      <w:rFonts w:hint="eastAsia" w:eastAsiaTheme="minorEastAsia"/>
                      <w:color w:val="auto"/>
                      <w:szCs w:val="21"/>
                    </w:rPr>
                    <w:t>Ⅳ</w:t>
                  </w:r>
                  <w:r>
                    <w:rPr>
                      <w:rFonts w:eastAsiaTheme="minorEastAsia"/>
                      <w:color w:val="auto"/>
                      <w:szCs w:val="21"/>
                    </w:rPr>
                    <w:t>类标准</w:t>
                  </w:r>
                </w:p>
              </w:tc>
            </w:tr>
            <w:tr w14:paraId="21766F0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316" w:hRule="atLeast"/>
                <w:jc w:val="center"/>
              </w:trPr>
              <w:tc>
                <w:tcPr>
                  <w:tcW w:w="1454" w:type="pct"/>
                  <w:gridSpan w:val="3"/>
                  <w:shd w:val="clear" w:color="auto" w:fill="auto"/>
                  <w:vAlign w:val="center"/>
                </w:tcPr>
                <w:p w14:paraId="385AA734">
                  <w:pPr>
                    <w:jc w:val="center"/>
                    <w:rPr>
                      <w:rFonts w:eastAsiaTheme="minorEastAsia"/>
                      <w:color w:val="auto"/>
                      <w:szCs w:val="21"/>
                    </w:rPr>
                  </w:pPr>
                  <w:r>
                    <w:rPr>
                      <w:rFonts w:eastAsiaTheme="minorEastAsia"/>
                      <w:color w:val="auto"/>
                      <w:szCs w:val="21"/>
                    </w:rPr>
                    <w:t>声环境</w:t>
                  </w:r>
                </w:p>
              </w:tc>
              <w:tc>
                <w:tcPr>
                  <w:tcW w:w="3545" w:type="pct"/>
                  <w:gridSpan w:val="5"/>
                  <w:shd w:val="clear" w:color="auto" w:fill="auto"/>
                  <w:vAlign w:val="center"/>
                </w:tcPr>
                <w:p w14:paraId="277C2B78">
                  <w:pPr>
                    <w:jc w:val="center"/>
                    <w:rPr>
                      <w:rFonts w:eastAsiaTheme="minorEastAsia"/>
                      <w:color w:val="auto"/>
                      <w:szCs w:val="21"/>
                    </w:rPr>
                  </w:pPr>
                  <w:r>
                    <w:rPr>
                      <w:rFonts w:eastAsiaTheme="minorEastAsia"/>
                      <w:color w:val="auto"/>
                    </w:rPr>
                    <w:t>项目厂界外50米范围内的无声环境敏感目标</w:t>
                  </w:r>
                </w:p>
              </w:tc>
            </w:tr>
            <w:tr w14:paraId="19FAFB3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316" w:hRule="atLeast"/>
                <w:jc w:val="center"/>
              </w:trPr>
              <w:tc>
                <w:tcPr>
                  <w:tcW w:w="1454" w:type="pct"/>
                  <w:gridSpan w:val="3"/>
                  <w:shd w:val="clear" w:color="auto" w:fill="auto"/>
                  <w:vAlign w:val="center"/>
                </w:tcPr>
                <w:p w14:paraId="13F162DD">
                  <w:pPr>
                    <w:jc w:val="center"/>
                    <w:rPr>
                      <w:rFonts w:eastAsiaTheme="minorEastAsia"/>
                      <w:color w:val="auto"/>
                      <w:szCs w:val="21"/>
                    </w:rPr>
                  </w:pPr>
                  <w:r>
                    <w:rPr>
                      <w:rFonts w:eastAsiaTheme="minorEastAsia"/>
                      <w:color w:val="auto"/>
                      <w:szCs w:val="21"/>
                    </w:rPr>
                    <w:t>地下水环境</w:t>
                  </w:r>
                </w:p>
              </w:tc>
              <w:tc>
                <w:tcPr>
                  <w:tcW w:w="3545" w:type="pct"/>
                  <w:gridSpan w:val="5"/>
                  <w:shd w:val="clear" w:color="auto" w:fill="auto"/>
                  <w:vAlign w:val="center"/>
                </w:tcPr>
                <w:p w14:paraId="25770E33">
                  <w:pPr>
                    <w:jc w:val="center"/>
                    <w:rPr>
                      <w:rFonts w:eastAsiaTheme="minorEastAsia"/>
                      <w:color w:val="auto"/>
                      <w:szCs w:val="21"/>
                    </w:rPr>
                  </w:pPr>
                  <w:r>
                    <w:rPr>
                      <w:rFonts w:eastAsiaTheme="minorEastAsia"/>
                      <w:color w:val="auto"/>
                    </w:rPr>
                    <w:t>项目厂界外500米范围内的无地下水集中式饮用水水源和热水、矿泉水、温泉等特殊地下水资源</w:t>
                  </w:r>
                </w:p>
              </w:tc>
            </w:tr>
            <w:tr w14:paraId="4A3F8E7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316" w:hRule="atLeast"/>
                <w:jc w:val="center"/>
              </w:trPr>
              <w:tc>
                <w:tcPr>
                  <w:tcW w:w="1454" w:type="pct"/>
                  <w:gridSpan w:val="3"/>
                  <w:shd w:val="clear" w:color="auto" w:fill="auto"/>
                  <w:vAlign w:val="center"/>
                </w:tcPr>
                <w:p w14:paraId="1FAEDFA3">
                  <w:pPr>
                    <w:jc w:val="center"/>
                    <w:rPr>
                      <w:rFonts w:eastAsiaTheme="minorEastAsia"/>
                      <w:color w:val="auto"/>
                      <w:szCs w:val="21"/>
                    </w:rPr>
                  </w:pPr>
                  <w:r>
                    <w:rPr>
                      <w:rFonts w:eastAsiaTheme="minorEastAsia"/>
                      <w:color w:val="auto"/>
                      <w:szCs w:val="21"/>
                    </w:rPr>
                    <w:t>生态环境</w:t>
                  </w:r>
                </w:p>
              </w:tc>
              <w:tc>
                <w:tcPr>
                  <w:tcW w:w="3545" w:type="pct"/>
                  <w:gridSpan w:val="5"/>
                  <w:shd w:val="clear" w:color="auto" w:fill="auto"/>
                  <w:vAlign w:val="center"/>
                </w:tcPr>
                <w:p w14:paraId="01A5332A">
                  <w:pPr>
                    <w:jc w:val="center"/>
                    <w:rPr>
                      <w:rFonts w:eastAsiaTheme="minorEastAsia"/>
                      <w:color w:val="auto"/>
                      <w:szCs w:val="21"/>
                    </w:rPr>
                  </w:pPr>
                  <w:r>
                    <w:rPr>
                      <w:rFonts w:eastAsiaTheme="minorEastAsia"/>
                      <w:color w:val="auto"/>
                    </w:rPr>
                    <w:t>本项目用地范围内无生态环境保护目标</w:t>
                  </w:r>
                </w:p>
              </w:tc>
            </w:tr>
          </w:tbl>
          <w:p w14:paraId="1C13BD5E">
            <w:pPr>
              <w:adjustRightInd w:val="0"/>
              <w:snapToGrid w:val="0"/>
              <w:spacing w:line="360" w:lineRule="auto"/>
              <w:ind w:firstLine="420" w:firstLineChars="200"/>
              <w:rPr>
                <w:color w:val="auto"/>
              </w:rPr>
            </w:pPr>
          </w:p>
        </w:tc>
      </w:tr>
      <w:tr w14:paraId="640BDC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357" w:type="dxa"/>
            <w:tcMar>
              <w:left w:w="28" w:type="dxa"/>
              <w:right w:w="28" w:type="dxa"/>
            </w:tcMar>
            <w:vAlign w:val="center"/>
          </w:tcPr>
          <w:p w14:paraId="38B3B760">
            <w:pPr>
              <w:adjustRightInd w:val="0"/>
              <w:snapToGrid w:val="0"/>
              <w:jc w:val="center"/>
              <w:rPr>
                <w:color w:val="auto"/>
                <w:kern w:val="0"/>
                <w:sz w:val="24"/>
              </w:rPr>
            </w:pPr>
            <w:r>
              <w:rPr>
                <w:color w:val="auto"/>
                <w:kern w:val="0"/>
                <w:sz w:val="24"/>
              </w:rPr>
              <w:t>污染</w:t>
            </w:r>
          </w:p>
          <w:p w14:paraId="07973D43">
            <w:pPr>
              <w:adjustRightInd w:val="0"/>
              <w:snapToGrid w:val="0"/>
              <w:jc w:val="center"/>
              <w:rPr>
                <w:color w:val="auto"/>
                <w:kern w:val="0"/>
                <w:sz w:val="24"/>
              </w:rPr>
            </w:pPr>
            <w:r>
              <w:rPr>
                <w:color w:val="auto"/>
                <w:kern w:val="0"/>
                <w:sz w:val="24"/>
              </w:rPr>
              <w:t>物排</w:t>
            </w:r>
          </w:p>
          <w:p w14:paraId="362945C6">
            <w:pPr>
              <w:adjustRightInd w:val="0"/>
              <w:snapToGrid w:val="0"/>
              <w:jc w:val="center"/>
              <w:rPr>
                <w:color w:val="auto"/>
                <w:kern w:val="0"/>
                <w:sz w:val="24"/>
              </w:rPr>
            </w:pPr>
            <w:r>
              <w:rPr>
                <w:color w:val="auto"/>
                <w:kern w:val="0"/>
                <w:sz w:val="24"/>
              </w:rPr>
              <w:t>放控</w:t>
            </w:r>
          </w:p>
          <w:p w14:paraId="3D177EAD">
            <w:pPr>
              <w:adjustRightInd w:val="0"/>
              <w:snapToGrid w:val="0"/>
              <w:jc w:val="center"/>
              <w:rPr>
                <w:color w:val="auto"/>
                <w:kern w:val="0"/>
                <w:sz w:val="24"/>
              </w:rPr>
            </w:pPr>
            <w:r>
              <w:rPr>
                <w:color w:val="auto"/>
                <w:kern w:val="0"/>
                <w:sz w:val="24"/>
              </w:rPr>
              <w:t>制标</w:t>
            </w:r>
          </w:p>
          <w:p w14:paraId="7D7C2327">
            <w:pPr>
              <w:adjustRightInd w:val="0"/>
              <w:snapToGrid w:val="0"/>
              <w:jc w:val="center"/>
              <w:rPr>
                <w:color w:val="auto"/>
                <w:kern w:val="0"/>
                <w:szCs w:val="21"/>
              </w:rPr>
            </w:pPr>
            <w:r>
              <w:rPr>
                <w:color w:val="auto"/>
                <w:kern w:val="0"/>
                <w:sz w:val="24"/>
              </w:rPr>
              <w:t>准</w:t>
            </w:r>
          </w:p>
        </w:tc>
        <w:tc>
          <w:tcPr>
            <w:tcW w:w="8633" w:type="dxa"/>
            <w:vAlign w:val="center"/>
          </w:tcPr>
          <w:p w14:paraId="4C368550">
            <w:pPr>
              <w:adjustRightInd w:val="0"/>
              <w:snapToGrid w:val="0"/>
              <w:spacing w:line="360" w:lineRule="auto"/>
              <w:rPr>
                <w:rFonts w:eastAsiaTheme="minorEastAsia"/>
                <w:b/>
                <w:color w:val="auto"/>
                <w:kern w:val="0"/>
                <w:sz w:val="24"/>
                <w:lang w:val="zh-CN"/>
              </w:rPr>
            </w:pPr>
            <w:r>
              <w:rPr>
                <w:rFonts w:eastAsiaTheme="minorEastAsia"/>
                <w:b/>
                <w:color w:val="auto"/>
                <w:kern w:val="0"/>
                <w:sz w:val="24"/>
                <w:lang w:val="zh-CN"/>
              </w:rPr>
              <w:t>3.8污染物排放控制标准</w:t>
            </w:r>
          </w:p>
          <w:p w14:paraId="10F55CC4">
            <w:pPr>
              <w:wordWrap w:val="0"/>
              <w:adjustRightInd w:val="0"/>
              <w:snapToGrid w:val="0"/>
              <w:spacing w:line="360" w:lineRule="auto"/>
              <w:ind w:right="105" w:rightChars="50" w:firstLine="482" w:firstLineChars="200"/>
              <w:rPr>
                <w:b/>
                <w:color w:val="auto"/>
                <w:sz w:val="24"/>
              </w:rPr>
            </w:pPr>
            <w:r>
              <w:rPr>
                <w:b/>
                <w:color w:val="auto"/>
                <w:sz w:val="24"/>
              </w:rPr>
              <w:t>1.水污染排放标准</w:t>
            </w:r>
          </w:p>
          <w:p w14:paraId="2A5300C5">
            <w:pPr>
              <w:pStyle w:val="6"/>
              <w:spacing w:line="360" w:lineRule="auto"/>
              <w:jc w:val="left"/>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现有项目共设置</w:t>
            </w:r>
            <w:r>
              <w:rPr>
                <w:rFonts w:hint="eastAsia" w:ascii="Times New Roman" w:hAnsi="Times New Roman" w:eastAsia="宋体" w:cs="Times New Roman"/>
                <w:color w:val="auto"/>
                <w:sz w:val="24"/>
                <w:szCs w:val="24"/>
                <w:lang w:val="en-US" w:eastAsia="zh-CN"/>
              </w:rPr>
              <w:t>3只21.667m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的液氯罐式集装箱</w:t>
            </w:r>
            <w:r>
              <w:rPr>
                <w:rFonts w:hint="default" w:ascii="Times New Roman" w:hAnsi="Times New Roman" w:eastAsia="宋体" w:cs="Times New Roman"/>
                <w:color w:val="auto"/>
                <w:sz w:val="24"/>
                <w:szCs w:val="24"/>
              </w:rPr>
              <w:t>（</w:t>
            </w:r>
            <w:r>
              <w:rPr>
                <w:rFonts w:hint="eastAsia" w:ascii="Times New Roman" w:eastAsia="宋体" w:cs="Times New Roman"/>
                <w:color w:val="auto"/>
                <w:sz w:val="24"/>
                <w:szCs w:val="24"/>
                <w:lang w:eastAsia="zh-CN"/>
              </w:rPr>
              <w:t>两</w:t>
            </w:r>
            <w:r>
              <w:rPr>
                <w:rFonts w:hint="default" w:ascii="Times New Roman" w:hAnsi="Times New Roman" w:eastAsia="宋体" w:cs="Times New Roman"/>
                <w:color w:val="auto"/>
                <w:sz w:val="24"/>
                <w:szCs w:val="24"/>
              </w:rPr>
              <w:t>用一备）</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本次</w:t>
            </w:r>
            <w:r>
              <w:rPr>
                <w:rFonts w:hint="eastAsia" w:ascii="Times New Roman" w:hAnsi="Times New Roman" w:eastAsia="宋体" w:cs="Times New Roman"/>
                <w:color w:val="auto"/>
                <w:sz w:val="24"/>
                <w:szCs w:val="24"/>
                <w:lang w:eastAsia="zh-CN"/>
              </w:rPr>
              <w:t>技改</w:t>
            </w:r>
            <w:r>
              <w:rPr>
                <w:rFonts w:hint="default" w:ascii="Times New Roman" w:hAnsi="Times New Roman" w:eastAsia="宋体" w:cs="Times New Roman"/>
                <w:color w:val="auto"/>
                <w:sz w:val="24"/>
                <w:szCs w:val="24"/>
              </w:rPr>
              <w:t>后全厂1只57m³液氯储罐、2只79m³液氯储罐（一用一备），液氯运转</w:t>
            </w:r>
            <w:r>
              <w:rPr>
                <w:rFonts w:hint="eastAsia" w:ascii="Times New Roman" w:hAnsi="Times New Roman" w:eastAsia="宋体" w:cs="Times New Roman"/>
                <w:color w:val="auto"/>
                <w:sz w:val="24"/>
                <w:szCs w:val="24"/>
                <w:lang w:eastAsia="zh-CN"/>
              </w:rPr>
              <w:t>频次由</w:t>
            </w:r>
            <w:r>
              <w:rPr>
                <w:rFonts w:hint="eastAsia" w:ascii="Times New Roman" w:hAnsi="Times New Roman" w:eastAsia="宋体" w:cs="Times New Roman"/>
                <w:color w:val="auto"/>
                <w:sz w:val="24"/>
                <w:szCs w:val="24"/>
                <w:lang w:val="en-US" w:eastAsia="zh-CN"/>
              </w:rPr>
              <w:t>9559次/a降至3046次/a</w:t>
            </w:r>
            <w:r>
              <w:rPr>
                <w:rFonts w:hint="eastAsia" w:ascii="Times New Roman" w:hAnsi="Times New Roman" w:eastAsia="宋体" w:cs="Times New Roman"/>
                <w:color w:val="auto"/>
                <w:sz w:val="24"/>
                <w:szCs w:val="24"/>
                <w:lang w:eastAsia="zh-CN"/>
              </w:rPr>
              <w:t>，液氯卸车前检验次数、卸车过程中泄压次数与周转频次成正比，因此，技改项目建成后罐车卸车试压过程中</w:t>
            </w:r>
            <w:r>
              <w:rPr>
                <w:rFonts w:hint="eastAsia" w:ascii="Times New Roman" w:eastAsia="宋体" w:cs="Times New Roman"/>
                <w:color w:val="auto"/>
                <w:sz w:val="24"/>
                <w:szCs w:val="24"/>
                <w:lang w:val="en-US" w:eastAsia="zh-CN"/>
              </w:rPr>
              <w:t>产生</w:t>
            </w:r>
            <w:r>
              <w:rPr>
                <w:rFonts w:hint="eastAsia" w:ascii="Times New Roman" w:hAnsi="Times New Roman" w:eastAsia="宋体" w:cs="Times New Roman"/>
                <w:color w:val="auto"/>
                <w:sz w:val="24"/>
                <w:szCs w:val="24"/>
                <w:lang w:eastAsia="zh-CN"/>
              </w:rPr>
              <w:t>真空泵废水排放量略有减少</w:t>
            </w:r>
            <w:r>
              <w:rPr>
                <w:rFonts w:hint="eastAsia" w:ascii="Times New Roman" w:eastAsia="宋体" w:cs="Times New Roman"/>
                <w:color w:val="auto"/>
                <w:sz w:val="24"/>
                <w:szCs w:val="24"/>
                <w:lang w:eastAsia="zh-CN"/>
              </w:rPr>
              <w:t>（根据现有项目生产台账，真空泵排水量约</w:t>
            </w:r>
            <w:r>
              <w:rPr>
                <w:rFonts w:hint="eastAsia" w:ascii="Times New Roman" w:eastAsia="宋体" w:cs="Times New Roman"/>
                <w:color w:val="auto"/>
                <w:sz w:val="24"/>
                <w:szCs w:val="24"/>
                <w:lang w:val="en-US" w:eastAsia="zh-CN"/>
              </w:rPr>
              <w:t>4t/a，本次升级改造后，真空泵排水量约减少至1.27t/a，变化不大</w:t>
            </w:r>
            <w:r>
              <w:rPr>
                <w:rFonts w:hint="eastAsia" w:asci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w:t>
            </w:r>
            <w:r>
              <w:rPr>
                <w:rFonts w:hint="eastAsia" w:ascii="Times New Roman" w:eastAsia="宋体" w:cs="Times New Roman"/>
                <w:color w:val="auto"/>
                <w:sz w:val="24"/>
                <w:szCs w:val="24"/>
                <w:lang w:val="en-US" w:eastAsia="zh-CN"/>
              </w:rPr>
              <w:t>且</w:t>
            </w:r>
            <w:r>
              <w:rPr>
                <w:rFonts w:hint="eastAsia" w:ascii="Times New Roman" w:hAnsi="Times New Roman" w:eastAsia="宋体" w:cs="Times New Roman"/>
                <w:color w:val="auto"/>
                <w:sz w:val="24"/>
                <w:szCs w:val="24"/>
                <w:lang w:eastAsia="zh-CN"/>
              </w:rPr>
              <w:t>本项目液氯罐车卸车试压过程中的真空泵废水与现有项目真空泵废水收集处理方式</w:t>
            </w:r>
            <w:r>
              <w:rPr>
                <w:rFonts w:hint="eastAsia" w:ascii="Times New Roman" w:eastAsia="宋体" w:cs="Times New Roman"/>
                <w:color w:val="auto"/>
                <w:sz w:val="24"/>
                <w:szCs w:val="24"/>
                <w:lang w:val="en-US" w:eastAsia="zh-CN"/>
              </w:rPr>
              <w:t>均</w:t>
            </w:r>
            <w:r>
              <w:rPr>
                <w:rFonts w:hint="eastAsia" w:ascii="Times New Roman" w:hAnsi="Times New Roman" w:eastAsia="宋体" w:cs="Times New Roman"/>
                <w:color w:val="auto"/>
                <w:sz w:val="24"/>
                <w:szCs w:val="24"/>
                <w:lang w:eastAsia="zh-CN"/>
              </w:rPr>
              <w:t>一致</w:t>
            </w:r>
            <w:r>
              <w:rPr>
                <w:rFonts w:hint="eastAsia" w:asci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因此，本次评价不再进行分析。</w:t>
            </w:r>
          </w:p>
          <w:p w14:paraId="790DE966">
            <w:pPr>
              <w:adjustRightInd w:val="0"/>
              <w:snapToGrid w:val="0"/>
              <w:spacing w:line="360" w:lineRule="auto"/>
              <w:ind w:firstLine="480" w:firstLineChars="200"/>
              <w:jc w:val="both"/>
              <w:rPr>
                <w:rFonts w:hint="eastAsia" w:eastAsiaTheme="minorEastAsia"/>
                <w:color w:val="auto"/>
                <w:kern w:val="0"/>
                <w:sz w:val="24"/>
                <w:lang w:val="zh-CN"/>
              </w:rPr>
            </w:pPr>
            <w:r>
              <w:rPr>
                <w:rFonts w:hint="eastAsia" w:eastAsiaTheme="minorEastAsia"/>
                <w:color w:val="auto"/>
                <w:kern w:val="0"/>
                <w:sz w:val="24"/>
                <w:lang w:val="zh-CN"/>
              </w:rPr>
              <w:t>项目新增用水为黄磷水封用水，水封用水全部蒸发损耗，定期补充，不外排，黄磷加热采用蒸汽加热，产生的蒸汽冷凝水部分用于黄磷池水封，部分进入厂区循环水系统，不外排，建设项目不新增废水产生及排放。</w:t>
            </w:r>
          </w:p>
          <w:p w14:paraId="2310DCEF">
            <w:pPr>
              <w:spacing w:line="360" w:lineRule="auto"/>
              <w:ind w:firstLine="480"/>
              <w:rPr>
                <w:rFonts w:cs="Times New Roman"/>
                <w:color w:val="auto"/>
                <w:sz w:val="24"/>
                <w:szCs w:val="24"/>
              </w:rPr>
            </w:pPr>
            <w:r>
              <w:rPr>
                <w:rFonts w:hint="eastAsia" w:cs="Times New Roman"/>
                <w:color w:val="auto"/>
                <w:sz w:val="24"/>
                <w:szCs w:val="24"/>
                <w:lang w:eastAsia="zh-CN"/>
              </w:rPr>
              <w:t>厂区</w:t>
            </w:r>
            <w:r>
              <w:rPr>
                <w:rFonts w:cs="Times New Roman"/>
                <w:color w:val="auto"/>
                <w:sz w:val="24"/>
                <w:szCs w:val="24"/>
              </w:rPr>
              <w:t>废水接管到薛行污水处理厂，尾水排入渠西河</w:t>
            </w:r>
            <w:r>
              <w:rPr>
                <w:rFonts w:hint="eastAsia" w:cs="Times New Roman"/>
                <w:color w:val="auto"/>
                <w:sz w:val="24"/>
                <w:szCs w:val="24"/>
                <w:lang w:eastAsia="zh-CN"/>
              </w:rPr>
              <w:t>，</w:t>
            </w:r>
            <w:r>
              <w:rPr>
                <w:rFonts w:cs="Times New Roman"/>
                <w:color w:val="auto"/>
                <w:sz w:val="24"/>
                <w:szCs w:val="24"/>
              </w:rPr>
              <w:t>接管标准执行薛行污水处理厂环评及批复标准</w:t>
            </w:r>
            <w:r>
              <w:rPr>
                <w:rFonts w:hint="eastAsia" w:cs="Times New Roman"/>
                <w:color w:val="auto"/>
                <w:sz w:val="24"/>
                <w:szCs w:val="24"/>
              </w:rPr>
              <w:t>；</w:t>
            </w:r>
            <w:r>
              <w:rPr>
                <w:rFonts w:hint="eastAsia"/>
                <w:color w:val="auto"/>
                <w:sz w:val="24"/>
                <w:szCs w:val="24"/>
              </w:rPr>
              <w:t>薛行污水处理厂</w:t>
            </w:r>
            <w:r>
              <w:rPr>
                <w:rFonts w:cs="Times New Roman"/>
                <w:color w:val="auto"/>
                <w:sz w:val="24"/>
                <w:szCs w:val="24"/>
              </w:rPr>
              <w:t>尾水排放标准执行</w:t>
            </w:r>
            <w:r>
              <w:rPr>
                <w:rFonts w:hint="eastAsia" w:cs="Times New Roman"/>
                <w:color w:val="auto"/>
                <w:sz w:val="24"/>
                <w:szCs w:val="24"/>
              </w:rPr>
              <w:t>《化学工业水污染物排放标准》（DB32/939-2020）中表2化工集中区废水处理厂主要水污染物排放限值及表4有机特征污染物排放限值。</w:t>
            </w:r>
            <w:r>
              <w:rPr>
                <w:rFonts w:hint="eastAsia" w:cs="Times New Roman"/>
                <w:color w:val="auto"/>
                <w:sz w:val="24"/>
                <w:szCs w:val="24"/>
                <w:lang w:eastAsia="zh-CN"/>
              </w:rPr>
              <w:t>厂区</w:t>
            </w:r>
            <w:r>
              <w:rPr>
                <w:rFonts w:hint="eastAsia" w:cs="Times New Roman"/>
                <w:color w:val="auto"/>
                <w:sz w:val="24"/>
                <w:szCs w:val="24"/>
              </w:rPr>
              <w:t>废水接管标准及尾水排放标准如下。</w:t>
            </w:r>
          </w:p>
          <w:p w14:paraId="47FCAA32">
            <w:pPr>
              <w:ind w:firstLine="480"/>
              <w:jc w:val="center"/>
              <w:rPr>
                <w:rFonts w:cs="Times New Roman"/>
                <w:color w:val="auto"/>
              </w:rPr>
            </w:pPr>
            <w:r>
              <w:rPr>
                <w:rFonts w:cs="Times New Roman"/>
                <w:b/>
                <w:bCs/>
                <w:color w:val="auto"/>
                <w:sz w:val="24"/>
                <w:szCs w:val="24"/>
              </w:rPr>
              <w:t>表</w:t>
            </w:r>
            <w:r>
              <w:rPr>
                <w:rFonts w:hint="eastAsia" w:cs="Times New Roman"/>
                <w:b/>
                <w:bCs/>
                <w:color w:val="auto"/>
                <w:sz w:val="24"/>
                <w:szCs w:val="24"/>
                <w:lang w:val="en-US" w:eastAsia="zh-CN"/>
              </w:rPr>
              <w:t>3-2</w:t>
            </w:r>
            <w:r>
              <w:rPr>
                <w:rFonts w:cs="Times New Roman"/>
                <w:b/>
                <w:bCs/>
                <w:color w:val="auto"/>
                <w:sz w:val="24"/>
                <w:szCs w:val="24"/>
              </w:rPr>
              <w:t xml:space="preserve">  废水污染物排放标准主要指标表</w:t>
            </w:r>
          </w:p>
          <w:tbl>
            <w:tblPr>
              <w:tblStyle w:val="88"/>
              <w:tblW w:w="4998"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811"/>
              <w:gridCol w:w="1812"/>
              <w:gridCol w:w="2366"/>
              <w:gridCol w:w="2398"/>
            </w:tblGrid>
            <w:tr w14:paraId="6A98EF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1080" w:type="pct"/>
                  <w:vMerge w:val="restart"/>
                  <w:tcBorders>
                    <w:tl2br w:val="nil"/>
                    <w:tr2bl w:val="nil"/>
                  </w:tcBorders>
                  <w:tcMar>
                    <w:top w:w="0" w:type="dxa"/>
                    <w:left w:w="28" w:type="dxa"/>
                    <w:bottom w:w="0" w:type="dxa"/>
                    <w:right w:w="28" w:type="dxa"/>
                  </w:tcMar>
                  <w:vAlign w:val="center"/>
                </w:tcPr>
                <w:p w14:paraId="20806775">
                  <w:pPr>
                    <w:pStyle w:val="194"/>
                    <w:adjustRightInd w:val="0"/>
                    <w:snapToGrid w:val="0"/>
                    <w:rPr>
                      <w:rFonts w:cs="Times New Roman"/>
                      <w:color w:val="auto"/>
                    </w:rPr>
                  </w:pPr>
                  <w:r>
                    <w:rPr>
                      <w:rFonts w:hint="eastAsia" w:cs="Times New Roman"/>
                      <w:color w:val="auto"/>
                    </w:rPr>
                    <w:t>污染物</w:t>
                  </w:r>
                </w:p>
              </w:tc>
              <w:tc>
                <w:tcPr>
                  <w:tcW w:w="1080" w:type="pct"/>
                  <w:vMerge w:val="restart"/>
                  <w:tcBorders>
                    <w:tl2br w:val="nil"/>
                    <w:tr2bl w:val="nil"/>
                  </w:tcBorders>
                  <w:tcMar>
                    <w:top w:w="0" w:type="dxa"/>
                    <w:left w:w="28" w:type="dxa"/>
                    <w:bottom w:w="0" w:type="dxa"/>
                    <w:right w:w="28" w:type="dxa"/>
                  </w:tcMar>
                  <w:vAlign w:val="center"/>
                </w:tcPr>
                <w:p w14:paraId="20669E6C">
                  <w:pPr>
                    <w:pStyle w:val="194"/>
                    <w:adjustRightInd w:val="0"/>
                    <w:snapToGrid w:val="0"/>
                    <w:rPr>
                      <w:rFonts w:cs="Times New Roman"/>
                      <w:color w:val="auto"/>
                    </w:rPr>
                  </w:pPr>
                  <w:r>
                    <w:rPr>
                      <w:rFonts w:hint="eastAsia" w:cs="Times New Roman"/>
                      <w:color w:val="auto"/>
                    </w:rPr>
                    <w:t>单位</w:t>
                  </w:r>
                </w:p>
              </w:tc>
              <w:tc>
                <w:tcPr>
                  <w:tcW w:w="2839" w:type="pct"/>
                  <w:gridSpan w:val="2"/>
                  <w:tcBorders>
                    <w:tl2br w:val="nil"/>
                    <w:tr2bl w:val="nil"/>
                  </w:tcBorders>
                  <w:tcMar>
                    <w:top w:w="0" w:type="dxa"/>
                    <w:left w:w="28" w:type="dxa"/>
                    <w:bottom w:w="0" w:type="dxa"/>
                    <w:right w:w="28" w:type="dxa"/>
                  </w:tcMar>
                  <w:vAlign w:val="center"/>
                </w:tcPr>
                <w:p w14:paraId="1AFA1F63">
                  <w:pPr>
                    <w:pStyle w:val="194"/>
                    <w:adjustRightInd w:val="0"/>
                    <w:snapToGrid w:val="0"/>
                    <w:rPr>
                      <w:rFonts w:cs="Times New Roman"/>
                      <w:color w:val="auto"/>
                    </w:rPr>
                  </w:pPr>
                  <w:r>
                    <w:rPr>
                      <w:rFonts w:cs="Times New Roman"/>
                      <w:color w:val="auto"/>
                    </w:rPr>
                    <w:t>薛行污水处理厂</w:t>
                  </w:r>
                </w:p>
              </w:tc>
            </w:tr>
            <w:tr w14:paraId="330E80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1080" w:type="pct"/>
                  <w:vMerge w:val="continue"/>
                  <w:tcBorders>
                    <w:tl2br w:val="nil"/>
                    <w:tr2bl w:val="nil"/>
                  </w:tcBorders>
                  <w:tcMar>
                    <w:top w:w="0" w:type="dxa"/>
                    <w:left w:w="28" w:type="dxa"/>
                    <w:bottom w:w="0" w:type="dxa"/>
                    <w:right w:w="28" w:type="dxa"/>
                  </w:tcMar>
                  <w:vAlign w:val="center"/>
                </w:tcPr>
                <w:p w14:paraId="235C6940">
                  <w:pPr>
                    <w:pStyle w:val="194"/>
                    <w:adjustRightInd w:val="0"/>
                    <w:snapToGrid w:val="0"/>
                    <w:rPr>
                      <w:rFonts w:cs="Times New Roman"/>
                      <w:color w:val="auto"/>
                    </w:rPr>
                  </w:pPr>
                </w:p>
              </w:tc>
              <w:tc>
                <w:tcPr>
                  <w:tcW w:w="1080" w:type="pct"/>
                  <w:vMerge w:val="continue"/>
                  <w:tcBorders>
                    <w:tl2br w:val="nil"/>
                    <w:tr2bl w:val="nil"/>
                  </w:tcBorders>
                  <w:tcMar>
                    <w:top w:w="0" w:type="dxa"/>
                    <w:left w:w="28" w:type="dxa"/>
                    <w:bottom w:w="0" w:type="dxa"/>
                    <w:right w:w="28" w:type="dxa"/>
                  </w:tcMar>
                  <w:vAlign w:val="center"/>
                </w:tcPr>
                <w:p w14:paraId="111F86C1">
                  <w:pPr>
                    <w:pStyle w:val="194"/>
                    <w:adjustRightInd w:val="0"/>
                    <w:snapToGrid w:val="0"/>
                    <w:rPr>
                      <w:rFonts w:cs="Times New Roman"/>
                      <w:color w:val="auto"/>
                    </w:rPr>
                  </w:pPr>
                </w:p>
              </w:tc>
              <w:tc>
                <w:tcPr>
                  <w:tcW w:w="1410" w:type="pct"/>
                  <w:tcBorders>
                    <w:tl2br w:val="nil"/>
                    <w:tr2bl w:val="nil"/>
                  </w:tcBorders>
                  <w:tcMar>
                    <w:top w:w="0" w:type="dxa"/>
                    <w:left w:w="28" w:type="dxa"/>
                    <w:bottom w:w="0" w:type="dxa"/>
                    <w:right w:w="28" w:type="dxa"/>
                  </w:tcMar>
                  <w:vAlign w:val="center"/>
                </w:tcPr>
                <w:p w14:paraId="491D460E">
                  <w:pPr>
                    <w:pStyle w:val="194"/>
                    <w:adjustRightInd w:val="0"/>
                    <w:snapToGrid w:val="0"/>
                    <w:rPr>
                      <w:rFonts w:cs="Times New Roman"/>
                      <w:color w:val="auto"/>
                    </w:rPr>
                  </w:pPr>
                  <w:r>
                    <w:rPr>
                      <w:rFonts w:cs="Times New Roman"/>
                      <w:color w:val="auto"/>
                    </w:rPr>
                    <w:t>接管标准</w:t>
                  </w:r>
                </w:p>
              </w:tc>
              <w:tc>
                <w:tcPr>
                  <w:tcW w:w="1428" w:type="pct"/>
                  <w:tcBorders>
                    <w:tl2br w:val="nil"/>
                    <w:tr2bl w:val="nil"/>
                  </w:tcBorders>
                  <w:tcMar>
                    <w:top w:w="0" w:type="dxa"/>
                    <w:left w:w="28" w:type="dxa"/>
                    <w:bottom w:w="0" w:type="dxa"/>
                    <w:right w:w="28" w:type="dxa"/>
                  </w:tcMar>
                  <w:vAlign w:val="center"/>
                </w:tcPr>
                <w:p w14:paraId="76427B43">
                  <w:pPr>
                    <w:pStyle w:val="194"/>
                    <w:adjustRightInd w:val="0"/>
                    <w:snapToGrid w:val="0"/>
                    <w:rPr>
                      <w:rFonts w:cs="Times New Roman"/>
                      <w:color w:val="auto"/>
                    </w:rPr>
                  </w:pPr>
                  <w:r>
                    <w:rPr>
                      <w:rFonts w:cs="Times New Roman"/>
                      <w:color w:val="auto"/>
                    </w:rPr>
                    <w:t>排放标准</w:t>
                  </w:r>
                </w:p>
              </w:tc>
            </w:tr>
            <w:tr w14:paraId="2944B6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1080" w:type="pct"/>
                  <w:tcBorders>
                    <w:tl2br w:val="nil"/>
                    <w:tr2bl w:val="nil"/>
                  </w:tcBorders>
                  <w:tcMar>
                    <w:top w:w="0" w:type="dxa"/>
                    <w:left w:w="28" w:type="dxa"/>
                    <w:bottom w:w="0" w:type="dxa"/>
                    <w:right w:w="28" w:type="dxa"/>
                  </w:tcMar>
                  <w:vAlign w:val="center"/>
                </w:tcPr>
                <w:p w14:paraId="4B87B9AF">
                  <w:pPr>
                    <w:pStyle w:val="194"/>
                    <w:adjustRightInd w:val="0"/>
                    <w:snapToGrid w:val="0"/>
                    <w:rPr>
                      <w:rFonts w:cs="Times New Roman"/>
                      <w:color w:val="auto"/>
                    </w:rPr>
                  </w:pPr>
                  <w:r>
                    <w:rPr>
                      <w:rFonts w:hint="eastAsia" w:cs="Times New Roman"/>
                      <w:color w:val="auto"/>
                    </w:rPr>
                    <w:t>pH</w:t>
                  </w:r>
                </w:p>
              </w:tc>
              <w:tc>
                <w:tcPr>
                  <w:tcW w:w="1080" w:type="pct"/>
                  <w:tcBorders>
                    <w:tl2br w:val="nil"/>
                    <w:tr2bl w:val="nil"/>
                  </w:tcBorders>
                  <w:tcMar>
                    <w:top w:w="0" w:type="dxa"/>
                    <w:left w:w="28" w:type="dxa"/>
                    <w:bottom w:w="0" w:type="dxa"/>
                    <w:right w:w="28" w:type="dxa"/>
                  </w:tcMar>
                  <w:vAlign w:val="center"/>
                </w:tcPr>
                <w:p w14:paraId="77FC7A49">
                  <w:pPr>
                    <w:pStyle w:val="194"/>
                    <w:adjustRightInd w:val="0"/>
                    <w:snapToGrid w:val="0"/>
                    <w:rPr>
                      <w:rFonts w:cs="Times New Roman"/>
                      <w:color w:val="auto"/>
                    </w:rPr>
                  </w:pPr>
                  <w:r>
                    <w:rPr>
                      <w:rFonts w:hint="eastAsia" w:cs="Times New Roman"/>
                      <w:color w:val="auto"/>
                    </w:rPr>
                    <w:t>无量纲</w:t>
                  </w:r>
                </w:p>
              </w:tc>
              <w:tc>
                <w:tcPr>
                  <w:tcW w:w="1410" w:type="pct"/>
                  <w:tcBorders>
                    <w:tl2br w:val="nil"/>
                    <w:tr2bl w:val="nil"/>
                  </w:tcBorders>
                  <w:tcMar>
                    <w:top w:w="0" w:type="dxa"/>
                    <w:left w:w="28" w:type="dxa"/>
                    <w:bottom w:w="0" w:type="dxa"/>
                    <w:right w:w="28" w:type="dxa"/>
                  </w:tcMar>
                  <w:vAlign w:val="center"/>
                </w:tcPr>
                <w:p w14:paraId="3603CE51">
                  <w:pPr>
                    <w:pStyle w:val="194"/>
                    <w:adjustRightInd w:val="0"/>
                    <w:snapToGrid w:val="0"/>
                    <w:rPr>
                      <w:rFonts w:cs="Times New Roman"/>
                      <w:color w:val="auto"/>
                    </w:rPr>
                  </w:pPr>
                  <w:r>
                    <w:rPr>
                      <w:rFonts w:hint="eastAsia" w:cs="Times New Roman"/>
                      <w:color w:val="auto"/>
                    </w:rPr>
                    <w:t>6~9</w:t>
                  </w:r>
                </w:p>
              </w:tc>
              <w:tc>
                <w:tcPr>
                  <w:tcW w:w="1428" w:type="pct"/>
                  <w:tcBorders>
                    <w:tl2br w:val="nil"/>
                    <w:tr2bl w:val="nil"/>
                  </w:tcBorders>
                  <w:tcMar>
                    <w:top w:w="0" w:type="dxa"/>
                    <w:left w:w="28" w:type="dxa"/>
                    <w:bottom w:w="0" w:type="dxa"/>
                    <w:right w:w="28" w:type="dxa"/>
                  </w:tcMar>
                  <w:vAlign w:val="center"/>
                </w:tcPr>
                <w:p w14:paraId="1BC64460">
                  <w:pPr>
                    <w:pStyle w:val="194"/>
                    <w:adjustRightInd w:val="0"/>
                    <w:snapToGrid w:val="0"/>
                    <w:rPr>
                      <w:rFonts w:cs="Times New Roman"/>
                      <w:color w:val="auto"/>
                    </w:rPr>
                  </w:pPr>
                  <w:r>
                    <w:rPr>
                      <w:rFonts w:hint="eastAsia" w:cs="Times New Roman"/>
                      <w:color w:val="auto"/>
                    </w:rPr>
                    <w:t>6~9</w:t>
                  </w:r>
                </w:p>
              </w:tc>
            </w:tr>
            <w:tr w14:paraId="488AB1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1080" w:type="pct"/>
                  <w:tcBorders>
                    <w:tl2br w:val="nil"/>
                    <w:tr2bl w:val="nil"/>
                  </w:tcBorders>
                  <w:tcMar>
                    <w:top w:w="0" w:type="dxa"/>
                    <w:left w:w="28" w:type="dxa"/>
                    <w:bottom w:w="0" w:type="dxa"/>
                    <w:right w:w="28" w:type="dxa"/>
                  </w:tcMar>
                  <w:vAlign w:val="center"/>
                </w:tcPr>
                <w:p w14:paraId="3D0B6FD6">
                  <w:pPr>
                    <w:pStyle w:val="194"/>
                    <w:adjustRightInd w:val="0"/>
                    <w:snapToGrid w:val="0"/>
                    <w:rPr>
                      <w:rFonts w:cs="Times New Roman"/>
                      <w:color w:val="auto"/>
                    </w:rPr>
                  </w:pPr>
                  <w:r>
                    <w:rPr>
                      <w:rFonts w:hint="eastAsia" w:cs="Times New Roman"/>
                      <w:color w:val="auto"/>
                    </w:rPr>
                    <w:t>COD</w:t>
                  </w:r>
                </w:p>
              </w:tc>
              <w:tc>
                <w:tcPr>
                  <w:tcW w:w="1080" w:type="pct"/>
                  <w:tcBorders>
                    <w:tl2br w:val="nil"/>
                    <w:tr2bl w:val="nil"/>
                  </w:tcBorders>
                  <w:tcMar>
                    <w:top w:w="0" w:type="dxa"/>
                    <w:left w:w="28" w:type="dxa"/>
                    <w:bottom w:w="0" w:type="dxa"/>
                    <w:right w:w="28" w:type="dxa"/>
                  </w:tcMar>
                  <w:vAlign w:val="center"/>
                </w:tcPr>
                <w:p w14:paraId="5E945B3E">
                  <w:pPr>
                    <w:pStyle w:val="194"/>
                    <w:adjustRightInd w:val="0"/>
                    <w:snapToGrid w:val="0"/>
                    <w:rPr>
                      <w:rFonts w:cs="Times New Roman"/>
                      <w:color w:val="auto"/>
                    </w:rPr>
                  </w:pPr>
                  <w:r>
                    <w:rPr>
                      <w:rFonts w:hint="eastAsia" w:cs="Times New Roman"/>
                      <w:color w:val="auto"/>
                    </w:rPr>
                    <w:t>mg/L</w:t>
                  </w:r>
                </w:p>
              </w:tc>
              <w:tc>
                <w:tcPr>
                  <w:tcW w:w="1410" w:type="pct"/>
                  <w:tcBorders>
                    <w:tl2br w:val="nil"/>
                    <w:tr2bl w:val="nil"/>
                  </w:tcBorders>
                  <w:tcMar>
                    <w:top w:w="0" w:type="dxa"/>
                    <w:left w:w="28" w:type="dxa"/>
                    <w:bottom w:w="0" w:type="dxa"/>
                    <w:right w:w="28" w:type="dxa"/>
                  </w:tcMar>
                  <w:vAlign w:val="center"/>
                </w:tcPr>
                <w:p w14:paraId="6B112D05">
                  <w:pPr>
                    <w:pStyle w:val="194"/>
                    <w:adjustRightInd w:val="0"/>
                    <w:snapToGrid w:val="0"/>
                    <w:rPr>
                      <w:rFonts w:cs="Times New Roman"/>
                      <w:color w:val="auto"/>
                    </w:rPr>
                  </w:pPr>
                  <w:r>
                    <w:rPr>
                      <w:rFonts w:cs="Times New Roman"/>
                      <w:color w:val="auto"/>
                    </w:rPr>
                    <w:t>≤300</w:t>
                  </w:r>
                </w:p>
              </w:tc>
              <w:tc>
                <w:tcPr>
                  <w:tcW w:w="1428" w:type="pct"/>
                  <w:tcBorders>
                    <w:tl2br w:val="nil"/>
                    <w:tr2bl w:val="nil"/>
                  </w:tcBorders>
                  <w:tcMar>
                    <w:top w:w="0" w:type="dxa"/>
                    <w:left w:w="28" w:type="dxa"/>
                    <w:bottom w:w="0" w:type="dxa"/>
                    <w:right w:w="28" w:type="dxa"/>
                  </w:tcMar>
                  <w:vAlign w:val="center"/>
                </w:tcPr>
                <w:p w14:paraId="3A908880">
                  <w:pPr>
                    <w:pStyle w:val="194"/>
                    <w:adjustRightInd w:val="0"/>
                    <w:snapToGrid w:val="0"/>
                    <w:rPr>
                      <w:rFonts w:cs="Times New Roman"/>
                      <w:color w:val="auto"/>
                    </w:rPr>
                  </w:pPr>
                  <w:r>
                    <w:rPr>
                      <w:rFonts w:cs="Times New Roman"/>
                      <w:color w:val="auto"/>
                    </w:rPr>
                    <w:t>≤</w:t>
                  </w:r>
                  <w:r>
                    <w:rPr>
                      <w:rFonts w:hint="eastAsia" w:cs="Times New Roman"/>
                      <w:color w:val="auto"/>
                    </w:rPr>
                    <w:t>50</w:t>
                  </w:r>
                </w:p>
              </w:tc>
            </w:tr>
            <w:tr w14:paraId="0EFCEB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1080" w:type="pct"/>
                  <w:tcBorders>
                    <w:tl2br w:val="nil"/>
                    <w:tr2bl w:val="nil"/>
                  </w:tcBorders>
                  <w:tcMar>
                    <w:top w:w="0" w:type="dxa"/>
                    <w:left w:w="28" w:type="dxa"/>
                    <w:bottom w:w="0" w:type="dxa"/>
                    <w:right w:w="28" w:type="dxa"/>
                  </w:tcMar>
                  <w:vAlign w:val="center"/>
                </w:tcPr>
                <w:p w14:paraId="74BB21A9">
                  <w:pPr>
                    <w:pStyle w:val="194"/>
                    <w:adjustRightInd w:val="0"/>
                    <w:snapToGrid w:val="0"/>
                    <w:rPr>
                      <w:rFonts w:cs="Times New Roman"/>
                      <w:color w:val="auto"/>
                    </w:rPr>
                  </w:pPr>
                  <w:r>
                    <w:rPr>
                      <w:rFonts w:hint="eastAsia" w:cs="Times New Roman"/>
                      <w:color w:val="auto"/>
                    </w:rPr>
                    <w:t>SS</w:t>
                  </w:r>
                </w:p>
              </w:tc>
              <w:tc>
                <w:tcPr>
                  <w:tcW w:w="1080" w:type="pct"/>
                  <w:tcBorders>
                    <w:tl2br w:val="nil"/>
                    <w:tr2bl w:val="nil"/>
                  </w:tcBorders>
                  <w:tcMar>
                    <w:top w:w="0" w:type="dxa"/>
                    <w:left w:w="28" w:type="dxa"/>
                    <w:bottom w:w="0" w:type="dxa"/>
                    <w:right w:w="28" w:type="dxa"/>
                  </w:tcMar>
                  <w:vAlign w:val="center"/>
                </w:tcPr>
                <w:p w14:paraId="5C8B16D6">
                  <w:pPr>
                    <w:pStyle w:val="194"/>
                    <w:adjustRightInd w:val="0"/>
                    <w:snapToGrid w:val="0"/>
                    <w:rPr>
                      <w:rFonts w:cs="Times New Roman"/>
                      <w:color w:val="auto"/>
                    </w:rPr>
                  </w:pPr>
                  <w:r>
                    <w:rPr>
                      <w:rFonts w:hint="eastAsia" w:cs="Times New Roman"/>
                      <w:color w:val="auto"/>
                    </w:rPr>
                    <w:t>mg/L</w:t>
                  </w:r>
                </w:p>
              </w:tc>
              <w:tc>
                <w:tcPr>
                  <w:tcW w:w="1410" w:type="pct"/>
                  <w:tcBorders>
                    <w:tl2br w:val="nil"/>
                    <w:tr2bl w:val="nil"/>
                  </w:tcBorders>
                  <w:tcMar>
                    <w:top w:w="0" w:type="dxa"/>
                    <w:left w:w="28" w:type="dxa"/>
                    <w:bottom w:w="0" w:type="dxa"/>
                    <w:right w:w="28" w:type="dxa"/>
                  </w:tcMar>
                  <w:vAlign w:val="center"/>
                </w:tcPr>
                <w:p w14:paraId="6895D8CB">
                  <w:pPr>
                    <w:pStyle w:val="194"/>
                    <w:adjustRightInd w:val="0"/>
                    <w:snapToGrid w:val="0"/>
                    <w:rPr>
                      <w:rFonts w:cs="Times New Roman"/>
                      <w:color w:val="auto"/>
                    </w:rPr>
                  </w:pPr>
                  <w:r>
                    <w:rPr>
                      <w:rFonts w:hint="eastAsia" w:cs="Times New Roman"/>
                      <w:color w:val="auto"/>
                    </w:rPr>
                    <w:t>/</w:t>
                  </w:r>
                </w:p>
              </w:tc>
              <w:tc>
                <w:tcPr>
                  <w:tcW w:w="1428" w:type="pct"/>
                  <w:tcBorders>
                    <w:tl2br w:val="nil"/>
                    <w:tr2bl w:val="nil"/>
                  </w:tcBorders>
                  <w:tcMar>
                    <w:top w:w="0" w:type="dxa"/>
                    <w:left w:w="28" w:type="dxa"/>
                    <w:bottom w:w="0" w:type="dxa"/>
                    <w:right w:w="28" w:type="dxa"/>
                  </w:tcMar>
                  <w:vAlign w:val="center"/>
                </w:tcPr>
                <w:p w14:paraId="40619B56">
                  <w:pPr>
                    <w:pStyle w:val="194"/>
                    <w:adjustRightInd w:val="0"/>
                    <w:snapToGrid w:val="0"/>
                    <w:rPr>
                      <w:rFonts w:cs="Times New Roman"/>
                      <w:color w:val="auto"/>
                    </w:rPr>
                  </w:pPr>
                  <w:r>
                    <w:rPr>
                      <w:rFonts w:cs="Times New Roman"/>
                      <w:color w:val="auto"/>
                    </w:rPr>
                    <w:t>≤</w:t>
                  </w:r>
                  <w:r>
                    <w:rPr>
                      <w:rFonts w:hint="eastAsia" w:cs="Times New Roman"/>
                      <w:color w:val="auto"/>
                    </w:rPr>
                    <w:t>20</w:t>
                  </w:r>
                </w:p>
              </w:tc>
            </w:tr>
            <w:tr w14:paraId="09E0E1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1080" w:type="pct"/>
                  <w:tcBorders>
                    <w:tl2br w:val="nil"/>
                    <w:tr2bl w:val="nil"/>
                  </w:tcBorders>
                  <w:tcMar>
                    <w:top w:w="0" w:type="dxa"/>
                    <w:left w:w="28" w:type="dxa"/>
                    <w:bottom w:w="0" w:type="dxa"/>
                    <w:right w:w="28" w:type="dxa"/>
                  </w:tcMar>
                  <w:vAlign w:val="center"/>
                </w:tcPr>
                <w:p w14:paraId="5D4AA640">
                  <w:pPr>
                    <w:pStyle w:val="194"/>
                    <w:adjustRightInd w:val="0"/>
                    <w:snapToGrid w:val="0"/>
                    <w:rPr>
                      <w:rFonts w:cs="Times New Roman"/>
                      <w:color w:val="auto"/>
                    </w:rPr>
                  </w:pPr>
                  <w:r>
                    <w:rPr>
                      <w:rFonts w:hint="eastAsia" w:cs="Times New Roman"/>
                      <w:color w:val="auto"/>
                    </w:rPr>
                    <w:t>氨氮</w:t>
                  </w:r>
                </w:p>
              </w:tc>
              <w:tc>
                <w:tcPr>
                  <w:tcW w:w="1080" w:type="pct"/>
                  <w:tcBorders>
                    <w:tl2br w:val="nil"/>
                    <w:tr2bl w:val="nil"/>
                  </w:tcBorders>
                  <w:tcMar>
                    <w:top w:w="0" w:type="dxa"/>
                    <w:left w:w="28" w:type="dxa"/>
                    <w:bottom w:w="0" w:type="dxa"/>
                    <w:right w:w="28" w:type="dxa"/>
                  </w:tcMar>
                  <w:vAlign w:val="center"/>
                </w:tcPr>
                <w:p w14:paraId="45C66265">
                  <w:pPr>
                    <w:pStyle w:val="194"/>
                    <w:adjustRightInd w:val="0"/>
                    <w:snapToGrid w:val="0"/>
                    <w:rPr>
                      <w:rFonts w:cs="Times New Roman"/>
                      <w:color w:val="auto"/>
                    </w:rPr>
                  </w:pPr>
                  <w:r>
                    <w:rPr>
                      <w:rFonts w:hint="eastAsia" w:cs="Times New Roman"/>
                      <w:color w:val="auto"/>
                    </w:rPr>
                    <w:t>mg/L</w:t>
                  </w:r>
                </w:p>
              </w:tc>
              <w:tc>
                <w:tcPr>
                  <w:tcW w:w="1410" w:type="pct"/>
                  <w:tcBorders>
                    <w:tl2br w:val="nil"/>
                    <w:tr2bl w:val="nil"/>
                  </w:tcBorders>
                  <w:tcMar>
                    <w:top w:w="0" w:type="dxa"/>
                    <w:left w:w="28" w:type="dxa"/>
                    <w:bottom w:w="0" w:type="dxa"/>
                    <w:right w:w="28" w:type="dxa"/>
                  </w:tcMar>
                  <w:vAlign w:val="center"/>
                </w:tcPr>
                <w:p w14:paraId="434B2816">
                  <w:pPr>
                    <w:pStyle w:val="194"/>
                    <w:adjustRightInd w:val="0"/>
                    <w:snapToGrid w:val="0"/>
                    <w:rPr>
                      <w:rFonts w:cs="Times New Roman"/>
                      <w:color w:val="auto"/>
                    </w:rPr>
                  </w:pPr>
                  <w:r>
                    <w:rPr>
                      <w:rFonts w:cs="Times New Roman"/>
                      <w:color w:val="auto"/>
                    </w:rPr>
                    <w:t>≤30</w:t>
                  </w:r>
                </w:p>
              </w:tc>
              <w:tc>
                <w:tcPr>
                  <w:tcW w:w="1428" w:type="pct"/>
                  <w:tcBorders>
                    <w:tl2br w:val="nil"/>
                    <w:tr2bl w:val="nil"/>
                  </w:tcBorders>
                  <w:tcMar>
                    <w:top w:w="0" w:type="dxa"/>
                    <w:left w:w="28" w:type="dxa"/>
                    <w:bottom w:w="0" w:type="dxa"/>
                    <w:right w:w="28" w:type="dxa"/>
                  </w:tcMar>
                  <w:vAlign w:val="center"/>
                </w:tcPr>
                <w:p w14:paraId="72F1400C">
                  <w:pPr>
                    <w:pStyle w:val="194"/>
                    <w:adjustRightInd w:val="0"/>
                    <w:snapToGrid w:val="0"/>
                    <w:rPr>
                      <w:rFonts w:cs="Times New Roman"/>
                      <w:color w:val="auto"/>
                    </w:rPr>
                  </w:pPr>
                  <w:r>
                    <w:rPr>
                      <w:rFonts w:cs="Times New Roman"/>
                      <w:color w:val="auto"/>
                    </w:rPr>
                    <w:t>≤5</w:t>
                  </w:r>
                  <w:r>
                    <w:rPr>
                      <w:rFonts w:hint="eastAsia" w:cs="Times New Roman"/>
                      <w:color w:val="auto"/>
                      <w:lang w:eastAsia="zh-CN"/>
                    </w:rPr>
                    <w:t>(</w:t>
                  </w:r>
                  <w:r>
                    <w:rPr>
                      <w:rFonts w:cs="Times New Roman"/>
                      <w:color w:val="auto"/>
                    </w:rPr>
                    <w:t>8</w:t>
                  </w:r>
                  <w:r>
                    <w:rPr>
                      <w:rFonts w:hint="eastAsia" w:cs="Times New Roman"/>
                      <w:color w:val="auto"/>
                      <w:lang w:eastAsia="zh-CN"/>
                    </w:rPr>
                    <w:t>)</w:t>
                  </w:r>
                  <w:r>
                    <w:rPr>
                      <w:rFonts w:cs="Times New Roman"/>
                      <w:color w:val="auto"/>
                    </w:rPr>
                    <w:t>*</w:t>
                  </w:r>
                </w:p>
              </w:tc>
            </w:tr>
            <w:tr w14:paraId="391F64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1080" w:type="pct"/>
                  <w:tcBorders>
                    <w:tl2br w:val="nil"/>
                    <w:tr2bl w:val="nil"/>
                  </w:tcBorders>
                  <w:tcMar>
                    <w:top w:w="0" w:type="dxa"/>
                    <w:left w:w="28" w:type="dxa"/>
                    <w:bottom w:w="0" w:type="dxa"/>
                    <w:right w:w="28" w:type="dxa"/>
                  </w:tcMar>
                  <w:vAlign w:val="center"/>
                </w:tcPr>
                <w:p w14:paraId="0262E337">
                  <w:pPr>
                    <w:pStyle w:val="194"/>
                    <w:adjustRightInd w:val="0"/>
                    <w:snapToGrid w:val="0"/>
                    <w:rPr>
                      <w:rFonts w:cs="Times New Roman"/>
                      <w:color w:val="auto"/>
                    </w:rPr>
                  </w:pPr>
                  <w:r>
                    <w:rPr>
                      <w:rFonts w:hint="eastAsia" w:cs="Times New Roman"/>
                      <w:color w:val="auto"/>
                    </w:rPr>
                    <w:t>总氮</w:t>
                  </w:r>
                </w:p>
              </w:tc>
              <w:tc>
                <w:tcPr>
                  <w:tcW w:w="1080" w:type="pct"/>
                  <w:tcBorders>
                    <w:tl2br w:val="nil"/>
                    <w:tr2bl w:val="nil"/>
                  </w:tcBorders>
                  <w:tcMar>
                    <w:top w:w="0" w:type="dxa"/>
                    <w:left w:w="28" w:type="dxa"/>
                    <w:bottom w:w="0" w:type="dxa"/>
                    <w:right w:w="28" w:type="dxa"/>
                  </w:tcMar>
                  <w:vAlign w:val="center"/>
                </w:tcPr>
                <w:p w14:paraId="7AE09D4C">
                  <w:pPr>
                    <w:pStyle w:val="194"/>
                    <w:adjustRightInd w:val="0"/>
                    <w:snapToGrid w:val="0"/>
                    <w:rPr>
                      <w:rFonts w:cs="Times New Roman"/>
                      <w:color w:val="auto"/>
                    </w:rPr>
                  </w:pPr>
                  <w:r>
                    <w:rPr>
                      <w:rFonts w:hint="eastAsia" w:cs="Times New Roman"/>
                      <w:color w:val="auto"/>
                    </w:rPr>
                    <w:t>mg/L</w:t>
                  </w:r>
                </w:p>
              </w:tc>
              <w:tc>
                <w:tcPr>
                  <w:tcW w:w="1410" w:type="pct"/>
                  <w:tcBorders>
                    <w:tl2br w:val="nil"/>
                    <w:tr2bl w:val="nil"/>
                  </w:tcBorders>
                  <w:tcMar>
                    <w:top w:w="0" w:type="dxa"/>
                    <w:left w:w="28" w:type="dxa"/>
                    <w:bottom w:w="0" w:type="dxa"/>
                    <w:right w:w="28" w:type="dxa"/>
                  </w:tcMar>
                  <w:vAlign w:val="center"/>
                </w:tcPr>
                <w:p w14:paraId="16432B2D">
                  <w:pPr>
                    <w:pStyle w:val="194"/>
                    <w:adjustRightInd w:val="0"/>
                    <w:snapToGrid w:val="0"/>
                    <w:rPr>
                      <w:rFonts w:cs="Times New Roman"/>
                      <w:color w:val="auto"/>
                    </w:rPr>
                  </w:pPr>
                  <w:r>
                    <w:rPr>
                      <w:rFonts w:cs="Times New Roman"/>
                      <w:color w:val="auto"/>
                    </w:rPr>
                    <w:t>≤</w:t>
                  </w:r>
                  <w:r>
                    <w:rPr>
                      <w:rFonts w:hint="eastAsia" w:cs="Times New Roman"/>
                      <w:color w:val="auto"/>
                    </w:rPr>
                    <w:t>40</w:t>
                  </w:r>
                </w:p>
              </w:tc>
              <w:tc>
                <w:tcPr>
                  <w:tcW w:w="1428" w:type="pct"/>
                  <w:tcBorders>
                    <w:tl2br w:val="nil"/>
                    <w:tr2bl w:val="nil"/>
                  </w:tcBorders>
                  <w:tcMar>
                    <w:top w:w="0" w:type="dxa"/>
                    <w:left w:w="28" w:type="dxa"/>
                    <w:bottom w:w="0" w:type="dxa"/>
                    <w:right w:w="28" w:type="dxa"/>
                  </w:tcMar>
                  <w:vAlign w:val="center"/>
                </w:tcPr>
                <w:p w14:paraId="26530401">
                  <w:pPr>
                    <w:pStyle w:val="194"/>
                    <w:adjustRightInd w:val="0"/>
                    <w:snapToGrid w:val="0"/>
                    <w:rPr>
                      <w:rFonts w:cs="Times New Roman"/>
                      <w:color w:val="auto"/>
                    </w:rPr>
                  </w:pPr>
                  <w:r>
                    <w:rPr>
                      <w:rFonts w:cs="Times New Roman"/>
                      <w:color w:val="auto"/>
                    </w:rPr>
                    <w:t>≤</w:t>
                  </w:r>
                  <w:r>
                    <w:rPr>
                      <w:rFonts w:hint="eastAsia" w:cs="Times New Roman"/>
                      <w:color w:val="auto"/>
                    </w:rPr>
                    <w:t>15</w:t>
                  </w:r>
                </w:p>
              </w:tc>
            </w:tr>
            <w:tr w14:paraId="3E0C1E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1080" w:type="pct"/>
                  <w:tcBorders>
                    <w:tl2br w:val="nil"/>
                    <w:tr2bl w:val="nil"/>
                  </w:tcBorders>
                  <w:tcMar>
                    <w:top w:w="0" w:type="dxa"/>
                    <w:left w:w="28" w:type="dxa"/>
                    <w:bottom w:w="0" w:type="dxa"/>
                    <w:right w:w="28" w:type="dxa"/>
                  </w:tcMar>
                  <w:vAlign w:val="center"/>
                </w:tcPr>
                <w:p w14:paraId="50FC19F8">
                  <w:pPr>
                    <w:pStyle w:val="194"/>
                    <w:adjustRightInd w:val="0"/>
                    <w:snapToGrid w:val="0"/>
                    <w:rPr>
                      <w:rFonts w:cs="Times New Roman"/>
                      <w:color w:val="auto"/>
                    </w:rPr>
                  </w:pPr>
                  <w:r>
                    <w:rPr>
                      <w:rFonts w:hint="eastAsia" w:cs="Times New Roman"/>
                      <w:color w:val="auto"/>
                    </w:rPr>
                    <w:t>总磷</w:t>
                  </w:r>
                </w:p>
              </w:tc>
              <w:tc>
                <w:tcPr>
                  <w:tcW w:w="1080" w:type="pct"/>
                  <w:tcBorders>
                    <w:tl2br w:val="nil"/>
                    <w:tr2bl w:val="nil"/>
                  </w:tcBorders>
                  <w:tcMar>
                    <w:top w:w="0" w:type="dxa"/>
                    <w:left w:w="28" w:type="dxa"/>
                    <w:bottom w:w="0" w:type="dxa"/>
                    <w:right w:w="28" w:type="dxa"/>
                  </w:tcMar>
                  <w:vAlign w:val="center"/>
                </w:tcPr>
                <w:p w14:paraId="29381BEB">
                  <w:pPr>
                    <w:pStyle w:val="194"/>
                    <w:adjustRightInd w:val="0"/>
                    <w:snapToGrid w:val="0"/>
                    <w:rPr>
                      <w:rFonts w:cs="Times New Roman"/>
                      <w:color w:val="auto"/>
                    </w:rPr>
                  </w:pPr>
                  <w:r>
                    <w:rPr>
                      <w:rFonts w:hint="eastAsia" w:cs="Times New Roman"/>
                      <w:color w:val="auto"/>
                    </w:rPr>
                    <w:t>mg/L</w:t>
                  </w:r>
                </w:p>
              </w:tc>
              <w:tc>
                <w:tcPr>
                  <w:tcW w:w="1410" w:type="pct"/>
                  <w:tcBorders>
                    <w:tl2br w:val="nil"/>
                    <w:tr2bl w:val="nil"/>
                  </w:tcBorders>
                  <w:tcMar>
                    <w:top w:w="0" w:type="dxa"/>
                    <w:left w:w="28" w:type="dxa"/>
                    <w:bottom w:w="0" w:type="dxa"/>
                    <w:right w:w="28" w:type="dxa"/>
                  </w:tcMar>
                  <w:vAlign w:val="center"/>
                </w:tcPr>
                <w:p w14:paraId="256EDB8B">
                  <w:pPr>
                    <w:pStyle w:val="194"/>
                    <w:adjustRightInd w:val="0"/>
                    <w:snapToGrid w:val="0"/>
                    <w:rPr>
                      <w:rFonts w:cs="Times New Roman"/>
                      <w:color w:val="auto"/>
                    </w:rPr>
                  </w:pPr>
                  <w:r>
                    <w:rPr>
                      <w:rFonts w:cs="Times New Roman"/>
                      <w:color w:val="auto"/>
                    </w:rPr>
                    <w:t>≤3</w:t>
                  </w:r>
                </w:p>
              </w:tc>
              <w:tc>
                <w:tcPr>
                  <w:tcW w:w="1428" w:type="pct"/>
                  <w:tcBorders>
                    <w:tl2br w:val="nil"/>
                    <w:tr2bl w:val="nil"/>
                  </w:tcBorders>
                  <w:tcMar>
                    <w:top w:w="0" w:type="dxa"/>
                    <w:left w:w="28" w:type="dxa"/>
                    <w:bottom w:w="0" w:type="dxa"/>
                    <w:right w:w="28" w:type="dxa"/>
                  </w:tcMar>
                  <w:vAlign w:val="center"/>
                </w:tcPr>
                <w:p w14:paraId="249CF2A0">
                  <w:pPr>
                    <w:pStyle w:val="194"/>
                    <w:adjustRightInd w:val="0"/>
                    <w:snapToGrid w:val="0"/>
                    <w:rPr>
                      <w:rFonts w:cs="Times New Roman"/>
                      <w:color w:val="auto"/>
                    </w:rPr>
                  </w:pPr>
                  <w:r>
                    <w:rPr>
                      <w:rFonts w:cs="Times New Roman"/>
                      <w:color w:val="auto"/>
                    </w:rPr>
                    <w:t>≤</w:t>
                  </w:r>
                  <w:r>
                    <w:rPr>
                      <w:rFonts w:hint="eastAsia" w:cs="Times New Roman"/>
                      <w:color w:val="auto"/>
                    </w:rPr>
                    <w:t>0.5</w:t>
                  </w:r>
                </w:p>
              </w:tc>
            </w:tr>
            <w:tr w14:paraId="1F5594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1080" w:type="pct"/>
                  <w:tcBorders>
                    <w:tl2br w:val="nil"/>
                    <w:tr2bl w:val="nil"/>
                  </w:tcBorders>
                  <w:tcMar>
                    <w:top w:w="0" w:type="dxa"/>
                    <w:left w:w="28" w:type="dxa"/>
                    <w:bottom w:w="0" w:type="dxa"/>
                    <w:right w:w="28" w:type="dxa"/>
                  </w:tcMar>
                  <w:vAlign w:val="center"/>
                </w:tcPr>
                <w:p w14:paraId="5538DCA8">
                  <w:pPr>
                    <w:pStyle w:val="194"/>
                    <w:adjustRightInd w:val="0"/>
                    <w:snapToGrid w:val="0"/>
                    <w:rPr>
                      <w:rFonts w:cs="Times New Roman"/>
                      <w:color w:val="auto"/>
                    </w:rPr>
                  </w:pPr>
                  <w:r>
                    <w:rPr>
                      <w:rFonts w:hint="eastAsia" w:cs="Times New Roman"/>
                      <w:color w:val="auto"/>
                    </w:rPr>
                    <w:t>石油类</w:t>
                  </w:r>
                </w:p>
              </w:tc>
              <w:tc>
                <w:tcPr>
                  <w:tcW w:w="1080" w:type="pct"/>
                  <w:tcBorders>
                    <w:tl2br w:val="nil"/>
                    <w:tr2bl w:val="nil"/>
                  </w:tcBorders>
                  <w:tcMar>
                    <w:top w:w="0" w:type="dxa"/>
                    <w:left w:w="28" w:type="dxa"/>
                    <w:bottom w:w="0" w:type="dxa"/>
                    <w:right w:w="28" w:type="dxa"/>
                  </w:tcMar>
                  <w:vAlign w:val="center"/>
                </w:tcPr>
                <w:p w14:paraId="0F4A992A">
                  <w:pPr>
                    <w:pStyle w:val="194"/>
                    <w:adjustRightInd w:val="0"/>
                    <w:snapToGrid w:val="0"/>
                    <w:rPr>
                      <w:rFonts w:cs="Times New Roman"/>
                      <w:color w:val="auto"/>
                    </w:rPr>
                  </w:pPr>
                  <w:r>
                    <w:rPr>
                      <w:rFonts w:hint="eastAsia" w:cs="Times New Roman"/>
                      <w:color w:val="auto"/>
                    </w:rPr>
                    <w:t>mg/L</w:t>
                  </w:r>
                </w:p>
              </w:tc>
              <w:tc>
                <w:tcPr>
                  <w:tcW w:w="1410" w:type="pct"/>
                  <w:tcBorders>
                    <w:tl2br w:val="nil"/>
                    <w:tr2bl w:val="nil"/>
                  </w:tcBorders>
                  <w:tcMar>
                    <w:top w:w="0" w:type="dxa"/>
                    <w:left w:w="28" w:type="dxa"/>
                    <w:bottom w:w="0" w:type="dxa"/>
                    <w:right w:w="28" w:type="dxa"/>
                  </w:tcMar>
                  <w:vAlign w:val="center"/>
                </w:tcPr>
                <w:p w14:paraId="61BA2F59">
                  <w:pPr>
                    <w:pStyle w:val="194"/>
                    <w:adjustRightInd w:val="0"/>
                    <w:snapToGrid w:val="0"/>
                    <w:rPr>
                      <w:rFonts w:cs="Times New Roman"/>
                      <w:color w:val="auto"/>
                    </w:rPr>
                  </w:pPr>
                  <w:r>
                    <w:rPr>
                      <w:rFonts w:cs="Times New Roman"/>
                      <w:color w:val="auto"/>
                    </w:rPr>
                    <w:t>≤</w:t>
                  </w:r>
                  <w:r>
                    <w:rPr>
                      <w:rFonts w:hint="eastAsia" w:cs="Times New Roman"/>
                      <w:color w:val="auto"/>
                    </w:rPr>
                    <w:t>20</w:t>
                  </w:r>
                </w:p>
              </w:tc>
              <w:tc>
                <w:tcPr>
                  <w:tcW w:w="1428" w:type="pct"/>
                  <w:tcBorders>
                    <w:tl2br w:val="nil"/>
                    <w:tr2bl w:val="nil"/>
                  </w:tcBorders>
                  <w:tcMar>
                    <w:top w:w="0" w:type="dxa"/>
                    <w:left w:w="28" w:type="dxa"/>
                    <w:bottom w:w="0" w:type="dxa"/>
                    <w:right w:w="28" w:type="dxa"/>
                  </w:tcMar>
                  <w:vAlign w:val="center"/>
                </w:tcPr>
                <w:p w14:paraId="4ECC2D39">
                  <w:pPr>
                    <w:pStyle w:val="194"/>
                    <w:adjustRightInd w:val="0"/>
                    <w:snapToGrid w:val="0"/>
                    <w:rPr>
                      <w:rFonts w:cs="Times New Roman"/>
                      <w:color w:val="auto"/>
                    </w:rPr>
                  </w:pPr>
                  <w:r>
                    <w:rPr>
                      <w:rFonts w:cs="Times New Roman"/>
                      <w:color w:val="auto"/>
                    </w:rPr>
                    <w:t>≤</w:t>
                  </w:r>
                  <w:r>
                    <w:rPr>
                      <w:rFonts w:hint="eastAsia" w:cs="Times New Roman"/>
                      <w:color w:val="auto"/>
                    </w:rPr>
                    <w:t>3</w:t>
                  </w:r>
                </w:p>
              </w:tc>
            </w:tr>
            <w:tr w14:paraId="6A2EFC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Pr>
              <w:tc>
                <w:tcPr>
                  <w:tcW w:w="1080" w:type="pct"/>
                  <w:tcBorders>
                    <w:tl2br w:val="nil"/>
                    <w:tr2bl w:val="nil"/>
                  </w:tcBorders>
                  <w:tcMar>
                    <w:top w:w="0" w:type="dxa"/>
                    <w:left w:w="28" w:type="dxa"/>
                    <w:bottom w:w="0" w:type="dxa"/>
                    <w:right w:w="28" w:type="dxa"/>
                  </w:tcMar>
                  <w:vAlign w:val="center"/>
                </w:tcPr>
                <w:p w14:paraId="07D5B39F">
                  <w:pPr>
                    <w:pStyle w:val="194"/>
                    <w:adjustRightInd w:val="0"/>
                    <w:snapToGrid w:val="0"/>
                    <w:rPr>
                      <w:rFonts w:cs="Times New Roman"/>
                      <w:color w:val="auto"/>
                    </w:rPr>
                  </w:pPr>
                  <w:r>
                    <w:rPr>
                      <w:rFonts w:hint="eastAsia" w:cs="Times New Roman"/>
                      <w:color w:val="auto"/>
                    </w:rPr>
                    <w:t>盐分</w:t>
                  </w:r>
                </w:p>
              </w:tc>
              <w:tc>
                <w:tcPr>
                  <w:tcW w:w="1080" w:type="pct"/>
                  <w:tcBorders>
                    <w:tl2br w:val="nil"/>
                    <w:tr2bl w:val="nil"/>
                  </w:tcBorders>
                  <w:tcMar>
                    <w:top w:w="0" w:type="dxa"/>
                    <w:left w:w="28" w:type="dxa"/>
                    <w:bottom w:w="0" w:type="dxa"/>
                    <w:right w:w="28" w:type="dxa"/>
                  </w:tcMar>
                  <w:vAlign w:val="center"/>
                </w:tcPr>
                <w:p w14:paraId="488BDB2B">
                  <w:pPr>
                    <w:pStyle w:val="194"/>
                    <w:adjustRightInd w:val="0"/>
                    <w:snapToGrid w:val="0"/>
                    <w:rPr>
                      <w:rFonts w:cs="Times New Roman"/>
                      <w:color w:val="auto"/>
                    </w:rPr>
                  </w:pPr>
                  <w:r>
                    <w:rPr>
                      <w:rFonts w:hint="eastAsia" w:cs="Times New Roman"/>
                      <w:color w:val="auto"/>
                    </w:rPr>
                    <w:t>mg/L</w:t>
                  </w:r>
                </w:p>
              </w:tc>
              <w:tc>
                <w:tcPr>
                  <w:tcW w:w="1410" w:type="pct"/>
                  <w:tcBorders>
                    <w:tl2br w:val="nil"/>
                    <w:tr2bl w:val="nil"/>
                  </w:tcBorders>
                  <w:tcMar>
                    <w:top w:w="0" w:type="dxa"/>
                    <w:left w:w="28" w:type="dxa"/>
                    <w:bottom w:w="0" w:type="dxa"/>
                    <w:right w:w="28" w:type="dxa"/>
                  </w:tcMar>
                  <w:vAlign w:val="center"/>
                </w:tcPr>
                <w:p w14:paraId="1289D097">
                  <w:pPr>
                    <w:pStyle w:val="194"/>
                    <w:adjustRightInd w:val="0"/>
                    <w:snapToGrid w:val="0"/>
                    <w:rPr>
                      <w:rFonts w:cs="Times New Roman"/>
                      <w:color w:val="auto"/>
                    </w:rPr>
                  </w:pPr>
                  <w:r>
                    <w:rPr>
                      <w:rFonts w:cs="Times New Roman"/>
                      <w:color w:val="auto"/>
                    </w:rPr>
                    <w:t>≤</w:t>
                  </w:r>
                  <w:r>
                    <w:rPr>
                      <w:rFonts w:hint="eastAsia" w:cs="Times New Roman"/>
                      <w:color w:val="auto"/>
                    </w:rPr>
                    <w:t>5000</w:t>
                  </w:r>
                </w:p>
              </w:tc>
              <w:tc>
                <w:tcPr>
                  <w:tcW w:w="1428" w:type="pct"/>
                  <w:tcBorders>
                    <w:tl2br w:val="nil"/>
                    <w:tr2bl w:val="nil"/>
                  </w:tcBorders>
                  <w:tcMar>
                    <w:top w:w="0" w:type="dxa"/>
                    <w:left w:w="28" w:type="dxa"/>
                    <w:bottom w:w="0" w:type="dxa"/>
                    <w:right w:w="28" w:type="dxa"/>
                  </w:tcMar>
                  <w:vAlign w:val="center"/>
                </w:tcPr>
                <w:p w14:paraId="2BD46336">
                  <w:pPr>
                    <w:pStyle w:val="194"/>
                    <w:adjustRightInd w:val="0"/>
                    <w:snapToGrid w:val="0"/>
                    <w:rPr>
                      <w:rFonts w:cs="Times New Roman"/>
                      <w:color w:val="auto"/>
                    </w:rPr>
                  </w:pPr>
                  <w:r>
                    <w:rPr>
                      <w:rFonts w:cs="Times New Roman"/>
                      <w:color w:val="auto"/>
                    </w:rPr>
                    <w:t>≤</w:t>
                  </w:r>
                  <w:r>
                    <w:rPr>
                      <w:rFonts w:hint="eastAsia" w:cs="Times New Roman"/>
                      <w:color w:val="auto"/>
                    </w:rPr>
                    <w:t>10000</w:t>
                  </w:r>
                </w:p>
              </w:tc>
            </w:tr>
          </w:tbl>
          <w:p w14:paraId="10B6CBE8">
            <w:pPr>
              <w:wordWrap w:val="0"/>
              <w:adjustRightInd w:val="0"/>
              <w:snapToGrid w:val="0"/>
              <w:spacing w:line="360" w:lineRule="auto"/>
              <w:ind w:firstLine="420" w:firstLineChars="200"/>
              <w:rPr>
                <w:rFonts w:eastAsiaTheme="minorEastAsia"/>
                <w:color w:val="auto"/>
                <w:sz w:val="18"/>
                <w:szCs w:val="18"/>
              </w:rPr>
            </w:pPr>
            <w:r>
              <w:rPr>
                <w:rFonts w:cs="Times New Roman"/>
                <w:color w:val="auto"/>
                <w:sz w:val="21"/>
                <w:szCs w:val="21"/>
              </w:rPr>
              <w:t>注：*括号外数值为水温＞12℃时的控制指标，括号内数值为水温≤12℃时的控制指标。</w:t>
            </w:r>
          </w:p>
          <w:p w14:paraId="696E0BE9">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b/>
                <w:color w:val="auto"/>
                <w:sz w:val="24"/>
              </w:rPr>
            </w:pPr>
            <w:r>
              <w:rPr>
                <w:b/>
                <w:color w:val="auto"/>
                <w:sz w:val="24"/>
              </w:rPr>
              <w:t>2.大气污染物排放标准</w:t>
            </w:r>
          </w:p>
          <w:p w14:paraId="6E9E5EEB">
            <w:pPr>
              <w:autoSpaceDE w:val="0"/>
              <w:autoSpaceDN w:val="0"/>
              <w:adjustRightInd w:val="0"/>
              <w:snapToGrid w:val="0"/>
              <w:spacing w:line="360" w:lineRule="auto"/>
              <w:ind w:firstLine="480" w:firstLineChars="200"/>
              <w:jc w:val="both"/>
              <w:rPr>
                <w:rFonts w:hint="eastAsia"/>
                <w:bCs/>
                <w:color w:val="auto"/>
                <w:sz w:val="24"/>
                <w:lang w:val="en-US" w:eastAsia="zh-CN"/>
              </w:rPr>
            </w:pPr>
            <w:r>
              <w:rPr>
                <w:rFonts w:hint="eastAsia"/>
                <w:bCs/>
                <w:color w:val="auto"/>
                <w:sz w:val="24"/>
                <w:lang w:eastAsia="zh-CN"/>
              </w:rPr>
              <w:t>项目液氯储罐为全压储罐，采用高压密封工艺，储罐装</w:t>
            </w:r>
            <w:r>
              <w:rPr>
                <w:rFonts w:hint="eastAsia"/>
                <w:bCs/>
                <w:color w:val="auto"/>
                <w:sz w:val="24"/>
              </w:rPr>
              <w:t>有安全阀，可以阻止因沸腾</w:t>
            </w:r>
            <w:r>
              <w:rPr>
                <w:rFonts w:hint="eastAsia"/>
                <w:bCs/>
                <w:color w:val="auto"/>
                <w:sz w:val="24"/>
                <w:lang w:eastAsia="zh-CN"/>
              </w:rPr>
              <w:t>引起</w:t>
            </w:r>
            <w:r>
              <w:rPr>
                <w:rFonts w:hint="eastAsia"/>
                <w:bCs/>
                <w:color w:val="auto"/>
                <w:sz w:val="24"/>
              </w:rPr>
              <w:t>的外排损失以及因</w:t>
            </w:r>
            <w:r>
              <w:rPr>
                <w:rFonts w:hint="eastAsia"/>
                <w:bCs/>
                <w:color w:val="auto"/>
                <w:sz w:val="24"/>
                <w:lang w:eastAsia="zh-CN"/>
              </w:rPr>
              <w:t>昼夜温</w:t>
            </w:r>
            <w:r>
              <w:rPr>
                <w:rFonts w:hint="eastAsia"/>
                <w:bCs/>
                <w:color w:val="auto"/>
                <w:sz w:val="24"/>
              </w:rPr>
              <w:t>差和气压变化引起的呼吸损失</w:t>
            </w:r>
            <w:r>
              <w:rPr>
                <w:rFonts w:hint="eastAsia"/>
                <w:bCs/>
                <w:color w:val="auto"/>
                <w:sz w:val="24"/>
                <w:lang w:eastAsia="zh-CN"/>
              </w:rPr>
              <w:t>，</w:t>
            </w:r>
            <w:r>
              <w:rPr>
                <w:rFonts w:hint="eastAsia"/>
                <w:bCs/>
                <w:color w:val="auto"/>
                <w:sz w:val="24"/>
              </w:rPr>
              <w:t>操作中几乎没有蒸发或工作损失</w:t>
            </w:r>
            <w:r>
              <w:rPr>
                <w:rFonts w:hint="eastAsia"/>
                <w:bCs/>
                <w:color w:val="auto"/>
                <w:sz w:val="24"/>
                <w:lang w:eastAsia="zh-CN"/>
              </w:rPr>
              <w:t>，氯气产生量极少，经过一级水吸收+二级碱吸收</w:t>
            </w:r>
            <w:r>
              <w:rPr>
                <w:rFonts w:hint="eastAsia"/>
                <w:bCs/>
                <w:color w:val="auto"/>
                <w:sz w:val="24"/>
                <w:lang w:val="en-US" w:eastAsia="zh-CN"/>
              </w:rPr>
              <w:t>装置处理后通过25m排气筒（DA001）高空排放，对周围环境影响很小，本次评价不予量化分析。</w:t>
            </w:r>
          </w:p>
          <w:p w14:paraId="48FB1279">
            <w:pPr>
              <w:autoSpaceDE w:val="0"/>
              <w:autoSpaceDN w:val="0"/>
              <w:adjustRightInd w:val="0"/>
              <w:snapToGrid w:val="0"/>
              <w:spacing w:line="360" w:lineRule="auto"/>
              <w:ind w:firstLine="480" w:firstLineChars="200"/>
              <w:jc w:val="both"/>
              <w:rPr>
                <w:rFonts w:hint="eastAsia" w:eastAsia="宋体"/>
                <w:bCs/>
                <w:color w:val="auto"/>
                <w:sz w:val="24"/>
                <w:szCs w:val="24"/>
                <w:lang w:eastAsia="zh-CN"/>
              </w:rPr>
            </w:pPr>
            <w:r>
              <w:rPr>
                <w:rFonts w:hint="eastAsia"/>
                <w:bCs/>
                <w:color w:val="auto"/>
                <w:sz w:val="24"/>
                <w:lang w:eastAsia="zh-CN"/>
              </w:rPr>
              <w:t>厂区氯气排放执行江苏省地方标准《大气污染物综合排放标准》（DB32/4041-2021）表</w:t>
            </w:r>
            <w:r>
              <w:rPr>
                <w:rFonts w:hint="eastAsia"/>
                <w:bCs/>
                <w:color w:val="auto"/>
                <w:sz w:val="24"/>
                <w:lang w:val="en-US" w:eastAsia="zh-CN"/>
              </w:rPr>
              <w:t>1、表3标准限值</w:t>
            </w:r>
            <w:r>
              <w:rPr>
                <w:rFonts w:hint="eastAsia"/>
                <w:bCs/>
                <w:color w:val="auto"/>
                <w:sz w:val="24"/>
                <w:lang w:eastAsia="zh-CN"/>
              </w:rPr>
              <w:t>；</w:t>
            </w:r>
            <w:r>
              <w:rPr>
                <w:rFonts w:hint="eastAsia"/>
                <w:color w:val="auto"/>
                <w:sz w:val="24"/>
                <w:szCs w:val="24"/>
              </w:rPr>
              <w:t>厂界臭气浓度执行《恶臭污染物排放标准》（GB 14554-93）表1二级新扩改建标准值</w:t>
            </w:r>
            <w:r>
              <w:rPr>
                <w:rFonts w:hint="eastAsia"/>
                <w:color w:val="auto"/>
                <w:sz w:val="24"/>
                <w:szCs w:val="24"/>
                <w:lang w:eastAsia="zh-CN"/>
              </w:rPr>
              <w:t>。</w:t>
            </w:r>
          </w:p>
          <w:p w14:paraId="249A408A">
            <w:pPr>
              <w:adjustRightInd w:val="0"/>
              <w:snapToGrid w:val="0"/>
              <w:spacing w:line="240" w:lineRule="auto"/>
              <w:ind w:firstLine="482"/>
              <w:jc w:val="center"/>
              <w:rPr>
                <w:rFonts w:cs="Times New Roman"/>
                <w:b/>
                <w:bCs/>
                <w:color w:val="auto"/>
                <w:szCs w:val="28"/>
                <w:lang w:val="en-GB"/>
              </w:rPr>
            </w:pPr>
            <w:r>
              <w:rPr>
                <w:rFonts w:cs="Times New Roman"/>
                <w:b/>
                <w:bCs/>
                <w:color w:val="auto"/>
                <w:szCs w:val="28"/>
                <w:lang w:val="en-GB"/>
              </w:rPr>
              <w:t>表</w:t>
            </w:r>
            <w:r>
              <w:rPr>
                <w:rFonts w:hint="eastAsia" w:cs="Times New Roman"/>
                <w:b/>
                <w:bCs/>
                <w:color w:val="auto"/>
                <w:szCs w:val="28"/>
                <w:lang w:val="en-US" w:eastAsia="zh-CN"/>
              </w:rPr>
              <w:t>3-3</w:t>
            </w:r>
            <w:r>
              <w:rPr>
                <w:rFonts w:cs="Times New Roman"/>
                <w:b/>
                <w:bCs/>
                <w:color w:val="auto"/>
                <w:szCs w:val="28"/>
                <w:lang w:val="en-GB"/>
              </w:rPr>
              <w:t xml:space="preserve">  大气污染物排放标准</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15" w:type="dxa"/>
                <w:left w:w="15" w:type="dxa"/>
                <w:bottom w:w="15" w:type="dxa"/>
                <w:right w:w="15" w:type="dxa"/>
              </w:tblCellMar>
            </w:tblPr>
            <w:tblGrid>
              <w:gridCol w:w="1110"/>
              <w:gridCol w:w="1149"/>
              <w:gridCol w:w="1364"/>
              <w:gridCol w:w="1116"/>
              <w:gridCol w:w="1091"/>
              <w:gridCol w:w="2557"/>
            </w:tblGrid>
            <w:tr w14:paraId="05D7DF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blHeader/>
                <w:jc w:val="center"/>
              </w:trPr>
              <w:tc>
                <w:tcPr>
                  <w:tcW w:w="662" w:type="pct"/>
                  <w:vMerge w:val="restart"/>
                  <w:tcBorders>
                    <w:tl2br w:val="nil"/>
                    <w:tr2bl w:val="nil"/>
                  </w:tcBorders>
                  <w:vAlign w:val="center"/>
                </w:tcPr>
                <w:p w14:paraId="54B67624">
                  <w:pPr>
                    <w:pStyle w:val="194"/>
                    <w:adjustRightInd w:val="0"/>
                    <w:snapToGrid w:val="0"/>
                    <w:rPr>
                      <w:rFonts w:cs="Times New Roman"/>
                      <w:color w:val="auto"/>
                    </w:rPr>
                  </w:pPr>
                  <w:r>
                    <w:rPr>
                      <w:rFonts w:cs="Times New Roman"/>
                      <w:color w:val="auto"/>
                    </w:rPr>
                    <w:t>污染物名称</w:t>
                  </w:r>
                </w:p>
              </w:tc>
              <w:tc>
                <w:tcPr>
                  <w:tcW w:w="4337" w:type="pct"/>
                  <w:gridSpan w:val="5"/>
                  <w:tcBorders>
                    <w:tl2br w:val="nil"/>
                    <w:tr2bl w:val="nil"/>
                  </w:tcBorders>
                  <w:vAlign w:val="center"/>
                </w:tcPr>
                <w:p w14:paraId="0BED1D89">
                  <w:pPr>
                    <w:pStyle w:val="194"/>
                    <w:adjustRightInd w:val="0"/>
                    <w:snapToGrid w:val="0"/>
                    <w:rPr>
                      <w:rFonts w:cs="Times New Roman"/>
                      <w:color w:val="auto"/>
                    </w:rPr>
                  </w:pPr>
                  <w:r>
                    <w:rPr>
                      <w:rFonts w:cs="Times New Roman"/>
                      <w:color w:val="auto"/>
                    </w:rPr>
                    <w:t>标准</w:t>
                  </w:r>
                </w:p>
              </w:tc>
            </w:tr>
            <w:tr w14:paraId="3B3B5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blHeader/>
                <w:jc w:val="center"/>
              </w:trPr>
              <w:tc>
                <w:tcPr>
                  <w:tcW w:w="662" w:type="pct"/>
                  <w:vMerge w:val="continue"/>
                  <w:tcBorders>
                    <w:tl2br w:val="nil"/>
                    <w:tr2bl w:val="nil"/>
                  </w:tcBorders>
                  <w:vAlign w:val="center"/>
                </w:tcPr>
                <w:p w14:paraId="1092BDD5">
                  <w:pPr>
                    <w:pStyle w:val="194"/>
                    <w:adjustRightInd w:val="0"/>
                    <w:snapToGrid w:val="0"/>
                    <w:rPr>
                      <w:rFonts w:cs="Times New Roman"/>
                      <w:color w:val="auto"/>
                    </w:rPr>
                  </w:pPr>
                </w:p>
              </w:tc>
              <w:tc>
                <w:tcPr>
                  <w:tcW w:w="2163" w:type="pct"/>
                  <w:gridSpan w:val="3"/>
                  <w:tcBorders>
                    <w:tl2br w:val="nil"/>
                    <w:tr2bl w:val="nil"/>
                  </w:tcBorders>
                  <w:vAlign w:val="center"/>
                </w:tcPr>
                <w:p w14:paraId="4BA229DF">
                  <w:pPr>
                    <w:pStyle w:val="194"/>
                    <w:adjustRightInd w:val="0"/>
                    <w:snapToGrid w:val="0"/>
                    <w:rPr>
                      <w:rFonts w:cs="Times New Roman"/>
                      <w:color w:val="auto"/>
                    </w:rPr>
                  </w:pPr>
                  <w:r>
                    <w:rPr>
                      <w:rFonts w:hint="eastAsia" w:cs="Times New Roman"/>
                      <w:color w:val="auto"/>
                    </w:rPr>
                    <w:t>有组织</w:t>
                  </w:r>
                </w:p>
              </w:tc>
              <w:tc>
                <w:tcPr>
                  <w:tcW w:w="650" w:type="pct"/>
                  <w:vMerge w:val="restart"/>
                  <w:tcBorders>
                    <w:tl2br w:val="nil"/>
                    <w:tr2bl w:val="nil"/>
                  </w:tcBorders>
                  <w:vAlign w:val="center"/>
                </w:tcPr>
                <w:p w14:paraId="751134F8">
                  <w:pPr>
                    <w:pStyle w:val="194"/>
                    <w:adjustRightInd w:val="0"/>
                    <w:snapToGrid w:val="0"/>
                    <w:rPr>
                      <w:rFonts w:cs="Times New Roman"/>
                      <w:color w:val="auto"/>
                    </w:rPr>
                  </w:pPr>
                  <w:r>
                    <w:rPr>
                      <w:rFonts w:cs="Times New Roman"/>
                      <w:color w:val="auto"/>
                    </w:rPr>
                    <w:t>无组织排放限值（mg/m</w:t>
                  </w:r>
                  <w:r>
                    <w:rPr>
                      <w:rFonts w:cs="Times New Roman"/>
                      <w:color w:val="auto"/>
                      <w:vertAlign w:val="superscript"/>
                    </w:rPr>
                    <w:t>3</w:t>
                  </w:r>
                  <w:r>
                    <w:rPr>
                      <w:rFonts w:cs="Times New Roman"/>
                      <w:color w:val="auto"/>
                    </w:rPr>
                    <w:t>）</w:t>
                  </w:r>
                </w:p>
              </w:tc>
              <w:tc>
                <w:tcPr>
                  <w:tcW w:w="1524" w:type="pct"/>
                  <w:vMerge w:val="restart"/>
                  <w:tcBorders>
                    <w:tl2br w:val="nil"/>
                    <w:tr2bl w:val="nil"/>
                  </w:tcBorders>
                  <w:vAlign w:val="center"/>
                </w:tcPr>
                <w:p w14:paraId="4894BC48">
                  <w:pPr>
                    <w:pStyle w:val="194"/>
                    <w:adjustRightInd w:val="0"/>
                    <w:snapToGrid w:val="0"/>
                    <w:rPr>
                      <w:rFonts w:cs="Times New Roman"/>
                      <w:color w:val="auto"/>
                    </w:rPr>
                  </w:pPr>
                  <w:r>
                    <w:rPr>
                      <w:rFonts w:hint="eastAsia" w:cs="Times New Roman"/>
                      <w:color w:val="auto"/>
                    </w:rPr>
                    <w:t>标准</w:t>
                  </w:r>
                  <w:r>
                    <w:rPr>
                      <w:rFonts w:cs="Times New Roman"/>
                      <w:color w:val="auto"/>
                    </w:rPr>
                    <w:t>来源</w:t>
                  </w:r>
                </w:p>
              </w:tc>
            </w:tr>
            <w:tr w14:paraId="1F4B2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90" w:hRule="atLeast"/>
                <w:tblHeader/>
                <w:jc w:val="center"/>
              </w:trPr>
              <w:tc>
                <w:tcPr>
                  <w:tcW w:w="662" w:type="pct"/>
                  <w:vMerge w:val="continue"/>
                  <w:tcBorders>
                    <w:tl2br w:val="nil"/>
                    <w:tr2bl w:val="nil"/>
                  </w:tcBorders>
                  <w:vAlign w:val="center"/>
                </w:tcPr>
                <w:p w14:paraId="7F75CF2C">
                  <w:pPr>
                    <w:pStyle w:val="194"/>
                    <w:adjustRightInd w:val="0"/>
                    <w:snapToGrid w:val="0"/>
                    <w:rPr>
                      <w:rFonts w:cs="Times New Roman"/>
                      <w:color w:val="auto"/>
                    </w:rPr>
                  </w:pPr>
                </w:p>
              </w:tc>
              <w:tc>
                <w:tcPr>
                  <w:tcW w:w="685" w:type="pct"/>
                  <w:tcBorders>
                    <w:tl2br w:val="nil"/>
                    <w:tr2bl w:val="nil"/>
                  </w:tcBorders>
                  <w:vAlign w:val="center"/>
                </w:tcPr>
                <w:p w14:paraId="7BDC3E32">
                  <w:pPr>
                    <w:pStyle w:val="194"/>
                    <w:adjustRightInd w:val="0"/>
                    <w:snapToGrid w:val="0"/>
                    <w:rPr>
                      <w:rFonts w:cs="Times New Roman"/>
                      <w:color w:val="auto"/>
                    </w:rPr>
                  </w:pPr>
                  <w:r>
                    <w:rPr>
                      <w:rFonts w:cs="Times New Roman"/>
                      <w:color w:val="auto"/>
                    </w:rPr>
                    <w:t>排气筒高度（m）</w:t>
                  </w:r>
                </w:p>
              </w:tc>
              <w:tc>
                <w:tcPr>
                  <w:tcW w:w="813" w:type="pct"/>
                  <w:tcBorders>
                    <w:tl2br w:val="nil"/>
                    <w:tr2bl w:val="nil"/>
                  </w:tcBorders>
                  <w:vAlign w:val="center"/>
                </w:tcPr>
                <w:p w14:paraId="29D774FB">
                  <w:pPr>
                    <w:pStyle w:val="194"/>
                    <w:adjustRightInd w:val="0"/>
                    <w:snapToGrid w:val="0"/>
                    <w:rPr>
                      <w:rFonts w:cs="Times New Roman"/>
                      <w:color w:val="auto"/>
                    </w:rPr>
                  </w:pPr>
                  <w:r>
                    <w:rPr>
                      <w:rFonts w:cs="Times New Roman"/>
                      <w:color w:val="auto"/>
                    </w:rPr>
                    <w:t>最高允许排放浓度（mg/m</w:t>
                  </w:r>
                  <w:r>
                    <w:rPr>
                      <w:rFonts w:cs="Times New Roman"/>
                      <w:color w:val="auto"/>
                      <w:vertAlign w:val="superscript"/>
                    </w:rPr>
                    <w:t>3</w:t>
                  </w:r>
                  <w:r>
                    <w:rPr>
                      <w:rFonts w:cs="Times New Roman"/>
                      <w:color w:val="auto"/>
                    </w:rPr>
                    <w:t>）</w:t>
                  </w:r>
                </w:p>
              </w:tc>
              <w:tc>
                <w:tcPr>
                  <w:tcW w:w="664" w:type="pct"/>
                  <w:tcBorders>
                    <w:tl2br w:val="nil"/>
                    <w:tr2bl w:val="nil"/>
                  </w:tcBorders>
                  <w:vAlign w:val="center"/>
                </w:tcPr>
                <w:p w14:paraId="32C5ACC2">
                  <w:pPr>
                    <w:pStyle w:val="194"/>
                    <w:adjustRightInd w:val="0"/>
                    <w:snapToGrid w:val="0"/>
                    <w:rPr>
                      <w:rFonts w:cs="Times New Roman"/>
                      <w:color w:val="auto"/>
                    </w:rPr>
                  </w:pPr>
                  <w:r>
                    <w:rPr>
                      <w:rFonts w:cs="Times New Roman"/>
                      <w:color w:val="auto"/>
                    </w:rPr>
                    <w:t>排放速率（kg/h）</w:t>
                  </w:r>
                </w:p>
              </w:tc>
              <w:tc>
                <w:tcPr>
                  <w:tcW w:w="650" w:type="pct"/>
                  <w:vMerge w:val="continue"/>
                  <w:tcBorders>
                    <w:tl2br w:val="nil"/>
                    <w:tr2bl w:val="nil"/>
                  </w:tcBorders>
                  <w:vAlign w:val="center"/>
                </w:tcPr>
                <w:p w14:paraId="036CA60A">
                  <w:pPr>
                    <w:pStyle w:val="194"/>
                    <w:adjustRightInd w:val="0"/>
                    <w:snapToGrid w:val="0"/>
                    <w:rPr>
                      <w:rFonts w:cs="Times New Roman"/>
                      <w:color w:val="auto"/>
                    </w:rPr>
                  </w:pPr>
                </w:p>
              </w:tc>
              <w:tc>
                <w:tcPr>
                  <w:tcW w:w="1524" w:type="pct"/>
                  <w:vMerge w:val="continue"/>
                  <w:tcBorders>
                    <w:tl2br w:val="nil"/>
                    <w:tr2bl w:val="nil"/>
                  </w:tcBorders>
                  <w:vAlign w:val="center"/>
                </w:tcPr>
                <w:p w14:paraId="113FE8BA">
                  <w:pPr>
                    <w:pStyle w:val="194"/>
                    <w:adjustRightInd w:val="0"/>
                    <w:snapToGrid w:val="0"/>
                    <w:rPr>
                      <w:rFonts w:cs="Times New Roman"/>
                      <w:color w:val="auto"/>
                    </w:rPr>
                  </w:pPr>
                </w:p>
              </w:tc>
            </w:tr>
            <w:tr w14:paraId="5C0CC9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379" w:hRule="atLeast"/>
                <w:jc w:val="center"/>
              </w:trPr>
              <w:tc>
                <w:tcPr>
                  <w:tcW w:w="662" w:type="pct"/>
                  <w:tcBorders>
                    <w:tl2br w:val="nil"/>
                    <w:tr2bl w:val="nil"/>
                  </w:tcBorders>
                  <w:vAlign w:val="center"/>
                </w:tcPr>
                <w:p w14:paraId="54EFA613">
                  <w:pPr>
                    <w:pStyle w:val="194"/>
                    <w:adjustRightInd w:val="0"/>
                    <w:snapToGrid w:val="0"/>
                    <w:rPr>
                      <w:rFonts w:cs="Times New Roman"/>
                      <w:color w:val="auto"/>
                    </w:rPr>
                  </w:pPr>
                  <w:r>
                    <w:rPr>
                      <w:rFonts w:cs="Times New Roman"/>
                      <w:color w:val="auto"/>
                    </w:rPr>
                    <w:t>氯气</w:t>
                  </w:r>
                </w:p>
              </w:tc>
              <w:tc>
                <w:tcPr>
                  <w:tcW w:w="685" w:type="pct"/>
                  <w:tcBorders>
                    <w:tl2br w:val="nil"/>
                    <w:tr2bl w:val="nil"/>
                  </w:tcBorders>
                  <w:vAlign w:val="center"/>
                </w:tcPr>
                <w:p w14:paraId="26DAADFE">
                  <w:pPr>
                    <w:pStyle w:val="194"/>
                    <w:adjustRightInd w:val="0"/>
                    <w:snapToGrid w:val="0"/>
                    <w:rPr>
                      <w:rFonts w:cs="Times New Roman"/>
                      <w:color w:val="auto"/>
                    </w:rPr>
                  </w:pPr>
                  <w:r>
                    <w:rPr>
                      <w:rFonts w:cs="Times New Roman"/>
                      <w:color w:val="auto"/>
                    </w:rPr>
                    <w:t>25</w:t>
                  </w:r>
                </w:p>
              </w:tc>
              <w:tc>
                <w:tcPr>
                  <w:tcW w:w="813" w:type="pct"/>
                  <w:tcBorders>
                    <w:tl2br w:val="nil"/>
                    <w:tr2bl w:val="nil"/>
                  </w:tcBorders>
                  <w:vAlign w:val="center"/>
                </w:tcPr>
                <w:p w14:paraId="68788114">
                  <w:pPr>
                    <w:pStyle w:val="194"/>
                    <w:adjustRightInd w:val="0"/>
                    <w:snapToGrid w:val="0"/>
                    <w:rPr>
                      <w:rFonts w:cs="Times New Roman"/>
                      <w:color w:val="auto"/>
                    </w:rPr>
                  </w:pPr>
                  <w:r>
                    <w:rPr>
                      <w:rFonts w:cs="Times New Roman"/>
                      <w:color w:val="auto"/>
                    </w:rPr>
                    <w:t>3</w:t>
                  </w:r>
                </w:p>
              </w:tc>
              <w:tc>
                <w:tcPr>
                  <w:tcW w:w="664" w:type="pct"/>
                  <w:tcBorders>
                    <w:tl2br w:val="nil"/>
                    <w:tr2bl w:val="nil"/>
                  </w:tcBorders>
                  <w:vAlign w:val="center"/>
                </w:tcPr>
                <w:p w14:paraId="7F1E0DC4">
                  <w:pPr>
                    <w:pStyle w:val="194"/>
                    <w:adjustRightInd w:val="0"/>
                    <w:snapToGrid w:val="0"/>
                    <w:rPr>
                      <w:rFonts w:cs="Times New Roman"/>
                      <w:color w:val="auto"/>
                    </w:rPr>
                  </w:pPr>
                  <w:r>
                    <w:rPr>
                      <w:rFonts w:cs="Times New Roman"/>
                      <w:color w:val="auto"/>
                    </w:rPr>
                    <w:t>0.072</w:t>
                  </w:r>
                </w:p>
              </w:tc>
              <w:tc>
                <w:tcPr>
                  <w:tcW w:w="650" w:type="pct"/>
                  <w:tcBorders>
                    <w:tl2br w:val="nil"/>
                    <w:tr2bl w:val="nil"/>
                  </w:tcBorders>
                  <w:vAlign w:val="center"/>
                </w:tcPr>
                <w:p w14:paraId="1D4A4890">
                  <w:pPr>
                    <w:pStyle w:val="194"/>
                    <w:adjustRightInd w:val="0"/>
                    <w:snapToGrid w:val="0"/>
                    <w:rPr>
                      <w:rFonts w:cs="Times New Roman"/>
                      <w:color w:val="auto"/>
                    </w:rPr>
                  </w:pPr>
                  <w:r>
                    <w:rPr>
                      <w:rFonts w:cs="Times New Roman"/>
                      <w:color w:val="auto"/>
                    </w:rPr>
                    <w:t>0.1</w:t>
                  </w:r>
                </w:p>
              </w:tc>
              <w:tc>
                <w:tcPr>
                  <w:tcW w:w="1524" w:type="pct"/>
                  <w:tcBorders>
                    <w:tl2br w:val="nil"/>
                    <w:tr2bl w:val="nil"/>
                  </w:tcBorders>
                  <w:vAlign w:val="center"/>
                </w:tcPr>
                <w:p w14:paraId="2FEF04D8">
                  <w:pPr>
                    <w:pStyle w:val="194"/>
                    <w:adjustRightInd w:val="0"/>
                    <w:snapToGrid w:val="0"/>
                    <w:jc w:val="both"/>
                    <w:rPr>
                      <w:rFonts w:hint="default" w:eastAsia="宋体" w:cs="Times New Roman"/>
                      <w:color w:val="auto"/>
                      <w:lang w:val="en-US" w:eastAsia="zh-CN"/>
                    </w:rPr>
                  </w:pPr>
                  <w:r>
                    <w:rPr>
                      <w:rFonts w:cs="Times New Roman"/>
                      <w:color w:val="auto"/>
                    </w:rPr>
                    <w:t>《大气污染物综合排放标准》（DB32/4041-2021）</w:t>
                  </w:r>
                  <w:r>
                    <w:rPr>
                      <w:rFonts w:hint="eastAsia" w:cs="Times New Roman"/>
                      <w:color w:val="auto"/>
                      <w:lang w:eastAsia="zh-CN"/>
                    </w:rPr>
                    <w:t>表</w:t>
                  </w:r>
                  <w:r>
                    <w:rPr>
                      <w:rFonts w:hint="eastAsia" w:cs="Times New Roman"/>
                      <w:color w:val="auto"/>
                      <w:lang w:val="en-US" w:eastAsia="zh-CN"/>
                    </w:rPr>
                    <w:t>1、表3</w:t>
                  </w:r>
                </w:p>
              </w:tc>
            </w:tr>
            <w:tr w14:paraId="7BF2B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379" w:hRule="atLeast"/>
                <w:jc w:val="center"/>
              </w:trPr>
              <w:tc>
                <w:tcPr>
                  <w:tcW w:w="662" w:type="pct"/>
                  <w:tcBorders>
                    <w:tl2br w:val="nil"/>
                    <w:tr2bl w:val="nil"/>
                  </w:tcBorders>
                  <w:vAlign w:val="center"/>
                </w:tcPr>
                <w:p w14:paraId="73826D5F">
                  <w:pPr>
                    <w:pStyle w:val="194"/>
                    <w:adjustRightInd w:val="0"/>
                    <w:snapToGrid w:val="0"/>
                    <w:rPr>
                      <w:rFonts w:hint="default" w:eastAsia="宋体" w:cs="Times New Roman"/>
                      <w:color w:val="auto"/>
                      <w:lang w:val="en-US" w:eastAsia="zh-CN"/>
                    </w:rPr>
                  </w:pPr>
                  <w:r>
                    <w:rPr>
                      <w:rFonts w:hint="eastAsia" w:cs="Times New Roman"/>
                      <w:color w:val="auto"/>
                      <w:lang w:val="en-US" w:eastAsia="zh-CN"/>
                    </w:rPr>
                    <w:t>臭气浓度</w:t>
                  </w:r>
                </w:p>
              </w:tc>
              <w:tc>
                <w:tcPr>
                  <w:tcW w:w="685" w:type="pct"/>
                  <w:tcBorders>
                    <w:tl2br w:val="nil"/>
                    <w:tr2bl w:val="nil"/>
                  </w:tcBorders>
                  <w:vAlign w:val="center"/>
                </w:tcPr>
                <w:p w14:paraId="548F1D10">
                  <w:pPr>
                    <w:pStyle w:val="194"/>
                    <w:adjustRightInd w:val="0"/>
                    <w:snapToGrid w:val="0"/>
                    <w:rPr>
                      <w:rFonts w:hint="eastAsia" w:eastAsia="宋体" w:cs="Times New Roman"/>
                      <w:color w:val="auto"/>
                      <w:lang w:val="en-US" w:eastAsia="zh-CN"/>
                    </w:rPr>
                  </w:pPr>
                  <w:r>
                    <w:rPr>
                      <w:rFonts w:hint="eastAsia" w:cs="Times New Roman"/>
                      <w:color w:val="auto"/>
                      <w:lang w:val="en-US" w:eastAsia="zh-CN"/>
                    </w:rPr>
                    <w:t>/</w:t>
                  </w:r>
                </w:p>
              </w:tc>
              <w:tc>
                <w:tcPr>
                  <w:tcW w:w="813" w:type="pct"/>
                  <w:tcBorders>
                    <w:tl2br w:val="nil"/>
                    <w:tr2bl w:val="nil"/>
                  </w:tcBorders>
                  <w:vAlign w:val="center"/>
                </w:tcPr>
                <w:p w14:paraId="1317A132">
                  <w:pPr>
                    <w:pStyle w:val="194"/>
                    <w:adjustRightInd w:val="0"/>
                    <w:snapToGrid w:val="0"/>
                    <w:rPr>
                      <w:rFonts w:hint="eastAsia" w:eastAsia="宋体" w:cs="Times New Roman"/>
                      <w:color w:val="auto"/>
                      <w:lang w:val="en-US" w:eastAsia="zh-CN"/>
                    </w:rPr>
                  </w:pPr>
                  <w:r>
                    <w:rPr>
                      <w:rFonts w:hint="eastAsia" w:cs="Times New Roman"/>
                      <w:color w:val="auto"/>
                      <w:lang w:val="en-US" w:eastAsia="zh-CN"/>
                    </w:rPr>
                    <w:t>/</w:t>
                  </w:r>
                </w:p>
              </w:tc>
              <w:tc>
                <w:tcPr>
                  <w:tcW w:w="664" w:type="pct"/>
                  <w:tcBorders>
                    <w:tl2br w:val="nil"/>
                    <w:tr2bl w:val="nil"/>
                  </w:tcBorders>
                  <w:vAlign w:val="center"/>
                </w:tcPr>
                <w:p w14:paraId="6667E790">
                  <w:pPr>
                    <w:pStyle w:val="194"/>
                    <w:adjustRightInd w:val="0"/>
                    <w:snapToGrid w:val="0"/>
                    <w:rPr>
                      <w:rFonts w:hint="eastAsia" w:eastAsia="宋体" w:cs="Times New Roman"/>
                      <w:color w:val="auto"/>
                      <w:lang w:val="en-US" w:eastAsia="zh-CN"/>
                    </w:rPr>
                  </w:pPr>
                  <w:r>
                    <w:rPr>
                      <w:rFonts w:hint="eastAsia" w:cs="Times New Roman"/>
                      <w:color w:val="auto"/>
                      <w:lang w:val="en-US" w:eastAsia="zh-CN"/>
                    </w:rPr>
                    <w:t>/</w:t>
                  </w:r>
                </w:p>
              </w:tc>
              <w:tc>
                <w:tcPr>
                  <w:tcW w:w="650" w:type="pct"/>
                  <w:tcBorders>
                    <w:tl2br w:val="nil"/>
                    <w:tr2bl w:val="nil"/>
                  </w:tcBorders>
                  <w:vAlign w:val="center"/>
                </w:tcPr>
                <w:p w14:paraId="6C78C0FB">
                  <w:pPr>
                    <w:pStyle w:val="194"/>
                    <w:adjustRightInd w:val="0"/>
                    <w:snapToGrid w:val="0"/>
                    <w:rPr>
                      <w:rFonts w:hint="default" w:eastAsia="宋体" w:cs="Times New Roman"/>
                      <w:color w:val="auto"/>
                      <w:lang w:val="en-US" w:eastAsia="zh-CN"/>
                    </w:rPr>
                  </w:pPr>
                  <w:r>
                    <w:rPr>
                      <w:rFonts w:hint="eastAsia" w:cs="Times New Roman"/>
                      <w:color w:val="auto"/>
                      <w:lang w:val="en-US" w:eastAsia="zh-CN"/>
                    </w:rPr>
                    <w:t>20</w:t>
                  </w:r>
                </w:p>
              </w:tc>
              <w:tc>
                <w:tcPr>
                  <w:tcW w:w="1524" w:type="pct"/>
                  <w:tcBorders>
                    <w:tl2br w:val="nil"/>
                    <w:tr2bl w:val="nil"/>
                  </w:tcBorders>
                  <w:vAlign w:val="center"/>
                </w:tcPr>
                <w:p w14:paraId="06EC1A71">
                  <w:pPr>
                    <w:pStyle w:val="194"/>
                    <w:adjustRightInd w:val="0"/>
                    <w:snapToGrid w:val="0"/>
                    <w:jc w:val="both"/>
                    <w:rPr>
                      <w:rFonts w:cs="Times New Roman"/>
                      <w:color w:val="auto"/>
                    </w:rPr>
                  </w:pPr>
                  <w:r>
                    <w:rPr>
                      <w:rFonts w:hint="eastAsia" w:cs="Times New Roman"/>
                      <w:color w:val="auto"/>
                    </w:rPr>
                    <w:t>《恶臭污染物排放标准》（GB 14554-93）表1二级新扩改建标准值</w:t>
                  </w:r>
                </w:p>
              </w:tc>
            </w:tr>
          </w:tbl>
          <w:p w14:paraId="4A03D4ED">
            <w:pPr>
              <w:wordWrap w:val="0"/>
              <w:adjustRightInd w:val="0"/>
              <w:snapToGrid w:val="0"/>
              <w:spacing w:beforeLines="50" w:line="360" w:lineRule="auto"/>
              <w:ind w:right="105" w:rightChars="50" w:firstLine="472" w:firstLineChars="196"/>
              <w:rPr>
                <w:b/>
                <w:color w:val="auto"/>
                <w:sz w:val="24"/>
              </w:rPr>
            </w:pPr>
            <w:r>
              <w:rPr>
                <w:b/>
                <w:color w:val="auto"/>
                <w:sz w:val="24"/>
              </w:rPr>
              <w:t>3.噪声排放标准</w:t>
            </w:r>
          </w:p>
          <w:p w14:paraId="005E86DE">
            <w:pPr>
              <w:wordWrap w:val="0"/>
              <w:snapToGrid w:val="0"/>
              <w:spacing w:line="360" w:lineRule="auto"/>
              <w:ind w:firstLine="480" w:firstLineChars="200"/>
              <w:rPr>
                <w:color w:val="auto"/>
                <w:sz w:val="24"/>
              </w:rPr>
            </w:pPr>
            <w:r>
              <w:rPr>
                <w:color w:val="auto"/>
                <w:sz w:val="24"/>
              </w:rPr>
              <w:t>项目施工期间噪声排放执行《建筑施工噪声排放标准》（GB12523-2025）中的排放限值，具体标准限值如表3-</w:t>
            </w:r>
            <w:r>
              <w:rPr>
                <w:rFonts w:hint="eastAsia"/>
                <w:color w:val="auto"/>
                <w:sz w:val="24"/>
                <w:lang w:val="en-US" w:eastAsia="zh-CN"/>
              </w:rPr>
              <w:t>4</w:t>
            </w:r>
            <w:r>
              <w:rPr>
                <w:color w:val="auto"/>
                <w:sz w:val="24"/>
              </w:rPr>
              <w:t>所示；项目运行期间，厂界噪声排放执行</w:t>
            </w:r>
            <w:bookmarkStart w:id="40" w:name="_Hlk156484632"/>
            <w:r>
              <w:rPr>
                <w:color w:val="auto"/>
                <w:sz w:val="24"/>
              </w:rPr>
              <w:t>《工业企业厂界环境噪声排放标准》（GB12348-2008）中的3类标准值</w:t>
            </w:r>
            <w:bookmarkEnd w:id="40"/>
            <w:r>
              <w:rPr>
                <w:color w:val="auto"/>
                <w:sz w:val="24"/>
              </w:rPr>
              <w:t>，具体标准值见表3-</w:t>
            </w:r>
            <w:r>
              <w:rPr>
                <w:rFonts w:hint="eastAsia"/>
                <w:color w:val="auto"/>
                <w:sz w:val="24"/>
                <w:lang w:val="en-US" w:eastAsia="zh-CN"/>
              </w:rPr>
              <w:t>5</w:t>
            </w:r>
            <w:r>
              <w:rPr>
                <w:color w:val="auto"/>
                <w:sz w:val="24"/>
              </w:rPr>
              <w:t>。</w:t>
            </w:r>
          </w:p>
          <w:p w14:paraId="3A95866C">
            <w:pPr>
              <w:adjustRightInd w:val="0"/>
              <w:snapToGrid w:val="0"/>
              <w:ind w:firstLine="482"/>
              <w:jc w:val="center"/>
              <w:rPr>
                <w:color w:val="auto"/>
                <w:szCs w:val="21"/>
              </w:rPr>
            </w:pPr>
            <w:r>
              <w:rPr>
                <w:b/>
                <w:color w:val="auto"/>
                <w:sz w:val="24"/>
              </w:rPr>
              <w:t>表3-</w:t>
            </w:r>
            <w:r>
              <w:rPr>
                <w:rFonts w:hint="eastAsia"/>
                <w:b/>
                <w:color w:val="auto"/>
                <w:sz w:val="24"/>
                <w:lang w:val="en-US" w:eastAsia="zh-CN"/>
              </w:rPr>
              <w:t xml:space="preserve">4  </w:t>
            </w:r>
            <w:r>
              <w:rPr>
                <w:b/>
                <w:color w:val="auto"/>
                <w:sz w:val="24"/>
              </w:rPr>
              <w:t xml:space="preserve">建筑施工场界噪声排放限值 </w:t>
            </w:r>
            <w:r>
              <w:rPr>
                <w:color w:val="auto"/>
                <w:szCs w:val="21"/>
              </w:rPr>
              <w:t>单位：dB（A）</w:t>
            </w:r>
          </w:p>
          <w:tbl>
            <w:tblPr>
              <w:tblStyle w:val="8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01"/>
              <w:gridCol w:w="2385"/>
              <w:gridCol w:w="3904"/>
            </w:tblGrid>
            <w:tr w14:paraId="5E2077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507" w:type="dxa"/>
                  <w:gridSpan w:val="2"/>
                  <w:noWrap/>
                  <w:vAlign w:val="center"/>
                </w:tcPr>
                <w:p w14:paraId="6FD9AD4E">
                  <w:pPr>
                    <w:adjustRightInd w:val="0"/>
                    <w:snapToGrid w:val="0"/>
                    <w:ind w:firstLine="482"/>
                    <w:jc w:val="center"/>
                    <w:rPr>
                      <w:b/>
                      <w:bCs/>
                      <w:color w:val="auto"/>
                      <w:szCs w:val="21"/>
                    </w:rPr>
                  </w:pPr>
                  <w:r>
                    <w:rPr>
                      <w:b/>
                      <w:bCs/>
                      <w:color w:val="auto"/>
                      <w:szCs w:val="21"/>
                    </w:rPr>
                    <w:t>排放限值</w:t>
                  </w:r>
                </w:p>
              </w:tc>
              <w:tc>
                <w:tcPr>
                  <w:tcW w:w="3924" w:type="dxa"/>
                  <w:vMerge w:val="restart"/>
                  <w:noWrap/>
                  <w:vAlign w:val="center"/>
                </w:tcPr>
                <w:p w14:paraId="5BBACB47">
                  <w:pPr>
                    <w:adjustRightInd w:val="0"/>
                    <w:snapToGrid w:val="0"/>
                    <w:ind w:firstLine="482"/>
                    <w:jc w:val="center"/>
                    <w:rPr>
                      <w:b/>
                      <w:bCs/>
                      <w:color w:val="auto"/>
                      <w:szCs w:val="21"/>
                    </w:rPr>
                  </w:pPr>
                  <w:r>
                    <w:rPr>
                      <w:b/>
                      <w:bCs/>
                      <w:color w:val="auto"/>
                      <w:szCs w:val="21"/>
                    </w:rPr>
                    <w:t>标准来源</w:t>
                  </w:r>
                </w:p>
              </w:tc>
            </w:tr>
            <w:tr w14:paraId="29FDCD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111" w:type="dxa"/>
                  <w:noWrap/>
                  <w:vAlign w:val="center"/>
                </w:tcPr>
                <w:p w14:paraId="7BE3D416">
                  <w:pPr>
                    <w:adjustRightInd w:val="0"/>
                    <w:snapToGrid w:val="0"/>
                    <w:ind w:firstLine="482"/>
                    <w:jc w:val="center"/>
                    <w:rPr>
                      <w:b/>
                      <w:bCs/>
                      <w:color w:val="auto"/>
                      <w:szCs w:val="21"/>
                    </w:rPr>
                  </w:pPr>
                  <w:r>
                    <w:rPr>
                      <w:b/>
                      <w:bCs/>
                      <w:color w:val="auto"/>
                      <w:szCs w:val="21"/>
                    </w:rPr>
                    <w:t>昼间</w:t>
                  </w:r>
                </w:p>
              </w:tc>
              <w:tc>
                <w:tcPr>
                  <w:tcW w:w="2396" w:type="dxa"/>
                  <w:noWrap/>
                  <w:vAlign w:val="center"/>
                </w:tcPr>
                <w:p w14:paraId="0210BAB1">
                  <w:pPr>
                    <w:adjustRightInd w:val="0"/>
                    <w:snapToGrid w:val="0"/>
                    <w:ind w:firstLine="482"/>
                    <w:jc w:val="center"/>
                    <w:rPr>
                      <w:b/>
                      <w:bCs/>
                      <w:color w:val="auto"/>
                      <w:szCs w:val="21"/>
                    </w:rPr>
                  </w:pPr>
                  <w:r>
                    <w:rPr>
                      <w:b/>
                      <w:bCs/>
                      <w:color w:val="auto"/>
                      <w:szCs w:val="21"/>
                    </w:rPr>
                    <w:t>夜间</w:t>
                  </w:r>
                </w:p>
              </w:tc>
              <w:tc>
                <w:tcPr>
                  <w:tcW w:w="3924" w:type="dxa"/>
                  <w:vMerge w:val="continue"/>
                  <w:noWrap/>
                  <w:vAlign w:val="center"/>
                </w:tcPr>
                <w:p w14:paraId="2C3C8177">
                  <w:pPr>
                    <w:adjustRightInd w:val="0"/>
                    <w:snapToGrid w:val="0"/>
                    <w:ind w:firstLine="480"/>
                    <w:jc w:val="center"/>
                    <w:rPr>
                      <w:color w:val="auto"/>
                      <w:szCs w:val="21"/>
                    </w:rPr>
                  </w:pPr>
                </w:p>
              </w:tc>
            </w:tr>
            <w:tr w14:paraId="2DA1E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2111" w:type="dxa"/>
                  <w:noWrap/>
                  <w:vAlign w:val="center"/>
                </w:tcPr>
                <w:p w14:paraId="019046B2">
                  <w:pPr>
                    <w:adjustRightInd w:val="0"/>
                    <w:snapToGrid w:val="0"/>
                    <w:ind w:firstLine="480"/>
                    <w:jc w:val="center"/>
                    <w:rPr>
                      <w:color w:val="auto"/>
                      <w:szCs w:val="21"/>
                    </w:rPr>
                  </w:pPr>
                  <w:r>
                    <w:rPr>
                      <w:color w:val="auto"/>
                      <w:szCs w:val="21"/>
                    </w:rPr>
                    <w:t>70</w:t>
                  </w:r>
                </w:p>
              </w:tc>
              <w:tc>
                <w:tcPr>
                  <w:tcW w:w="2396" w:type="dxa"/>
                  <w:noWrap/>
                  <w:vAlign w:val="center"/>
                </w:tcPr>
                <w:p w14:paraId="6385D440">
                  <w:pPr>
                    <w:adjustRightInd w:val="0"/>
                    <w:snapToGrid w:val="0"/>
                    <w:ind w:firstLine="480"/>
                    <w:jc w:val="center"/>
                    <w:rPr>
                      <w:color w:val="auto"/>
                      <w:szCs w:val="21"/>
                    </w:rPr>
                  </w:pPr>
                  <w:r>
                    <w:rPr>
                      <w:color w:val="auto"/>
                      <w:szCs w:val="21"/>
                    </w:rPr>
                    <w:t>55</w:t>
                  </w:r>
                </w:p>
              </w:tc>
              <w:tc>
                <w:tcPr>
                  <w:tcW w:w="3924" w:type="dxa"/>
                  <w:noWrap/>
                  <w:vAlign w:val="center"/>
                </w:tcPr>
                <w:p w14:paraId="2EE635D6">
                  <w:pPr>
                    <w:wordWrap w:val="0"/>
                    <w:snapToGrid w:val="0"/>
                    <w:spacing w:line="280" w:lineRule="exact"/>
                    <w:ind w:firstLine="480"/>
                    <w:jc w:val="center"/>
                    <w:rPr>
                      <w:color w:val="auto"/>
                      <w:szCs w:val="21"/>
                    </w:rPr>
                  </w:pPr>
                  <w:r>
                    <w:rPr>
                      <w:color w:val="auto"/>
                      <w:szCs w:val="21"/>
                    </w:rPr>
                    <w:t>《建筑施工噪声排放标准》（GB12523-2025）</w:t>
                  </w:r>
                </w:p>
              </w:tc>
            </w:tr>
          </w:tbl>
          <w:p w14:paraId="14F00ED1">
            <w:pPr>
              <w:wordWrap w:val="0"/>
              <w:adjustRightInd w:val="0"/>
              <w:snapToGrid w:val="0"/>
              <w:spacing w:before="157" w:beforeLines="50"/>
              <w:jc w:val="center"/>
              <w:rPr>
                <w:b/>
                <w:color w:val="auto"/>
                <w:szCs w:val="16"/>
              </w:rPr>
            </w:pPr>
            <w:r>
              <w:rPr>
                <w:b/>
                <w:color w:val="auto"/>
                <w:sz w:val="24"/>
              </w:rPr>
              <w:t>表3-</w:t>
            </w:r>
            <w:r>
              <w:rPr>
                <w:rFonts w:hint="eastAsia"/>
                <w:b/>
                <w:color w:val="auto"/>
                <w:sz w:val="24"/>
                <w:lang w:val="en-US" w:eastAsia="zh-CN"/>
              </w:rPr>
              <w:t>5</w:t>
            </w:r>
            <w:r>
              <w:rPr>
                <w:b/>
                <w:color w:val="auto"/>
                <w:sz w:val="24"/>
              </w:rPr>
              <w:t xml:space="preserve">  </w:t>
            </w:r>
            <w:r>
              <w:rPr>
                <w:rFonts w:hint="eastAsia"/>
                <w:b/>
                <w:color w:val="auto"/>
                <w:sz w:val="24"/>
                <w:lang w:val="en-US" w:eastAsia="zh-CN"/>
              </w:rPr>
              <w:t>运营期</w:t>
            </w:r>
            <w:r>
              <w:rPr>
                <w:b/>
                <w:color w:val="auto"/>
                <w:sz w:val="24"/>
              </w:rPr>
              <w:t xml:space="preserve">项目厂界噪声标准值    </w:t>
            </w:r>
            <w:r>
              <w:rPr>
                <w:color w:val="auto"/>
                <w:szCs w:val="21"/>
              </w:rPr>
              <w:t>单位：</w:t>
            </w:r>
            <w:r>
              <w:rPr>
                <w:color w:val="auto"/>
                <w:szCs w:val="16"/>
              </w:rPr>
              <w:t>dB（A）</w:t>
            </w:r>
          </w:p>
          <w:tbl>
            <w:tblPr>
              <w:tblStyle w:val="88"/>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22"/>
              <w:gridCol w:w="3278"/>
              <w:gridCol w:w="3490"/>
            </w:tblGrid>
            <w:tr w14:paraId="6120E7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58" w:type="dxa"/>
                  <w:vAlign w:val="center"/>
                </w:tcPr>
                <w:p w14:paraId="05BABE40">
                  <w:pPr>
                    <w:wordWrap w:val="0"/>
                    <w:snapToGrid w:val="0"/>
                    <w:spacing w:line="280" w:lineRule="exact"/>
                    <w:jc w:val="center"/>
                    <w:rPr>
                      <w:bCs/>
                      <w:color w:val="auto"/>
                      <w:szCs w:val="21"/>
                    </w:rPr>
                  </w:pPr>
                  <w:r>
                    <w:rPr>
                      <w:bCs/>
                      <w:color w:val="auto"/>
                      <w:szCs w:val="21"/>
                    </w:rPr>
                    <w:t>类别</w:t>
                  </w:r>
                </w:p>
              </w:tc>
              <w:tc>
                <w:tcPr>
                  <w:tcW w:w="3363" w:type="dxa"/>
                  <w:vAlign w:val="center"/>
                </w:tcPr>
                <w:p w14:paraId="044201F5">
                  <w:pPr>
                    <w:wordWrap w:val="0"/>
                    <w:snapToGrid w:val="0"/>
                    <w:spacing w:line="280" w:lineRule="exact"/>
                    <w:jc w:val="center"/>
                    <w:rPr>
                      <w:bCs/>
                      <w:color w:val="auto"/>
                      <w:szCs w:val="21"/>
                    </w:rPr>
                  </w:pPr>
                  <w:r>
                    <w:rPr>
                      <w:bCs/>
                      <w:color w:val="auto"/>
                      <w:szCs w:val="21"/>
                    </w:rPr>
                    <w:t>昼间</w:t>
                  </w:r>
                </w:p>
              </w:tc>
              <w:tc>
                <w:tcPr>
                  <w:tcW w:w="3582" w:type="dxa"/>
                  <w:vAlign w:val="center"/>
                </w:tcPr>
                <w:p w14:paraId="148E3B22">
                  <w:pPr>
                    <w:wordWrap w:val="0"/>
                    <w:snapToGrid w:val="0"/>
                    <w:spacing w:line="280" w:lineRule="exact"/>
                    <w:jc w:val="center"/>
                    <w:rPr>
                      <w:bCs/>
                      <w:color w:val="auto"/>
                      <w:szCs w:val="21"/>
                    </w:rPr>
                  </w:pPr>
                  <w:r>
                    <w:rPr>
                      <w:bCs/>
                      <w:color w:val="auto"/>
                      <w:szCs w:val="21"/>
                    </w:rPr>
                    <w:t>夜间</w:t>
                  </w:r>
                </w:p>
              </w:tc>
            </w:tr>
            <w:tr w14:paraId="208DEE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58" w:type="dxa"/>
                  <w:vAlign w:val="center"/>
                </w:tcPr>
                <w:p w14:paraId="6F03C72C">
                  <w:pPr>
                    <w:wordWrap w:val="0"/>
                    <w:snapToGrid w:val="0"/>
                    <w:spacing w:line="280" w:lineRule="exact"/>
                    <w:jc w:val="center"/>
                    <w:rPr>
                      <w:bCs/>
                      <w:color w:val="auto"/>
                      <w:szCs w:val="21"/>
                    </w:rPr>
                  </w:pPr>
                  <w:r>
                    <w:rPr>
                      <w:bCs/>
                      <w:color w:val="auto"/>
                      <w:szCs w:val="21"/>
                    </w:rPr>
                    <w:t>3类</w:t>
                  </w:r>
                </w:p>
              </w:tc>
              <w:tc>
                <w:tcPr>
                  <w:tcW w:w="3363" w:type="dxa"/>
                  <w:vAlign w:val="center"/>
                </w:tcPr>
                <w:p w14:paraId="0E2BD57E">
                  <w:pPr>
                    <w:wordWrap w:val="0"/>
                    <w:snapToGrid w:val="0"/>
                    <w:spacing w:line="280" w:lineRule="exact"/>
                    <w:jc w:val="center"/>
                    <w:rPr>
                      <w:bCs/>
                      <w:color w:val="auto"/>
                      <w:szCs w:val="21"/>
                    </w:rPr>
                  </w:pPr>
                  <w:r>
                    <w:rPr>
                      <w:color w:val="auto"/>
                      <w:szCs w:val="21"/>
                    </w:rPr>
                    <w:t>≤</w:t>
                  </w:r>
                  <w:r>
                    <w:rPr>
                      <w:bCs/>
                      <w:color w:val="auto"/>
                      <w:szCs w:val="21"/>
                    </w:rPr>
                    <w:t>65</w:t>
                  </w:r>
                </w:p>
              </w:tc>
              <w:tc>
                <w:tcPr>
                  <w:tcW w:w="3582" w:type="dxa"/>
                  <w:vAlign w:val="center"/>
                </w:tcPr>
                <w:p w14:paraId="62A54158">
                  <w:pPr>
                    <w:wordWrap w:val="0"/>
                    <w:snapToGrid w:val="0"/>
                    <w:spacing w:line="280" w:lineRule="exact"/>
                    <w:jc w:val="center"/>
                    <w:rPr>
                      <w:bCs/>
                      <w:color w:val="auto"/>
                      <w:szCs w:val="21"/>
                    </w:rPr>
                  </w:pPr>
                  <w:r>
                    <w:rPr>
                      <w:color w:val="auto"/>
                      <w:szCs w:val="21"/>
                    </w:rPr>
                    <w:t>≤</w:t>
                  </w:r>
                  <w:r>
                    <w:rPr>
                      <w:bCs/>
                      <w:color w:val="auto"/>
                      <w:szCs w:val="21"/>
                    </w:rPr>
                    <w:t>55</w:t>
                  </w:r>
                </w:p>
              </w:tc>
            </w:tr>
          </w:tbl>
          <w:p w14:paraId="2CB35568">
            <w:pPr>
              <w:wordWrap w:val="0"/>
              <w:adjustRightInd w:val="0"/>
              <w:snapToGrid w:val="0"/>
              <w:spacing w:beforeLines="50" w:line="360" w:lineRule="auto"/>
              <w:ind w:right="105" w:rightChars="50" w:firstLine="482" w:firstLineChars="200"/>
              <w:rPr>
                <w:b/>
                <w:color w:val="auto"/>
                <w:sz w:val="24"/>
              </w:rPr>
            </w:pPr>
            <w:r>
              <w:rPr>
                <w:b/>
                <w:color w:val="auto"/>
                <w:sz w:val="24"/>
              </w:rPr>
              <w:t>4.固废排放标准</w:t>
            </w:r>
          </w:p>
          <w:p w14:paraId="30295B26">
            <w:pPr>
              <w:spacing w:line="360" w:lineRule="auto"/>
              <w:ind w:firstLine="480" w:firstLineChars="200"/>
              <w:rPr>
                <w:rFonts w:hint="eastAsia" w:eastAsia="宋体"/>
                <w:color w:val="auto"/>
                <w:kern w:val="0"/>
                <w:szCs w:val="21"/>
                <w:lang w:eastAsia="zh-CN"/>
              </w:rPr>
            </w:pPr>
            <w:r>
              <w:rPr>
                <w:rFonts w:hint="eastAsia"/>
                <w:color w:val="auto"/>
                <w:sz w:val="24"/>
                <w:lang w:eastAsia="zh-CN"/>
              </w:rPr>
              <w:t>建设项目无固废产生。</w:t>
            </w:r>
          </w:p>
        </w:tc>
      </w:tr>
      <w:tr w14:paraId="00CC52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357" w:type="dxa"/>
            <w:vAlign w:val="center"/>
          </w:tcPr>
          <w:p w14:paraId="218146B2">
            <w:pPr>
              <w:adjustRightInd w:val="0"/>
              <w:snapToGrid w:val="0"/>
              <w:jc w:val="center"/>
              <w:rPr>
                <w:color w:val="auto"/>
                <w:kern w:val="0"/>
                <w:sz w:val="24"/>
              </w:rPr>
            </w:pPr>
            <w:r>
              <w:rPr>
                <w:color w:val="auto"/>
                <w:kern w:val="0"/>
                <w:sz w:val="24"/>
              </w:rPr>
              <w:t>总量</w:t>
            </w:r>
          </w:p>
          <w:p w14:paraId="372047D1">
            <w:pPr>
              <w:adjustRightInd w:val="0"/>
              <w:snapToGrid w:val="0"/>
              <w:jc w:val="center"/>
              <w:rPr>
                <w:color w:val="auto"/>
                <w:kern w:val="0"/>
                <w:sz w:val="24"/>
              </w:rPr>
            </w:pPr>
            <w:r>
              <w:rPr>
                <w:color w:val="auto"/>
                <w:kern w:val="0"/>
                <w:sz w:val="24"/>
              </w:rPr>
              <w:t>控制</w:t>
            </w:r>
          </w:p>
          <w:p w14:paraId="3E4CC5A7">
            <w:pPr>
              <w:adjustRightInd w:val="0"/>
              <w:snapToGrid w:val="0"/>
              <w:jc w:val="center"/>
              <w:rPr>
                <w:color w:val="auto"/>
                <w:kern w:val="0"/>
                <w:szCs w:val="21"/>
              </w:rPr>
            </w:pPr>
            <w:r>
              <w:rPr>
                <w:color w:val="auto"/>
                <w:kern w:val="0"/>
                <w:sz w:val="24"/>
              </w:rPr>
              <w:t>指标</w:t>
            </w:r>
          </w:p>
        </w:tc>
        <w:tc>
          <w:tcPr>
            <w:tcW w:w="8633" w:type="dxa"/>
            <w:vAlign w:val="top"/>
          </w:tcPr>
          <w:p w14:paraId="2FA11B3F">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both"/>
              <w:textAlignment w:val="auto"/>
              <w:rPr>
                <w:rFonts w:eastAsiaTheme="minorEastAsia"/>
                <w:b/>
                <w:color w:val="auto"/>
                <w:kern w:val="0"/>
                <w:sz w:val="24"/>
                <w:lang w:val="zh-CN"/>
              </w:rPr>
            </w:pPr>
            <w:r>
              <w:rPr>
                <w:rFonts w:eastAsiaTheme="minorEastAsia"/>
                <w:b/>
                <w:color w:val="auto"/>
                <w:kern w:val="0"/>
                <w:sz w:val="24"/>
                <w:lang w:val="zh-CN"/>
              </w:rPr>
              <w:t>3.9总量控制</w:t>
            </w:r>
          </w:p>
          <w:p w14:paraId="1BC50EE3">
            <w:pPr>
              <w:adjustRightInd w:val="0"/>
              <w:snapToGrid w:val="0"/>
              <w:spacing w:line="360" w:lineRule="auto"/>
              <w:ind w:firstLine="420" w:firstLineChars="200"/>
              <w:jc w:val="both"/>
              <w:rPr>
                <w:rFonts w:hint="eastAsia"/>
                <w:color w:val="auto"/>
                <w:lang w:val="zh-CN"/>
              </w:rPr>
            </w:pPr>
            <w:r>
              <w:rPr>
                <w:rFonts w:hint="eastAsia"/>
                <w:color w:val="auto"/>
                <w:lang w:val="zh-CN"/>
              </w:rPr>
              <w:t>技改项目建成后液氯储存、装卸废气排放量、真空泵废水排放量均略有减少，本次评价不</w:t>
            </w:r>
            <w:r>
              <w:rPr>
                <w:rFonts w:hint="eastAsia"/>
                <w:color w:val="auto"/>
                <w:lang w:val="en-US" w:eastAsia="zh-CN"/>
              </w:rPr>
              <w:t>予</w:t>
            </w:r>
            <w:r>
              <w:rPr>
                <w:rFonts w:hint="eastAsia"/>
                <w:color w:val="auto"/>
                <w:lang w:val="zh-CN"/>
              </w:rPr>
              <w:t>分析。</w:t>
            </w:r>
          </w:p>
          <w:p w14:paraId="69B81D80">
            <w:pPr>
              <w:adjustRightInd w:val="0"/>
              <w:snapToGrid w:val="0"/>
              <w:spacing w:line="360" w:lineRule="auto"/>
              <w:ind w:firstLine="420" w:firstLineChars="200"/>
              <w:jc w:val="both"/>
              <w:rPr>
                <w:color w:val="auto"/>
                <w:lang w:val="zh-CN"/>
              </w:rPr>
            </w:pPr>
            <w:r>
              <w:rPr>
                <w:rFonts w:hint="eastAsia"/>
                <w:color w:val="auto"/>
                <w:lang w:val="en-US" w:eastAsia="zh-CN"/>
              </w:rPr>
              <w:t>技改项目</w:t>
            </w:r>
            <w:r>
              <w:rPr>
                <w:rFonts w:hint="eastAsia"/>
                <w:color w:val="auto"/>
                <w:lang w:val="zh-CN"/>
              </w:rPr>
              <w:t>固废</w:t>
            </w:r>
            <w:r>
              <w:rPr>
                <w:rFonts w:hint="eastAsia"/>
                <w:color w:val="auto"/>
                <w:lang w:val="en-US" w:eastAsia="zh-CN"/>
              </w:rPr>
              <w:t>零</w:t>
            </w:r>
            <w:r>
              <w:rPr>
                <w:rFonts w:hint="eastAsia"/>
                <w:color w:val="auto"/>
                <w:lang w:val="zh-CN"/>
              </w:rPr>
              <w:t>排放。</w:t>
            </w:r>
          </w:p>
          <w:p w14:paraId="479C7098">
            <w:pPr>
              <w:pStyle w:val="100"/>
              <w:jc w:val="both"/>
              <w:rPr>
                <w:color w:val="auto"/>
                <w:lang w:val="zh-CN"/>
              </w:rPr>
            </w:pPr>
          </w:p>
          <w:p w14:paraId="5187C932">
            <w:pPr>
              <w:pStyle w:val="100"/>
              <w:jc w:val="both"/>
              <w:rPr>
                <w:color w:val="auto"/>
                <w:lang w:val="zh-CN"/>
              </w:rPr>
            </w:pPr>
          </w:p>
          <w:p w14:paraId="3231DC68">
            <w:pPr>
              <w:pStyle w:val="100"/>
              <w:jc w:val="both"/>
              <w:rPr>
                <w:color w:val="auto"/>
                <w:lang w:val="zh-CN"/>
              </w:rPr>
            </w:pPr>
          </w:p>
          <w:p w14:paraId="22AA2890">
            <w:pPr>
              <w:pStyle w:val="100"/>
              <w:jc w:val="both"/>
              <w:rPr>
                <w:color w:val="auto"/>
                <w:lang w:val="zh-CN"/>
              </w:rPr>
            </w:pPr>
          </w:p>
          <w:p w14:paraId="53D97A63">
            <w:pPr>
              <w:pStyle w:val="100"/>
              <w:jc w:val="both"/>
              <w:rPr>
                <w:color w:val="auto"/>
                <w:lang w:val="zh-CN"/>
              </w:rPr>
            </w:pPr>
          </w:p>
          <w:p w14:paraId="60DF7F75">
            <w:pPr>
              <w:pStyle w:val="100"/>
              <w:jc w:val="both"/>
              <w:rPr>
                <w:color w:val="auto"/>
                <w:lang w:val="zh-CN"/>
              </w:rPr>
            </w:pPr>
          </w:p>
          <w:p w14:paraId="657FB004">
            <w:pPr>
              <w:pStyle w:val="100"/>
              <w:jc w:val="both"/>
              <w:rPr>
                <w:color w:val="auto"/>
                <w:lang w:val="zh-CN"/>
              </w:rPr>
            </w:pPr>
          </w:p>
          <w:p w14:paraId="0E43087A">
            <w:pPr>
              <w:pStyle w:val="100"/>
              <w:jc w:val="both"/>
              <w:rPr>
                <w:color w:val="auto"/>
                <w:lang w:val="zh-CN"/>
              </w:rPr>
            </w:pPr>
          </w:p>
          <w:p w14:paraId="49249434">
            <w:pPr>
              <w:pStyle w:val="100"/>
              <w:jc w:val="both"/>
              <w:rPr>
                <w:color w:val="auto"/>
                <w:lang w:val="zh-CN"/>
              </w:rPr>
            </w:pPr>
          </w:p>
        </w:tc>
      </w:tr>
    </w:tbl>
    <w:p w14:paraId="46FF9744">
      <w:pPr>
        <w:pStyle w:val="81"/>
        <w:jc w:val="center"/>
        <w:outlineLvl w:val="0"/>
        <w:rPr>
          <w:rFonts w:ascii="Times New Roman" w:hAnsi="Times New Roman" w:eastAsia="黑体" w:cs="Times New Roman"/>
          <w:snapToGrid w:val="0"/>
          <w:color w:val="auto"/>
          <w:sz w:val="30"/>
          <w:szCs w:val="30"/>
        </w:rPr>
      </w:pPr>
      <w:r>
        <w:rPr>
          <w:rFonts w:ascii="Times New Roman" w:hAnsi="Times New Roman" w:eastAsia="黑体" w:cs="Times New Roman"/>
          <w:snapToGrid w:val="0"/>
          <w:color w:val="auto"/>
          <w:sz w:val="36"/>
          <w:szCs w:val="36"/>
        </w:rPr>
        <w:br w:type="page"/>
      </w:r>
      <w:bookmarkStart w:id="41" w:name="_Toc29561"/>
      <w:r>
        <w:rPr>
          <w:rFonts w:ascii="Times New Roman" w:hAnsi="Times New Roman" w:eastAsia="黑体" w:cs="Times New Roman"/>
          <w:snapToGrid w:val="0"/>
          <w:color w:val="auto"/>
          <w:sz w:val="30"/>
          <w:szCs w:val="30"/>
        </w:rPr>
        <w:t>四、主要环境影响和保护措施</w:t>
      </w:r>
      <w:bookmarkEnd w:id="41"/>
    </w:p>
    <w:tbl>
      <w:tblPr>
        <w:tblStyle w:val="88"/>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8450"/>
      </w:tblGrid>
      <w:tr w14:paraId="5E3341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458" w:type="dxa"/>
            <w:tcMar>
              <w:left w:w="28" w:type="dxa"/>
              <w:right w:w="28" w:type="dxa"/>
            </w:tcMar>
            <w:vAlign w:val="center"/>
          </w:tcPr>
          <w:p w14:paraId="37DB7C4E">
            <w:pPr>
              <w:pStyle w:val="81"/>
              <w:adjustRightInd w:val="0"/>
              <w:snapToGrid w:val="0"/>
              <w:spacing w:before="0" w:beforeAutospacing="0" w:after="0" w:afterAutospacing="0"/>
              <w:jc w:val="center"/>
              <w:rPr>
                <w:rFonts w:ascii="Times New Roman" w:hAnsi="Times New Roman" w:cs="Times New Roman"/>
                <w:color w:val="auto"/>
                <w:szCs w:val="24"/>
              </w:rPr>
            </w:pPr>
            <w:r>
              <w:rPr>
                <w:rFonts w:ascii="Times New Roman" w:hAnsi="Times New Roman" w:cs="Times New Roman"/>
                <w:color w:val="auto"/>
                <w:szCs w:val="24"/>
              </w:rPr>
              <w:t>施工</w:t>
            </w:r>
          </w:p>
          <w:p w14:paraId="57E2DA30">
            <w:pPr>
              <w:pStyle w:val="81"/>
              <w:adjustRightInd w:val="0"/>
              <w:snapToGrid w:val="0"/>
              <w:spacing w:before="0" w:beforeAutospacing="0" w:after="0" w:afterAutospacing="0"/>
              <w:jc w:val="center"/>
              <w:rPr>
                <w:rFonts w:ascii="Times New Roman" w:hAnsi="Times New Roman" w:cs="Times New Roman"/>
                <w:color w:val="auto"/>
                <w:szCs w:val="24"/>
              </w:rPr>
            </w:pPr>
            <w:r>
              <w:rPr>
                <w:rFonts w:ascii="Times New Roman" w:hAnsi="Times New Roman" w:cs="Times New Roman"/>
                <w:color w:val="auto"/>
                <w:szCs w:val="24"/>
              </w:rPr>
              <w:t>期环</w:t>
            </w:r>
          </w:p>
          <w:p w14:paraId="53FCCF29">
            <w:pPr>
              <w:pStyle w:val="81"/>
              <w:adjustRightInd w:val="0"/>
              <w:snapToGrid w:val="0"/>
              <w:spacing w:before="0" w:beforeAutospacing="0" w:after="0" w:afterAutospacing="0"/>
              <w:jc w:val="center"/>
              <w:rPr>
                <w:rFonts w:ascii="Times New Roman" w:hAnsi="Times New Roman" w:cs="Times New Roman"/>
                <w:color w:val="auto"/>
                <w:szCs w:val="24"/>
              </w:rPr>
            </w:pPr>
            <w:r>
              <w:rPr>
                <w:rFonts w:ascii="Times New Roman" w:hAnsi="Times New Roman" w:cs="Times New Roman"/>
                <w:color w:val="auto"/>
                <w:szCs w:val="24"/>
              </w:rPr>
              <w:t>境保</w:t>
            </w:r>
          </w:p>
          <w:p w14:paraId="29F128A7">
            <w:pPr>
              <w:pStyle w:val="81"/>
              <w:adjustRightInd w:val="0"/>
              <w:snapToGrid w:val="0"/>
              <w:spacing w:before="0" w:beforeAutospacing="0" w:after="0" w:afterAutospacing="0"/>
              <w:jc w:val="center"/>
              <w:rPr>
                <w:rFonts w:ascii="Times New Roman" w:hAnsi="Times New Roman" w:cs="Times New Roman"/>
                <w:color w:val="auto"/>
                <w:szCs w:val="24"/>
              </w:rPr>
            </w:pPr>
            <w:r>
              <w:rPr>
                <w:rFonts w:ascii="Times New Roman" w:hAnsi="Times New Roman" w:cs="Times New Roman"/>
                <w:color w:val="auto"/>
                <w:szCs w:val="24"/>
              </w:rPr>
              <w:t>护措</w:t>
            </w:r>
          </w:p>
          <w:p w14:paraId="6777F9C8">
            <w:pPr>
              <w:pStyle w:val="81"/>
              <w:adjustRightInd w:val="0"/>
              <w:snapToGrid w:val="0"/>
              <w:spacing w:before="0" w:beforeAutospacing="0" w:after="0" w:afterAutospacing="0"/>
              <w:jc w:val="center"/>
              <w:rPr>
                <w:rFonts w:ascii="Times New Roman" w:hAnsi="Times New Roman" w:cs="Times New Roman"/>
                <w:bCs/>
                <w:color w:val="auto"/>
                <w:sz w:val="21"/>
                <w:szCs w:val="21"/>
              </w:rPr>
            </w:pPr>
            <w:r>
              <w:rPr>
                <w:rFonts w:ascii="Times New Roman" w:hAnsi="Times New Roman" w:cs="Times New Roman"/>
                <w:color w:val="auto"/>
                <w:szCs w:val="24"/>
              </w:rPr>
              <w:t>施</w:t>
            </w:r>
          </w:p>
        </w:tc>
        <w:tc>
          <w:tcPr>
            <w:tcW w:w="8450" w:type="dxa"/>
            <w:vAlign w:val="center"/>
          </w:tcPr>
          <w:p w14:paraId="100818B6">
            <w:pPr>
              <w:adjustRightInd w:val="0"/>
              <w:snapToGrid w:val="0"/>
              <w:spacing w:line="360" w:lineRule="auto"/>
              <w:rPr>
                <w:rFonts w:eastAsiaTheme="minorEastAsia"/>
                <w:b/>
                <w:color w:val="auto"/>
                <w:kern w:val="0"/>
                <w:sz w:val="24"/>
                <w:lang w:val="zh-CN"/>
              </w:rPr>
            </w:pPr>
            <w:r>
              <w:rPr>
                <w:rFonts w:eastAsiaTheme="minorEastAsia"/>
                <w:b/>
                <w:color w:val="auto"/>
                <w:kern w:val="0"/>
                <w:sz w:val="24"/>
                <w:lang w:val="zh-CN"/>
              </w:rPr>
              <w:t>4.1施工期环境保护措施</w:t>
            </w:r>
          </w:p>
          <w:p w14:paraId="6A07A99F">
            <w:pPr>
              <w:adjustRightInd w:val="0"/>
              <w:snapToGrid w:val="0"/>
              <w:spacing w:line="360" w:lineRule="auto"/>
              <w:ind w:firstLine="480" w:firstLineChars="200"/>
              <w:rPr>
                <w:color w:val="auto"/>
                <w:kern w:val="0"/>
                <w:sz w:val="24"/>
              </w:rPr>
            </w:pPr>
            <w:r>
              <w:rPr>
                <w:rFonts w:hint="eastAsia" w:eastAsiaTheme="minorEastAsia"/>
                <w:b w:val="0"/>
                <w:bCs/>
                <w:color w:val="auto"/>
                <w:sz w:val="24"/>
              </w:rPr>
              <w:t>本次项目不新建构筑物，</w:t>
            </w:r>
            <w:r>
              <w:rPr>
                <w:rFonts w:hint="eastAsia" w:eastAsiaTheme="minorEastAsia"/>
                <w:b w:val="0"/>
                <w:bCs/>
                <w:color w:val="auto"/>
                <w:sz w:val="24"/>
                <w:lang w:eastAsia="zh-CN"/>
              </w:rPr>
              <w:t>不涉及拆除工程，</w:t>
            </w:r>
            <w:r>
              <w:rPr>
                <w:rFonts w:hint="eastAsia" w:eastAsiaTheme="minorEastAsia"/>
                <w:b w:val="0"/>
                <w:bCs/>
                <w:color w:val="auto"/>
                <w:sz w:val="24"/>
              </w:rPr>
              <w:t>施工期主要为</w:t>
            </w:r>
            <w:r>
              <w:rPr>
                <w:rFonts w:hint="eastAsia" w:eastAsiaTheme="minorEastAsia"/>
                <w:b w:val="0"/>
                <w:bCs/>
                <w:color w:val="auto"/>
                <w:sz w:val="24"/>
                <w:lang w:eastAsia="zh-CN"/>
              </w:rPr>
              <w:t>储罐、黄磷池以及配套物料输送管道</w:t>
            </w:r>
            <w:r>
              <w:rPr>
                <w:rFonts w:hint="eastAsia" w:eastAsiaTheme="minorEastAsia"/>
                <w:b w:val="0"/>
                <w:bCs/>
                <w:color w:val="auto"/>
                <w:sz w:val="24"/>
              </w:rPr>
              <w:t>的安装、调试</w:t>
            </w:r>
            <w:r>
              <w:rPr>
                <w:rFonts w:hint="eastAsia" w:eastAsiaTheme="minorEastAsia"/>
                <w:b w:val="0"/>
                <w:bCs/>
                <w:color w:val="auto"/>
                <w:sz w:val="24"/>
                <w:lang w:eastAsia="zh-CN"/>
              </w:rPr>
              <w:t>，</w:t>
            </w:r>
            <w:r>
              <w:rPr>
                <w:color w:val="auto"/>
                <w:kern w:val="0"/>
                <w:sz w:val="24"/>
              </w:rPr>
              <w:t>其建设过程基本不涉及土建施工，施工期污染不大，不产生土建施工的相关环境影响，如机械噪声和扬尘等污染问题。但在设备安装以及装修过</w:t>
            </w:r>
            <w:r>
              <w:rPr>
                <w:rFonts w:hint="eastAsia"/>
                <w:color w:val="auto"/>
                <w:kern w:val="0"/>
                <w:sz w:val="24"/>
                <w:lang w:eastAsia="zh-CN"/>
              </w:rPr>
              <w:t>程中</w:t>
            </w:r>
            <w:r>
              <w:rPr>
                <w:color w:val="auto"/>
                <w:kern w:val="0"/>
                <w:sz w:val="24"/>
              </w:rPr>
              <w:t>会产生一些机械噪声，源强峰值可达85~100分贝，因此，为控制设备安装以及装修期间的噪声污染，施工单位应尽量采用低噪声的器械，避免夜间进行高噪振动操作，从而减轻对项目周界声环境的影响。另外设备安装以及装修期间产生生活污水应排入污水管网，生活垃圾应及时收集处理，设备安装以及装修</w:t>
            </w:r>
            <w:r>
              <w:rPr>
                <w:rFonts w:hint="eastAsia"/>
                <w:color w:val="auto"/>
                <w:kern w:val="0"/>
                <w:sz w:val="24"/>
                <w:lang w:eastAsia="zh-CN"/>
              </w:rPr>
              <w:t>期间</w:t>
            </w:r>
            <w:r>
              <w:rPr>
                <w:color w:val="auto"/>
                <w:kern w:val="0"/>
                <w:sz w:val="24"/>
              </w:rPr>
              <w:t>产生的固废应妥善处理，能回用的应回用，不能回用的应根据固废的性质不同交由不同的处理部门处理。设备安装以及装修期的影响较短暂，随着安装调试的结束，环境影响随即停止。</w:t>
            </w:r>
          </w:p>
          <w:p w14:paraId="19C29161">
            <w:pPr>
              <w:adjustRightInd w:val="0"/>
              <w:snapToGrid w:val="0"/>
              <w:spacing w:line="360" w:lineRule="auto"/>
              <w:ind w:firstLine="480" w:firstLineChars="200"/>
              <w:rPr>
                <w:color w:val="auto"/>
                <w:kern w:val="0"/>
                <w:sz w:val="24"/>
              </w:rPr>
            </w:pPr>
            <w:r>
              <w:rPr>
                <w:color w:val="auto"/>
                <w:kern w:val="0"/>
                <w:sz w:val="24"/>
              </w:rPr>
              <w:t>施工</w:t>
            </w:r>
            <w:r>
              <w:rPr>
                <w:rFonts w:hint="eastAsia"/>
                <w:color w:val="auto"/>
                <w:kern w:val="0"/>
                <w:sz w:val="24"/>
                <w:lang w:eastAsia="zh-CN"/>
              </w:rPr>
              <w:t>期间</w:t>
            </w:r>
            <w:r>
              <w:rPr>
                <w:color w:val="auto"/>
                <w:kern w:val="0"/>
                <w:sz w:val="24"/>
              </w:rPr>
              <w:t>应做到如下防范措施：</w:t>
            </w:r>
          </w:p>
          <w:p w14:paraId="551E84B6">
            <w:pPr>
              <w:adjustRightInd w:val="0"/>
              <w:snapToGrid w:val="0"/>
              <w:spacing w:line="360" w:lineRule="auto"/>
              <w:ind w:firstLine="480" w:firstLineChars="200"/>
              <w:rPr>
                <w:color w:val="auto"/>
                <w:kern w:val="0"/>
                <w:sz w:val="24"/>
              </w:rPr>
            </w:pPr>
            <w:r>
              <w:rPr>
                <w:color w:val="auto"/>
                <w:kern w:val="0"/>
                <w:sz w:val="24"/>
              </w:rPr>
              <w:t>a.加强施工管理，合理安排施工设备组装和施工时间，避免在居民（休息</w:t>
            </w:r>
            <w:r>
              <w:rPr>
                <w:rFonts w:hint="eastAsia"/>
                <w:color w:val="auto"/>
                <w:kern w:val="0"/>
                <w:sz w:val="24"/>
                <w:lang w:eastAsia="zh-CN"/>
              </w:rPr>
              <w:t>时间</w:t>
            </w:r>
            <w:r>
              <w:rPr>
                <w:color w:val="auto"/>
                <w:kern w:val="0"/>
                <w:sz w:val="24"/>
              </w:rPr>
              <w:t>（晚10:00</w:t>
            </w:r>
            <w:r>
              <w:rPr>
                <w:rFonts w:hint="eastAsia"/>
                <w:color w:val="auto"/>
                <w:kern w:val="0"/>
                <w:sz w:val="24"/>
                <w:lang w:eastAsia="zh-CN"/>
              </w:rPr>
              <w:t>－</w:t>
            </w:r>
            <w:r>
              <w:rPr>
                <w:color w:val="auto"/>
                <w:kern w:val="0"/>
                <w:sz w:val="24"/>
              </w:rPr>
              <w:t>早6:00）施工。除特殊需要作业外（经生态环境局批准并公布），禁止夜间以后进行产生环境噪声污染的施工。</w:t>
            </w:r>
          </w:p>
          <w:p w14:paraId="03E7AE94">
            <w:pPr>
              <w:spacing w:line="360" w:lineRule="auto"/>
              <w:ind w:firstLine="480" w:firstLineChars="200"/>
              <w:rPr>
                <w:rFonts w:eastAsiaTheme="minorEastAsia"/>
                <w:b w:val="0"/>
                <w:bCs/>
                <w:color w:val="auto"/>
                <w:sz w:val="24"/>
              </w:rPr>
            </w:pPr>
            <w:r>
              <w:rPr>
                <w:color w:val="auto"/>
                <w:kern w:val="0"/>
                <w:sz w:val="24"/>
              </w:rPr>
              <w:t>b.尽量采用低噪音施工设备和噪声低的施工方法，作业时在高噪声设备周围设置屏蔽；对施工设备进行合理布局，选择低噪声的机械设备。</w:t>
            </w:r>
          </w:p>
          <w:p w14:paraId="51A6C282">
            <w:pPr>
              <w:spacing w:line="360" w:lineRule="auto"/>
              <w:ind w:firstLine="480" w:firstLineChars="200"/>
              <w:rPr>
                <w:rFonts w:eastAsiaTheme="minorEastAsia"/>
                <w:color w:val="auto"/>
                <w:sz w:val="24"/>
              </w:rPr>
            </w:pPr>
          </w:p>
          <w:p w14:paraId="33E50905">
            <w:pPr>
              <w:spacing w:line="360" w:lineRule="auto"/>
              <w:ind w:firstLine="480" w:firstLineChars="200"/>
              <w:rPr>
                <w:rFonts w:eastAsiaTheme="minorEastAsia"/>
                <w:color w:val="auto"/>
                <w:sz w:val="24"/>
              </w:rPr>
            </w:pPr>
          </w:p>
          <w:p w14:paraId="2FEF3A9D">
            <w:pPr>
              <w:spacing w:line="360" w:lineRule="auto"/>
              <w:ind w:firstLine="480" w:firstLineChars="200"/>
              <w:rPr>
                <w:rFonts w:eastAsiaTheme="minorEastAsia"/>
                <w:color w:val="auto"/>
                <w:sz w:val="24"/>
              </w:rPr>
            </w:pPr>
          </w:p>
          <w:p w14:paraId="49AB7A73">
            <w:pPr>
              <w:spacing w:line="360" w:lineRule="auto"/>
              <w:ind w:firstLine="480" w:firstLineChars="200"/>
              <w:rPr>
                <w:rFonts w:eastAsiaTheme="minorEastAsia"/>
                <w:color w:val="auto"/>
                <w:sz w:val="24"/>
              </w:rPr>
            </w:pPr>
          </w:p>
          <w:p w14:paraId="66797FA6">
            <w:pPr>
              <w:pStyle w:val="40"/>
              <w:rPr>
                <w:rFonts w:eastAsiaTheme="minorEastAsia"/>
                <w:color w:val="auto"/>
                <w:sz w:val="24"/>
              </w:rPr>
            </w:pPr>
          </w:p>
          <w:p w14:paraId="46DFE331">
            <w:pPr>
              <w:pStyle w:val="40"/>
              <w:rPr>
                <w:rFonts w:eastAsiaTheme="minorEastAsia"/>
                <w:color w:val="auto"/>
                <w:sz w:val="24"/>
              </w:rPr>
            </w:pPr>
          </w:p>
          <w:p w14:paraId="3E8114B9">
            <w:pPr>
              <w:pStyle w:val="40"/>
              <w:rPr>
                <w:rFonts w:eastAsiaTheme="minorEastAsia"/>
                <w:color w:val="auto"/>
                <w:sz w:val="24"/>
              </w:rPr>
            </w:pPr>
          </w:p>
          <w:p w14:paraId="34C6B1DF">
            <w:pPr>
              <w:spacing w:line="360" w:lineRule="auto"/>
              <w:rPr>
                <w:bCs/>
                <w:color w:val="auto"/>
                <w:spacing w:val="-10"/>
                <w:szCs w:val="21"/>
              </w:rPr>
            </w:pPr>
          </w:p>
        </w:tc>
      </w:tr>
    </w:tbl>
    <w:p w14:paraId="12838265">
      <w:pPr>
        <w:adjustRightInd w:val="0"/>
        <w:snapToGrid w:val="0"/>
        <w:spacing w:line="360" w:lineRule="auto"/>
        <w:rPr>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8684"/>
      </w:tblGrid>
      <w:tr w14:paraId="0DC704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293" w:hRule="atLeast"/>
          <w:jc w:val="center"/>
        </w:trPr>
        <w:tc>
          <w:tcPr>
            <w:tcW w:w="293" w:type="dxa"/>
            <w:tcMar>
              <w:left w:w="28" w:type="dxa"/>
              <w:right w:w="28" w:type="dxa"/>
            </w:tcMar>
            <w:vAlign w:val="center"/>
          </w:tcPr>
          <w:p w14:paraId="47204156">
            <w:pPr>
              <w:adjustRightInd w:val="0"/>
              <w:snapToGrid w:val="0"/>
              <w:jc w:val="center"/>
              <w:rPr>
                <w:bCs/>
                <w:color w:val="auto"/>
                <w:sz w:val="24"/>
              </w:rPr>
            </w:pPr>
            <w:r>
              <w:rPr>
                <w:bCs/>
                <w:color w:val="auto"/>
                <w:sz w:val="24"/>
              </w:rPr>
              <w:t>运营</w:t>
            </w:r>
          </w:p>
          <w:p w14:paraId="08436889">
            <w:pPr>
              <w:adjustRightInd w:val="0"/>
              <w:snapToGrid w:val="0"/>
              <w:jc w:val="center"/>
              <w:rPr>
                <w:bCs/>
                <w:color w:val="auto"/>
                <w:sz w:val="24"/>
              </w:rPr>
            </w:pPr>
            <w:r>
              <w:rPr>
                <w:bCs/>
                <w:color w:val="auto"/>
                <w:sz w:val="24"/>
              </w:rPr>
              <w:t>期环</w:t>
            </w:r>
          </w:p>
          <w:p w14:paraId="2FD8455F">
            <w:pPr>
              <w:adjustRightInd w:val="0"/>
              <w:snapToGrid w:val="0"/>
              <w:jc w:val="center"/>
              <w:rPr>
                <w:bCs/>
                <w:color w:val="auto"/>
                <w:sz w:val="24"/>
              </w:rPr>
            </w:pPr>
            <w:r>
              <w:rPr>
                <w:bCs/>
                <w:color w:val="auto"/>
                <w:sz w:val="24"/>
              </w:rPr>
              <w:t>境影</w:t>
            </w:r>
          </w:p>
          <w:p w14:paraId="77C914BA">
            <w:pPr>
              <w:adjustRightInd w:val="0"/>
              <w:snapToGrid w:val="0"/>
              <w:jc w:val="center"/>
              <w:rPr>
                <w:bCs/>
                <w:color w:val="auto"/>
                <w:sz w:val="24"/>
              </w:rPr>
            </w:pPr>
            <w:r>
              <w:rPr>
                <w:bCs/>
                <w:color w:val="auto"/>
                <w:sz w:val="24"/>
              </w:rPr>
              <w:t>响和</w:t>
            </w:r>
          </w:p>
          <w:p w14:paraId="7239EF3E">
            <w:pPr>
              <w:adjustRightInd w:val="0"/>
              <w:snapToGrid w:val="0"/>
              <w:jc w:val="center"/>
              <w:rPr>
                <w:bCs/>
                <w:color w:val="auto"/>
                <w:sz w:val="24"/>
              </w:rPr>
            </w:pPr>
            <w:r>
              <w:rPr>
                <w:bCs/>
                <w:color w:val="auto"/>
                <w:sz w:val="24"/>
              </w:rPr>
              <w:t>保护</w:t>
            </w:r>
          </w:p>
          <w:p w14:paraId="3F027842">
            <w:pPr>
              <w:adjustRightInd w:val="0"/>
              <w:snapToGrid w:val="0"/>
              <w:jc w:val="center"/>
              <w:rPr>
                <w:bCs/>
                <w:color w:val="auto"/>
                <w:szCs w:val="21"/>
              </w:rPr>
            </w:pPr>
            <w:r>
              <w:rPr>
                <w:bCs/>
                <w:color w:val="auto"/>
                <w:sz w:val="24"/>
              </w:rPr>
              <w:t>措施</w:t>
            </w:r>
          </w:p>
        </w:tc>
        <w:tc>
          <w:tcPr>
            <w:tcW w:w="8687" w:type="dxa"/>
            <w:vAlign w:val="top"/>
          </w:tcPr>
          <w:p w14:paraId="68CA2303">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both"/>
              <w:textAlignment w:val="auto"/>
              <w:rPr>
                <w:rFonts w:eastAsiaTheme="minorEastAsia"/>
                <w:b/>
                <w:color w:val="auto"/>
                <w:kern w:val="0"/>
                <w:sz w:val="24"/>
                <w:lang w:val="zh-CN"/>
              </w:rPr>
            </w:pPr>
            <w:r>
              <w:rPr>
                <w:rFonts w:eastAsiaTheme="minorEastAsia"/>
                <w:b/>
                <w:color w:val="auto"/>
                <w:kern w:val="0"/>
                <w:sz w:val="24"/>
                <w:lang w:val="zh-CN"/>
              </w:rPr>
              <w:t>4.2运营期</w:t>
            </w:r>
            <w:r>
              <w:rPr>
                <w:b/>
                <w:color w:val="auto"/>
                <w:sz w:val="24"/>
              </w:rPr>
              <w:t>环境影响</w:t>
            </w:r>
            <w:r>
              <w:rPr>
                <w:rFonts w:eastAsiaTheme="minorEastAsia"/>
                <w:b/>
                <w:color w:val="auto"/>
                <w:kern w:val="0"/>
                <w:sz w:val="24"/>
                <w:lang w:val="zh-CN"/>
              </w:rPr>
              <w:t>和保护措施</w:t>
            </w:r>
          </w:p>
          <w:p w14:paraId="3E76D94A">
            <w:pPr>
              <w:adjustRightInd w:val="0"/>
              <w:snapToGrid w:val="0"/>
              <w:spacing w:line="360" w:lineRule="auto"/>
              <w:ind w:firstLine="482" w:firstLineChars="200"/>
              <w:jc w:val="both"/>
              <w:rPr>
                <w:rFonts w:eastAsiaTheme="minorEastAsia"/>
                <w:b/>
                <w:color w:val="auto"/>
                <w:kern w:val="0"/>
                <w:sz w:val="24"/>
                <w:lang w:val="zh-CN"/>
              </w:rPr>
            </w:pPr>
            <w:r>
              <w:rPr>
                <w:rFonts w:eastAsiaTheme="minorEastAsia"/>
                <w:b/>
                <w:color w:val="auto"/>
                <w:kern w:val="0"/>
                <w:sz w:val="24"/>
                <w:lang w:val="zh-CN"/>
              </w:rPr>
              <w:t>1.大气环境影响及防治措施分析</w:t>
            </w:r>
          </w:p>
          <w:p w14:paraId="0F12E53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bCs/>
                <w:color w:val="auto"/>
                <w:sz w:val="24"/>
                <w:lang w:eastAsia="zh-CN"/>
              </w:rPr>
            </w:pPr>
            <w:r>
              <w:rPr>
                <w:rFonts w:hint="eastAsia"/>
                <w:bCs/>
                <w:color w:val="auto"/>
                <w:sz w:val="24"/>
                <w:lang w:eastAsia="zh-CN"/>
              </w:rPr>
              <w:t>项目液氯储罐为全压储罐，采用高压密封工艺，储罐装</w:t>
            </w:r>
            <w:r>
              <w:rPr>
                <w:rFonts w:hint="eastAsia"/>
                <w:bCs/>
                <w:color w:val="auto"/>
                <w:sz w:val="24"/>
              </w:rPr>
              <w:t>有安全阀，可以阻止因沸腾</w:t>
            </w:r>
            <w:r>
              <w:rPr>
                <w:rFonts w:hint="eastAsia"/>
                <w:bCs/>
                <w:color w:val="auto"/>
                <w:sz w:val="24"/>
                <w:lang w:eastAsia="zh-CN"/>
              </w:rPr>
              <w:t>引起</w:t>
            </w:r>
            <w:r>
              <w:rPr>
                <w:rFonts w:hint="eastAsia"/>
                <w:bCs/>
                <w:color w:val="auto"/>
                <w:sz w:val="24"/>
              </w:rPr>
              <w:t>的外排损失以及因</w:t>
            </w:r>
            <w:r>
              <w:rPr>
                <w:rFonts w:hint="eastAsia"/>
                <w:bCs/>
                <w:color w:val="auto"/>
                <w:sz w:val="24"/>
                <w:lang w:eastAsia="zh-CN"/>
              </w:rPr>
              <w:t>昼夜温</w:t>
            </w:r>
            <w:r>
              <w:rPr>
                <w:rFonts w:hint="eastAsia"/>
                <w:bCs/>
                <w:color w:val="auto"/>
                <w:sz w:val="24"/>
              </w:rPr>
              <w:t>差和气压变化引起的呼吸损失</w:t>
            </w:r>
            <w:r>
              <w:rPr>
                <w:rFonts w:hint="eastAsia"/>
                <w:bCs/>
                <w:color w:val="auto"/>
                <w:sz w:val="24"/>
                <w:lang w:eastAsia="zh-CN"/>
              </w:rPr>
              <w:t>，</w:t>
            </w:r>
            <w:r>
              <w:rPr>
                <w:rFonts w:hint="eastAsia"/>
                <w:bCs/>
                <w:color w:val="auto"/>
                <w:sz w:val="24"/>
              </w:rPr>
              <w:t>操作中几乎没有蒸发或工作损失</w:t>
            </w:r>
            <w:r>
              <w:rPr>
                <w:rFonts w:hint="eastAsia"/>
                <w:bCs/>
                <w:color w:val="auto"/>
                <w:sz w:val="24"/>
                <w:lang w:eastAsia="zh-CN"/>
              </w:rPr>
              <w:t>，氯气产生量极少，不予定量分析。</w:t>
            </w:r>
          </w:p>
          <w:p w14:paraId="1A11F09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bCs/>
                <w:color w:val="auto"/>
                <w:sz w:val="24"/>
                <w:lang w:val="en-US" w:eastAsia="zh-CN"/>
              </w:rPr>
            </w:pPr>
            <w:r>
              <w:rPr>
                <w:rFonts w:hint="eastAsia"/>
                <w:bCs/>
                <w:color w:val="auto"/>
                <w:sz w:val="24"/>
                <w:lang w:eastAsia="zh-CN"/>
              </w:rPr>
              <w:t>液氯储存、卸车产生的废气主要为液氯卸车时抽真空、储罐泄压过程产生的少量氯气，以及日常储存过程中储罐泄压产生的氯气，经过一级水吸收+二级碱吸收</w:t>
            </w:r>
            <w:r>
              <w:rPr>
                <w:rFonts w:hint="eastAsia"/>
                <w:bCs/>
                <w:color w:val="auto"/>
                <w:sz w:val="24"/>
                <w:lang w:val="en-US" w:eastAsia="zh-CN"/>
              </w:rPr>
              <w:t>装置处理后通过25m排气筒（DA001）高空排放。</w:t>
            </w:r>
          </w:p>
          <w:p w14:paraId="3025ACB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auto"/>
              </w:rPr>
            </w:pPr>
            <w:r>
              <w:rPr>
                <w:rFonts w:hint="eastAsia" w:ascii="Times New Roman" w:hAnsi="Times New Roman" w:eastAsia="宋体" w:cs="Times New Roman"/>
                <w:color w:val="auto"/>
                <w:sz w:val="24"/>
                <w:szCs w:val="24"/>
                <w:lang w:eastAsia="zh-CN"/>
              </w:rPr>
              <w:t>现有项目共设置</w:t>
            </w:r>
            <w:r>
              <w:rPr>
                <w:rFonts w:hint="eastAsia" w:ascii="Times New Roman" w:hAnsi="Times New Roman" w:eastAsia="宋体" w:cs="Times New Roman"/>
                <w:color w:val="auto"/>
                <w:sz w:val="24"/>
                <w:szCs w:val="24"/>
                <w:lang w:val="en-US" w:eastAsia="zh-CN"/>
              </w:rPr>
              <w:t>3只21.667m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的 液氯罐式集装箱</w:t>
            </w:r>
            <w:r>
              <w:rPr>
                <w:rFonts w:hint="default" w:ascii="Times New Roman" w:hAnsi="Times New Roman" w:eastAsia="宋体" w:cs="Times New Roman"/>
                <w:color w:val="auto"/>
                <w:sz w:val="24"/>
                <w:szCs w:val="24"/>
              </w:rPr>
              <w:t>（</w:t>
            </w:r>
            <w:r>
              <w:rPr>
                <w:rFonts w:hint="eastAsia" w:ascii="Times New Roman" w:eastAsia="宋体" w:cs="Times New Roman"/>
                <w:color w:val="auto"/>
                <w:sz w:val="24"/>
                <w:szCs w:val="24"/>
                <w:lang w:eastAsia="zh-CN"/>
              </w:rPr>
              <w:t>两</w:t>
            </w:r>
            <w:r>
              <w:rPr>
                <w:rFonts w:hint="default" w:ascii="Times New Roman" w:hAnsi="Times New Roman" w:eastAsia="宋体" w:cs="Times New Roman"/>
                <w:color w:val="auto"/>
                <w:sz w:val="24"/>
                <w:szCs w:val="24"/>
              </w:rPr>
              <w:t>用一备）</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本次</w:t>
            </w:r>
            <w:r>
              <w:rPr>
                <w:rFonts w:hint="eastAsia" w:ascii="Times New Roman" w:hAnsi="Times New Roman" w:eastAsia="宋体" w:cs="Times New Roman"/>
                <w:color w:val="auto"/>
                <w:sz w:val="24"/>
                <w:szCs w:val="24"/>
                <w:lang w:eastAsia="zh-CN"/>
              </w:rPr>
              <w:t>技改</w:t>
            </w:r>
            <w:r>
              <w:rPr>
                <w:rFonts w:hint="default" w:ascii="Times New Roman" w:hAnsi="Times New Roman" w:eastAsia="宋体" w:cs="Times New Roman"/>
                <w:color w:val="auto"/>
                <w:sz w:val="24"/>
                <w:szCs w:val="24"/>
              </w:rPr>
              <w:t>后全厂1只57m³液氯储罐、2只79m³液氯储罐（一用一备），液氯运转</w:t>
            </w:r>
            <w:r>
              <w:rPr>
                <w:rFonts w:hint="eastAsia" w:ascii="Times New Roman" w:hAnsi="Times New Roman" w:eastAsia="宋体" w:cs="Times New Roman"/>
                <w:color w:val="auto"/>
                <w:sz w:val="24"/>
                <w:szCs w:val="24"/>
                <w:lang w:eastAsia="zh-CN"/>
              </w:rPr>
              <w:t>频次由</w:t>
            </w:r>
            <w:r>
              <w:rPr>
                <w:rFonts w:hint="eastAsia" w:ascii="Times New Roman" w:hAnsi="Times New Roman" w:eastAsia="宋体" w:cs="Times New Roman"/>
                <w:color w:val="auto"/>
                <w:sz w:val="24"/>
                <w:szCs w:val="24"/>
                <w:lang w:val="en-US" w:eastAsia="zh-CN"/>
              </w:rPr>
              <w:t>9559次/a降至3046次/a</w:t>
            </w:r>
            <w:r>
              <w:rPr>
                <w:rFonts w:hint="eastAsia" w:ascii="Times New Roman" w:hAnsi="Times New Roman" w:eastAsia="宋体" w:cs="Times New Roman"/>
                <w:color w:val="auto"/>
                <w:sz w:val="24"/>
                <w:szCs w:val="24"/>
                <w:lang w:eastAsia="zh-CN"/>
              </w:rPr>
              <w:t>，液氯卸车前检验次数、卸车过程中泄压次数与周转频次成正比，因此，技改项目建成后液氯储存、装卸废气排放量</w:t>
            </w:r>
            <w:r>
              <w:rPr>
                <w:rFonts w:hint="eastAsia" w:cs="Times New Roman"/>
                <w:color w:val="auto"/>
                <w:sz w:val="24"/>
                <w:szCs w:val="24"/>
                <w:lang w:eastAsia="zh-CN"/>
              </w:rPr>
              <w:t>均略有减少</w:t>
            </w:r>
            <w:r>
              <w:rPr>
                <w:rFonts w:hint="eastAsia" w:asci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因此，本次评价不再进行分析</w:t>
            </w:r>
            <w:r>
              <w:rPr>
                <w:rFonts w:hint="eastAsia" w:eastAsiaTheme="minorEastAsia"/>
                <w:color w:val="auto"/>
                <w:kern w:val="0"/>
                <w:sz w:val="24"/>
                <w:lang w:val="zh-CN"/>
              </w:rPr>
              <w:t>。</w:t>
            </w:r>
          </w:p>
          <w:p w14:paraId="01AB71F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eastAsia="宋体"/>
                <w:color w:val="auto"/>
                <w:lang w:val="en-US" w:eastAsia="zh-CN"/>
              </w:rPr>
            </w:pPr>
            <w:r>
              <w:rPr>
                <w:rFonts w:hint="eastAsia"/>
                <w:color w:val="auto"/>
                <w:sz w:val="24"/>
                <w:szCs w:val="24"/>
                <w:lang w:eastAsia="zh-CN"/>
              </w:rPr>
              <w:t>技改后液氯储存废气收集、处理措施均未发生变化，仅废气排放量略有减少，根据现有“</w:t>
            </w:r>
            <w:r>
              <w:rPr>
                <w:rFonts w:hint="eastAsia" w:ascii="Times New Roman" w:hAnsi="Times New Roman" w:cs="Times New Roman"/>
                <w:color w:val="auto"/>
                <w:sz w:val="24"/>
                <w:szCs w:val="24"/>
              </w:rPr>
              <w:t>年产14.5万吨三氯氧磷（其中电子级0.5万吨）、11万吨电子级五氯化磷技改项目</w:t>
            </w:r>
            <w:r>
              <w:rPr>
                <w:rFonts w:hint="eastAsia"/>
                <w:color w:val="auto"/>
                <w:sz w:val="24"/>
                <w:szCs w:val="24"/>
                <w:lang w:eastAsia="zh-CN"/>
              </w:rPr>
              <w:t>”竣工验收监测报告及</w:t>
            </w:r>
            <w:r>
              <w:rPr>
                <w:rFonts w:hint="eastAsia"/>
                <w:color w:val="auto"/>
                <w:sz w:val="24"/>
                <w:szCs w:val="24"/>
                <w:lang w:val="en-US" w:eastAsia="zh-CN"/>
              </w:rPr>
              <w:t>2025年第2－第4季度例行监测报告可知，DA001废气可稳定达标排放，因此，可间接佐证，项目依托现有项</w:t>
            </w:r>
            <w:r>
              <w:rPr>
                <w:rFonts w:hint="eastAsia"/>
                <w:color w:val="auto"/>
                <w:lang w:val="en-US" w:eastAsia="zh-CN"/>
              </w:rPr>
              <w:t>目DA001及配套的“</w:t>
            </w:r>
            <w:r>
              <w:rPr>
                <w:rFonts w:hint="eastAsia"/>
                <w:bCs/>
                <w:color w:val="auto"/>
                <w:sz w:val="24"/>
                <w:lang w:eastAsia="zh-CN"/>
              </w:rPr>
              <w:t>一级水吸收+二级</w:t>
            </w:r>
            <w:r>
              <w:rPr>
                <w:rFonts w:hint="eastAsia"/>
                <w:bCs/>
                <w:color w:val="auto"/>
                <w:sz w:val="24"/>
                <w:szCs w:val="24"/>
                <w:lang w:eastAsia="zh-CN"/>
              </w:rPr>
              <w:t>碱吸收</w:t>
            </w:r>
            <w:r>
              <w:rPr>
                <w:rFonts w:hint="eastAsia"/>
                <w:bCs/>
                <w:color w:val="auto"/>
                <w:sz w:val="24"/>
                <w:szCs w:val="24"/>
                <w:lang w:val="en-US" w:eastAsia="zh-CN"/>
              </w:rPr>
              <w:t>装置</w:t>
            </w:r>
            <w:r>
              <w:rPr>
                <w:rFonts w:hint="eastAsia"/>
                <w:color w:val="auto"/>
                <w:sz w:val="24"/>
                <w:szCs w:val="24"/>
                <w:lang w:val="en-US" w:eastAsia="zh-CN"/>
              </w:rPr>
              <w:t>”进行废气处理，处理措施可行。</w:t>
            </w:r>
          </w:p>
          <w:p w14:paraId="6F1F815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eastAsiaTheme="minorEastAsia"/>
                <w:b/>
                <w:color w:val="auto"/>
                <w:kern w:val="0"/>
                <w:sz w:val="24"/>
                <w:lang w:val="zh-CN"/>
              </w:rPr>
            </w:pPr>
            <w:r>
              <w:rPr>
                <w:rFonts w:eastAsiaTheme="minorEastAsia"/>
                <w:b/>
                <w:color w:val="auto"/>
                <w:kern w:val="0"/>
                <w:sz w:val="24"/>
                <w:lang w:val="zh-CN"/>
              </w:rPr>
              <w:t>2.废水环境影响及防治措施分析</w:t>
            </w:r>
          </w:p>
          <w:p w14:paraId="4BE1269B">
            <w:pPr>
              <w:pStyle w:val="6"/>
              <w:spacing w:line="360" w:lineRule="auto"/>
              <w:jc w:val="left"/>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现有项目共设置</w:t>
            </w:r>
            <w:r>
              <w:rPr>
                <w:rFonts w:hint="eastAsia" w:ascii="Times New Roman" w:hAnsi="Times New Roman" w:eastAsia="宋体" w:cs="Times New Roman"/>
                <w:color w:val="auto"/>
                <w:sz w:val="24"/>
                <w:szCs w:val="24"/>
                <w:lang w:val="en-US" w:eastAsia="zh-CN"/>
              </w:rPr>
              <w:t>3只21.667m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的液氯罐式集装箱，</w:t>
            </w:r>
            <w:r>
              <w:rPr>
                <w:rFonts w:hint="default" w:ascii="Times New Roman" w:hAnsi="Times New Roman" w:eastAsia="宋体" w:cs="Times New Roman"/>
                <w:color w:val="auto"/>
                <w:sz w:val="24"/>
                <w:szCs w:val="24"/>
              </w:rPr>
              <w:t>本次</w:t>
            </w:r>
            <w:r>
              <w:rPr>
                <w:rFonts w:hint="eastAsia" w:ascii="Times New Roman" w:hAnsi="Times New Roman" w:eastAsia="宋体" w:cs="Times New Roman"/>
                <w:color w:val="auto"/>
                <w:sz w:val="24"/>
                <w:szCs w:val="24"/>
                <w:lang w:eastAsia="zh-CN"/>
              </w:rPr>
              <w:t>技改</w:t>
            </w:r>
            <w:r>
              <w:rPr>
                <w:rFonts w:hint="default" w:ascii="Times New Roman" w:hAnsi="Times New Roman" w:eastAsia="宋体" w:cs="Times New Roman"/>
                <w:color w:val="auto"/>
                <w:sz w:val="24"/>
                <w:szCs w:val="24"/>
              </w:rPr>
              <w:t>后全厂1只57m³液氯储罐、2只79m³液氯储罐（一用一备），液氯运转</w:t>
            </w:r>
            <w:r>
              <w:rPr>
                <w:rFonts w:hint="eastAsia" w:ascii="Times New Roman" w:hAnsi="Times New Roman" w:eastAsia="宋体" w:cs="Times New Roman"/>
                <w:color w:val="auto"/>
                <w:sz w:val="24"/>
                <w:szCs w:val="24"/>
                <w:lang w:eastAsia="zh-CN"/>
              </w:rPr>
              <w:t>频次由</w:t>
            </w:r>
            <w:r>
              <w:rPr>
                <w:rFonts w:hint="eastAsia" w:ascii="Times New Roman" w:hAnsi="Times New Roman" w:eastAsia="宋体" w:cs="Times New Roman"/>
                <w:color w:val="auto"/>
                <w:sz w:val="24"/>
                <w:szCs w:val="24"/>
                <w:lang w:val="en-US" w:eastAsia="zh-CN"/>
              </w:rPr>
              <w:t>9559次/a降至3046次/a</w:t>
            </w:r>
            <w:r>
              <w:rPr>
                <w:rFonts w:hint="eastAsia" w:ascii="Times New Roman" w:hAnsi="Times New Roman" w:eastAsia="宋体" w:cs="Times New Roman"/>
                <w:color w:val="auto"/>
                <w:sz w:val="24"/>
                <w:szCs w:val="24"/>
                <w:lang w:eastAsia="zh-CN"/>
              </w:rPr>
              <w:t>，液氯卸车前检验次数、卸车过程中泄压次数与周转频次成正比，因此，技改项目建成后罐车卸车试压过程中</w:t>
            </w:r>
            <w:r>
              <w:rPr>
                <w:rFonts w:hint="eastAsia" w:ascii="Times New Roman" w:eastAsia="宋体" w:cs="Times New Roman"/>
                <w:color w:val="auto"/>
                <w:sz w:val="24"/>
                <w:szCs w:val="24"/>
                <w:lang w:val="en-US" w:eastAsia="zh-CN"/>
              </w:rPr>
              <w:t>产生</w:t>
            </w:r>
            <w:r>
              <w:rPr>
                <w:rFonts w:hint="eastAsia" w:ascii="Times New Roman" w:hAnsi="Times New Roman" w:eastAsia="宋体" w:cs="Times New Roman"/>
                <w:color w:val="auto"/>
                <w:sz w:val="24"/>
                <w:szCs w:val="24"/>
                <w:lang w:eastAsia="zh-CN"/>
              </w:rPr>
              <w:t>真空泵废水排放量略有减少</w:t>
            </w:r>
            <w:r>
              <w:rPr>
                <w:rFonts w:hint="eastAsia" w:ascii="Times New Roman" w:eastAsia="宋体" w:cs="Times New Roman"/>
                <w:color w:val="auto"/>
                <w:sz w:val="24"/>
                <w:szCs w:val="24"/>
                <w:lang w:eastAsia="zh-CN"/>
              </w:rPr>
              <w:t>（根据现有项目生产台账，真空泵排水量约</w:t>
            </w:r>
            <w:r>
              <w:rPr>
                <w:rFonts w:hint="eastAsia" w:ascii="Times New Roman" w:eastAsia="宋体" w:cs="Times New Roman"/>
                <w:color w:val="auto"/>
                <w:sz w:val="24"/>
                <w:szCs w:val="24"/>
                <w:lang w:val="en-US" w:eastAsia="zh-CN"/>
              </w:rPr>
              <w:t>4t/a，本次升级改造后，真空泵排水量约减少至1.27t/a，变化不大</w:t>
            </w:r>
            <w:r>
              <w:rPr>
                <w:rFonts w:hint="eastAsia" w:asci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w:t>
            </w:r>
            <w:r>
              <w:rPr>
                <w:rFonts w:hint="eastAsia" w:ascii="Times New Roman" w:eastAsia="宋体" w:cs="Times New Roman"/>
                <w:color w:val="auto"/>
                <w:sz w:val="24"/>
                <w:szCs w:val="24"/>
                <w:lang w:val="en-US" w:eastAsia="zh-CN"/>
              </w:rPr>
              <w:t>且</w:t>
            </w:r>
            <w:r>
              <w:rPr>
                <w:rFonts w:hint="eastAsia" w:ascii="Times New Roman" w:hAnsi="Times New Roman" w:eastAsia="宋体" w:cs="Times New Roman"/>
                <w:color w:val="auto"/>
                <w:sz w:val="24"/>
                <w:szCs w:val="24"/>
                <w:lang w:eastAsia="zh-CN"/>
              </w:rPr>
              <w:t>本项目液氯罐车卸车试压过程中的真空泵废水与现有项目真空泵废水收集处理方式</w:t>
            </w:r>
            <w:r>
              <w:rPr>
                <w:rFonts w:hint="eastAsia" w:ascii="Times New Roman" w:eastAsia="宋体" w:cs="Times New Roman"/>
                <w:color w:val="auto"/>
                <w:sz w:val="24"/>
                <w:szCs w:val="24"/>
                <w:lang w:val="en-US" w:eastAsia="zh-CN"/>
              </w:rPr>
              <w:t>均</w:t>
            </w:r>
            <w:r>
              <w:rPr>
                <w:rFonts w:hint="eastAsia" w:ascii="Times New Roman" w:hAnsi="Times New Roman" w:eastAsia="宋体" w:cs="Times New Roman"/>
                <w:color w:val="auto"/>
                <w:sz w:val="24"/>
                <w:szCs w:val="24"/>
                <w:lang w:eastAsia="zh-CN"/>
              </w:rPr>
              <w:t>一致</w:t>
            </w:r>
            <w:r>
              <w:rPr>
                <w:rFonts w:hint="eastAsia" w:asci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因此，本次评价不再进行分析。</w:t>
            </w:r>
          </w:p>
          <w:p w14:paraId="390D4BCA">
            <w:pPr>
              <w:adjustRightInd w:val="0"/>
              <w:snapToGrid w:val="0"/>
              <w:spacing w:line="360" w:lineRule="auto"/>
              <w:ind w:firstLine="480" w:firstLineChars="200"/>
              <w:jc w:val="both"/>
              <w:rPr>
                <w:rFonts w:hint="eastAsia" w:eastAsiaTheme="minorEastAsia"/>
                <w:color w:val="auto"/>
                <w:kern w:val="0"/>
                <w:sz w:val="24"/>
                <w:lang w:val="zh-CN"/>
              </w:rPr>
            </w:pPr>
            <w:r>
              <w:rPr>
                <w:rFonts w:hint="eastAsia" w:eastAsiaTheme="minorEastAsia"/>
                <w:color w:val="auto"/>
                <w:kern w:val="0"/>
                <w:sz w:val="24"/>
                <w:lang w:val="zh-CN"/>
              </w:rPr>
              <w:t>项目新增用水为黄磷水封用水，水封用水全部蒸发损耗，定期补充，不外排，黄磷加热采用蒸汽加热，产生的蒸汽冷凝水部分用于黄磷池水封，部分进入厂区循环水系统，不外排，建设项目不新增废水产生及排放。</w:t>
            </w:r>
          </w:p>
          <w:p w14:paraId="2D326F40">
            <w:pPr>
              <w:adjustRightInd w:val="0"/>
              <w:snapToGrid w:val="0"/>
              <w:spacing w:line="360" w:lineRule="auto"/>
              <w:ind w:firstLine="480" w:firstLineChars="200"/>
              <w:jc w:val="both"/>
              <w:rPr>
                <w:rFonts w:hint="default" w:eastAsiaTheme="minorEastAsia"/>
                <w:color w:val="auto"/>
                <w:kern w:val="0"/>
                <w:sz w:val="24"/>
                <w:lang w:val="en-US" w:eastAsia="zh-CN"/>
              </w:rPr>
            </w:pPr>
            <w:r>
              <w:rPr>
                <w:rFonts w:hint="eastAsia" w:eastAsiaTheme="minorEastAsia"/>
                <w:color w:val="auto"/>
                <w:kern w:val="0"/>
                <w:sz w:val="24"/>
                <w:lang w:val="zh-CN"/>
              </w:rPr>
              <w:t>（</w:t>
            </w:r>
            <w:r>
              <w:rPr>
                <w:rFonts w:hint="eastAsia" w:eastAsiaTheme="minorEastAsia"/>
                <w:color w:val="auto"/>
                <w:kern w:val="0"/>
                <w:sz w:val="24"/>
                <w:lang w:val="en-US" w:eastAsia="zh-CN"/>
              </w:rPr>
              <w:t>1</w:t>
            </w:r>
            <w:r>
              <w:rPr>
                <w:rFonts w:hint="eastAsia" w:eastAsiaTheme="minorEastAsia"/>
                <w:color w:val="auto"/>
                <w:kern w:val="0"/>
                <w:sz w:val="24"/>
                <w:lang w:val="zh-CN"/>
              </w:rPr>
              <w:t>）蒸汽冷凝水</w:t>
            </w:r>
            <w:r>
              <w:rPr>
                <w:rFonts w:hint="default" w:eastAsiaTheme="minorEastAsia"/>
                <w:color w:val="auto"/>
                <w:kern w:val="0"/>
                <w:sz w:val="24"/>
                <w:lang w:val="en-US" w:eastAsia="zh-CN"/>
              </w:rPr>
              <w:t>排水</w:t>
            </w:r>
          </w:p>
          <w:p w14:paraId="591FDE2F">
            <w:pPr>
              <w:adjustRightInd w:val="0"/>
              <w:snapToGrid w:val="0"/>
              <w:spacing w:line="360" w:lineRule="auto"/>
              <w:ind w:firstLine="480" w:firstLineChars="200"/>
              <w:jc w:val="both"/>
              <w:rPr>
                <w:rFonts w:hint="default" w:eastAsiaTheme="minorEastAsia"/>
                <w:color w:val="auto"/>
                <w:kern w:val="0"/>
                <w:sz w:val="24"/>
                <w:lang w:val="en-US" w:eastAsia="zh-CN"/>
              </w:rPr>
            </w:pPr>
            <w:r>
              <w:rPr>
                <w:rFonts w:hint="default" w:eastAsiaTheme="minorEastAsia"/>
                <w:color w:val="auto"/>
                <w:kern w:val="0"/>
                <w:sz w:val="24"/>
                <w:lang w:val="en-US" w:eastAsia="zh-CN"/>
              </w:rPr>
              <w:t>本项目使用园区蒸汽用于黄磷池加热，用量为</w:t>
            </w:r>
            <w:r>
              <w:rPr>
                <w:rFonts w:hint="eastAsia" w:eastAsiaTheme="minorEastAsia"/>
                <w:color w:val="auto"/>
                <w:kern w:val="0"/>
                <w:sz w:val="24"/>
                <w:lang w:val="en-US" w:eastAsia="zh-CN"/>
              </w:rPr>
              <w:t>800</w:t>
            </w:r>
            <w:r>
              <w:rPr>
                <w:rFonts w:hint="default" w:eastAsiaTheme="minorEastAsia"/>
                <w:color w:val="auto"/>
                <w:kern w:val="0"/>
                <w:sz w:val="24"/>
                <w:lang w:val="en-US" w:eastAsia="zh-CN"/>
              </w:rPr>
              <w:t>0m</w:t>
            </w:r>
            <w:r>
              <w:rPr>
                <w:rFonts w:hint="default" w:eastAsiaTheme="minorEastAsia"/>
                <w:color w:val="auto"/>
                <w:kern w:val="0"/>
                <w:sz w:val="24"/>
                <w:vertAlign w:val="superscript"/>
                <w:lang w:val="en-US" w:eastAsia="zh-CN"/>
              </w:rPr>
              <w:t>3</w:t>
            </w:r>
            <w:r>
              <w:rPr>
                <w:rFonts w:hint="default" w:eastAsiaTheme="minorEastAsia"/>
                <w:color w:val="auto"/>
                <w:kern w:val="0"/>
                <w:sz w:val="24"/>
                <w:lang w:val="en-US" w:eastAsia="zh-CN"/>
              </w:rPr>
              <w:t>/a</w:t>
            </w:r>
            <w:r>
              <w:rPr>
                <w:rFonts w:hint="eastAsia" w:eastAsiaTheme="minorEastAsia"/>
                <w:color w:val="auto"/>
                <w:kern w:val="0"/>
                <w:sz w:val="24"/>
                <w:lang w:val="en-US" w:eastAsia="zh-CN"/>
              </w:rPr>
              <w:t>，</w:t>
            </w:r>
            <w:r>
              <w:rPr>
                <w:rFonts w:hint="default" w:eastAsiaTheme="minorEastAsia"/>
                <w:color w:val="auto"/>
                <w:kern w:val="0"/>
                <w:sz w:val="24"/>
                <w:lang w:val="en-US" w:eastAsia="zh-CN"/>
              </w:rPr>
              <w:t>该部分蒸汽在系统内全部冷凝排入热水槽</w:t>
            </w:r>
            <w:r>
              <w:rPr>
                <w:rFonts w:hint="eastAsia" w:eastAsiaTheme="minorEastAsia"/>
                <w:color w:val="auto"/>
                <w:kern w:val="0"/>
                <w:sz w:val="24"/>
                <w:lang w:val="en-US" w:eastAsia="zh-CN"/>
              </w:rPr>
              <w:t>，</w:t>
            </w:r>
            <w:r>
              <w:rPr>
                <w:rFonts w:hint="default" w:eastAsiaTheme="minorEastAsia"/>
                <w:color w:val="auto"/>
                <w:kern w:val="0"/>
                <w:sz w:val="24"/>
                <w:lang w:val="en-US" w:eastAsia="zh-CN"/>
              </w:rPr>
              <w:t>部分用作黄磷液封补水，部分进入循环水系统。</w:t>
            </w:r>
          </w:p>
          <w:p w14:paraId="7EAE7126">
            <w:pPr>
              <w:numPr>
                <w:ilvl w:val="0"/>
                <w:numId w:val="0"/>
              </w:numPr>
              <w:adjustRightInd w:val="0"/>
              <w:snapToGrid w:val="0"/>
              <w:spacing w:line="360" w:lineRule="auto"/>
              <w:ind w:firstLine="480" w:firstLineChars="200"/>
              <w:jc w:val="both"/>
              <w:rPr>
                <w:rFonts w:hint="eastAsia" w:eastAsiaTheme="minorEastAsia"/>
                <w:color w:val="auto"/>
                <w:kern w:val="0"/>
                <w:sz w:val="24"/>
                <w:lang w:val="zh-CN"/>
              </w:rPr>
            </w:pPr>
            <w:r>
              <w:rPr>
                <w:rFonts w:hint="eastAsia" w:ascii="Times New Roman" w:hAnsi="Times New Roman" w:cs="Times New Roman" w:eastAsiaTheme="minorEastAsia"/>
                <w:color w:val="auto"/>
                <w:kern w:val="0"/>
                <w:sz w:val="24"/>
                <w:szCs w:val="24"/>
                <w:lang w:val="zh-CN" w:eastAsia="zh-CN" w:bidi="ar-SA"/>
              </w:rPr>
              <w:t>（2）</w:t>
            </w:r>
            <w:r>
              <w:rPr>
                <w:rFonts w:hint="eastAsia" w:eastAsiaTheme="minorEastAsia"/>
                <w:color w:val="auto"/>
                <w:kern w:val="0"/>
                <w:sz w:val="24"/>
                <w:lang w:val="zh-CN"/>
              </w:rPr>
              <w:t>黄磷液封用水：为了避免黄磷与空气接触，储存在黄磷池中的黄磷顶部需要加水液封，项目新增</w:t>
            </w:r>
            <w:r>
              <w:rPr>
                <w:rFonts w:hint="eastAsia" w:eastAsiaTheme="minorEastAsia"/>
                <w:color w:val="auto"/>
                <w:kern w:val="0"/>
                <w:sz w:val="24"/>
                <w:lang w:val="en-US" w:eastAsia="zh-CN"/>
              </w:rPr>
              <w:t>2座黄磷池，单个黄磷池尺寸为12.5×5.6×4.5m，</w:t>
            </w:r>
            <w:r>
              <w:rPr>
                <w:rFonts w:hint="eastAsia" w:eastAsiaTheme="minorEastAsia"/>
                <w:color w:val="auto"/>
                <w:kern w:val="0"/>
                <w:sz w:val="24"/>
                <w:lang w:val="zh-CN"/>
              </w:rPr>
              <w:t>液封水层厚不得小于</w:t>
            </w:r>
            <w:r>
              <w:rPr>
                <w:rFonts w:hint="eastAsia" w:eastAsiaTheme="minorEastAsia"/>
                <w:color w:val="auto"/>
                <w:kern w:val="0"/>
                <w:sz w:val="24"/>
                <w:lang w:val="en-US" w:eastAsia="zh-CN"/>
              </w:rPr>
              <w:t>1</w:t>
            </w:r>
            <w:r>
              <w:rPr>
                <w:rFonts w:hint="eastAsia" w:eastAsiaTheme="minorEastAsia"/>
                <w:color w:val="auto"/>
                <w:kern w:val="0"/>
                <w:sz w:val="24"/>
                <w:lang w:val="zh-CN"/>
              </w:rPr>
              <w:t>m，由于黄磷持续放热，需要持续向液封水中补充热水，本项目新增2座黄磷池（</w:t>
            </w:r>
            <w:r>
              <w:rPr>
                <w:rFonts w:hint="eastAsia" w:eastAsiaTheme="minorEastAsia"/>
                <w:color w:val="auto"/>
                <w:kern w:val="0"/>
                <w:sz w:val="24"/>
                <w:lang w:val="en-US" w:eastAsia="zh-CN"/>
              </w:rPr>
              <w:t>12.5×5.6×4.5m</w:t>
            </w:r>
            <w:r>
              <w:rPr>
                <w:rFonts w:hint="eastAsia" w:eastAsiaTheme="minorEastAsia"/>
                <w:color w:val="auto"/>
                <w:kern w:val="0"/>
                <w:sz w:val="24"/>
                <w:lang w:val="zh-CN"/>
              </w:rPr>
              <w:t>），黄磷池采用水封，黄磷池水封总的表面积为1</w:t>
            </w:r>
            <w:r>
              <w:rPr>
                <w:rFonts w:hint="eastAsia" w:eastAsiaTheme="minorEastAsia"/>
                <w:color w:val="auto"/>
                <w:kern w:val="0"/>
                <w:sz w:val="24"/>
                <w:lang w:val="en-US" w:eastAsia="zh-CN"/>
              </w:rPr>
              <w:t>40</w:t>
            </w:r>
            <w:r>
              <w:rPr>
                <w:rFonts w:hint="eastAsia" w:eastAsiaTheme="minorEastAsia"/>
                <w:color w:val="auto"/>
                <w:kern w:val="0"/>
                <w:sz w:val="24"/>
                <w:lang w:val="zh-CN"/>
              </w:rPr>
              <w:t>m</w:t>
            </w:r>
            <w:r>
              <w:rPr>
                <w:rFonts w:hint="eastAsia" w:eastAsiaTheme="minorEastAsia"/>
                <w:color w:val="auto"/>
                <w:kern w:val="0"/>
                <w:sz w:val="24"/>
                <w:vertAlign w:val="superscript"/>
                <w:lang w:val="zh-CN"/>
              </w:rPr>
              <w:t>2</w:t>
            </w:r>
            <w:r>
              <w:rPr>
                <w:rFonts w:hint="eastAsia" w:eastAsiaTheme="minorEastAsia"/>
                <w:color w:val="auto"/>
                <w:kern w:val="0"/>
                <w:sz w:val="24"/>
                <w:lang w:val="zh-CN"/>
              </w:rPr>
              <w:t>，水的蒸发量以3L·m</w:t>
            </w:r>
            <w:r>
              <w:rPr>
                <w:rFonts w:hint="eastAsia" w:eastAsiaTheme="minorEastAsia"/>
                <w:color w:val="auto"/>
                <w:kern w:val="0"/>
                <w:sz w:val="24"/>
                <w:vertAlign w:val="superscript"/>
                <w:lang w:val="zh-CN"/>
              </w:rPr>
              <w:t>-2</w:t>
            </w:r>
            <w:r>
              <w:rPr>
                <w:rFonts w:hint="eastAsia" w:eastAsiaTheme="minorEastAsia"/>
                <w:color w:val="auto"/>
                <w:kern w:val="0"/>
                <w:sz w:val="24"/>
                <w:lang w:val="zh-CN"/>
              </w:rPr>
              <w:t>·h</w:t>
            </w:r>
            <w:r>
              <w:rPr>
                <w:rFonts w:hint="eastAsia" w:eastAsiaTheme="minorEastAsia"/>
                <w:color w:val="auto"/>
                <w:kern w:val="0"/>
                <w:sz w:val="24"/>
                <w:vertAlign w:val="superscript"/>
                <w:lang w:val="zh-CN"/>
              </w:rPr>
              <w:t>-1</w:t>
            </w:r>
            <w:r>
              <w:rPr>
                <w:rFonts w:hint="eastAsia" w:eastAsiaTheme="minorEastAsia"/>
                <w:color w:val="auto"/>
                <w:kern w:val="0"/>
                <w:sz w:val="24"/>
                <w:lang w:val="zh-CN"/>
              </w:rPr>
              <w:t>计，全年共计8760h，则黄磷池水蒸发量约为</w:t>
            </w:r>
            <w:r>
              <w:rPr>
                <w:rFonts w:hint="eastAsia" w:eastAsiaTheme="minorEastAsia"/>
                <w:color w:val="auto"/>
                <w:kern w:val="0"/>
                <w:sz w:val="24"/>
                <w:lang w:val="en-US" w:eastAsia="zh-CN"/>
              </w:rPr>
              <w:t>3679.2</w:t>
            </w:r>
            <w:r>
              <w:rPr>
                <w:rFonts w:hint="eastAsia" w:eastAsiaTheme="minorEastAsia"/>
                <w:color w:val="auto"/>
                <w:kern w:val="0"/>
                <w:sz w:val="24"/>
                <w:lang w:val="zh-CN"/>
              </w:rPr>
              <w:t>m³/a。黄磷池水封高度为</w:t>
            </w:r>
            <w:r>
              <w:rPr>
                <w:rFonts w:hint="eastAsia" w:eastAsiaTheme="minorEastAsia"/>
                <w:color w:val="auto"/>
                <w:kern w:val="0"/>
                <w:sz w:val="24"/>
                <w:lang w:val="en-US" w:eastAsia="zh-CN"/>
              </w:rPr>
              <w:t>3</w:t>
            </w:r>
            <w:r>
              <w:rPr>
                <w:rFonts w:hint="eastAsia" w:eastAsiaTheme="minorEastAsia"/>
                <w:color w:val="auto"/>
                <w:kern w:val="0"/>
                <w:sz w:val="24"/>
                <w:lang w:val="zh-CN"/>
              </w:rPr>
              <w:t>米，则黄磷池始终保持水量为</w:t>
            </w:r>
            <w:r>
              <w:rPr>
                <w:rFonts w:hint="eastAsia" w:eastAsiaTheme="minorEastAsia"/>
                <w:color w:val="auto"/>
                <w:kern w:val="0"/>
                <w:sz w:val="24"/>
                <w:lang w:val="en-US" w:eastAsia="zh-CN"/>
              </w:rPr>
              <w:t>420</w:t>
            </w:r>
            <w:r>
              <w:rPr>
                <w:rFonts w:hint="eastAsia" w:eastAsiaTheme="minorEastAsia"/>
                <w:color w:val="auto"/>
                <w:kern w:val="0"/>
                <w:sz w:val="24"/>
                <w:lang w:val="zh-CN"/>
              </w:rPr>
              <w:t>m³/a。则本次项目黄磷池用水量为</w:t>
            </w:r>
            <w:r>
              <w:rPr>
                <w:rFonts w:hint="eastAsia" w:eastAsiaTheme="minorEastAsia"/>
                <w:color w:val="auto"/>
                <w:kern w:val="0"/>
                <w:sz w:val="24"/>
                <w:lang w:val="en-US" w:eastAsia="zh-CN"/>
              </w:rPr>
              <w:t>3679.2</w:t>
            </w:r>
            <w:r>
              <w:rPr>
                <w:rFonts w:hint="eastAsia" w:eastAsiaTheme="minorEastAsia"/>
                <w:color w:val="auto"/>
                <w:kern w:val="0"/>
                <w:sz w:val="24"/>
                <w:lang w:val="zh-CN"/>
              </w:rPr>
              <w:t>m³/a，全部损耗，无废水产生。</w:t>
            </w:r>
          </w:p>
          <w:p w14:paraId="58B89A7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eastAsiaTheme="minorEastAsia"/>
                <w:b/>
                <w:color w:val="auto"/>
                <w:kern w:val="0"/>
                <w:sz w:val="24"/>
                <w:lang w:val="zh-CN"/>
              </w:rPr>
            </w:pPr>
            <w:r>
              <w:rPr>
                <w:rFonts w:eastAsiaTheme="minorEastAsia"/>
                <w:b/>
                <w:color w:val="auto"/>
                <w:kern w:val="0"/>
                <w:sz w:val="24"/>
                <w:lang w:val="zh-CN"/>
              </w:rPr>
              <w:t>3.噪声环境影响及防治措施分析</w:t>
            </w:r>
          </w:p>
          <w:p w14:paraId="67E9295B">
            <w:pPr>
              <w:adjustRightInd w:val="0"/>
              <w:snapToGrid w:val="0"/>
              <w:spacing w:line="360" w:lineRule="auto"/>
              <w:ind w:firstLine="480" w:firstLineChars="200"/>
              <w:jc w:val="both"/>
              <w:rPr>
                <w:rFonts w:eastAsiaTheme="minorEastAsia"/>
                <w:color w:val="auto"/>
                <w:kern w:val="0"/>
                <w:sz w:val="24"/>
                <w:lang w:val="zh-CN"/>
              </w:rPr>
            </w:pPr>
            <w:r>
              <w:rPr>
                <w:rFonts w:eastAsiaTheme="minorEastAsia"/>
                <w:color w:val="auto"/>
                <w:kern w:val="0"/>
                <w:sz w:val="24"/>
                <w:lang w:val="zh-CN"/>
              </w:rPr>
              <w:t>（1）噪声源强及污染防治措施</w:t>
            </w:r>
          </w:p>
          <w:p w14:paraId="65C4677A">
            <w:pPr>
              <w:adjustRightInd w:val="0"/>
              <w:snapToGrid w:val="0"/>
              <w:spacing w:line="360" w:lineRule="auto"/>
              <w:ind w:firstLine="480" w:firstLineChars="200"/>
              <w:jc w:val="both"/>
              <w:rPr>
                <w:bCs/>
                <w:color w:val="auto"/>
                <w:sz w:val="24"/>
                <w:szCs w:val="28"/>
              </w:rPr>
            </w:pPr>
            <w:r>
              <w:rPr>
                <w:bCs/>
                <w:color w:val="auto"/>
                <w:sz w:val="24"/>
                <w:szCs w:val="28"/>
              </w:rPr>
              <w:t>①噪声源强分析</w:t>
            </w:r>
          </w:p>
          <w:p w14:paraId="475FA5DC">
            <w:pPr>
              <w:spacing w:line="360" w:lineRule="auto"/>
              <w:ind w:firstLine="480" w:firstLineChars="200"/>
              <w:jc w:val="both"/>
              <w:rPr>
                <w:color w:val="auto"/>
                <w:sz w:val="24"/>
              </w:rPr>
            </w:pPr>
            <w:r>
              <w:rPr>
                <w:color w:val="auto"/>
                <w:sz w:val="24"/>
              </w:rPr>
              <w:t>工程噪声主要由机械振动和空气湍动引起，机械振动噪声主要由设备运行以及机械操作运行过程中产生的噪声。主要的噪声设备</w:t>
            </w:r>
            <w:r>
              <w:rPr>
                <w:rFonts w:hint="eastAsia"/>
                <w:color w:val="auto"/>
                <w:sz w:val="24"/>
                <w:lang w:eastAsia="zh-CN"/>
              </w:rPr>
              <w:t>为新增的</w:t>
            </w:r>
            <w:r>
              <w:rPr>
                <w:rFonts w:hint="eastAsia"/>
                <w:color w:val="auto"/>
                <w:sz w:val="24"/>
              </w:rPr>
              <w:t>黄磷泵</w:t>
            </w:r>
            <w:r>
              <w:rPr>
                <w:color w:val="auto"/>
                <w:sz w:val="24"/>
              </w:rPr>
              <w:t>等，噪声在</w:t>
            </w:r>
            <w:r>
              <w:rPr>
                <w:rFonts w:hint="eastAsia"/>
                <w:color w:val="auto"/>
                <w:sz w:val="24"/>
                <w:lang w:val="en-US" w:eastAsia="zh-CN"/>
              </w:rPr>
              <w:t>80</w:t>
            </w:r>
            <w:r>
              <w:rPr>
                <w:color w:val="auto"/>
                <w:sz w:val="24"/>
              </w:rPr>
              <w:t>-95dB</w:t>
            </w:r>
            <w:r>
              <w:rPr>
                <w:rFonts w:hint="eastAsia"/>
                <w:color w:val="auto"/>
                <w:sz w:val="24"/>
                <w:lang w:eastAsia="zh-CN"/>
              </w:rPr>
              <w:t>（</w:t>
            </w:r>
            <w:r>
              <w:rPr>
                <w:color w:val="auto"/>
                <w:sz w:val="24"/>
              </w:rPr>
              <w:t>A</w:t>
            </w:r>
            <w:r>
              <w:rPr>
                <w:rFonts w:hint="eastAsia"/>
                <w:color w:val="auto"/>
                <w:sz w:val="24"/>
                <w:lang w:eastAsia="zh-CN"/>
              </w:rPr>
              <w:t>）</w:t>
            </w:r>
            <w:r>
              <w:rPr>
                <w:color w:val="auto"/>
                <w:sz w:val="24"/>
              </w:rPr>
              <w:t>之间。</w:t>
            </w:r>
          </w:p>
          <w:p w14:paraId="4CBEB01C">
            <w:pPr>
              <w:pStyle w:val="100"/>
              <w:jc w:val="both"/>
              <w:rPr>
                <w:color w:val="auto"/>
              </w:rPr>
            </w:pPr>
          </w:p>
          <w:p w14:paraId="74B46472">
            <w:pPr>
              <w:adjustRightInd w:val="0"/>
              <w:snapToGrid w:val="0"/>
              <w:spacing w:line="360" w:lineRule="auto"/>
              <w:ind w:firstLine="480" w:firstLineChars="200"/>
              <w:jc w:val="both"/>
              <w:rPr>
                <w:rFonts w:eastAsiaTheme="minorEastAsia"/>
                <w:color w:val="auto"/>
                <w:sz w:val="24"/>
                <w:lang w:val="zh-CN"/>
              </w:rPr>
            </w:pPr>
          </w:p>
          <w:p w14:paraId="663BF121">
            <w:pPr>
              <w:adjustRightInd w:val="0"/>
              <w:snapToGrid w:val="0"/>
              <w:spacing w:line="360" w:lineRule="auto"/>
              <w:jc w:val="both"/>
              <w:rPr>
                <w:color w:val="auto"/>
                <w:lang w:val="zh-CN"/>
              </w:rPr>
            </w:pPr>
          </w:p>
          <w:p w14:paraId="58A1E392">
            <w:pPr>
              <w:jc w:val="both"/>
              <w:rPr>
                <w:color w:val="auto"/>
                <w:lang w:val="zh-CN"/>
              </w:rPr>
            </w:pPr>
          </w:p>
        </w:tc>
      </w:tr>
    </w:tbl>
    <w:p w14:paraId="0463E910">
      <w:pPr>
        <w:adjustRightInd w:val="0"/>
        <w:snapToGrid w:val="0"/>
        <w:jc w:val="center"/>
        <w:rPr>
          <w:bCs/>
          <w:color w:val="auto"/>
          <w:sz w:val="24"/>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8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13130"/>
      </w:tblGrid>
      <w:tr w14:paraId="5DC19A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163" w:type="pct"/>
            <w:tcMar>
              <w:left w:w="28" w:type="dxa"/>
              <w:right w:w="28" w:type="dxa"/>
            </w:tcMar>
            <w:vAlign w:val="center"/>
          </w:tcPr>
          <w:p w14:paraId="5B65CD4F">
            <w:pPr>
              <w:adjustRightInd w:val="0"/>
              <w:snapToGrid w:val="0"/>
              <w:jc w:val="center"/>
              <w:rPr>
                <w:bCs/>
                <w:color w:val="auto"/>
                <w:sz w:val="24"/>
              </w:rPr>
            </w:pPr>
            <w:r>
              <w:rPr>
                <w:bCs/>
                <w:color w:val="auto"/>
                <w:sz w:val="24"/>
              </w:rPr>
              <w:t>运营</w:t>
            </w:r>
          </w:p>
          <w:p w14:paraId="14D882D4">
            <w:pPr>
              <w:adjustRightInd w:val="0"/>
              <w:snapToGrid w:val="0"/>
              <w:jc w:val="center"/>
              <w:rPr>
                <w:bCs/>
                <w:color w:val="auto"/>
                <w:sz w:val="24"/>
              </w:rPr>
            </w:pPr>
            <w:r>
              <w:rPr>
                <w:bCs/>
                <w:color w:val="auto"/>
                <w:sz w:val="24"/>
              </w:rPr>
              <w:t>期环</w:t>
            </w:r>
          </w:p>
          <w:p w14:paraId="32B0725A">
            <w:pPr>
              <w:adjustRightInd w:val="0"/>
              <w:snapToGrid w:val="0"/>
              <w:jc w:val="center"/>
              <w:rPr>
                <w:bCs/>
                <w:color w:val="auto"/>
                <w:sz w:val="24"/>
              </w:rPr>
            </w:pPr>
            <w:r>
              <w:rPr>
                <w:bCs/>
                <w:color w:val="auto"/>
                <w:sz w:val="24"/>
              </w:rPr>
              <w:t>境影</w:t>
            </w:r>
          </w:p>
          <w:p w14:paraId="2680ED02">
            <w:pPr>
              <w:adjustRightInd w:val="0"/>
              <w:snapToGrid w:val="0"/>
              <w:jc w:val="center"/>
              <w:rPr>
                <w:bCs/>
                <w:color w:val="auto"/>
                <w:sz w:val="24"/>
              </w:rPr>
            </w:pPr>
            <w:r>
              <w:rPr>
                <w:bCs/>
                <w:color w:val="auto"/>
                <w:sz w:val="24"/>
              </w:rPr>
              <w:t>响和</w:t>
            </w:r>
          </w:p>
          <w:p w14:paraId="604778F9">
            <w:pPr>
              <w:adjustRightInd w:val="0"/>
              <w:snapToGrid w:val="0"/>
              <w:jc w:val="center"/>
              <w:rPr>
                <w:bCs/>
                <w:color w:val="auto"/>
                <w:sz w:val="24"/>
              </w:rPr>
            </w:pPr>
            <w:r>
              <w:rPr>
                <w:bCs/>
                <w:color w:val="auto"/>
                <w:sz w:val="24"/>
              </w:rPr>
              <w:t>保护</w:t>
            </w:r>
          </w:p>
          <w:p w14:paraId="5EE000F1">
            <w:pPr>
              <w:adjustRightInd w:val="0"/>
              <w:snapToGrid w:val="0"/>
              <w:jc w:val="center"/>
              <w:rPr>
                <w:bCs/>
                <w:color w:val="auto"/>
                <w:sz w:val="24"/>
              </w:rPr>
            </w:pPr>
            <w:r>
              <w:rPr>
                <w:bCs/>
                <w:color w:val="auto"/>
                <w:sz w:val="24"/>
              </w:rPr>
              <w:t>措施</w:t>
            </w:r>
          </w:p>
        </w:tc>
        <w:tc>
          <w:tcPr>
            <w:tcW w:w="4837" w:type="pct"/>
            <w:vAlign w:val="top"/>
          </w:tcPr>
          <w:p w14:paraId="03F6C0D1">
            <w:pPr>
              <w:pStyle w:val="100"/>
              <w:keepNext w:val="0"/>
              <w:keepLines w:val="0"/>
              <w:pageBreakBefore w:val="0"/>
              <w:widowControl w:val="0"/>
              <w:kinsoku/>
              <w:wordWrap/>
              <w:overflowPunct/>
              <w:topLinePunct w:val="0"/>
              <w:autoSpaceDE w:val="0"/>
              <w:autoSpaceDN w:val="0"/>
              <w:bidi w:val="0"/>
              <w:adjustRightInd w:val="0"/>
              <w:snapToGrid w:val="0"/>
              <w:spacing w:before="157" w:beforeLines="50"/>
              <w:jc w:val="center"/>
              <w:textAlignment w:val="auto"/>
              <w:rPr>
                <w:b/>
                <w:color w:val="auto"/>
              </w:rPr>
            </w:pPr>
            <w:r>
              <w:rPr>
                <w:rFonts w:hint="eastAsia"/>
                <w:b/>
                <w:color w:val="auto"/>
              </w:rPr>
              <w:t>表4.3-</w:t>
            </w:r>
            <w:r>
              <w:rPr>
                <w:rFonts w:hint="eastAsia"/>
                <w:b/>
                <w:color w:val="auto"/>
                <w:lang w:val="en-US" w:eastAsia="zh-CN"/>
              </w:rPr>
              <w:t>1</w:t>
            </w:r>
            <w:r>
              <w:rPr>
                <w:rFonts w:hint="eastAsia"/>
                <w:b/>
                <w:color w:val="auto"/>
              </w:rPr>
              <w:t xml:space="preserve">  拟建项目噪声产生及治理情况（室外声源）    </w:t>
            </w:r>
            <w:r>
              <w:rPr>
                <w:rFonts w:hint="eastAsia"/>
                <w:color w:val="auto"/>
                <w:sz w:val="21"/>
                <w:szCs w:val="21"/>
              </w:rPr>
              <w:t>单位：dB（A）</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92"/>
              <w:gridCol w:w="1768"/>
              <w:gridCol w:w="819"/>
              <w:gridCol w:w="1241"/>
              <w:gridCol w:w="1215"/>
              <w:gridCol w:w="964"/>
              <w:gridCol w:w="1104"/>
              <w:gridCol w:w="1711"/>
              <w:gridCol w:w="2401"/>
              <w:gridCol w:w="1099"/>
            </w:tblGrid>
            <w:tr w14:paraId="0C0FF8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29" w:type="pct"/>
                  <w:vMerge w:val="restart"/>
                  <w:vAlign w:val="center"/>
                </w:tcPr>
                <w:p w14:paraId="2FE13934">
                  <w:pPr>
                    <w:jc w:val="center"/>
                    <w:rPr>
                      <w:color w:val="auto"/>
                    </w:rPr>
                  </w:pPr>
                  <w:r>
                    <w:rPr>
                      <w:rFonts w:hint="eastAsia"/>
                      <w:color w:val="auto"/>
                    </w:rPr>
                    <w:t>序号</w:t>
                  </w:r>
                </w:p>
              </w:tc>
              <w:tc>
                <w:tcPr>
                  <w:tcW w:w="684" w:type="pct"/>
                  <w:vMerge w:val="restart"/>
                  <w:vAlign w:val="center"/>
                </w:tcPr>
                <w:p w14:paraId="584DACFC">
                  <w:pPr>
                    <w:jc w:val="center"/>
                    <w:rPr>
                      <w:color w:val="auto"/>
                    </w:rPr>
                  </w:pPr>
                  <w:r>
                    <w:rPr>
                      <w:rFonts w:hint="eastAsia"/>
                      <w:color w:val="auto"/>
                    </w:rPr>
                    <w:t>声源名称</w:t>
                  </w:r>
                </w:p>
              </w:tc>
              <w:tc>
                <w:tcPr>
                  <w:tcW w:w="317" w:type="pct"/>
                  <w:vMerge w:val="restart"/>
                  <w:vAlign w:val="center"/>
                </w:tcPr>
                <w:p w14:paraId="2D23BAB8">
                  <w:pPr>
                    <w:jc w:val="center"/>
                    <w:rPr>
                      <w:color w:val="auto"/>
                    </w:rPr>
                  </w:pPr>
                  <w:r>
                    <w:rPr>
                      <w:rFonts w:hint="eastAsia"/>
                      <w:color w:val="auto"/>
                    </w:rPr>
                    <w:t>型号</w:t>
                  </w:r>
                </w:p>
              </w:tc>
              <w:tc>
                <w:tcPr>
                  <w:tcW w:w="1323" w:type="pct"/>
                  <w:gridSpan w:val="3"/>
                  <w:vAlign w:val="center"/>
                </w:tcPr>
                <w:p w14:paraId="17563AEC">
                  <w:pPr>
                    <w:jc w:val="center"/>
                    <w:rPr>
                      <w:color w:val="auto"/>
                    </w:rPr>
                  </w:pPr>
                  <w:r>
                    <w:rPr>
                      <w:rFonts w:hint="eastAsia"/>
                      <w:color w:val="auto"/>
                    </w:rPr>
                    <w:t>空间相对位置/</w:t>
                  </w:r>
                  <w:r>
                    <w:rPr>
                      <w:rFonts w:hint="eastAsia"/>
                      <w:color w:val="auto"/>
                      <w:lang w:val="en-US" w:eastAsia="zh-CN"/>
                    </w:rPr>
                    <w:t>m</w:t>
                  </w:r>
                </w:p>
              </w:tc>
              <w:tc>
                <w:tcPr>
                  <w:tcW w:w="1089" w:type="pct"/>
                  <w:gridSpan w:val="2"/>
                  <w:vAlign w:val="center"/>
                </w:tcPr>
                <w:p w14:paraId="2F173A5C">
                  <w:pPr>
                    <w:jc w:val="center"/>
                    <w:rPr>
                      <w:color w:val="auto"/>
                    </w:rPr>
                  </w:pPr>
                  <w:r>
                    <w:rPr>
                      <w:rFonts w:hint="eastAsia"/>
                      <w:color w:val="auto"/>
                    </w:rPr>
                    <w:t>声源源强</w:t>
                  </w:r>
                </w:p>
              </w:tc>
              <w:tc>
                <w:tcPr>
                  <w:tcW w:w="929" w:type="pct"/>
                  <w:vMerge w:val="restart"/>
                  <w:vAlign w:val="center"/>
                </w:tcPr>
                <w:p w14:paraId="49F7501E">
                  <w:pPr>
                    <w:jc w:val="center"/>
                    <w:rPr>
                      <w:color w:val="auto"/>
                    </w:rPr>
                  </w:pPr>
                  <w:r>
                    <w:rPr>
                      <w:rFonts w:hint="eastAsia"/>
                      <w:color w:val="auto"/>
                    </w:rPr>
                    <w:t>声源控制措施</w:t>
                  </w:r>
                </w:p>
              </w:tc>
              <w:tc>
                <w:tcPr>
                  <w:tcW w:w="425" w:type="pct"/>
                  <w:vMerge w:val="restart"/>
                  <w:vAlign w:val="center"/>
                </w:tcPr>
                <w:p w14:paraId="06BE642E">
                  <w:pPr>
                    <w:jc w:val="center"/>
                    <w:rPr>
                      <w:color w:val="auto"/>
                    </w:rPr>
                  </w:pPr>
                  <w:r>
                    <w:rPr>
                      <w:rFonts w:hint="eastAsia"/>
                      <w:color w:val="auto"/>
                    </w:rPr>
                    <w:t>运行时段h</w:t>
                  </w:r>
                </w:p>
              </w:tc>
            </w:tr>
            <w:tr w14:paraId="7DE313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29" w:type="pct"/>
                  <w:vMerge w:val="continue"/>
                  <w:vAlign w:val="center"/>
                </w:tcPr>
                <w:p w14:paraId="35B84F84">
                  <w:pPr>
                    <w:jc w:val="center"/>
                    <w:rPr>
                      <w:color w:val="auto"/>
                    </w:rPr>
                  </w:pPr>
                </w:p>
              </w:tc>
              <w:tc>
                <w:tcPr>
                  <w:tcW w:w="684" w:type="pct"/>
                  <w:vMerge w:val="continue"/>
                  <w:vAlign w:val="center"/>
                </w:tcPr>
                <w:p w14:paraId="552BC2C4">
                  <w:pPr>
                    <w:jc w:val="center"/>
                    <w:rPr>
                      <w:color w:val="auto"/>
                    </w:rPr>
                  </w:pPr>
                </w:p>
              </w:tc>
              <w:tc>
                <w:tcPr>
                  <w:tcW w:w="317" w:type="pct"/>
                  <w:vMerge w:val="continue"/>
                  <w:vAlign w:val="center"/>
                </w:tcPr>
                <w:p w14:paraId="3BD8F600">
                  <w:pPr>
                    <w:jc w:val="center"/>
                    <w:rPr>
                      <w:color w:val="auto"/>
                    </w:rPr>
                  </w:pPr>
                </w:p>
              </w:tc>
              <w:tc>
                <w:tcPr>
                  <w:tcW w:w="480" w:type="pct"/>
                  <w:vAlign w:val="center"/>
                </w:tcPr>
                <w:p w14:paraId="65D1F2C3">
                  <w:pPr>
                    <w:jc w:val="center"/>
                    <w:rPr>
                      <w:color w:val="auto"/>
                    </w:rPr>
                  </w:pPr>
                  <w:r>
                    <w:rPr>
                      <w:rFonts w:hint="eastAsia"/>
                      <w:color w:val="auto"/>
                    </w:rPr>
                    <w:t>X</w:t>
                  </w:r>
                </w:p>
              </w:tc>
              <w:tc>
                <w:tcPr>
                  <w:tcW w:w="470" w:type="pct"/>
                  <w:vAlign w:val="center"/>
                </w:tcPr>
                <w:p w14:paraId="08A92B69">
                  <w:pPr>
                    <w:jc w:val="center"/>
                    <w:rPr>
                      <w:color w:val="auto"/>
                    </w:rPr>
                  </w:pPr>
                  <w:r>
                    <w:rPr>
                      <w:rFonts w:hint="eastAsia"/>
                      <w:color w:val="auto"/>
                    </w:rPr>
                    <w:t>Y</w:t>
                  </w:r>
                </w:p>
              </w:tc>
              <w:tc>
                <w:tcPr>
                  <w:tcW w:w="372" w:type="pct"/>
                  <w:vAlign w:val="center"/>
                </w:tcPr>
                <w:p w14:paraId="4280D023">
                  <w:pPr>
                    <w:jc w:val="center"/>
                    <w:rPr>
                      <w:color w:val="auto"/>
                    </w:rPr>
                  </w:pPr>
                  <w:r>
                    <w:rPr>
                      <w:rFonts w:hint="eastAsia"/>
                      <w:color w:val="auto"/>
                    </w:rPr>
                    <w:t>Z</w:t>
                  </w:r>
                </w:p>
              </w:tc>
              <w:tc>
                <w:tcPr>
                  <w:tcW w:w="427" w:type="pct"/>
                  <w:tcBorders>
                    <w:right w:val="single" w:color="auto" w:sz="4" w:space="0"/>
                  </w:tcBorders>
                  <w:vAlign w:val="center"/>
                </w:tcPr>
                <w:p w14:paraId="67A12047">
                  <w:pPr>
                    <w:jc w:val="center"/>
                    <w:rPr>
                      <w:color w:val="auto"/>
                    </w:rPr>
                  </w:pPr>
                  <w:r>
                    <w:rPr>
                      <w:rFonts w:hint="eastAsia"/>
                      <w:color w:val="auto"/>
                    </w:rPr>
                    <w:t>声压级</w:t>
                  </w:r>
                </w:p>
              </w:tc>
              <w:tc>
                <w:tcPr>
                  <w:tcW w:w="662" w:type="pct"/>
                  <w:tcBorders>
                    <w:left w:val="single" w:color="auto" w:sz="4" w:space="0"/>
                  </w:tcBorders>
                  <w:vAlign w:val="center"/>
                </w:tcPr>
                <w:p w14:paraId="47925DEE">
                  <w:pPr>
                    <w:jc w:val="center"/>
                    <w:rPr>
                      <w:color w:val="auto"/>
                    </w:rPr>
                  </w:pPr>
                  <w:r>
                    <w:rPr>
                      <w:rFonts w:hint="eastAsia"/>
                      <w:color w:val="auto"/>
                    </w:rPr>
                    <w:t>距声源距离/m</w:t>
                  </w:r>
                </w:p>
              </w:tc>
              <w:tc>
                <w:tcPr>
                  <w:tcW w:w="929" w:type="pct"/>
                  <w:vMerge w:val="continue"/>
                  <w:vAlign w:val="center"/>
                </w:tcPr>
                <w:p w14:paraId="41EED818">
                  <w:pPr>
                    <w:jc w:val="center"/>
                    <w:rPr>
                      <w:color w:val="auto"/>
                    </w:rPr>
                  </w:pPr>
                </w:p>
              </w:tc>
              <w:tc>
                <w:tcPr>
                  <w:tcW w:w="425" w:type="pct"/>
                  <w:vMerge w:val="continue"/>
                  <w:vAlign w:val="center"/>
                </w:tcPr>
                <w:p w14:paraId="43978134">
                  <w:pPr>
                    <w:jc w:val="center"/>
                    <w:rPr>
                      <w:color w:val="auto"/>
                    </w:rPr>
                  </w:pPr>
                </w:p>
              </w:tc>
            </w:tr>
            <w:tr w14:paraId="4E79A1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29" w:type="pct"/>
                  <w:vAlign w:val="center"/>
                </w:tcPr>
                <w:p w14:paraId="43B515D3">
                  <w:pPr>
                    <w:jc w:val="center"/>
                    <w:rPr>
                      <w:color w:val="auto"/>
                    </w:rPr>
                  </w:pPr>
                  <w:r>
                    <w:rPr>
                      <w:rFonts w:hint="eastAsia"/>
                      <w:color w:val="auto"/>
                    </w:rPr>
                    <w:t>1</w:t>
                  </w:r>
                </w:p>
              </w:tc>
              <w:tc>
                <w:tcPr>
                  <w:tcW w:w="684" w:type="pct"/>
                  <w:vAlign w:val="center"/>
                </w:tcPr>
                <w:p w14:paraId="511D8A54">
                  <w:pPr>
                    <w:adjustRightInd w:val="0"/>
                    <w:snapToGrid w:val="0"/>
                    <w:jc w:val="center"/>
                    <w:rPr>
                      <w:color w:val="auto"/>
                      <w:szCs w:val="21"/>
                    </w:rPr>
                  </w:pPr>
                  <w:r>
                    <w:rPr>
                      <w:rFonts w:hint="eastAsia" w:cs="Times New Roman"/>
                      <w:color w:val="auto"/>
                      <w:sz w:val="21"/>
                      <w:szCs w:val="21"/>
                    </w:rPr>
                    <w:t>黄磷泵</w:t>
                  </w:r>
                </w:p>
              </w:tc>
              <w:tc>
                <w:tcPr>
                  <w:tcW w:w="317" w:type="pct"/>
                  <w:vAlign w:val="center"/>
                </w:tcPr>
                <w:p w14:paraId="59E588EC">
                  <w:pPr>
                    <w:jc w:val="center"/>
                    <w:rPr>
                      <w:color w:val="auto"/>
                      <w:szCs w:val="21"/>
                    </w:rPr>
                  </w:pPr>
                  <w:r>
                    <w:rPr>
                      <w:rFonts w:hint="eastAsia"/>
                      <w:color w:val="auto"/>
                      <w:szCs w:val="21"/>
                      <w:lang w:val="en-US" w:eastAsia="zh-CN"/>
                    </w:rPr>
                    <w:t>7.5kW</w:t>
                  </w:r>
                </w:p>
              </w:tc>
              <w:tc>
                <w:tcPr>
                  <w:tcW w:w="480" w:type="pct"/>
                  <w:vAlign w:val="center"/>
                </w:tcPr>
                <w:p w14:paraId="1CB17132">
                  <w:pPr>
                    <w:jc w:val="center"/>
                    <w:rPr>
                      <w:rFonts w:hint="default" w:ascii="宋体" w:hAnsi="宋体" w:eastAsia="宋体" w:cs="宋体"/>
                      <w:color w:val="auto"/>
                      <w:sz w:val="24"/>
                      <w:lang w:val="en-US" w:eastAsia="zh-CN"/>
                    </w:rPr>
                  </w:pPr>
                  <w:r>
                    <w:rPr>
                      <w:rFonts w:hint="eastAsia"/>
                      <w:color w:val="auto"/>
                      <w:lang w:val="en-US" w:eastAsia="zh-CN"/>
                    </w:rPr>
                    <w:t>-50</w:t>
                  </w:r>
                </w:p>
              </w:tc>
              <w:tc>
                <w:tcPr>
                  <w:tcW w:w="470" w:type="pct"/>
                  <w:vAlign w:val="center"/>
                </w:tcPr>
                <w:p w14:paraId="734CC692">
                  <w:pPr>
                    <w:jc w:val="center"/>
                    <w:rPr>
                      <w:rFonts w:hint="default" w:ascii="宋体" w:hAnsi="宋体" w:eastAsia="宋体" w:cs="宋体"/>
                      <w:color w:val="auto"/>
                      <w:sz w:val="24"/>
                      <w:lang w:val="en-US" w:eastAsia="zh-CN"/>
                    </w:rPr>
                  </w:pPr>
                  <w:r>
                    <w:rPr>
                      <w:rFonts w:hint="eastAsia"/>
                      <w:color w:val="auto"/>
                      <w:lang w:val="en-US" w:eastAsia="zh-CN"/>
                    </w:rPr>
                    <w:t>140</w:t>
                  </w:r>
                </w:p>
              </w:tc>
              <w:tc>
                <w:tcPr>
                  <w:tcW w:w="372" w:type="pct"/>
                  <w:vAlign w:val="center"/>
                </w:tcPr>
                <w:p w14:paraId="19249E0C">
                  <w:pPr>
                    <w:jc w:val="center"/>
                    <w:rPr>
                      <w:color w:val="auto"/>
                    </w:rPr>
                  </w:pPr>
                  <w:r>
                    <w:rPr>
                      <w:rFonts w:hint="eastAsia"/>
                      <w:color w:val="auto"/>
                    </w:rPr>
                    <w:t>1.5</w:t>
                  </w:r>
                </w:p>
              </w:tc>
              <w:tc>
                <w:tcPr>
                  <w:tcW w:w="427" w:type="pct"/>
                  <w:tcBorders>
                    <w:right w:val="single" w:color="auto" w:sz="4" w:space="0"/>
                  </w:tcBorders>
                  <w:vAlign w:val="center"/>
                </w:tcPr>
                <w:p w14:paraId="45419D87">
                  <w:pPr>
                    <w:jc w:val="center"/>
                    <w:rPr>
                      <w:color w:val="auto"/>
                      <w:szCs w:val="21"/>
                    </w:rPr>
                  </w:pPr>
                  <w:r>
                    <w:rPr>
                      <w:color w:val="auto"/>
                      <w:szCs w:val="21"/>
                    </w:rPr>
                    <w:t>80~95</w:t>
                  </w:r>
                </w:p>
              </w:tc>
              <w:tc>
                <w:tcPr>
                  <w:tcW w:w="662" w:type="pct"/>
                  <w:tcBorders>
                    <w:left w:val="single" w:color="auto" w:sz="4" w:space="0"/>
                  </w:tcBorders>
                  <w:vAlign w:val="center"/>
                </w:tcPr>
                <w:p w14:paraId="098300D6">
                  <w:pPr>
                    <w:jc w:val="center"/>
                    <w:rPr>
                      <w:color w:val="auto"/>
                      <w:szCs w:val="21"/>
                    </w:rPr>
                  </w:pPr>
                  <w:r>
                    <w:rPr>
                      <w:rFonts w:hint="eastAsia"/>
                      <w:color w:val="auto"/>
                      <w:szCs w:val="21"/>
                    </w:rPr>
                    <w:t>1</w:t>
                  </w:r>
                </w:p>
              </w:tc>
              <w:tc>
                <w:tcPr>
                  <w:tcW w:w="929" w:type="pct"/>
                  <w:vAlign w:val="center"/>
                </w:tcPr>
                <w:p w14:paraId="3893113E">
                  <w:pPr>
                    <w:jc w:val="center"/>
                    <w:rPr>
                      <w:color w:val="auto"/>
                    </w:rPr>
                  </w:pPr>
                  <w:r>
                    <w:rPr>
                      <w:bCs/>
                      <w:color w:val="auto"/>
                      <w:szCs w:val="21"/>
                    </w:rPr>
                    <w:t>选用低噪音设备；消声减震；加强操作管理和维护；合理布局等</w:t>
                  </w:r>
                </w:p>
              </w:tc>
              <w:tc>
                <w:tcPr>
                  <w:tcW w:w="425" w:type="pct"/>
                  <w:vAlign w:val="center"/>
                </w:tcPr>
                <w:p w14:paraId="6C7A4A23">
                  <w:pPr>
                    <w:ind w:left="-105" w:leftChars="-50" w:right="-105" w:rightChars="-50"/>
                    <w:jc w:val="center"/>
                    <w:rPr>
                      <w:bCs/>
                      <w:color w:val="auto"/>
                      <w:szCs w:val="21"/>
                    </w:rPr>
                  </w:pPr>
                  <w:r>
                    <w:rPr>
                      <w:rFonts w:hint="eastAsia"/>
                      <w:color w:val="auto"/>
                    </w:rPr>
                    <w:t>连续运行</w:t>
                  </w:r>
                </w:p>
              </w:tc>
            </w:tr>
          </w:tbl>
          <w:p w14:paraId="42312997">
            <w:pPr>
              <w:pStyle w:val="100"/>
              <w:jc w:val="both"/>
              <w:rPr>
                <w:rFonts w:hint="eastAsia" w:eastAsia="宋体"/>
                <w:color w:val="auto"/>
                <w:lang w:eastAsia="zh-CN"/>
              </w:rPr>
            </w:pPr>
            <w:r>
              <w:rPr>
                <w:rFonts w:hint="eastAsia"/>
                <w:color w:val="auto"/>
                <w:lang w:eastAsia="zh-CN"/>
              </w:rPr>
              <w:t>注：厂区东南角为（</w:t>
            </w:r>
            <w:r>
              <w:rPr>
                <w:rFonts w:hint="eastAsia"/>
                <w:color w:val="auto"/>
                <w:lang w:val="en-US" w:eastAsia="zh-CN"/>
              </w:rPr>
              <w:t>0,0</w:t>
            </w:r>
            <w:r>
              <w:rPr>
                <w:rFonts w:hint="eastAsia"/>
                <w:color w:val="auto"/>
                <w:lang w:eastAsia="zh-CN"/>
              </w:rPr>
              <w:t>）点</w:t>
            </w:r>
          </w:p>
          <w:p w14:paraId="257C4F02">
            <w:pPr>
              <w:jc w:val="both"/>
              <w:rPr>
                <w:color w:val="auto"/>
              </w:rPr>
            </w:pPr>
          </w:p>
          <w:p w14:paraId="163E11CB">
            <w:pPr>
              <w:adjustRightInd w:val="0"/>
              <w:snapToGrid w:val="0"/>
              <w:spacing w:line="360" w:lineRule="auto"/>
              <w:ind w:firstLine="480" w:firstLineChars="200"/>
              <w:jc w:val="both"/>
              <w:rPr>
                <w:rFonts w:eastAsiaTheme="minorEastAsia"/>
                <w:color w:val="auto"/>
                <w:sz w:val="24"/>
                <w:lang w:val="zh-CN"/>
              </w:rPr>
            </w:pPr>
          </w:p>
          <w:p w14:paraId="3815B6F9">
            <w:pPr>
              <w:jc w:val="both"/>
              <w:rPr>
                <w:color w:val="auto"/>
                <w:lang w:val="zh-CN"/>
              </w:rPr>
            </w:pPr>
          </w:p>
          <w:p w14:paraId="1B4BAF09">
            <w:pPr>
              <w:pStyle w:val="100"/>
              <w:jc w:val="both"/>
              <w:rPr>
                <w:color w:val="auto"/>
                <w:lang w:val="zh-CN"/>
              </w:rPr>
            </w:pPr>
          </w:p>
          <w:p w14:paraId="32FB3537">
            <w:pPr>
              <w:jc w:val="both"/>
              <w:rPr>
                <w:color w:val="auto"/>
                <w:lang w:val="zh-CN"/>
              </w:rPr>
            </w:pPr>
          </w:p>
          <w:p w14:paraId="439C03EB">
            <w:pPr>
              <w:adjustRightInd w:val="0"/>
              <w:snapToGrid w:val="0"/>
              <w:spacing w:line="360" w:lineRule="auto"/>
              <w:ind w:firstLine="480" w:firstLineChars="200"/>
              <w:jc w:val="both"/>
              <w:rPr>
                <w:rFonts w:eastAsiaTheme="minorEastAsia"/>
                <w:color w:val="auto"/>
                <w:sz w:val="24"/>
              </w:rPr>
            </w:pPr>
          </w:p>
        </w:tc>
      </w:tr>
    </w:tbl>
    <w:p w14:paraId="1F38DB1A">
      <w:pPr>
        <w:adjustRightInd w:val="0"/>
        <w:snapToGrid w:val="0"/>
        <w:jc w:val="center"/>
        <w:rPr>
          <w:bCs/>
          <w:color w:val="auto"/>
          <w:sz w:val="24"/>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5"/>
        <w:gridCol w:w="8685"/>
      </w:tblGrid>
      <w:tr w14:paraId="54F115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293" w:type="dxa"/>
            <w:tcMar>
              <w:left w:w="28" w:type="dxa"/>
              <w:right w:w="28" w:type="dxa"/>
            </w:tcMar>
            <w:vAlign w:val="center"/>
          </w:tcPr>
          <w:p w14:paraId="6248EB0B">
            <w:pPr>
              <w:adjustRightInd w:val="0"/>
              <w:snapToGrid w:val="0"/>
              <w:jc w:val="center"/>
              <w:rPr>
                <w:bCs/>
                <w:color w:val="auto"/>
                <w:sz w:val="24"/>
              </w:rPr>
            </w:pPr>
            <w:r>
              <w:rPr>
                <w:bCs/>
                <w:color w:val="auto"/>
                <w:sz w:val="24"/>
              </w:rPr>
              <w:t>运营</w:t>
            </w:r>
          </w:p>
          <w:p w14:paraId="0379FC11">
            <w:pPr>
              <w:adjustRightInd w:val="0"/>
              <w:snapToGrid w:val="0"/>
              <w:jc w:val="center"/>
              <w:rPr>
                <w:bCs/>
                <w:color w:val="auto"/>
                <w:sz w:val="24"/>
              </w:rPr>
            </w:pPr>
            <w:r>
              <w:rPr>
                <w:bCs/>
                <w:color w:val="auto"/>
                <w:sz w:val="24"/>
              </w:rPr>
              <w:t>期环</w:t>
            </w:r>
          </w:p>
          <w:p w14:paraId="311BCA93">
            <w:pPr>
              <w:adjustRightInd w:val="0"/>
              <w:snapToGrid w:val="0"/>
              <w:jc w:val="center"/>
              <w:rPr>
                <w:bCs/>
                <w:color w:val="auto"/>
                <w:sz w:val="24"/>
              </w:rPr>
            </w:pPr>
            <w:r>
              <w:rPr>
                <w:bCs/>
                <w:color w:val="auto"/>
                <w:sz w:val="24"/>
              </w:rPr>
              <w:t>境影</w:t>
            </w:r>
          </w:p>
          <w:p w14:paraId="2A9B4299">
            <w:pPr>
              <w:adjustRightInd w:val="0"/>
              <w:snapToGrid w:val="0"/>
              <w:jc w:val="center"/>
              <w:rPr>
                <w:bCs/>
                <w:color w:val="auto"/>
                <w:sz w:val="24"/>
              </w:rPr>
            </w:pPr>
            <w:r>
              <w:rPr>
                <w:bCs/>
                <w:color w:val="auto"/>
                <w:sz w:val="24"/>
              </w:rPr>
              <w:t>响和</w:t>
            </w:r>
          </w:p>
          <w:p w14:paraId="23CEA870">
            <w:pPr>
              <w:adjustRightInd w:val="0"/>
              <w:snapToGrid w:val="0"/>
              <w:jc w:val="center"/>
              <w:rPr>
                <w:bCs/>
                <w:color w:val="auto"/>
                <w:sz w:val="24"/>
              </w:rPr>
            </w:pPr>
            <w:r>
              <w:rPr>
                <w:bCs/>
                <w:color w:val="auto"/>
                <w:sz w:val="24"/>
              </w:rPr>
              <w:t>保护</w:t>
            </w:r>
          </w:p>
          <w:p w14:paraId="31C01EF6">
            <w:pPr>
              <w:adjustRightInd w:val="0"/>
              <w:snapToGrid w:val="0"/>
              <w:jc w:val="center"/>
              <w:rPr>
                <w:bCs/>
                <w:color w:val="auto"/>
                <w:sz w:val="24"/>
              </w:rPr>
            </w:pPr>
            <w:r>
              <w:rPr>
                <w:bCs/>
                <w:color w:val="auto"/>
                <w:sz w:val="24"/>
              </w:rPr>
              <w:t>措施</w:t>
            </w:r>
          </w:p>
        </w:tc>
        <w:tc>
          <w:tcPr>
            <w:tcW w:w="8687" w:type="dxa"/>
            <w:vAlign w:val="center"/>
          </w:tcPr>
          <w:p w14:paraId="081175D0">
            <w:pPr>
              <w:adjustRightInd w:val="0"/>
              <w:snapToGrid w:val="0"/>
              <w:spacing w:beforeLines="50" w:line="360" w:lineRule="auto"/>
              <w:ind w:firstLine="542" w:firstLineChars="225"/>
              <w:rPr>
                <w:b/>
                <w:color w:val="auto"/>
                <w:sz w:val="24"/>
              </w:rPr>
            </w:pPr>
            <w:r>
              <w:rPr>
                <w:rFonts w:hint="eastAsia"/>
                <w:b/>
                <w:color w:val="auto"/>
                <w:sz w:val="24"/>
              </w:rPr>
              <w:t>②</w:t>
            </w:r>
            <w:r>
              <w:rPr>
                <w:rFonts w:hAnsi="宋体"/>
                <w:b/>
                <w:color w:val="auto"/>
                <w:sz w:val="24"/>
              </w:rPr>
              <w:t>声环境影响分析</w:t>
            </w:r>
          </w:p>
          <w:p w14:paraId="1780B967">
            <w:pPr>
              <w:adjustRightInd w:val="0"/>
              <w:snapToGrid w:val="0"/>
              <w:spacing w:line="360" w:lineRule="auto"/>
              <w:ind w:firstLine="480" w:firstLineChars="200"/>
              <w:rPr>
                <w:color w:val="auto"/>
                <w:sz w:val="24"/>
              </w:rPr>
            </w:pPr>
            <w:r>
              <w:rPr>
                <w:rFonts w:hAnsi="宋体"/>
                <w:color w:val="auto"/>
                <w:sz w:val="24"/>
              </w:rPr>
              <w:t>建设项目设备噪声源强在</w:t>
            </w:r>
            <w:r>
              <w:rPr>
                <w:color w:val="auto"/>
                <w:sz w:val="24"/>
              </w:rPr>
              <w:t>7</w:t>
            </w:r>
            <w:r>
              <w:rPr>
                <w:rFonts w:hint="eastAsia"/>
                <w:color w:val="auto"/>
                <w:sz w:val="24"/>
              </w:rPr>
              <w:t>0</w:t>
            </w:r>
            <w:r>
              <w:rPr>
                <w:color w:val="auto"/>
                <w:sz w:val="24"/>
              </w:rPr>
              <w:t>-9</w:t>
            </w:r>
            <w:r>
              <w:rPr>
                <w:rFonts w:hint="eastAsia"/>
                <w:color w:val="auto"/>
                <w:sz w:val="24"/>
              </w:rPr>
              <w:t>5</w:t>
            </w:r>
            <w:r>
              <w:rPr>
                <w:color w:val="auto"/>
                <w:sz w:val="24"/>
              </w:rPr>
              <w:t>dB</w:t>
            </w:r>
            <w:r>
              <w:rPr>
                <w:rFonts w:hint="eastAsia"/>
                <w:color w:val="auto"/>
                <w:sz w:val="24"/>
                <w:lang w:eastAsia="zh-CN"/>
              </w:rPr>
              <w:t>（</w:t>
            </w:r>
            <w:r>
              <w:rPr>
                <w:color w:val="auto"/>
                <w:sz w:val="24"/>
              </w:rPr>
              <w:t>A</w:t>
            </w:r>
            <w:r>
              <w:rPr>
                <w:rFonts w:hint="eastAsia"/>
                <w:color w:val="auto"/>
                <w:sz w:val="24"/>
                <w:lang w:eastAsia="zh-CN"/>
              </w:rPr>
              <w:t>）</w:t>
            </w:r>
            <w:r>
              <w:rPr>
                <w:rFonts w:hAnsi="宋体"/>
                <w:color w:val="auto"/>
                <w:sz w:val="24"/>
              </w:rPr>
              <w:t>之间，噪声污染比较大，采用多点源</w:t>
            </w:r>
            <w:r>
              <w:rPr>
                <w:rFonts w:hint="eastAsia" w:hAnsi="宋体"/>
                <w:color w:val="auto"/>
                <w:sz w:val="24"/>
                <w:lang w:eastAsia="zh-CN"/>
              </w:rPr>
              <w:t>等</w:t>
            </w:r>
            <w:r>
              <w:rPr>
                <w:rFonts w:hAnsi="宋体"/>
                <w:color w:val="auto"/>
                <w:sz w:val="24"/>
              </w:rPr>
              <w:t>距离噪声衰减预测模式，并参照最为不利时气象条件等修正值进行计算，噪声从声源传播到受声点，受传播距离、空气吸收、阻挡物的反射与屏蔽等因素的影响，声能逐渐衰减，根据《环境影响评价技术导则声环境》（</w:t>
            </w:r>
            <w:r>
              <w:rPr>
                <w:color w:val="auto"/>
                <w:sz w:val="24"/>
              </w:rPr>
              <w:t>HJ2.4-2021</w:t>
            </w:r>
            <w:r>
              <w:rPr>
                <w:rFonts w:hAnsi="宋体"/>
                <w:color w:val="auto"/>
                <w:sz w:val="24"/>
              </w:rPr>
              <w:t>），预测建设项目实施后对厂界噪声的影响。</w:t>
            </w:r>
          </w:p>
          <w:p w14:paraId="4AE2B9BA">
            <w:pPr>
              <w:adjustRightInd w:val="0"/>
              <w:snapToGrid w:val="0"/>
              <w:spacing w:line="360" w:lineRule="auto"/>
              <w:ind w:firstLine="480" w:firstLineChars="200"/>
              <w:rPr>
                <w:color w:val="auto"/>
                <w:sz w:val="24"/>
              </w:rPr>
            </w:pPr>
            <w:r>
              <w:rPr>
                <w:rFonts w:hAnsi="宋体"/>
                <w:color w:val="auto"/>
                <w:sz w:val="24"/>
              </w:rPr>
              <w:t>预测中应用的主要计算公式有：</w:t>
            </w:r>
          </w:p>
          <w:p w14:paraId="47601589">
            <w:pPr>
              <w:adjustRightInd w:val="0"/>
              <w:snapToGrid w:val="0"/>
              <w:spacing w:line="360" w:lineRule="auto"/>
              <w:ind w:firstLine="480" w:firstLineChars="200"/>
              <w:rPr>
                <w:color w:val="auto"/>
                <w:sz w:val="24"/>
              </w:rPr>
            </w:pPr>
            <w:r>
              <w:rPr>
                <w:rFonts w:hint="eastAsia" w:hAnsi="宋体"/>
                <w:color w:val="auto"/>
                <w:sz w:val="24"/>
              </w:rPr>
              <w:t>a.</w:t>
            </w:r>
            <w:r>
              <w:rPr>
                <w:rFonts w:hAnsi="宋体"/>
                <w:color w:val="auto"/>
                <w:sz w:val="24"/>
              </w:rPr>
              <w:t>噪声贡献值计算</w:t>
            </w:r>
          </w:p>
          <w:p w14:paraId="640192E9">
            <w:pPr>
              <w:adjustRightInd w:val="0"/>
              <w:snapToGrid w:val="0"/>
              <w:spacing w:line="360" w:lineRule="auto"/>
              <w:ind w:firstLine="480" w:firstLineChars="200"/>
              <w:rPr>
                <w:color w:val="auto"/>
                <w:sz w:val="24"/>
              </w:rPr>
            </w:pPr>
            <w:r>
              <w:rPr>
                <w:rFonts w:hAnsi="宋体"/>
                <w:color w:val="auto"/>
                <w:sz w:val="24"/>
              </w:rPr>
              <w:t>设第</w:t>
            </w:r>
            <w:r>
              <w:rPr>
                <w:color w:val="auto"/>
                <w:sz w:val="24"/>
              </w:rPr>
              <w:t>i</w:t>
            </w:r>
            <w:r>
              <w:rPr>
                <w:rFonts w:hAnsi="宋体"/>
                <w:color w:val="auto"/>
                <w:sz w:val="24"/>
              </w:rPr>
              <w:t>个室外声源在预测点产生的</w:t>
            </w:r>
            <w:r>
              <w:rPr>
                <w:color w:val="auto"/>
                <w:sz w:val="24"/>
              </w:rPr>
              <w:t>A</w:t>
            </w:r>
            <w:r>
              <w:rPr>
                <w:rFonts w:hAnsi="宋体"/>
                <w:color w:val="auto"/>
                <w:sz w:val="24"/>
              </w:rPr>
              <w:t>声级为</w:t>
            </w:r>
            <w:r>
              <w:rPr>
                <w:color w:val="auto"/>
                <w:sz w:val="24"/>
              </w:rPr>
              <w:t>LAi</w:t>
            </w:r>
            <w:r>
              <w:rPr>
                <w:rFonts w:hAnsi="宋体"/>
                <w:color w:val="auto"/>
                <w:sz w:val="24"/>
              </w:rPr>
              <w:t>，在</w:t>
            </w:r>
            <w:r>
              <w:rPr>
                <w:color w:val="auto"/>
                <w:sz w:val="24"/>
              </w:rPr>
              <w:t>T</w:t>
            </w:r>
            <w:r>
              <w:rPr>
                <w:rFonts w:hAnsi="宋体"/>
                <w:color w:val="auto"/>
                <w:sz w:val="24"/>
              </w:rPr>
              <w:t>时间内该声源工作时间为</w:t>
            </w:r>
            <w:r>
              <w:rPr>
                <w:color w:val="auto"/>
                <w:sz w:val="24"/>
              </w:rPr>
              <w:t>ti</w:t>
            </w:r>
            <w:r>
              <w:rPr>
                <w:rFonts w:hAnsi="宋体"/>
                <w:color w:val="auto"/>
                <w:sz w:val="24"/>
              </w:rPr>
              <w:t>；第</w:t>
            </w:r>
            <w:r>
              <w:rPr>
                <w:color w:val="auto"/>
                <w:sz w:val="24"/>
              </w:rPr>
              <w:t>j</w:t>
            </w:r>
            <w:r>
              <w:rPr>
                <w:rFonts w:hAnsi="宋体"/>
                <w:color w:val="auto"/>
                <w:sz w:val="24"/>
              </w:rPr>
              <w:t>个等效室外声源在预测点产生的</w:t>
            </w:r>
            <w:r>
              <w:rPr>
                <w:color w:val="auto"/>
                <w:sz w:val="24"/>
              </w:rPr>
              <w:t>A</w:t>
            </w:r>
            <w:r>
              <w:rPr>
                <w:rFonts w:hAnsi="宋体"/>
                <w:color w:val="auto"/>
                <w:sz w:val="24"/>
              </w:rPr>
              <w:t>声级为</w:t>
            </w:r>
            <w:r>
              <w:rPr>
                <w:color w:val="auto"/>
                <w:sz w:val="24"/>
              </w:rPr>
              <w:t>LAj</w:t>
            </w:r>
            <w:r>
              <w:rPr>
                <w:rFonts w:hAnsi="宋体"/>
                <w:color w:val="auto"/>
                <w:sz w:val="24"/>
              </w:rPr>
              <w:t>，在</w:t>
            </w:r>
            <w:r>
              <w:rPr>
                <w:color w:val="auto"/>
                <w:sz w:val="24"/>
              </w:rPr>
              <w:t>T</w:t>
            </w:r>
            <w:r>
              <w:rPr>
                <w:rFonts w:hAnsi="宋体"/>
                <w:color w:val="auto"/>
                <w:sz w:val="24"/>
              </w:rPr>
              <w:t>时间内该声源工作时间为</w:t>
            </w:r>
            <w:r>
              <w:rPr>
                <w:color w:val="auto"/>
                <w:sz w:val="24"/>
              </w:rPr>
              <w:t>tj</w:t>
            </w:r>
            <w:r>
              <w:rPr>
                <w:rFonts w:hAnsi="宋体"/>
                <w:color w:val="auto"/>
                <w:sz w:val="24"/>
              </w:rPr>
              <w:t>，则技改工程声源对预测点产生的贡献值（</w:t>
            </w:r>
            <w:r>
              <w:rPr>
                <w:color w:val="auto"/>
                <w:sz w:val="24"/>
              </w:rPr>
              <w:t>Leqg</w:t>
            </w:r>
            <w:r>
              <w:rPr>
                <w:rFonts w:hAnsi="宋体"/>
                <w:color w:val="auto"/>
                <w:sz w:val="24"/>
              </w:rPr>
              <w:t>）为：</w:t>
            </w:r>
          </w:p>
          <w:p w14:paraId="4DC1999D">
            <w:pPr>
              <w:adjustRightInd w:val="0"/>
              <w:snapToGrid w:val="0"/>
              <w:spacing w:line="360" w:lineRule="auto"/>
              <w:ind w:firstLine="480" w:firstLineChars="200"/>
              <w:rPr>
                <w:color w:val="auto"/>
                <w:sz w:val="24"/>
              </w:rPr>
            </w:pPr>
            <w:r>
              <w:rPr>
                <w:color w:val="auto"/>
                <w:sz w:val="24"/>
              </w:rPr>
              <w:object>
                <v:shape id="_x0000_i1030" o:spt="75" type="#_x0000_t75" style="height:36pt;width:204.45pt;" o:ole="t" filled="f" o:preferrelative="t" stroked="f" coordsize="21600,21600">
                  <v:path/>
                  <v:fill on="f" focussize="0,0"/>
                  <v:stroke on="f" joinstyle="miter"/>
                  <v:imagedata r:id="rId23" embosscolor="#FFFFFF" o:title=""/>
                  <o:lock v:ext="edit" aspectratio="t"/>
                  <w10:wrap type="none"/>
                  <w10:anchorlock/>
                </v:shape>
                <o:OLEObject Type="Embed" ProgID="Equation.3" ShapeID="_x0000_i1030" DrawAspect="Content" ObjectID="_1468075730" r:id="rId22">
                  <o:LockedField>false</o:LockedField>
                </o:OLEObject>
              </w:object>
            </w:r>
            <w:r>
              <w:rPr>
                <w:rFonts w:hAnsi="宋体"/>
                <w:color w:val="auto"/>
                <w:sz w:val="24"/>
              </w:rPr>
              <w:t>①</w:t>
            </w:r>
          </w:p>
          <w:p w14:paraId="149837EE">
            <w:pPr>
              <w:adjustRightInd w:val="0"/>
              <w:snapToGrid w:val="0"/>
              <w:spacing w:line="360" w:lineRule="auto"/>
              <w:ind w:firstLine="480" w:firstLineChars="200"/>
              <w:rPr>
                <w:color w:val="auto"/>
                <w:sz w:val="24"/>
              </w:rPr>
            </w:pPr>
            <w:r>
              <w:rPr>
                <w:rFonts w:hAnsi="宋体"/>
                <w:color w:val="auto"/>
                <w:sz w:val="24"/>
              </w:rPr>
              <w:t>式中：</w:t>
            </w:r>
            <w:r>
              <w:rPr>
                <w:color w:val="auto"/>
                <w:sz w:val="24"/>
              </w:rPr>
              <w:t>t</w:t>
            </w:r>
            <w:r>
              <w:rPr>
                <w:color w:val="auto"/>
                <w:sz w:val="24"/>
                <w:vertAlign w:val="subscript"/>
              </w:rPr>
              <w:t>j</w:t>
            </w:r>
            <w:r>
              <w:rPr>
                <w:rFonts w:hint="eastAsia"/>
                <w:color w:val="auto"/>
                <w:sz w:val="24"/>
                <w:lang w:eastAsia="zh-CN"/>
              </w:rPr>
              <w:t>-</w:t>
            </w:r>
            <w:r>
              <w:rPr>
                <w:rFonts w:hAnsi="宋体"/>
                <w:color w:val="auto"/>
                <w:sz w:val="24"/>
              </w:rPr>
              <w:t>在</w:t>
            </w:r>
            <w:r>
              <w:rPr>
                <w:color w:val="auto"/>
                <w:sz w:val="24"/>
              </w:rPr>
              <w:t>T</w:t>
            </w:r>
            <w:r>
              <w:rPr>
                <w:rFonts w:hAnsi="宋体"/>
                <w:color w:val="auto"/>
                <w:sz w:val="24"/>
              </w:rPr>
              <w:t>时间内</w:t>
            </w:r>
            <w:r>
              <w:rPr>
                <w:color w:val="auto"/>
                <w:sz w:val="24"/>
              </w:rPr>
              <w:t>j</w:t>
            </w:r>
            <w:r>
              <w:rPr>
                <w:rFonts w:hAnsi="宋体"/>
                <w:color w:val="auto"/>
                <w:sz w:val="24"/>
              </w:rPr>
              <w:t>声源工作时间，</w:t>
            </w:r>
            <w:r>
              <w:rPr>
                <w:color w:val="auto"/>
                <w:sz w:val="24"/>
              </w:rPr>
              <w:t>s</w:t>
            </w:r>
            <w:r>
              <w:rPr>
                <w:rFonts w:hAnsi="宋体"/>
                <w:color w:val="auto"/>
                <w:sz w:val="24"/>
              </w:rPr>
              <w:t>；</w:t>
            </w:r>
          </w:p>
          <w:p w14:paraId="089AF4DC">
            <w:pPr>
              <w:adjustRightInd w:val="0"/>
              <w:snapToGrid w:val="0"/>
              <w:spacing w:line="360" w:lineRule="auto"/>
              <w:ind w:firstLine="480" w:firstLineChars="200"/>
              <w:rPr>
                <w:color w:val="auto"/>
                <w:sz w:val="24"/>
              </w:rPr>
            </w:pPr>
            <w:r>
              <w:rPr>
                <w:color w:val="auto"/>
                <w:sz w:val="24"/>
              </w:rPr>
              <w:t>t</w:t>
            </w:r>
            <w:r>
              <w:rPr>
                <w:color w:val="auto"/>
                <w:sz w:val="24"/>
                <w:vertAlign w:val="subscript"/>
              </w:rPr>
              <w:t>i</w:t>
            </w:r>
            <w:r>
              <w:rPr>
                <w:rFonts w:hint="eastAsia"/>
                <w:color w:val="auto"/>
                <w:sz w:val="24"/>
                <w:lang w:eastAsia="zh-CN"/>
              </w:rPr>
              <w:t>-</w:t>
            </w:r>
            <w:r>
              <w:rPr>
                <w:rFonts w:hAnsi="宋体"/>
                <w:color w:val="auto"/>
                <w:sz w:val="24"/>
              </w:rPr>
              <w:t>在</w:t>
            </w:r>
            <w:r>
              <w:rPr>
                <w:color w:val="auto"/>
                <w:sz w:val="24"/>
              </w:rPr>
              <w:t>T</w:t>
            </w:r>
            <w:r>
              <w:rPr>
                <w:rFonts w:hAnsi="宋体"/>
                <w:color w:val="auto"/>
                <w:sz w:val="24"/>
              </w:rPr>
              <w:t>时间内</w:t>
            </w:r>
            <w:r>
              <w:rPr>
                <w:color w:val="auto"/>
                <w:sz w:val="24"/>
              </w:rPr>
              <w:t>i</w:t>
            </w:r>
            <w:r>
              <w:rPr>
                <w:rFonts w:hAnsi="宋体"/>
                <w:color w:val="auto"/>
                <w:sz w:val="24"/>
              </w:rPr>
              <w:t>声源工作时间，</w:t>
            </w:r>
            <w:r>
              <w:rPr>
                <w:color w:val="auto"/>
                <w:sz w:val="24"/>
              </w:rPr>
              <w:t>s</w:t>
            </w:r>
            <w:r>
              <w:rPr>
                <w:rFonts w:hAnsi="宋体"/>
                <w:color w:val="auto"/>
                <w:sz w:val="24"/>
              </w:rPr>
              <w:t>；</w:t>
            </w:r>
          </w:p>
          <w:p w14:paraId="0A6F36ED">
            <w:pPr>
              <w:adjustRightInd w:val="0"/>
              <w:snapToGrid w:val="0"/>
              <w:spacing w:line="360" w:lineRule="auto"/>
              <w:ind w:firstLine="480" w:firstLineChars="200"/>
              <w:rPr>
                <w:color w:val="auto"/>
                <w:sz w:val="24"/>
              </w:rPr>
            </w:pPr>
            <w:r>
              <w:rPr>
                <w:color w:val="auto"/>
                <w:sz w:val="24"/>
              </w:rPr>
              <w:t xml:space="preserve">      T</w:t>
            </w:r>
            <w:r>
              <w:rPr>
                <w:rFonts w:hint="eastAsia"/>
                <w:color w:val="auto"/>
                <w:sz w:val="24"/>
                <w:lang w:eastAsia="zh-CN"/>
              </w:rPr>
              <w:t>－</w:t>
            </w:r>
            <w:r>
              <w:rPr>
                <w:rFonts w:hAnsi="宋体"/>
                <w:color w:val="auto"/>
                <w:sz w:val="24"/>
              </w:rPr>
              <w:t>用于计算等效声级的时间，</w:t>
            </w:r>
            <w:r>
              <w:rPr>
                <w:color w:val="auto"/>
                <w:sz w:val="24"/>
              </w:rPr>
              <w:t>s</w:t>
            </w:r>
            <w:r>
              <w:rPr>
                <w:rFonts w:hAnsi="宋体"/>
                <w:color w:val="auto"/>
                <w:sz w:val="24"/>
              </w:rPr>
              <w:t>；</w:t>
            </w:r>
          </w:p>
          <w:p w14:paraId="5B02EB28">
            <w:pPr>
              <w:adjustRightInd w:val="0"/>
              <w:snapToGrid w:val="0"/>
              <w:spacing w:line="360" w:lineRule="auto"/>
              <w:ind w:firstLine="480" w:firstLineChars="200"/>
              <w:rPr>
                <w:color w:val="auto"/>
                <w:sz w:val="24"/>
              </w:rPr>
            </w:pPr>
            <w:r>
              <w:rPr>
                <w:color w:val="auto"/>
                <w:sz w:val="24"/>
              </w:rPr>
              <w:t xml:space="preserve">      N</w:t>
            </w:r>
            <w:r>
              <w:rPr>
                <w:rFonts w:hint="eastAsia"/>
                <w:color w:val="auto"/>
                <w:sz w:val="24"/>
                <w:lang w:eastAsia="zh-CN"/>
              </w:rPr>
              <w:t>－</w:t>
            </w:r>
            <w:r>
              <w:rPr>
                <w:rFonts w:hAnsi="宋体"/>
                <w:color w:val="auto"/>
                <w:sz w:val="24"/>
              </w:rPr>
              <w:t>室外声源个数；</w:t>
            </w:r>
          </w:p>
          <w:p w14:paraId="70FC65A6">
            <w:pPr>
              <w:adjustRightInd w:val="0"/>
              <w:snapToGrid w:val="0"/>
              <w:spacing w:line="360" w:lineRule="auto"/>
              <w:ind w:firstLine="480" w:firstLineChars="200"/>
              <w:rPr>
                <w:color w:val="auto"/>
                <w:sz w:val="24"/>
              </w:rPr>
            </w:pPr>
            <w:r>
              <w:rPr>
                <w:color w:val="auto"/>
                <w:sz w:val="24"/>
              </w:rPr>
              <w:t xml:space="preserve">      M</w:t>
            </w:r>
            <w:r>
              <w:rPr>
                <w:rFonts w:hint="eastAsia"/>
                <w:color w:val="auto"/>
                <w:sz w:val="24"/>
                <w:lang w:eastAsia="zh-CN"/>
              </w:rPr>
              <w:t>-</w:t>
            </w:r>
            <w:r>
              <w:rPr>
                <w:rFonts w:hAnsi="宋体"/>
                <w:color w:val="auto"/>
                <w:sz w:val="24"/>
              </w:rPr>
              <w:t>等效室外声源个数。</w:t>
            </w:r>
          </w:p>
          <w:p w14:paraId="031714D5">
            <w:pPr>
              <w:adjustRightInd w:val="0"/>
              <w:snapToGrid w:val="0"/>
              <w:spacing w:line="360" w:lineRule="auto"/>
              <w:ind w:firstLine="480" w:firstLineChars="200"/>
              <w:rPr>
                <w:color w:val="auto"/>
                <w:sz w:val="24"/>
              </w:rPr>
            </w:pPr>
            <w:r>
              <w:rPr>
                <w:rFonts w:hAnsi="宋体"/>
                <w:color w:val="auto"/>
                <w:sz w:val="24"/>
              </w:rPr>
              <w:t>根据《环境影响评价技术导则声环境》（</w:t>
            </w:r>
            <w:r>
              <w:rPr>
                <w:color w:val="auto"/>
                <w:sz w:val="24"/>
              </w:rPr>
              <w:t>HJ2.4-2021</w:t>
            </w:r>
            <w:r>
              <w:rPr>
                <w:rFonts w:hAnsi="宋体"/>
                <w:color w:val="auto"/>
                <w:sz w:val="24"/>
              </w:rPr>
              <w:t>）评价方法，选用以上预测模式，预测建设项目</w:t>
            </w:r>
            <w:r>
              <w:rPr>
                <w:rFonts w:hint="eastAsia" w:hAnsi="宋体"/>
                <w:color w:val="auto"/>
                <w:sz w:val="24"/>
              </w:rPr>
              <w:t>建成后对声环境的影响</w:t>
            </w:r>
            <w:r>
              <w:rPr>
                <w:rFonts w:hAnsi="宋体"/>
                <w:color w:val="auto"/>
                <w:sz w:val="24"/>
              </w:rPr>
              <w:t>结果见表</w:t>
            </w:r>
            <w:r>
              <w:rPr>
                <w:rFonts w:hint="eastAsia"/>
                <w:color w:val="auto"/>
                <w:sz w:val="24"/>
              </w:rPr>
              <w:t>4.3-</w:t>
            </w:r>
            <w:r>
              <w:rPr>
                <w:rFonts w:hint="eastAsia"/>
                <w:color w:val="auto"/>
                <w:sz w:val="24"/>
                <w:lang w:val="en-US" w:eastAsia="zh-CN"/>
              </w:rPr>
              <w:t>2</w:t>
            </w:r>
            <w:r>
              <w:rPr>
                <w:rFonts w:hAnsi="宋体"/>
                <w:color w:val="auto"/>
                <w:sz w:val="24"/>
              </w:rPr>
              <w:t>。</w:t>
            </w:r>
          </w:p>
          <w:p w14:paraId="7D63E12B">
            <w:pPr>
              <w:tabs>
                <w:tab w:val="left" w:pos="1800"/>
              </w:tabs>
              <w:jc w:val="center"/>
              <w:rPr>
                <w:b/>
                <w:color w:val="auto"/>
                <w:sz w:val="24"/>
              </w:rPr>
            </w:pPr>
            <w:r>
              <w:rPr>
                <w:rFonts w:hAnsi="宋体"/>
                <w:b/>
                <w:color w:val="auto"/>
                <w:sz w:val="24"/>
              </w:rPr>
              <w:t>表</w:t>
            </w:r>
            <w:r>
              <w:rPr>
                <w:rFonts w:hint="eastAsia"/>
                <w:b/>
                <w:color w:val="auto"/>
                <w:sz w:val="24"/>
              </w:rPr>
              <w:t>4.3-</w:t>
            </w:r>
            <w:r>
              <w:rPr>
                <w:rFonts w:hint="eastAsia"/>
                <w:b/>
                <w:color w:val="auto"/>
                <w:sz w:val="24"/>
                <w:lang w:val="en-US" w:eastAsia="zh-CN"/>
              </w:rPr>
              <w:t xml:space="preserve">2  </w:t>
            </w:r>
            <w:r>
              <w:rPr>
                <w:rFonts w:hint="eastAsia" w:hAnsi="宋体"/>
                <w:b/>
                <w:color w:val="auto"/>
                <w:sz w:val="24"/>
              </w:rPr>
              <w:t>建设项目噪声贡献值预测结果一览</w:t>
            </w:r>
            <w:r>
              <w:rPr>
                <w:rFonts w:hAnsi="宋体"/>
                <w:b/>
                <w:color w:val="auto"/>
                <w:sz w:val="24"/>
              </w:rPr>
              <w:t>表</w:t>
            </w:r>
            <w:r>
              <w:rPr>
                <w:rFonts w:hint="eastAsia" w:hAnsi="宋体"/>
                <w:b/>
                <w:color w:val="auto"/>
                <w:sz w:val="24"/>
                <w:lang w:val="en-US" w:eastAsia="zh-CN"/>
              </w:rPr>
              <w:t xml:space="preserve">    </w:t>
            </w:r>
            <w:r>
              <w:rPr>
                <w:rFonts w:hAnsi="宋体"/>
                <w:color w:val="auto"/>
                <w:szCs w:val="21"/>
              </w:rPr>
              <w:t>单位：</w:t>
            </w:r>
            <w:r>
              <w:rPr>
                <w:color w:val="auto"/>
                <w:szCs w:val="21"/>
              </w:rPr>
              <w:t>dB</w:t>
            </w:r>
            <w:r>
              <w:rPr>
                <w:rFonts w:hAnsi="宋体"/>
                <w:color w:val="auto"/>
                <w:szCs w:val="21"/>
              </w:rPr>
              <w:t>（</w:t>
            </w:r>
            <w:r>
              <w:rPr>
                <w:color w:val="auto"/>
                <w:szCs w:val="21"/>
              </w:rPr>
              <w:t>A</w:t>
            </w:r>
            <w:r>
              <w:rPr>
                <w:rFonts w:hAnsi="宋体"/>
                <w:color w:val="auto"/>
                <w:szCs w:val="21"/>
              </w:rPr>
              <w:t>）</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054"/>
              <w:gridCol w:w="740"/>
              <w:gridCol w:w="2224"/>
              <w:gridCol w:w="2224"/>
              <w:gridCol w:w="2224"/>
            </w:tblGrid>
            <w:tr w14:paraId="3A79E6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29" w:hRule="atLeast"/>
                <w:jc w:val="center"/>
              </w:trPr>
              <w:tc>
                <w:tcPr>
                  <w:tcW w:w="1059" w:type="pct"/>
                  <w:gridSpan w:val="2"/>
                  <w:vAlign w:val="center"/>
                </w:tcPr>
                <w:p w14:paraId="37FB5822">
                  <w:pPr>
                    <w:adjustRightInd w:val="0"/>
                    <w:snapToGrid w:val="0"/>
                    <w:jc w:val="center"/>
                    <w:rPr>
                      <w:b/>
                      <w:color w:val="auto"/>
                      <w:szCs w:val="21"/>
                    </w:rPr>
                  </w:pPr>
                  <w:r>
                    <w:rPr>
                      <w:rFonts w:hAnsi="宋体"/>
                      <w:b/>
                      <w:color w:val="auto"/>
                      <w:szCs w:val="21"/>
                    </w:rPr>
                    <w:t>点位</w:t>
                  </w:r>
                </w:p>
              </w:tc>
              <w:tc>
                <w:tcPr>
                  <w:tcW w:w="1313" w:type="pct"/>
                  <w:vAlign w:val="center"/>
                </w:tcPr>
                <w:p w14:paraId="2262BB1E">
                  <w:pPr>
                    <w:adjustRightInd w:val="0"/>
                    <w:snapToGrid w:val="0"/>
                    <w:jc w:val="center"/>
                    <w:rPr>
                      <w:rFonts w:hint="default" w:hAnsi="宋体" w:eastAsia="宋体"/>
                      <w:b/>
                      <w:color w:val="auto"/>
                      <w:szCs w:val="21"/>
                      <w:lang w:val="en-US" w:eastAsia="zh-CN"/>
                    </w:rPr>
                  </w:pPr>
                  <w:r>
                    <w:rPr>
                      <w:rFonts w:hint="eastAsia" w:hAnsi="宋体"/>
                      <w:b/>
                      <w:color w:val="auto"/>
                      <w:szCs w:val="21"/>
                      <w:lang w:eastAsia="zh-CN"/>
                    </w:rPr>
                    <w:t>现有项目噪声贡献值</w:t>
                  </w:r>
                  <w:r>
                    <w:rPr>
                      <w:rFonts w:hint="eastAsia" w:hAnsi="宋体"/>
                      <w:b/>
                      <w:color w:val="auto"/>
                      <w:szCs w:val="21"/>
                      <w:lang w:val="en-US" w:eastAsia="zh-CN"/>
                    </w:rPr>
                    <w:t>*</w:t>
                  </w:r>
                </w:p>
              </w:tc>
              <w:tc>
                <w:tcPr>
                  <w:tcW w:w="1313" w:type="pct"/>
                  <w:vAlign w:val="center"/>
                </w:tcPr>
                <w:p w14:paraId="4E58EACC">
                  <w:pPr>
                    <w:adjustRightInd w:val="0"/>
                    <w:snapToGrid w:val="0"/>
                    <w:jc w:val="center"/>
                    <w:rPr>
                      <w:b/>
                      <w:color w:val="auto"/>
                      <w:szCs w:val="21"/>
                    </w:rPr>
                  </w:pPr>
                  <w:r>
                    <w:rPr>
                      <w:rFonts w:hint="eastAsia" w:hAnsi="宋体"/>
                      <w:b/>
                      <w:color w:val="auto"/>
                      <w:szCs w:val="21"/>
                      <w:lang w:eastAsia="zh-CN"/>
                    </w:rPr>
                    <w:t>本次改造项目</w:t>
                  </w:r>
                  <w:r>
                    <w:rPr>
                      <w:rFonts w:hint="eastAsia" w:hAnsi="宋体"/>
                      <w:b/>
                      <w:color w:val="auto"/>
                      <w:szCs w:val="21"/>
                    </w:rPr>
                    <w:t>噪声</w:t>
                  </w:r>
                  <w:r>
                    <w:rPr>
                      <w:rFonts w:hAnsi="宋体"/>
                      <w:b/>
                      <w:color w:val="auto"/>
                      <w:szCs w:val="21"/>
                    </w:rPr>
                    <w:t>贡献值</w:t>
                  </w:r>
                </w:p>
              </w:tc>
              <w:tc>
                <w:tcPr>
                  <w:tcW w:w="1313" w:type="pct"/>
                  <w:vAlign w:val="center"/>
                </w:tcPr>
                <w:p w14:paraId="7384A91C">
                  <w:pPr>
                    <w:adjustRightInd w:val="0"/>
                    <w:snapToGrid w:val="0"/>
                    <w:jc w:val="center"/>
                    <w:rPr>
                      <w:rFonts w:hint="eastAsia" w:hAnsi="宋体"/>
                      <w:b/>
                      <w:color w:val="auto"/>
                      <w:szCs w:val="21"/>
                      <w:lang w:eastAsia="zh-CN"/>
                    </w:rPr>
                  </w:pPr>
                  <w:r>
                    <w:rPr>
                      <w:rFonts w:hint="eastAsia" w:hAnsi="宋体"/>
                      <w:b/>
                      <w:color w:val="auto"/>
                      <w:szCs w:val="21"/>
                      <w:lang w:eastAsia="zh-CN"/>
                    </w:rPr>
                    <w:t>本次改造后全厂项目厂界噪声贡献值</w:t>
                  </w:r>
                </w:p>
              </w:tc>
            </w:tr>
            <w:tr w14:paraId="51F7AA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29" w:hRule="atLeast"/>
                <w:jc w:val="center"/>
              </w:trPr>
              <w:tc>
                <w:tcPr>
                  <w:tcW w:w="622" w:type="pct"/>
                  <w:tcBorders>
                    <w:right w:val="single" w:color="auto" w:sz="4" w:space="0"/>
                  </w:tcBorders>
                  <w:vAlign w:val="center"/>
                </w:tcPr>
                <w:p w14:paraId="43CD82B4">
                  <w:pPr>
                    <w:adjustRightInd w:val="0"/>
                    <w:snapToGrid w:val="0"/>
                    <w:jc w:val="center"/>
                    <w:rPr>
                      <w:color w:val="auto"/>
                      <w:szCs w:val="21"/>
                    </w:rPr>
                  </w:pPr>
                  <w:r>
                    <w:rPr>
                      <w:rFonts w:hint="eastAsia"/>
                      <w:color w:val="auto"/>
                      <w:szCs w:val="21"/>
                    </w:rPr>
                    <w:t>厂界东</w:t>
                  </w:r>
                </w:p>
              </w:tc>
              <w:tc>
                <w:tcPr>
                  <w:tcW w:w="437" w:type="pct"/>
                  <w:vMerge w:val="restart"/>
                  <w:tcBorders>
                    <w:left w:val="single" w:color="auto" w:sz="4" w:space="0"/>
                  </w:tcBorders>
                  <w:vAlign w:val="center"/>
                </w:tcPr>
                <w:p w14:paraId="638ABD87">
                  <w:pPr>
                    <w:adjustRightInd w:val="0"/>
                    <w:snapToGrid w:val="0"/>
                    <w:jc w:val="center"/>
                    <w:rPr>
                      <w:rFonts w:hint="eastAsia" w:eastAsia="宋体"/>
                      <w:color w:val="auto"/>
                      <w:szCs w:val="21"/>
                      <w:lang w:eastAsia="zh-CN"/>
                    </w:rPr>
                  </w:pPr>
                  <w:r>
                    <w:rPr>
                      <w:rFonts w:hint="eastAsia"/>
                      <w:color w:val="auto"/>
                      <w:szCs w:val="21"/>
                      <w:lang w:eastAsia="zh-CN"/>
                    </w:rPr>
                    <w:t>昼间</w:t>
                  </w:r>
                </w:p>
              </w:tc>
              <w:tc>
                <w:tcPr>
                  <w:tcW w:w="1313" w:type="pct"/>
                  <w:vAlign w:val="center"/>
                </w:tcPr>
                <w:p w14:paraId="14ACBCFB">
                  <w:pPr>
                    <w:adjustRightInd w:val="0"/>
                    <w:snapToGrid w:val="0"/>
                    <w:jc w:val="center"/>
                    <w:rPr>
                      <w:rFonts w:hint="default" w:eastAsia="宋体"/>
                      <w:color w:val="auto"/>
                      <w:szCs w:val="21"/>
                      <w:lang w:val="en-US" w:eastAsia="zh-CN"/>
                    </w:rPr>
                  </w:pPr>
                  <w:r>
                    <w:rPr>
                      <w:rFonts w:hint="eastAsia"/>
                      <w:color w:val="auto"/>
                      <w:szCs w:val="21"/>
                      <w:lang w:val="en-US" w:eastAsia="zh-CN"/>
                    </w:rPr>
                    <w:t>61.4</w:t>
                  </w:r>
                </w:p>
              </w:tc>
              <w:tc>
                <w:tcPr>
                  <w:tcW w:w="1313" w:type="pct"/>
                  <w:vAlign w:val="center"/>
                </w:tcPr>
                <w:p w14:paraId="59E2C32C">
                  <w:pPr>
                    <w:jc w:val="center"/>
                    <w:rPr>
                      <w:color w:val="auto"/>
                      <w:szCs w:val="21"/>
                    </w:rPr>
                  </w:pPr>
                  <w:r>
                    <w:rPr>
                      <w:rFonts w:hint="eastAsia"/>
                      <w:color w:val="auto"/>
                      <w:szCs w:val="21"/>
                      <w:lang w:val="en-US" w:eastAsia="zh-CN"/>
                    </w:rPr>
                    <w:t>29.6</w:t>
                  </w:r>
                </w:p>
              </w:tc>
              <w:tc>
                <w:tcPr>
                  <w:tcW w:w="1313" w:type="pct"/>
                  <w:vAlign w:val="center"/>
                </w:tcPr>
                <w:p w14:paraId="07863D4F">
                  <w:pPr>
                    <w:jc w:val="center"/>
                    <w:rPr>
                      <w:rFonts w:hint="default"/>
                      <w:color w:val="auto"/>
                      <w:szCs w:val="21"/>
                      <w:lang w:val="en-US" w:eastAsia="zh-CN"/>
                    </w:rPr>
                  </w:pPr>
                  <w:r>
                    <w:rPr>
                      <w:rFonts w:hint="eastAsia"/>
                      <w:color w:val="auto"/>
                      <w:szCs w:val="21"/>
                      <w:lang w:val="en-US" w:eastAsia="zh-CN"/>
                    </w:rPr>
                    <w:t>61.4</w:t>
                  </w:r>
                </w:p>
              </w:tc>
            </w:tr>
            <w:tr w14:paraId="526712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29" w:hRule="atLeast"/>
                <w:jc w:val="center"/>
              </w:trPr>
              <w:tc>
                <w:tcPr>
                  <w:tcW w:w="622" w:type="pct"/>
                  <w:tcBorders>
                    <w:right w:val="single" w:color="auto" w:sz="4" w:space="0"/>
                  </w:tcBorders>
                  <w:vAlign w:val="center"/>
                </w:tcPr>
                <w:p w14:paraId="62C0A054">
                  <w:pPr>
                    <w:adjustRightInd w:val="0"/>
                    <w:snapToGrid w:val="0"/>
                    <w:jc w:val="center"/>
                    <w:rPr>
                      <w:color w:val="auto"/>
                      <w:szCs w:val="21"/>
                    </w:rPr>
                  </w:pPr>
                  <w:r>
                    <w:rPr>
                      <w:rFonts w:hint="eastAsia"/>
                      <w:color w:val="auto"/>
                      <w:szCs w:val="21"/>
                    </w:rPr>
                    <w:t>厂界南</w:t>
                  </w:r>
                </w:p>
              </w:tc>
              <w:tc>
                <w:tcPr>
                  <w:tcW w:w="437" w:type="pct"/>
                  <w:vMerge w:val="continue"/>
                  <w:tcBorders>
                    <w:left w:val="single" w:color="auto" w:sz="4" w:space="0"/>
                  </w:tcBorders>
                  <w:vAlign w:val="center"/>
                </w:tcPr>
                <w:p w14:paraId="16358A78">
                  <w:pPr>
                    <w:adjustRightInd w:val="0"/>
                    <w:snapToGrid w:val="0"/>
                    <w:jc w:val="center"/>
                    <w:rPr>
                      <w:rFonts w:hint="eastAsia"/>
                      <w:color w:val="auto"/>
                      <w:szCs w:val="21"/>
                    </w:rPr>
                  </w:pPr>
                </w:p>
              </w:tc>
              <w:tc>
                <w:tcPr>
                  <w:tcW w:w="1313" w:type="pct"/>
                  <w:vAlign w:val="center"/>
                </w:tcPr>
                <w:p w14:paraId="37F2C237">
                  <w:pPr>
                    <w:adjustRightInd w:val="0"/>
                    <w:snapToGrid w:val="0"/>
                    <w:jc w:val="center"/>
                    <w:rPr>
                      <w:rFonts w:hint="default" w:eastAsia="宋体"/>
                      <w:color w:val="auto"/>
                      <w:szCs w:val="21"/>
                      <w:lang w:val="en-US" w:eastAsia="zh-CN"/>
                    </w:rPr>
                  </w:pPr>
                  <w:r>
                    <w:rPr>
                      <w:rFonts w:hint="eastAsia"/>
                      <w:color w:val="auto"/>
                      <w:szCs w:val="21"/>
                      <w:lang w:val="en-US" w:eastAsia="zh-CN"/>
                    </w:rPr>
                    <w:t>62.8</w:t>
                  </w:r>
                </w:p>
              </w:tc>
              <w:tc>
                <w:tcPr>
                  <w:tcW w:w="1313" w:type="pct"/>
                  <w:vAlign w:val="center"/>
                </w:tcPr>
                <w:p w14:paraId="24329468">
                  <w:pPr>
                    <w:jc w:val="center"/>
                    <w:rPr>
                      <w:rFonts w:hint="default"/>
                      <w:color w:val="auto"/>
                      <w:szCs w:val="21"/>
                      <w:lang w:val="en-US"/>
                    </w:rPr>
                  </w:pPr>
                  <w:r>
                    <w:rPr>
                      <w:rFonts w:hint="eastAsia"/>
                      <w:color w:val="auto"/>
                      <w:szCs w:val="21"/>
                      <w:lang w:val="en-US" w:eastAsia="zh-CN"/>
                    </w:rPr>
                    <w:t>31.5</w:t>
                  </w:r>
                </w:p>
              </w:tc>
              <w:tc>
                <w:tcPr>
                  <w:tcW w:w="1313" w:type="pct"/>
                  <w:vAlign w:val="center"/>
                </w:tcPr>
                <w:p w14:paraId="335DCDFE">
                  <w:pPr>
                    <w:jc w:val="center"/>
                    <w:rPr>
                      <w:rFonts w:hint="default"/>
                      <w:color w:val="auto"/>
                      <w:szCs w:val="21"/>
                      <w:lang w:val="en-US" w:eastAsia="zh-CN"/>
                    </w:rPr>
                  </w:pPr>
                  <w:r>
                    <w:rPr>
                      <w:rFonts w:hint="eastAsia"/>
                      <w:color w:val="auto"/>
                      <w:szCs w:val="21"/>
                      <w:lang w:val="en-US" w:eastAsia="zh-CN"/>
                    </w:rPr>
                    <w:t>62.8</w:t>
                  </w:r>
                </w:p>
              </w:tc>
            </w:tr>
            <w:tr w14:paraId="046B55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29" w:hRule="atLeast"/>
                <w:jc w:val="center"/>
              </w:trPr>
              <w:tc>
                <w:tcPr>
                  <w:tcW w:w="622" w:type="pct"/>
                  <w:tcBorders>
                    <w:right w:val="single" w:color="auto" w:sz="4" w:space="0"/>
                  </w:tcBorders>
                  <w:vAlign w:val="center"/>
                </w:tcPr>
                <w:p w14:paraId="76BC36F7">
                  <w:pPr>
                    <w:adjustRightInd w:val="0"/>
                    <w:snapToGrid w:val="0"/>
                    <w:jc w:val="center"/>
                    <w:rPr>
                      <w:color w:val="auto"/>
                      <w:szCs w:val="21"/>
                    </w:rPr>
                  </w:pPr>
                  <w:r>
                    <w:rPr>
                      <w:rFonts w:hint="eastAsia"/>
                      <w:color w:val="auto"/>
                      <w:szCs w:val="21"/>
                    </w:rPr>
                    <w:t>厂界西</w:t>
                  </w:r>
                </w:p>
              </w:tc>
              <w:tc>
                <w:tcPr>
                  <w:tcW w:w="437" w:type="pct"/>
                  <w:vMerge w:val="continue"/>
                  <w:tcBorders>
                    <w:left w:val="single" w:color="auto" w:sz="4" w:space="0"/>
                  </w:tcBorders>
                  <w:vAlign w:val="center"/>
                </w:tcPr>
                <w:p w14:paraId="3D267A8A">
                  <w:pPr>
                    <w:adjustRightInd w:val="0"/>
                    <w:snapToGrid w:val="0"/>
                    <w:jc w:val="center"/>
                    <w:rPr>
                      <w:rFonts w:hint="eastAsia"/>
                      <w:color w:val="auto"/>
                      <w:szCs w:val="21"/>
                    </w:rPr>
                  </w:pPr>
                </w:p>
              </w:tc>
              <w:tc>
                <w:tcPr>
                  <w:tcW w:w="1313" w:type="pct"/>
                  <w:vAlign w:val="center"/>
                </w:tcPr>
                <w:p w14:paraId="43A00BC4">
                  <w:pPr>
                    <w:adjustRightInd w:val="0"/>
                    <w:snapToGrid w:val="0"/>
                    <w:jc w:val="center"/>
                    <w:rPr>
                      <w:rFonts w:hint="default" w:eastAsia="宋体"/>
                      <w:color w:val="auto"/>
                      <w:szCs w:val="21"/>
                      <w:lang w:val="en-US" w:eastAsia="zh-CN"/>
                    </w:rPr>
                  </w:pPr>
                  <w:r>
                    <w:rPr>
                      <w:rFonts w:hint="eastAsia"/>
                      <w:color w:val="auto"/>
                      <w:szCs w:val="21"/>
                      <w:lang w:val="en-US" w:eastAsia="zh-CN"/>
                    </w:rPr>
                    <w:t>64.8</w:t>
                  </w:r>
                </w:p>
              </w:tc>
              <w:tc>
                <w:tcPr>
                  <w:tcW w:w="1313" w:type="pct"/>
                  <w:vAlign w:val="center"/>
                </w:tcPr>
                <w:p w14:paraId="6350CC19">
                  <w:pPr>
                    <w:jc w:val="center"/>
                    <w:rPr>
                      <w:rFonts w:hint="default"/>
                      <w:color w:val="auto"/>
                      <w:szCs w:val="21"/>
                      <w:lang w:val="en-US"/>
                    </w:rPr>
                  </w:pPr>
                  <w:r>
                    <w:rPr>
                      <w:rFonts w:hint="eastAsia"/>
                      <w:color w:val="auto"/>
                      <w:szCs w:val="21"/>
                      <w:lang w:val="en-US" w:eastAsia="zh-CN"/>
                    </w:rPr>
                    <w:t>33.2</w:t>
                  </w:r>
                </w:p>
              </w:tc>
              <w:tc>
                <w:tcPr>
                  <w:tcW w:w="1313" w:type="pct"/>
                  <w:vAlign w:val="center"/>
                </w:tcPr>
                <w:p w14:paraId="395009E3">
                  <w:pPr>
                    <w:jc w:val="center"/>
                    <w:rPr>
                      <w:rFonts w:hint="default"/>
                      <w:color w:val="auto"/>
                      <w:szCs w:val="21"/>
                      <w:lang w:val="en-US" w:eastAsia="zh-CN"/>
                    </w:rPr>
                  </w:pPr>
                  <w:r>
                    <w:rPr>
                      <w:rFonts w:hint="eastAsia"/>
                      <w:color w:val="auto"/>
                      <w:szCs w:val="21"/>
                      <w:lang w:val="en-US" w:eastAsia="zh-CN"/>
                    </w:rPr>
                    <w:t>64.8</w:t>
                  </w:r>
                </w:p>
              </w:tc>
            </w:tr>
            <w:tr w14:paraId="1E7618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29" w:hRule="atLeast"/>
                <w:jc w:val="center"/>
              </w:trPr>
              <w:tc>
                <w:tcPr>
                  <w:tcW w:w="622" w:type="pct"/>
                  <w:tcBorders>
                    <w:right w:val="single" w:color="auto" w:sz="4" w:space="0"/>
                  </w:tcBorders>
                  <w:vAlign w:val="center"/>
                </w:tcPr>
                <w:p w14:paraId="7B964101">
                  <w:pPr>
                    <w:adjustRightInd w:val="0"/>
                    <w:snapToGrid w:val="0"/>
                    <w:jc w:val="center"/>
                    <w:rPr>
                      <w:color w:val="auto"/>
                      <w:szCs w:val="21"/>
                    </w:rPr>
                  </w:pPr>
                  <w:r>
                    <w:rPr>
                      <w:rFonts w:hint="eastAsia"/>
                      <w:color w:val="auto"/>
                      <w:szCs w:val="21"/>
                    </w:rPr>
                    <w:t>厂界北</w:t>
                  </w:r>
                </w:p>
              </w:tc>
              <w:tc>
                <w:tcPr>
                  <w:tcW w:w="437" w:type="pct"/>
                  <w:vMerge w:val="continue"/>
                  <w:tcBorders>
                    <w:left w:val="single" w:color="auto" w:sz="4" w:space="0"/>
                  </w:tcBorders>
                  <w:vAlign w:val="center"/>
                </w:tcPr>
                <w:p w14:paraId="1234E394">
                  <w:pPr>
                    <w:adjustRightInd w:val="0"/>
                    <w:snapToGrid w:val="0"/>
                    <w:jc w:val="center"/>
                    <w:rPr>
                      <w:rFonts w:hint="eastAsia"/>
                      <w:color w:val="auto"/>
                      <w:szCs w:val="21"/>
                    </w:rPr>
                  </w:pPr>
                </w:p>
              </w:tc>
              <w:tc>
                <w:tcPr>
                  <w:tcW w:w="1313" w:type="pct"/>
                  <w:vAlign w:val="center"/>
                </w:tcPr>
                <w:p w14:paraId="57BE9124">
                  <w:pPr>
                    <w:adjustRightInd w:val="0"/>
                    <w:snapToGrid w:val="0"/>
                    <w:jc w:val="center"/>
                    <w:rPr>
                      <w:rFonts w:hint="default" w:eastAsia="宋体"/>
                      <w:color w:val="auto"/>
                      <w:szCs w:val="21"/>
                      <w:lang w:val="en-US" w:eastAsia="zh-CN"/>
                    </w:rPr>
                  </w:pPr>
                  <w:r>
                    <w:rPr>
                      <w:rFonts w:hint="eastAsia"/>
                      <w:color w:val="auto"/>
                      <w:szCs w:val="21"/>
                      <w:lang w:val="en-US" w:eastAsia="zh-CN"/>
                    </w:rPr>
                    <w:t>58.1</w:t>
                  </w:r>
                </w:p>
              </w:tc>
              <w:tc>
                <w:tcPr>
                  <w:tcW w:w="1313" w:type="pct"/>
                  <w:vAlign w:val="center"/>
                </w:tcPr>
                <w:p w14:paraId="4E74236D">
                  <w:pPr>
                    <w:jc w:val="center"/>
                    <w:rPr>
                      <w:rFonts w:hint="default" w:eastAsia="宋体"/>
                      <w:color w:val="auto"/>
                      <w:szCs w:val="21"/>
                      <w:lang w:val="en-US" w:eastAsia="zh-CN"/>
                    </w:rPr>
                  </w:pPr>
                  <w:r>
                    <w:rPr>
                      <w:rFonts w:hint="eastAsia"/>
                      <w:color w:val="auto"/>
                      <w:szCs w:val="21"/>
                      <w:lang w:val="en-US" w:eastAsia="zh-CN"/>
                    </w:rPr>
                    <w:t>30.1</w:t>
                  </w:r>
                </w:p>
              </w:tc>
              <w:tc>
                <w:tcPr>
                  <w:tcW w:w="1313" w:type="pct"/>
                  <w:vAlign w:val="center"/>
                </w:tcPr>
                <w:p w14:paraId="1383CD98">
                  <w:pPr>
                    <w:jc w:val="center"/>
                    <w:rPr>
                      <w:rFonts w:hint="default"/>
                      <w:color w:val="auto"/>
                      <w:szCs w:val="21"/>
                      <w:lang w:val="en-US" w:eastAsia="zh-CN"/>
                    </w:rPr>
                  </w:pPr>
                  <w:r>
                    <w:rPr>
                      <w:rFonts w:hint="eastAsia"/>
                      <w:color w:val="auto"/>
                      <w:szCs w:val="21"/>
                      <w:lang w:val="en-US" w:eastAsia="zh-CN"/>
                    </w:rPr>
                    <w:t>58.11</w:t>
                  </w:r>
                </w:p>
              </w:tc>
            </w:tr>
            <w:tr w14:paraId="4DC625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29" w:hRule="atLeast"/>
                <w:jc w:val="center"/>
              </w:trPr>
              <w:tc>
                <w:tcPr>
                  <w:tcW w:w="622" w:type="pct"/>
                  <w:tcBorders>
                    <w:right w:val="single" w:color="auto" w:sz="4" w:space="0"/>
                  </w:tcBorders>
                  <w:shd w:val="clear" w:color="auto" w:fill="auto"/>
                  <w:vAlign w:val="center"/>
                </w:tcPr>
                <w:p w14:paraId="7E3C885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厂界东</w:t>
                  </w:r>
                </w:p>
              </w:tc>
              <w:tc>
                <w:tcPr>
                  <w:tcW w:w="437" w:type="pct"/>
                  <w:vMerge w:val="restart"/>
                  <w:tcBorders>
                    <w:left w:val="single" w:color="auto" w:sz="4" w:space="0"/>
                  </w:tcBorders>
                  <w:vAlign w:val="center"/>
                </w:tcPr>
                <w:p w14:paraId="0A90A6C4">
                  <w:pPr>
                    <w:adjustRightInd w:val="0"/>
                    <w:snapToGrid w:val="0"/>
                    <w:jc w:val="center"/>
                    <w:rPr>
                      <w:rFonts w:hint="eastAsia" w:eastAsia="宋体"/>
                      <w:color w:val="auto"/>
                      <w:szCs w:val="21"/>
                      <w:lang w:eastAsia="zh-CN"/>
                    </w:rPr>
                  </w:pPr>
                  <w:r>
                    <w:rPr>
                      <w:rFonts w:hint="eastAsia"/>
                      <w:color w:val="auto"/>
                      <w:szCs w:val="21"/>
                      <w:lang w:eastAsia="zh-CN"/>
                    </w:rPr>
                    <w:t>夜间</w:t>
                  </w:r>
                </w:p>
              </w:tc>
              <w:tc>
                <w:tcPr>
                  <w:tcW w:w="1313" w:type="pct"/>
                  <w:vAlign w:val="center"/>
                </w:tcPr>
                <w:p w14:paraId="5750F11F">
                  <w:pPr>
                    <w:adjustRightInd w:val="0"/>
                    <w:snapToGrid w:val="0"/>
                    <w:jc w:val="center"/>
                    <w:rPr>
                      <w:rFonts w:hint="default"/>
                      <w:color w:val="auto"/>
                      <w:szCs w:val="21"/>
                      <w:lang w:val="en-US" w:eastAsia="zh-CN"/>
                    </w:rPr>
                  </w:pPr>
                  <w:r>
                    <w:rPr>
                      <w:rFonts w:hint="eastAsia"/>
                      <w:color w:val="auto"/>
                      <w:szCs w:val="21"/>
                      <w:lang w:val="en-US" w:eastAsia="zh-CN"/>
                    </w:rPr>
                    <w:t>54.2</w:t>
                  </w:r>
                </w:p>
              </w:tc>
              <w:tc>
                <w:tcPr>
                  <w:tcW w:w="1313" w:type="pct"/>
                  <w:shd w:val="clear" w:color="auto" w:fill="auto"/>
                  <w:vAlign w:val="center"/>
                </w:tcPr>
                <w:p w14:paraId="6988008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29.6</w:t>
                  </w:r>
                </w:p>
              </w:tc>
              <w:tc>
                <w:tcPr>
                  <w:tcW w:w="1313" w:type="pct"/>
                  <w:vAlign w:val="center"/>
                </w:tcPr>
                <w:p w14:paraId="0D2FB919">
                  <w:pPr>
                    <w:jc w:val="center"/>
                    <w:rPr>
                      <w:rFonts w:hint="default"/>
                      <w:color w:val="auto"/>
                      <w:szCs w:val="21"/>
                      <w:lang w:val="en-US" w:eastAsia="zh-CN"/>
                    </w:rPr>
                  </w:pPr>
                  <w:r>
                    <w:rPr>
                      <w:rFonts w:hint="eastAsia"/>
                      <w:color w:val="auto"/>
                      <w:szCs w:val="21"/>
                      <w:lang w:val="en-US" w:eastAsia="zh-CN"/>
                    </w:rPr>
                    <w:t>54.22</w:t>
                  </w:r>
                </w:p>
              </w:tc>
            </w:tr>
            <w:tr w14:paraId="4F6D0A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29" w:hRule="atLeast"/>
                <w:jc w:val="center"/>
              </w:trPr>
              <w:tc>
                <w:tcPr>
                  <w:tcW w:w="622" w:type="pct"/>
                  <w:tcBorders>
                    <w:right w:val="single" w:color="auto" w:sz="4" w:space="0"/>
                  </w:tcBorders>
                  <w:shd w:val="clear" w:color="auto" w:fill="auto"/>
                  <w:vAlign w:val="center"/>
                </w:tcPr>
                <w:p w14:paraId="4DE71D45">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厂界南</w:t>
                  </w:r>
                </w:p>
              </w:tc>
              <w:tc>
                <w:tcPr>
                  <w:tcW w:w="437" w:type="pct"/>
                  <w:vMerge w:val="continue"/>
                  <w:tcBorders>
                    <w:left w:val="single" w:color="auto" w:sz="4" w:space="0"/>
                  </w:tcBorders>
                  <w:vAlign w:val="center"/>
                </w:tcPr>
                <w:p w14:paraId="3BA27EC9">
                  <w:pPr>
                    <w:adjustRightInd w:val="0"/>
                    <w:snapToGrid w:val="0"/>
                    <w:jc w:val="center"/>
                    <w:rPr>
                      <w:rFonts w:hint="eastAsia"/>
                      <w:color w:val="auto"/>
                      <w:szCs w:val="21"/>
                    </w:rPr>
                  </w:pPr>
                </w:p>
              </w:tc>
              <w:tc>
                <w:tcPr>
                  <w:tcW w:w="1313" w:type="pct"/>
                  <w:vAlign w:val="center"/>
                </w:tcPr>
                <w:p w14:paraId="6B0E6234">
                  <w:pPr>
                    <w:adjustRightInd w:val="0"/>
                    <w:snapToGrid w:val="0"/>
                    <w:jc w:val="center"/>
                    <w:rPr>
                      <w:rFonts w:hint="default"/>
                      <w:color w:val="auto"/>
                      <w:szCs w:val="21"/>
                      <w:lang w:val="en-US" w:eastAsia="zh-CN"/>
                    </w:rPr>
                  </w:pPr>
                  <w:r>
                    <w:rPr>
                      <w:rFonts w:hint="eastAsia"/>
                      <w:color w:val="auto"/>
                      <w:szCs w:val="21"/>
                      <w:lang w:val="en-US" w:eastAsia="zh-CN"/>
                    </w:rPr>
                    <w:t>54.5</w:t>
                  </w:r>
                </w:p>
              </w:tc>
              <w:tc>
                <w:tcPr>
                  <w:tcW w:w="1313" w:type="pct"/>
                  <w:shd w:val="clear" w:color="auto" w:fill="auto"/>
                  <w:vAlign w:val="center"/>
                </w:tcPr>
                <w:p w14:paraId="58C148A7">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31.5</w:t>
                  </w:r>
                </w:p>
              </w:tc>
              <w:tc>
                <w:tcPr>
                  <w:tcW w:w="1313" w:type="pct"/>
                  <w:vAlign w:val="center"/>
                </w:tcPr>
                <w:p w14:paraId="6056DF1D">
                  <w:pPr>
                    <w:jc w:val="center"/>
                    <w:rPr>
                      <w:rFonts w:hint="default"/>
                      <w:color w:val="auto"/>
                      <w:szCs w:val="21"/>
                      <w:lang w:val="en-US" w:eastAsia="zh-CN"/>
                    </w:rPr>
                  </w:pPr>
                  <w:r>
                    <w:rPr>
                      <w:rFonts w:hint="eastAsia"/>
                      <w:color w:val="auto"/>
                      <w:szCs w:val="21"/>
                      <w:lang w:val="en-US" w:eastAsia="zh-CN"/>
                    </w:rPr>
                    <w:t>54.52</w:t>
                  </w:r>
                </w:p>
              </w:tc>
            </w:tr>
            <w:tr w14:paraId="3BBCE3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29" w:hRule="atLeast"/>
                <w:jc w:val="center"/>
              </w:trPr>
              <w:tc>
                <w:tcPr>
                  <w:tcW w:w="622" w:type="pct"/>
                  <w:tcBorders>
                    <w:right w:val="single" w:color="auto" w:sz="4" w:space="0"/>
                  </w:tcBorders>
                  <w:shd w:val="clear" w:color="auto" w:fill="auto"/>
                  <w:vAlign w:val="center"/>
                </w:tcPr>
                <w:p w14:paraId="3D2AB703">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厂界西</w:t>
                  </w:r>
                </w:p>
              </w:tc>
              <w:tc>
                <w:tcPr>
                  <w:tcW w:w="437" w:type="pct"/>
                  <w:vMerge w:val="continue"/>
                  <w:tcBorders>
                    <w:left w:val="single" w:color="auto" w:sz="4" w:space="0"/>
                  </w:tcBorders>
                  <w:vAlign w:val="center"/>
                </w:tcPr>
                <w:p w14:paraId="77C1155D">
                  <w:pPr>
                    <w:adjustRightInd w:val="0"/>
                    <w:snapToGrid w:val="0"/>
                    <w:jc w:val="center"/>
                    <w:rPr>
                      <w:rFonts w:hint="eastAsia"/>
                      <w:color w:val="auto"/>
                      <w:szCs w:val="21"/>
                    </w:rPr>
                  </w:pPr>
                </w:p>
              </w:tc>
              <w:tc>
                <w:tcPr>
                  <w:tcW w:w="1313" w:type="pct"/>
                  <w:vAlign w:val="center"/>
                </w:tcPr>
                <w:p w14:paraId="4EB9F202">
                  <w:pPr>
                    <w:adjustRightInd w:val="0"/>
                    <w:snapToGrid w:val="0"/>
                    <w:jc w:val="center"/>
                    <w:rPr>
                      <w:rFonts w:hint="default"/>
                      <w:color w:val="auto"/>
                      <w:szCs w:val="21"/>
                      <w:lang w:val="en-US" w:eastAsia="zh-CN"/>
                    </w:rPr>
                  </w:pPr>
                  <w:r>
                    <w:rPr>
                      <w:rFonts w:hint="eastAsia"/>
                      <w:color w:val="auto"/>
                      <w:szCs w:val="21"/>
                      <w:lang w:val="en-US" w:eastAsia="zh-CN"/>
                    </w:rPr>
                    <w:t>54.8</w:t>
                  </w:r>
                </w:p>
              </w:tc>
              <w:tc>
                <w:tcPr>
                  <w:tcW w:w="1313" w:type="pct"/>
                  <w:shd w:val="clear" w:color="auto" w:fill="auto"/>
                  <w:vAlign w:val="center"/>
                </w:tcPr>
                <w:p w14:paraId="37BF206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33.2</w:t>
                  </w:r>
                </w:p>
              </w:tc>
              <w:tc>
                <w:tcPr>
                  <w:tcW w:w="1313" w:type="pct"/>
                  <w:vAlign w:val="center"/>
                </w:tcPr>
                <w:p w14:paraId="021474E6">
                  <w:pPr>
                    <w:jc w:val="center"/>
                    <w:rPr>
                      <w:rFonts w:hint="default"/>
                      <w:color w:val="auto"/>
                      <w:szCs w:val="21"/>
                      <w:lang w:val="en-US" w:eastAsia="zh-CN"/>
                    </w:rPr>
                  </w:pPr>
                  <w:r>
                    <w:rPr>
                      <w:rFonts w:hint="eastAsia"/>
                      <w:color w:val="auto"/>
                      <w:szCs w:val="21"/>
                      <w:lang w:val="en-US" w:eastAsia="zh-CN"/>
                    </w:rPr>
                    <w:t>54.83</w:t>
                  </w:r>
                </w:p>
              </w:tc>
            </w:tr>
            <w:tr w14:paraId="2B41BD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29" w:hRule="atLeast"/>
                <w:jc w:val="center"/>
              </w:trPr>
              <w:tc>
                <w:tcPr>
                  <w:tcW w:w="622" w:type="pct"/>
                  <w:tcBorders>
                    <w:right w:val="single" w:color="auto" w:sz="4" w:space="0"/>
                  </w:tcBorders>
                  <w:shd w:val="clear" w:color="auto" w:fill="auto"/>
                  <w:vAlign w:val="center"/>
                </w:tcPr>
                <w:p w14:paraId="18D4A0B6">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厂界北</w:t>
                  </w:r>
                </w:p>
              </w:tc>
              <w:tc>
                <w:tcPr>
                  <w:tcW w:w="437" w:type="pct"/>
                  <w:vMerge w:val="continue"/>
                  <w:tcBorders>
                    <w:left w:val="single" w:color="auto" w:sz="4" w:space="0"/>
                  </w:tcBorders>
                  <w:vAlign w:val="center"/>
                </w:tcPr>
                <w:p w14:paraId="6D1C3FB2">
                  <w:pPr>
                    <w:adjustRightInd w:val="0"/>
                    <w:snapToGrid w:val="0"/>
                    <w:jc w:val="center"/>
                    <w:rPr>
                      <w:rFonts w:hint="eastAsia"/>
                      <w:color w:val="auto"/>
                      <w:szCs w:val="21"/>
                    </w:rPr>
                  </w:pPr>
                </w:p>
              </w:tc>
              <w:tc>
                <w:tcPr>
                  <w:tcW w:w="1313" w:type="pct"/>
                  <w:vAlign w:val="center"/>
                </w:tcPr>
                <w:p w14:paraId="28B28A78">
                  <w:pPr>
                    <w:adjustRightInd w:val="0"/>
                    <w:snapToGrid w:val="0"/>
                    <w:jc w:val="center"/>
                    <w:rPr>
                      <w:rFonts w:hint="default"/>
                      <w:color w:val="auto"/>
                      <w:szCs w:val="21"/>
                      <w:lang w:val="en-US" w:eastAsia="zh-CN"/>
                    </w:rPr>
                  </w:pPr>
                  <w:r>
                    <w:rPr>
                      <w:rFonts w:hint="eastAsia"/>
                      <w:color w:val="auto"/>
                      <w:szCs w:val="21"/>
                      <w:lang w:val="en-US" w:eastAsia="zh-CN"/>
                    </w:rPr>
                    <w:t>52.1</w:t>
                  </w:r>
                </w:p>
              </w:tc>
              <w:tc>
                <w:tcPr>
                  <w:tcW w:w="1313" w:type="pct"/>
                  <w:shd w:val="clear" w:color="auto" w:fill="auto"/>
                  <w:vAlign w:val="center"/>
                </w:tcPr>
                <w:p w14:paraId="301B5E09">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30.1</w:t>
                  </w:r>
                </w:p>
              </w:tc>
              <w:tc>
                <w:tcPr>
                  <w:tcW w:w="1313" w:type="pct"/>
                  <w:vAlign w:val="center"/>
                </w:tcPr>
                <w:p w14:paraId="778DAE4A">
                  <w:pPr>
                    <w:jc w:val="center"/>
                    <w:rPr>
                      <w:rFonts w:hint="default"/>
                      <w:color w:val="auto"/>
                      <w:szCs w:val="21"/>
                      <w:lang w:val="en-US" w:eastAsia="zh-CN"/>
                    </w:rPr>
                  </w:pPr>
                  <w:r>
                    <w:rPr>
                      <w:rFonts w:hint="eastAsia"/>
                      <w:color w:val="auto"/>
                      <w:szCs w:val="21"/>
                      <w:lang w:val="en-US" w:eastAsia="zh-CN"/>
                    </w:rPr>
                    <w:t>52.13</w:t>
                  </w:r>
                </w:p>
              </w:tc>
            </w:tr>
          </w:tbl>
          <w:p w14:paraId="68165F89">
            <w:pPr>
              <w:adjustRightInd w:val="0"/>
              <w:snapToGrid w:val="0"/>
              <w:spacing w:line="360" w:lineRule="auto"/>
              <w:ind w:firstLine="420" w:firstLineChars="200"/>
              <w:rPr>
                <w:rFonts w:hint="eastAsia" w:hAnsi="宋体" w:eastAsia="宋体"/>
                <w:color w:val="auto"/>
                <w:sz w:val="21"/>
                <w:szCs w:val="21"/>
                <w:lang w:eastAsia="zh-CN"/>
              </w:rPr>
            </w:pPr>
            <w:r>
              <w:rPr>
                <w:rFonts w:hint="eastAsia" w:hAnsi="宋体"/>
                <w:color w:val="auto"/>
                <w:sz w:val="21"/>
                <w:szCs w:val="21"/>
                <w:lang w:eastAsia="zh-CN"/>
              </w:rPr>
              <w:t>注：现有项目噪声贡献值取现有“</w:t>
            </w:r>
            <w:r>
              <w:rPr>
                <w:rFonts w:hint="eastAsia" w:ascii="Times New Roman" w:hAnsi="Times New Roman" w:cs="Times New Roman"/>
                <w:color w:val="auto"/>
                <w:szCs w:val="21"/>
              </w:rPr>
              <w:t>年产14.5万吨三氯氧磷（其中电子级0.5万吨）、11万吨电子级五氯化磷技改项目</w:t>
            </w:r>
            <w:r>
              <w:rPr>
                <w:rFonts w:hint="eastAsia" w:hAnsi="宋体"/>
                <w:color w:val="auto"/>
                <w:sz w:val="21"/>
                <w:szCs w:val="21"/>
                <w:lang w:eastAsia="zh-CN"/>
              </w:rPr>
              <w:t>”竣工验收监测数据、例行监测数据中的较大值。</w:t>
            </w:r>
          </w:p>
          <w:p w14:paraId="531CCC5E">
            <w:pPr>
              <w:adjustRightInd w:val="0"/>
              <w:snapToGrid w:val="0"/>
              <w:spacing w:line="360" w:lineRule="auto"/>
              <w:ind w:firstLine="480" w:firstLineChars="200"/>
              <w:rPr>
                <w:color w:val="auto"/>
                <w:sz w:val="24"/>
              </w:rPr>
            </w:pPr>
            <w:r>
              <w:rPr>
                <w:rFonts w:hAnsi="宋体"/>
                <w:color w:val="auto"/>
                <w:sz w:val="24"/>
              </w:rPr>
              <w:t>从表</w:t>
            </w:r>
            <w:r>
              <w:rPr>
                <w:rFonts w:hint="eastAsia"/>
                <w:color w:val="auto"/>
                <w:sz w:val="24"/>
              </w:rPr>
              <w:t>4.</w:t>
            </w:r>
            <w:r>
              <w:rPr>
                <w:rFonts w:hint="eastAsia"/>
                <w:color w:val="auto"/>
                <w:sz w:val="24"/>
                <w:lang w:val="en-US" w:eastAsia="zh-CN"/>
              </w:rPr>
              <w:t>3-2</w:t>
            </w:r>
            <w:r>
              <w:rPr>
                <w:rFonts w:hAnsi="宋体"/>
                <w:color w:val="auto"/>
                <w:sz w:val="24"/>
              </w:rPr>
              <w:t>可以看出：</w:t>
            </w:r>
            <w:r>
              <w:rPr>
                <w:rFonts w:hint="eastAsia" w:hAnsi="宋体"/>
                <w:color w:val="auto"/>
                <w:sz w:val="24"/>
              </w:rPr>
              <w:t>建设项目对厂界</w:t>
            </w:r>
            <w:r>
              <w:rPr>
                <w:rFonts w:hAnsi="宋体"/>
                <w:color w:val="auto"/>
                <w:sz w:val="24"/>
              </w:rPr>
              <w:t>噪声</w:t>
            </w:r>
            <w:r>
              <w:rPr>
                <w:rFonts w:hint="eastAsia" w:hAnsi="宋体"/>
                <w:color w:val="auto"/>
                <w:sz w:val="24"/>
              </w:rPr>
              <w:t>贡献值</w:t>
            </w:r>
            <w:r>
              <w:rPr>
                <w:rFonts w:hAnsi="宋体"/>
                <w:color w:val="auto"/>
                <w:sz w:val="24"/>
              </w:rPr>
              <w:t>在</w:t>
            </w:r>
            <w:r>
              <w:rPr>
                <w:rFonts w:hint="eastAsia"/>
                <w:color w:val="auto"/>
                <w:sz w:val="24"/>
                <w:lang w:val="en-US" w:eastAsia="zh-CN"/>
              </w:rPr>
              <w:t>29.6-3</w:t>
            </w:r>
            <w:r>
              <w:rPr>
                <w:rFonts w:hint="eastAsia"/>
                <w:color w:val="auto"/>
                <w:sz w:val="24"/>
              </w:rPr>
              <w:t>3.</w:t>
            </w:r>
            <w:r>
              <w:rPr>
                <w:rFonts w:hint="eastAsia"/>
                <w:color w:val="auto"/>
                <w:sz w:val="24"/>
                <w:lang w:val="en-US" w:eastAsia="zh-CN"/>
              </w:rPr>
              <w:t>2</w:t>
            </w:r>
            <w:r>
              <w:rPr>
                <w:rFonts w:hint="eastAsia"/>
                <w:color w:val="auto"/>
                <w:sz w:val="24"/>
                <w:lang w:eastAsia="zh-CN"/>
              </w:rPr>
              <w:t>（</w:t>
            </w:r>
            <w:r>
              <w:rPr>
                <w:color w:val="auto"/>
                <w:sz w:val="24"/>
              </w:rPr>
              <w:t>A</w:t>
            </w:r>
            <w:r>
              <w:rPr>
                <w:rFonts w:hint="eastAsia"/>
                <w:color w:val="auto"/>
                <w:sz w:val="24"/>
                <w:lang w:eastAsia="zh-CN"/>
              </w:rPr>
              <w:t>）</w:t>
            </w:r>
            <w:r>
              <w:rPr>
                <w:rFonts w:hAnsi="宋体"/>
                <w:color w:val="auto"/>
                <w:sz w:val="24"/>
              </w:rPr>
              <w:t>之间</w:t>
            </w:r>
            <w:r>
              <w:rPr>
                <w:rFonts w:hint="eastAsia" w:hAnsi="宋体"/>
                <w:color w:val="auto"/>
                <w:sz w:val="24"/>
                <w:lang w:eastAsia="zh-CN"/>
              </w:rPr>
              <w:t>，</w:t>
            </w:r>
            <w:r>
              <w:rPr>
                <w:rFonts w:hint="eastAsia" w:hAnsi="宋体"/>
                <w:color w:val="auto"/>
                <w:sz w:val="24"/>
              </w:rPr>
              <w:t>噪声贡献值较小</w:t>
            </w:r>
            <w:r>
              <w:rPr>
                <w:rFonts w:hAnsi="宋体"/>
                <w:color w:val="auto"/>
                <w:sz w:val="24"/>
              </w:rPr>
              <w:t>，</w:t>
            </w:r>
            <w:r>
              <w:rPr>
                <w:rFonts w:hint="eastAsia" w:hAnsi="宋体"/>
                <w:color w:val="auto"/>
                <w:sz w:val="24"/>
                <w:lang w:eastAsia="zh-CN"/>
              </w:rPr>
              <w:t>叠加现有项目噪声贡献值后，厂界噪声能够达到</w:t>
            </w:r>
            <w:r>
              <w:rPr>
                <w:color w:val="auto"/>
                <w:sz w:val="24"/>
              </w:rPr>
              <w:t>《工业企业厂界环境噪声排放标准》（GB12348-2008）3类标准要求，因此，本项目噪声源对周围环境影响较小。</w:t>
            </w:r>
          </w:p>
          <w:p w14:paraId="0552E6BC">
            <w:pPr>
              <w:adjustRightInd w:val="0"/>
              <w:snapToGrid w:val="0"/>
              <w:spacing w:line="360" w:lineRule="auto"/>
              <w:ind w:firstLine="482" w:firstLineChars="200"/>
              <w:rPr>
                <w:rFonts w:eastAsiaTheme="minorEastAsia"/>
                <w:b/>
                <w:color w:val="auto"/>
                <w:kern w:val="0"/>
                <w:sz w:val="24"/>
                <w:lang w:val="zh-CN"/>
              </w:rPr>
            </w:pPr>
            <w:r>
              <w:rPr>
                <w:rFonts w:hint="eastAsia" w:hAnsiTheme="minorEastAsia" w:eastAsiaTheme="minorEastAsia"/>
                <w:b/>
                <w:color w:val="auto"/>
                <w:kern w:val="0"/>
                <w:sz w:val="24"/>
                <w:lang w:val="zh-CN"/>
              </w:rPr>
              <w:t>③</w:t>
            </w:r>
            <w:r>
              <w:rPr>
                <w:rFonts w:hAnsiTheme="minorEastAsia" w:eastAsiaTheme="minorEastAsia"/>
                <w:b/>
                <w:color w:val="auto"/>
                <w:kern w:val="0"/>
                <w:sz w:val="24"/>
                <w:lang w:val="zh-CN"/>
              </w:rPr>
              <w:t>噪声污染防治措施</w:t>
            </w:r>
          </w:p>
          <w:p w14:paraId="3E2DC5A9">
            <w:pPr>
              <w:adjustRightInd w:val="0"/>
              <w:snapToGrid w:val="0"/>
              <w:spacing w:line="360" w:lineRule="auto"/>
              <w:ind w:firstLine="480" w:firstLineChars="200"/>
              <w:rPr>
                <w:rFonts w:eastAsiaTheme="minorEastAsia"/>
                <w:color w:val="auto"/>
                <w:sz w:val="24"/>
              </w:rPr>
            </w:pPr>
            <w:r>
              <w:rPr>
                <w:rFonts w:hAnsiTheme="minorEastAsia" w:eastAsiaTheme="minorEastAsia"/>
                <w:color w:val="auto"/>
                <w:sz w:val="24"/>
              </w:rPr>
              <w:t>为进一步减小项目噪声影响，针对项目特点，建设单位采取了不同的噪声防治措施，首先</w:t>
            </w:r>
            <w:r>
              <w:rPr>
                <w:rFonts w:hint="eastAsia" w:hAnsiTheme="minorEastAsia" w:eastAsiaTheme="minorEastAsia"/>
                <w:color w:val="auto"/>
                <w:sz w:val="24"/>
                <w:lang w:eastAsia="zh-CN"/>
              </w:rPr>
              <w:t>是</w:t>
            </w:r>
            <w:r>
              <w:rPr>
                <w:rFonts w:hAnsiTheme="minorEastAsia" w:eastAsiaTheme="minorEastAsia"/>
                <w:color w:val="auto"/>
                <w:sz w:val="24"/>
              </w:rPr>
              <w:t>从声源上进行有效控制，其次采取有效的隔声、消声、吸声等控制措施，厂区已采取噪声防治措施如下：</w:t>
            </w:r>
          </w:p>
          <w:p w14:paraId="1FA91E3D">
            <w:pPr>
              <w:adjustRightInd w:val="0"/>
              <w:snapToGrid w:val="0"/>
              <w:spacing w:line="360" w:lineRule="auto"/>
              <w:ind w:firstLine="480" w:firstLineChars="200"/>
              <w:rPr>
                <w:rFonts w:eastAsiaTheme="minorEastAsia"/>
                <w:color w:val="auto"/>
                <w:sz w:val="24"/>
              </w:rPr>
            </w:pPr>
            <w:r>
              <w:rPr>
                <w:rFonts w:eastAsiaTheme="minorEastAsia"/>
                <w:color w:val="auto"/>
                <w:sz w:val="24"/>
              </w:rPr>
              <w:t>a.</w:t>
            </w:r>
            <w:r>
              <w:rPr>
                <w:rFonts w:hAnsiTheme="minorEastAsia" w:eastAsiaTheme="minorEastAsia"/>
                <w:color w:val="auto"/>
                <w:sz w:val="24"/>
              </w:rPr>
              <w:t>从声源上控制，加工设备选择低噪声和符合国家噪声标准的设备。生产设备均采用性能好、噪声发生源强小和生产效率高的设备。动力设备采用钢砼隔振基础，管道、阀门接口采取缓动及减振的挠性接头（口）。</w:t>
            </w:r>
          </w:p>
          <w:p w14:paraId="1DB6F4A0">
            <w:pPr>
              <w:adjustRightInd w:val="0"/>
              <w:snapToGrid w:val="0"/>
              <w:spacing w:line="360" w:lineRule="auto"/>
              <w:ind w:firstLine="480" w:firstLineChars="200"/>
              <w:rPr>
                <w:rFonts w:eastAsiaTheme="minorEastAsia"/>
                <w:color w:val="auto"/>
                <w:sz w:val="24"/>
              </w:rPr>
            </w:pPr>
            <w:r>
              <w:rPr>
                <w:rFonts w:eastAsiaTheme="minorEastAsia"/>
                <w:color w:val="auto"/>
                <w:sz w:val="24"/>
              </w:rPr>
              <w:t>b.</w:t>
            </w:r>
            <w:r>
              <w:rPr>
                <w:rFonts w:hAnsiTheme="minorEastAsia" w:eastAsiaTheme="minorEastAsia"/>
                <w:color w:val="auto"/>
                <w:sz w:val="24"/>
              </w:rPr>
              <w:t>合理布局：将高噪声设备尽量布置在厂区中间，远离厂界，通过距离衰减减轻噪声对周围环境的影响。</w:t>
            </w:r>
          </w:p>
          <w:p w14:paraId="15F6577C">
            <w:pPr>
              <w:adjustRightInd w:val="0"/>
              <w:snapToGrid w:val="0"/>
              <w:spacing w:line="360" w:lineRule="auto"/>
              <w:ind w:firstLine="480" w:firstLineChars="200"/>
              <w:rPr>
                <w:rFonts w:eastAsiaTheme="minorEastAsia"/>
                <w:color w:val="auto"/>
                <w:sz w:val="24"/>
              </w:rPr>
            </w:pPr>
            <w:r>
              <w:rPr>
                <w:rFonts w:eastAsiaTheme="minorEastAsia"/>
                <w:color w:val="auto"/>
                <w:sz w:val="24"/>
              </w:rPr>
              <w:t>c.</w:t>
            </w:r>
            <w:r>
              <w:rPr>
                <w:rFonts w:hAnsiTheme="minorEastAsia" w:eastAsiaTheme="minorEastAsia"/>
                <w:color w:val="auto"/>
                <w:sz w:val="24"/>
              </w:rPr>
              <w:t>加强管理：平时加强对各噪声设备的保养、检修，保证设备良好运转，减轻运行噪声强度。</w:t>
            </w:r>
          </w:p>
          <w:p w14:paraId="6030F224">
            <w:pPr>
              <w:adjustRightInd w:val="0"/>
              <w:snapToGrid w:val="0"/>
              <w:spacing w:line="360" w:lineRule="auto"/>
              <w:ind w:firstLine="480" w:firstLineChars="200"/>
              <w:rPr>
                <w:rFonts w:eastAsiaTheme="minorEastAsia"/>
                <w:color w:val="auto"/>
                <w:sz w:val="24"/>
              </w:rPr>
            </w:pPr>
            <w:r>
              <w:rPr>
                <w:rFonts w:eastAsiaTheme="minorEastAsia"/>
                <w:color w:val="auto"/>
                <w:sz w:val="24"/>
              </w:rPr>
              <w:t>d.</w:t>
            </w:r>
            <w:r>
              <w:rPr>
                <w:rFonts w:hAnsiTheme="minorEastAsia" w:eastAsiaTheme="minorEastAsia"/>
                <w:color w:val="auto"/>
                <w:sz w:val="24"/>
              </w:rPr>
              <w:t>在设计及安装中根据不同的设备采取消声、减振、隔声。经过基础减振、消声等措施噪声可降低</w:t>
            </w:r>
            <w:r>
              <w:rPr>
                <w:rFonts w:eastAsiaTheme="minorEastAsia"/>
                <w:color w:val="auto"/>
                <w:sz w:val="24"/>
              </w:rPr>
              <w:t>5</w:t>
            </w:r>
            <w:r>
              <w:rPr>
                <w:rFonts w:hAnsiTheme="minorEastAsia" w:eastAsiaTheme="minorEastAsia"/>
                <w:color w:val="auto"/>
                <w:sz w:val="24"/>
              </w:rPr>
              <w:t>～</w:t>
            </w:r>
            <w:r>
              <w:rPr>
                <w:rFonts w:eastAsiaTheme="minorEastAsia"/>
                <w:color w:val="auto"/>
                <w:sz w:val="24"/>
              </w:rPr>
              <w:t>10dB</w:t>
            </w:r>
            <w:r>
              <w:rPr>
                <w:rFonts w:hAnsiTheme="minorEastAsia" w:eastAsiaTheme="minorEastAsia"/>
                <w:color w:val="auto"/>
                <w:sz w:val="24"/>
              </w:rPr>
              <w:t>（</w:t>
            </w:r>
            <w:r>
              <w:rPr>
                <w:rFonts w:eastAsiaTheme="minorEastAsia"/>
                <w:color w:val="auto"/>
                <w:sz w:val="24"/>
              </w:rPr>
              <w:t>A</w:t>
            </w:r>
            <w:r>
              <w:rPr>
                <w:rFonts w:hAnsiTheme="minorEastAsia" w:eastAsiaTheme="minorEastAsia"/>
                <w:color w:val="auto"/>
                <w:sz w:val="24"/>
              </w:rPr>
              <w:t>）；车间墙体隔声可达到</w:t>
            </w:r>
            <w:r>
              <w:rPr>
                <w:rFonts w:eastAsiaTheme="minorEastAsia"/>
                <w:color w:val="auto"/>
                <w:sz w:val="24"/>
              </w:rPr>
              <w:t>10</w:t>
            </w:r>
            <w:r>
              <w:rPr>
                <w:rFonts w:hAnsiTheme="minorEastAsia" w:eastAsiaTheme="minorEastAsia"/>
                <w:color w:val="auto"/>
                <w:sz w:val="24"/>
              </w:rPr>
              <w:t>～</w:t>
            </w:r>
            <w:r>
              <w:rPr>
                <w:rFonts w:eastAsiaTheme="minorEastAsia"/>
                <w:color w:val="auto"/>
                <w:sz w:val="24"/>
              </w:rPr>
              <w:t>15dB</w:t>
            </w:r>
            <w:r>
              <w:rPr>
                <w:rFonts w:hAnsiTheme="minorEastAsia" w:eastAsiaTheme="minorEastAsia"/>
                <w:color w:val="auto"/>
                <w:sz w:val="24"/>
              </w:rPr>
              <w:t>（</w:t>
            </w:r>
            <w:r>
              <w:rPr>
                <w:rFonts w:eastAsiaTheme="minorEastAsia"/>
                <w:color w:val="auto"/>
                <w:sz w:val="24"/>
              </w:rPr>
              <w:t>A</w:t>
            </w:r>
            <w:r>
              <w:rPr>
                <w:rFonts w:hAnsiTheme="minorEastAsia" w:eastAsiaTheme="minorEastAsia"/>
                <w:color w:val="auto"/>
                <w:sz w:val="24"/>
              </w:rPr>
              <w:t>）的隔声量。</w:t>
            </w:r>
          </w:p>
          <w:p w14:paraId="06FBEE5F">
            <w:pPr>
              <w:adjustRightInd w:val="0"/>
              <w:snapToGrid w:val="0"/>
              <w:spacing w:line="360" w:lineRule="auto"/>
              <w:ind w:firstLine="480" w:firstLineChars="200"/>
              <w:rPr>
                <w:rFonts w:hAnsiTheme="minorEastAsia" w:eastAsiaTheme="minorEastAsia"/>
                <w:color w:val="auto"/>
                <w:sz w:val="24"/>
              </w:rPr>
            </w:pPr>
            <w:r>
              <w:rPr>
                <w:rFonts w:eastAsiaTheme="minorEastAsia"/>
                <w:color w:val="auto"/>
                <w:sz w:val="24"/>
              </w:rPr>
              <w:t>e.</w:t>
            </w:r>
            <w:r>
              <w:rPr>
                <w:rFonts w:hAnsiTheme="minorEastAsia" w:eastAsiaTheme="minorEastAsia"/>
                <w:color w:val="auto"/>
                <w:sz w:val="24"/>
              </w:rPr>
              <w:t>消声、减振措施：主要噪声设备还应采取隔声、</w:t>
            </w:r>
            <w:r>
              <w:rPr>
                <w:rFonts w:hint="eastAsia" w:hAnsiTheme="minorEastAsia" w:eastAsiaTheme="minorEastAsia"/>
                <w:color w:val="auto"/>
                <w:sz w:val="24"/>
                <w:lang w:eastAsia="zh-CN"/>
              </w:rPr>
              <w:t>消声</w:t>
            </w:r>
            <w:r>
              <w:rPr>
                <w:rFonts w:hAnsiTheme="minorEastAsia" w:eastAsiaTheme="minorEastAsia"/>
                <w:color w:val="auto"/>
                <w:sz w:val="24"/>
              </w:rPr>
              <w:t>、</w:t>
            </w:r>
            <w:r>
              <w:rPr>
                <w:rFonts w:hint="eastAsia" w:hAnsiTheme="minorEastAsia" w:eastAsiaTheme="minorEastAsia"/>
                <w:color w:val="auto"/>
                <w:sz w:val="24"/>
                <w:lang w:eastAsia="zh-CN"/>
              </w:rPr>
              <w:t>减振</w:t>
            </w:r>
            <w:r>
              <w:rPr>
                <w:rFonts w:hAnsiTheme="minorEastAsia" w:eastAsiaTheme="minorEastAsia"/>
                <w:color w:val="auto"/>
                <w:sz w:val="24"/>
              </w:rPr>
              <w:t>等降噪措施。对车间排气筒的室外风机采取消声器降噪，一般可以降低</w:t>
            </w:r>
            <w:r>
              <w:rPr>
                <w:rFonts w:eastAsiaTheme="minorEastAsia"/>
                <w:color w:val="auto"/>
                <w:sz w:val="24"/>
              </w:rPr>
              <w:t>20dB</w:t>
            </w:r>
            <w:r>
              <w:rPr>
                <w:rFonts w:hAnsiTheme="minorEastAsia" w:eastAsiaTheme="minorEastAsia"/>
                <w:color w:val="auto"/>
                <w:sz w:val="24"/>
              </w:rPr>
              <w:t>左右。对水泵电动机安装消声器，水泵采取隔振和消声措施，可以降低噪声贡献</w:t>
            </w:r>
            <w:r>
              <w:rPr>
                <w:rFonts w:eastAsiaTheme="minorEastAsia"/>
                <w:color w:val="auto"/>
                <w:sz w:val="24"/>
              </w:rPr>
              <w:t>10-19dB</w:t>
            </w:r>
            <w:r>
              <w:rPr>
                <w:rFonts w:hint="eastAsia" w:eastAsiaTheme="minorEastAsia"/>
                <w:color w:val="auto"/>
                <w:sz w:val="24"/>
                <w:lang w:eastAsia="zh-CN"/>
              </w:rPr>
              <w:t>（</w:t>
            </w:r>
            <w:r>
              <w:rPr>
                <w:rFonts w:eastAsiaTheme="minorEastAsia"/>
                <w:color w:val="auto"/>
                <w:sz w:val="24"/>
              </w:rPr>
              <w:t>A</w:t>
            </w:r>
            <w:r>
              <w:rPr>
                <w:rFonts w:hint="eastAsia" w:eastAsiaTheme="minorEastAsia"/>
                <w:color w:val="auto"/>
                <w:sz w:val="24"/>
                <w:lang w:eastAsia="zh-CN"/>
              </w:rPr>
              <w:t>）</w:t>
            </w:r>
            <w:r>
              <w:rPr>
                <w:rFonts w:hAnsiTheme="minorEastAsia" w:eastAsiaTheme="minorEastAsia"/>
                <w:color w:val="auto"/>
                <w:sz w:val="24"/>
              </w:rPr>
              <w:t>。</w:t>
            </w:r>
          </w:p>
          <w:p w14:paraId="57D4F07E">
            <w:pPr>
              <w:adjustRightInd w:val="0"/>
              <w:snapToGrid w:val="0"/>
              <w:spacing w:line="360" w:lineRule="auto"/>
              <w:ind w:firstLine="480" w:firstLineChars="200"/>
              <w:rPr>
                <w:rFonts w:eastAsiaTheme="minorEastAsia"/>
                <w:color w:val="auto"/>
                <w:sz w:val="24"/>
              </w:rPr>
            </w:pPr>
            <w:r>
              <w:rPr>
                <w:rFonts w:hint="eastAsia" w:hAnsiTheme="minorEastAsia" w:eastAsiaTheme="minorEastAsia"/>
                <w:color w:val="auto"/>
                <w:sz w:val="24"/>
              </w:rPr>
              <w:t>f.厂房隔声：对距离居民较近一侧的厂房的地面进行</w:t>
            </w:r>
            <w:r>
              <w:rPr>
                <w:rFonts w:hint="eastAsia" w:hAnsiTheme="minorEastAsia" w:eastAsiaTheme="minorEastAsia"/>
                <w:color w:val="auto"/>
                <w:sz w:val="24"/>
                <w:lang w:eastAsia="zh-CN"/>
              </w:rPr>
              <w:t>隔声</w:t>
            </w:r>
            <w:r>
              <w:rPr>
                <w:rFonts w:hint="eastAsia" w:hAnsiTheme="minorEastAsia" w:eastAsiaTheme="minorEastAsia"/>
                <w:color w:val="auto"/>
                <w:sz w:val="24"/>
              </w:rPr>
              <w:t>处理，采用专业的工业隔音门，隔音窗，墙体加装隔音板。</w:t>
            </w:r>
          </w:p>
          <w:p w14:paraId="357670B5">
            <w:pPr>
              <w:adjustRightInd w:val="0"/>
              <w:snapToGrid w:val="0"/>
              <w:spacing w:line="360" w:lineRule="auto"/>
              <w:ind w:firstLine="480" w:firstLineChars="200"/>
              <w:rPr>
                <w:color w:val="auto"/>
                <w:sz w:val="24"/>
              </w:rPr>
            </w:pPr>
            <w:r>
              <w:rPr>
                <w:color w:val="auto"/>
                <w:sz w:val="24"/>
              </w:rPr>
              <w:t>本项目50m范围内不涉及噪声敏感保护目标，通过相应的降噪措施和距离衰减后，可使厂界噪声满足《工业企业厂界环境噪声排放标准》（GB12348-2008）3类标准要求，因此，本项目噪声源对周围环境影响较小。</w:t>
            </w:r>
          </w:p>
          <w:p w14:paraId="29833057">
            <w:pPr>
              <w:adjustRightInd w:val="0"/>
              <w:snapToGrid w:val="0"/>
              <w:spacing w:line="360" w:lineRule="auto"/>
              <w:ind w:firstLine="480" w:firstLineChars="200"/>
              <w:rPr>
                <w:rFonts w:eastAsiaTheme="minorEastAsia"/>
                <w:color w:val="auto"/>
                <w:kern w:val="0"/>
                <w:sz w:val="24"/>
                <w:lang w:val="zh-CN"/>
              </w:rPr>
            </w:pPr>
            <w:r>
              <w:rPr>
                <w:rFonts w:eastAsiaTheme="minorEastAsia"/>
                <w:color w:val="auto"/>
                <w:kern w:val="0"/>
                <w:sz w:val="24"/>
                <w:lang w:val="zh-CN"/>
              </w:rPr>
              <w:t>（2）噪声监测要求</w:t>
            </w:r>
          </w:p>
          <w:p w14:paraId="6C62115D">
            <w:pPr>
              <w:autoSpaceDE w:val="0"/>
              <w:autoSpaceDN w:val="0"/>
              <w:adjustRightInd w:val="0"/>
              <w:snapToGrid w:val="0"/>
              <w:spacing w:line="360" w:lineRule="auto"/>
              <w:ind w:firstLine="480" w:firstLineChars="200"/>
              <w:rPr>
                <w:color w:val="auto"/>
                <w:sz w:val="24"/>
              </w:rPr>
            </w:pPr>
            <w:r>
              <w:rPr>
                <w:color w:val="auto"/>
                <w:sz w:val="24"/>
              </w:rPr>
              <w:t>监测点：厂界四周外1m处；监测频率：每季度监测一次，昼、夜各监测1次。噪声监测计划及记录信息表见表4</w:t>
            </w:r>
            <w:r>
              <w:rPr>
                <w:rFonts w:hint="eastAsia"/>
                <w:color w:val="auto"/>
                <w:sz w:val="24"/>
              </w:rPr>
              <w:t>.3-</w:t>
            </w:r>
            <w:r>
              <w:rPr>
                <w:rFonts w:hint="eastAsia"/>
                <w:color w:val="auto"/>
                <w:sz w:val="24"/>
                <w:lang w:val="en-US" w:eastAsia="zh-CN"/>
              </w:rPr>
              <w:t>3</w:t>
            </w:r>
            <w:r>
              <w:rPr>
                <w:color w:val="auto"/>
                <w:sz w:val="24"/>
              </w:rPr>
              <w:t>。</w:t>
            </w:r>
          </w:p>
          <w:p w14:paraId="6E75F5E5">
            <w:pPr>
              <w:adjustRightInd w:val="0"/>
              <w:snapToGrid w:val="0"/>
              <w:contextualSpacing/>
              <w:jc w:val="center"/>
              <w:rPr>
                <w:b/>
                <w:bCs/>
                <w:color w:val="auto"/>
                <w:sz w:val="24"/>
              </w:rPr>
            </w:pPr>
            <w:r>
              <w:rPr>
                <w:b/>
                <w:bCs/>
                <w:color w:val="auto"/>
                <w:sz w:val="24"/>
              </w:rPr>
              <w:t>表4</w:t>
            </w:r>
            <w:r>
              <w:rPr>
                <w:rFonts w:hint="eastAsia"/>
                <w:b/>
                <w:bCs/>
                <w:color w:val="auto"/>
                <w:sz w:val="24"/>
              </w:rPr>
              <w:t>.3-</w:t>
            </w:r>
            <w:r>
              <w:rPr>
                <w:rFonts w:hint="eastAsia"/>
                <w:b/>
                <w:bCs/>
                <w:color w:val="auto"/>
                <w:sz w:val="24"/>
                <w:lang w:val="en-US" w:eastAsia="zh-CN"/>
              </w:rPr>
              <w:t>3</w:t>
            </w:r>
            <w:r>
              <w:rPr>
                <w:b/>
                <w:bCs/>
                <w:color w:val="auto"/>
                <w:sz w:val="24"/>
              </w:rPr>
              <w:t xml:space="preserve">  噪声污染源监测计划表</w:t>
            </w:r>
          </w:p>
          <w:tbl>
            <w:tblPr>
              <w:tblStyle w:val="88"/>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07"/>
              <w:gridCol w:w="2109"/>
              <w:gridCol w:w="1812"/>
              <w:gridCol w:w="3417"/>
            </w:tblGrid>
            <w:tr w14:paraId="185643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7" w:type="dxa"/>
                  <w:vAlign w:val="center"/>
                </w:tcPr>
                <w:p w14:paraId="069C1201">
                  <w:pPr>
                    <w:pStyle w:val="162"/>
                    <w:rPr>
                      <w:rFonts w:ascii="Times New Roman" w:hAnsi="Times New Roman" w:cs="Times New Roman"/>
                      <w:color w:val="auto"/>
                    </w:rPr>
                  </w:pPr>
                  <w:r>
                    <w:rPr>
                      <w:rFonts w:ascii="Times New Roman" w:hAnsi="Times New Roman" w:cs="Times New Roman"/>
                      <w:color w:val="auto"/>
                    </w:rPr>
                    <w:t>监测点位</w:t>
                  </w:r>
                </w:p>
              </w:tc>
              <w:tc>
                <w:tcPr>
                  <w:tcW w:w="2109" w:type="dxa"/>
                  <w:vAlign w:val="center"/>
                </w:tcPr>
                <w:p w14:paraId="75C7CC65">
                  <w:pPr>
                    <w:pStyle w:val="162"/>
                    <w:rPr>
                      <w:rFonts w:ascii="Times New Roman" w:hAnsi="Times New Roman" w:cs="Times New Roman"/>
                      <w:color w:val="auto"/>
                    </w:rPr>
                  </w:pPr>
                  <w:r>
                    <w:rPr>
                      <w:rFonts w:ascii="Times New Roman" w:hAnsi="Times New Roman" w:cs="Times New Roman"/>
                      <w:color w:val="auto"/>
                    </w:rPr>
                    <w:t>监测指标</w:t>
                  </w:r>
                </w:p>
              </w:tc>
              <w:tc>
                <w:tcPr>
                  <w:tcW w:w="1812" w:type="dxa"/>
                  <w:vAlign w:val="center"/>
                </w:tcPr>
                <w:p w14:paraId="250DDC8B">
                  <w:pPr>
                    <w:pStyle w:val="162"/>
                    <w:rPr>
                      <w:rFonts w:ascii="Times New Roman" w:hAnsi="Times New Roman" w:cs="Times New Roman"/>
                      <w:color w:val="auto"/>
                    </w:rPr>
                  </w:pPr>
                  <w:r>
                    <w:rPr>
                      <w:rFonts w:ascii="Times New Roman" w:hAnsi="Times New Roman" w:cs="Times New Roman"/>
                      <w:color w:val="auto"/>
                    </w:rPr>
                    <w:t>监测频次</w:t>
                  </w:r>
                </w:p>
              </w:tc>
              <w:tc>
                <w:tcPr>
                  <w:tcW w:w="3417" w:type="dxa"/>
                  <w:vAlign w:val="center"/>
                </w:tcPr>
                <w:p w14:paraId="65768FD2">
                  <w:pPr>
                    <w:pStyle w:val="162"/>
                    <w:rPr>
                      <w:rFonts w:ascii="Times New Roman" w:hAnsi="Times New Roman" w:cs="Times New Roman"/>
                      <w:color w:val="auto"/>
                    </w:rPr>
                  </w:pPr>
                  <w:r>
                    <w:rPr>
                      <w:rFonts w:ascii="Times New Roman" w:hAnsi="Times New Roman" w:cs="Times New Roman"/>
                      <w:color w:val="auto"/>
                    </w:rPr>
                    <w:t>执行排放标准</w:t>
                  </w:r>
                </w:p>
              </w:tc>
            </w:tr>
            <w:tr w14:paraId="6BF2D2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7" w:type="dxa"/>
                  <w:vAlign w:val="center"/>
                </w:tcPr>
                <w:p w14:paraId="35489AE8">
                  <w:pPr>
                    <w:pStyle w:val="162"/>
                    <w:rPr>
                      <w:rFonts w:ascii="Times New Roman" w:hAnsi="Times New Roman" w:cs="Times New Roman"/>
                      <w:color w:val="auto"/>
                    </w:rPr>
                  </w:pPr>
                  <w:r>
                    <w:rPr>
                      <w:rFonts w:ascii="Times New Roman" w:hAnsi="Times New Roman" w:cs="Times New Roman"/>
                      <w:color w:val="auto"/>
                    </w:rPr>
                    <w:t>厂界噪声</w:t>
                  </w:r>
                </w:p>
              </w:tc>
              <w:tc>
                <w:tcPr>
                  <w:tcW w:w="2109" w:type="dxa"/>
                  <w:vAlign w:val="center"/>
                </w:tcPr>
                <w:p w14:paraId="2DE1D04C">
                  <w:pPr>
                    <w:pStyle w:val="162"/>
                    <w:rPr>
                      <w:rFonts w:ascii="Times New Roman" w:hAnsi="Times New Roman" w:cs="Times New Roman"/>
                      <w:color w:val="auto"/>
                    </w:rPr>
                  </w:pPr>
                  <w:r>
                    <w:rPr>
                      <w:rFonts w:ascii="Times New Roman" w:hAnsi="Times New Roman" w:cs="Times New Roman"/>
                      <w:color w:val="auto"/>
                    </w:rPr>
                    <w:t>等效A声级Leq（dB）</w:t>
                  </w:r>
                </w:p>
              </w:tc>
              <w:tc>
                <w:tcPr>
                  <w:tcW w:w="1812" w:type="dxa"/>
                  <w:vAlign w:val="center"/>
                </w:tcPr>
                <w:p w14:paraId="011E95E2">
                  <w:pPr>
                    <w:pStyle w:val="162"/>
                    <w:rPr>
                      <w:rFonts w:ascii="Times New Roman" w:hAnsi="Times New Roman" w:cs="Times New Roman"/>
                      <w:color w:val="auto"/>
                    </w:rPr>
                  </w:pPr>
                  <w:r>
                    <w:rPr>
                      <w:rFonts w:ascii="Times New Roman" w:hAnsi="Times New Roman" w:cs="Times New Roman"/>
                      <w:color w:val="auto"/>
                    </w:rPr>
                    <w:t>每季度一次</w:t>
                  </w:r>
                </w:p>
              </w:tc>
              <w:tc>
                <w:tcPr>
                  <w:tcW w:w="3417" w:type="dxa"/>
                  <w:vAlign w:val="center"/>
                </w:tcPr>
                <w:p w14:paraId="34D07BD8">
                  <w:pPr>
                    <w:pStyle w:val="162"/>
                    <w:rPr>
                      <w:rFonts w:ascii="Times New Roman" w:hAnsi="Times New Roman" w:cs="Times New Roman"/>
                      <w:color w:val="auto"/>
                    </w:rPr>
                  </w:pPr>
                  <w:r>
                    <w:rPr>
                      <w:rFonts w:ascii="Times New Roman" w:hAnsi="Times New Roman" w:cs="Times New Roman"/>
                      <w:snapToGrid w:val="0"/>
                      <w:color w:val="auto"/>
                    </w:rPr>
                    <w:t>《工业企业厂界环境噪声排放标准》</w:t>
                  </w:r>
                  <w:r>
                    <w:rPr>
                      <w:rFonts w:ascii="Times New Roman" w:hAnsi="Times New Roman" w:cs="Times New Roman"/>
                      <w:color w:val="auto"/>
                    </w:rPr>
                    <w:t>（GB12348-2008）3类标准</w:t>
                  </w:r>
                </w:p>
              </w:tc>
            </w:tr>
          </w:tbl>
          <w:p w14:paraId="6A2AC94B">
            <w:pPr>
              <w:adjustRightInd w:val="0"/>
              <w:snapToGrid w:val="0"/>
              <w:spacing w:beforeLines="50" w:line="360" w:lineRule="auto"/>
              <w:ind w:firstLine="482" w:firstLineChars="200"/>
              <w:rPr>
                <w:rFonts w:eastAsiaTheme="minorEastAsia"/>
                <w:b/>
                <w:color w:val="auto"/>
                <w:kern w:val="0"/>
                <w:sz w:val="24"/>
                <w:lang w:val="zh-CN"/>
              </w:rPr>
            </w:pPr>
            <w:r>
              <w:rPr>
                <w:rFonts w:eastAsiaTheme="minorEastAsia"/>
                <w:b/>
                <w:color w:val="auto"/>
                <w:kern w:val="0"/>
                <w:sz w:val="24"/>
                <w:lang w:val="zh-CN"/>
              </w:rPr>
              <w:t>4.固体废物环境影响及防治措施分析</w:t>
            </w:r>
          </w:p>
          <w:p w14:paraId="2833C258">
            <w:pPr>
              <w:adjustRightInd w:val="0"/>
              <w:snapToGrid w:val="0"/>
              <w:spacing w:line="360" w:lineRule="auto"/>
              <w:ind w:firstLine="480" w:firstLineChars="200"/>
              <w:rPr>
                <w:rFonts w:hint="eastAsia"/>
                <w:color w:val="auto"/>
                <w:sz w:val="24"/>
                <w:lang w:eastAsia="zh-CN"/>
              </w:rPr>
            </w:pPr>
            <w:r>
              <w:rPr>
                <w:rFonts w:hint="eastAsia"/>
                <w:color w:val="auto"/>
                <w:sz w:val="24"/>
                <w:lang w:eastAsia="zh-CN"/>
              </w:rPr>
              <w:t>建设项目无固废产生。</w:t>
            </w:r>
          </w:p>
          <w:p w14:paraId="741496E0">
            <w:pPr>
              <w:numPr>
                <w:ilvl w:val="0"/>
                <w:numId w:val="0"/>
              </w:numPr>
              <w:adjustRightInd w:val="0"/>
              <w:snapToGrid w:val="0"/>
              <w:spacing w:line="360" w:lineRule="auto"/>
              <w:ind w:firstLine="482" w:firstLineChars="200"/>
              <w:rPr>
                <w:rFonts w:eastAsiaTheme="minorEastAsia"/>
                <w:b/>
                <w:color w:val="auto"/>
                <w:kern w:val="0"/>
                <w:sz w:val="24"/>
                <w:lang w:val="zh-CN"/>
              </w:rPr>
            </w:pPr>
            <w:r>
              <w:rPr>
                <w:rFonts w:ascii="Times New Roman" w:hAnsi="Times New Roman" w:cs="Times New Roman" w:eastAsiaTheme="minorEastAsia"/>
                <w:b/>
                <w:color w:val="auto"/>
                <w:kern w:val="0"/>
                <w:sz w:val="24"/>
                <w:szCs w:val="24"/>
                <w:lang w:val="zh-CN" w:eastAsia="zh-CN" w:bidi="ar-SA"/>
              </w:rPr>
              <w:t>5.</w:t>
            </w:r>
            <w:r>
              <w:rPr>
                <w:rFonts w:eastAsiaTheme="minorEastAsia"/>
                <w:b/>
                <w:color w:val="auto"/>
                <w:kern w:val="0"/>
                <w:sz w:val="24"/>
                <w:lang w:val="zh-CN"/>
              </w:rPr>
              <w:t>地下水、土壤环境影响及防治措施分析</w:t>
            </w:r>
          </w:p>
          <w:p w14:paraId="230A6AC9">
            <w:pPr>
              <w:adjustRightInd w:val="0"/>
              <w:snapToGrid w:val="0"/>
              <w:spacing w:line="360" w:lineRule="auto"/>
              <w:ind w:firstLine="480" w:firstLineChars="200"/>
              <w:rPr>
                <w:rFonts w:hint="eastAsia"/>
                <w:color w:val="auto"/>
                <w:sz w:val="24"/>
                <w:lang w:val="en-US" w:eastAsia="zh-CN"/>
              </w:rPr>
            </w:pPr>
            <w:r>
              <w:rPr>
                <w:rFonts w:hint="eastAsia"/>
                <w:color w:val="auto"/>
                <w:sz w:val="24"/>
              </w:rPr>
              <w:t>本项目</w:t>
            </w:r>
            <w:r>
              <w:rPr>
                <w:rFonts w:hint="eastAsia"/>
                <w:color w:val="auto"/>
                <w:sz w:val="24"/>
                <w:lang w:eastAsia="zh-CN"/>
              </w:rPr>
              <w:t>为现有项目原料储存安全提升技改项目，主要建设内容为液氯储罐和黄磷池，其中</w:t>
            </w:r>
            <w:r>
              <w:rPr>
                <w:rFonts w:hint="eastAsia"/>
                <w:color w:val="auto"/>
                <w:sz w:val="24"/>
              </w:rPr>
              <w:t>黄磷池采用双层池，液氯采用储罐暂存于液氯集装箱装卸场地，氯气输送管道为压力管道，一旦发生泄漏事故，管内压力变化，压力数控系统瞬间报警并启动应急措施控制氯气泄漏，数控反应时间约为1s，</w:t>
            </w:r>
            <w:r>
              <w:rPr>
                <w:rFonts w:hint="eastAsia"/>
                <w:color w:val="auto"/>
                <w:sz w:val="24"/>
                <w:lang w:eastAsia="zh-CN"/>
              </w:rPr>
              <w:t>其次，</w:t>
            </w:r>
            <w:r>
              <w:rPr>
                <w:rFonts w:hint="eastAsia"/>
                <w:color w:val="auto"/>
                <w:sz w:val="24"/>
              </w:rPr>
              <w:t>厂区地面均进行了硬化，因此，</w:t>
            </w:r>
            <w:r>
              <w:rPr>
                <w:rFonts w:hint="eastAsia"/>
                <w:color w:val="auto"/>
                <w:sz w:val="24"/>
                <w:lang w:eastAsia="zh-CN"/>
              </w:rPr>
              <w:t>项目</w:t>
            </w:r>
            <w:r>
              <w:rPr>
                <w:rFonts w:hint="eastAsia"/>
                <w:color w:val="auto"/>
                <w:sz w:val="24"/>
              </w:rPr>
              <w:t>不涉及与地面直接接触的地下水污染源，不存在地下水污染源和污染途径</w:t>
            </w:r>
            <w:r>
              <w:rPr>
                <w:rFonts w:hint="eastAsia"/>
                <w:color w:val="auto"/>
                <w:sz w:val="24"/>
                <w:lang w:eastAsia="zh-CN"/>
              </w:rPr>
              <w:t>。</w:t>
            </w:r>
          </w:p>
          <w:p w14:paraId="2C8C1F9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auto"/>
                <w:sz w:val="24"/>
              </w:rPr>
            </w:pPr>
            <w:bookmarkStart w:id="42" w:name="_Toc300063229"/>
            <w:bookmarkStart w:id="43" w:name="_Toc301491400"/>
            <w:r>
              <w:rPr>
                <w:rFonts w:hint="eastAsia" w:eastAsiaTheme="minorEastAsia"/>
                <w:color w:val="auto"/>
                <w:sz w:val="24"/>
                <w:lang w:val="en-US" w:eastAsia="zh-CN"/>
              </w:rPr>
              <w:t>（2）</w:t>
            </w:r>
            <w:r>
              <w:rPr>
                <w:rFonts w:eastAsiaTheme="minorEastAsia"/>
                <w:color w:val="auto"/>
                <w:sz w:val="24"/>
              </w:rPr>
              <w:t>建设项目拟采取如下措施防止地下水和土壤污染：</w:t>
            </w:r>
          </w:p>
          <w:p w14:paraId="42ABA60F">
            <w:pPr>
              <w:adjustRightInd w:val="0"/>
              <w:snapToGrid w:val="0"/>
              <w:spacing w:line="360" w:lineRule="auto"/>
              <w:ind w:firstLine="480" w:firstLineChars="200"/>
              <w:rPr>
                <w:rFonts w:eastAsiaTheme="minorEastAsia"/>
                <w:color w:val="auto"/>
                <w:sz w:val="24"/>
              </w:rPr>
            </w:pPr>
            <w:r>
              <w:rPr>
                <w:rFonts w:hint="eastAsia" w:eastAsiaTheme="minorEastAsia"/>
                <w:color w:val="auto"/>
                <w:sz w:val="24"/>
                <w:lang w:eastAsia="zh-CN"/>
              </w:rPr>
              <w:t>①</w:t>
            </w:r>
            <w:r>
              <w:rPr>
                <w:rFonts w:eastAsiaTheme="minorEastAsia"/>
                <w:color w:val="auto"/>
                <w:sz w:val="24"/>
              </w:rPr>
              <w:t>地下水污染防治措施</w:t>
            </w:r>
          </w:p>
          <w:p w14:paraId="1390A109">
            <w:pPr>
              <w:adjustRightInd w:val="0"/>
              <w:snapToGrid w:val="0"/>
              <w:spacing w:line="360" w:lineRule="auto"/>
              <w:ind w:firstLine="480" w:firstLineChars="200"/>
              <w:rPr>
                <w:b/>
                <w:color w:val="auto"/>
                <w:sz w:val="24"/>
              </w:rPr>
            </w:pPr>
            <w:r>
              <w:rPr>
                <w:rFonts w:hint="eastAsia" w:eastAsiaTheme="minorEastAsia"/>
                <w:color w:val="auto"/>
                <w:sz w:val="24"/>
                <w:lang w:val="en-US" w:eastAsia="zh-CN"/>
              </w:rPr>
              <w:t>A.</w:t>
            </w:r>
            <w:r>
              <w:rPr>
                <w:b/>
                <w:color w:val="auto"/>
                <w:sz w:val="24"/>
              </w:rPr>
              <w:t>地下水污染防治原则</w:t>
            </w:r>
          </w:p>
          <w:p w14:paraId="49261630">
            <w:pPr>
              <w:adjustRightInd w:val="0"/>
              <w:snapToGrid w:val="0"/>
              <w:spacing w:line="360" w:lineRule="auto"/>
              <w:ind w:firstLine="480" w:firstLineChars="200"/>
              <w:rPr>
                <w:color w:val="auto"/>
                <w:sz w:val="24"/>
              </w:rPr>
            </w:pPr>
            <w:r>
              <w:rPr>
                <w:color w:val="auto"/>
                <w:sz w:val="24"/>
              </w:rPr>
              <w:t>针对项目可能发生的地下水污染，地下水污染防治措施按照“源头控制、末端防治、应急响应”相结合的原则，企业</w:t>
            </w:r>
            <w:r>
              <w:rPr>
                <w:rFonts w:hint="eastAsia"/>
                <w:color w:val="auto"/>
                <w:sz w:val="24"/>
                <w:lang w:eastAsia="zh-CN"/>
              </w:rPr>
              <w:t>液氯罐区、黄磷池</w:t>
            </w:r>
            <w:r>
              <w:rPr>
                <w:color w:val="auto"/>
                <w:sz w:val="24"/>
              </w:rPr>
              <w:t>等处需按要求进行防渗防漏设计，为减少对地下水的影响，建设项目应从污染物的产生、入渗、扩散、应急响应全阶段进行控制。</w:t>
            </w:r>
          </w:p>
          <w:p w14:paraId="40C6D631">
            <w:pPr>
              <w:adjustRightInd w:val="0"/>
              <w:snapToGrid w:val="0"/>
              <w:spacing w:line="360" w:lineRule="auto"/>
              <w:ind w:firstLine="480" w:firstLineChars="200"/>
              <w:rPr>
                <w:color w:val="auto"/>
                <w:sz w:val="24"/>
              </w:rPr>
            </w:pPr>
            <w:r>
              <w:rPr>
                <w:rFonts w:hint="eastAsia"/>
                <w:color w:val="auto"/>
                <w:sz w:val="24"/>
                <w:lang w:val="en-US" w:eastAsia="zh-CN"/>
              </w:rPr>
              <w:t>a</w:t>
            </w:r>
            <w:r>
              <w:rPr>
                <w:color w:val="auto"/>
                <w:sz w:val="24"/>
              </w:rPr>
              <w:t>.源头控制原则</w:t>
            </w:r>
          </w:p>
          <w:p w14:paraId="41C7803F">
            <w:pPr>
              <w:adjustRightInd w:val="0"/>
              <w:snapToGrid w:val="0"/>
              <w:spacing w:line="360" w:lineRule="auto"/>
              <w:ind w:firstLine="480" w:firstLineChars="200"/>
              <w:rPr>
                <w:rFonts w:hint="eastAsia"/>
                <w:color w:val="auto"/>
                <w:sz w:val="24"/>
                <w:lang w:eastAsia="zh-CN"/>
              </w:rPr>
            </w:pPr>
            <w:r>
              <w:rPr>
                <w:color w:val="auto"/>
                <w:sz w:val="24"/>
              </w:rPr>
              <w:t>源头控制主要包括在工艺、管理、设备采取相应措施，防止和降低污染物跑、冒、滴、漏，将污染物泄漏的环境风险事故降到最低程度</w:t>
            </w:r>
            <w:r>
              <w:rPr>
                <w:rFonts w:hint="eastAsia"/>
                <w:color w:val="auto"/>
                <w:sz w:val="24"/>
                <w:lang w:eastAsia="zh-CN"/>
              </w:rPr>
              <w:t>。</w:t>
            </w:r>
          </w:p>
          <w:p w14:paraId="316C9A2F">
            <w:pPr>
              <w:adjustRightInd w:val="0"/>
              <w:snapToGrid w:val="0"/>
              <w:spacing w:line="360" w:lineRule="auto"/>
              <w:ind w:firstLine="480" w:firstLineChars="200"/>
              <w:rPr>
                <w:color w:val="auto"/>
                <w:sz w:val="24"/>
              </w:rPr>
            </w:pPr>
            <w:r>
              <w:rPr>
                <w:rFonts w:hint="eastAsia"/>
                <w:color w:val="auto"/>
                <w:sz w:val="24"/>
                <w:lang w:eastAsia="zh-CN"/>
              </w:rPr>
              <w:t>现有厂区已设置</w:t>
            </w:r>
            <w:r>
              <w:rPr>
                <w:rFonts w:hint="eastAsia"/>
                <w:color w:val="auto"/>
                <w:sz w:val="24"/>
                <w:lang w:val="en-US" w:eastAsia="zh-CN"/>
              </w:rPr>
              <w:t>29</w:t>
            </w:r>
            <w:r>
              <w:rPr>
                <w:color w:val="auto"/>
                <w:sz w:val="24"/>
              </w:rPr>
              <w:t>0m³初期雨水收集池</w:t>
            </w:r>
            <w:r>
              <w:rPr>
                <w:rFonts w:hint="eastAsia"/>
                <w:color w:val="auto"/>
                <w:sz w:val="24"/>
                <w:lang w:val="en-US" w:eastAsia="zh-CN"/>
              </w:rPr>
              <w:t>1座</w:t>
            </w:r>
            <w:r>
              <w:rPr>
                <w:color w:val="auto"/>
                <w:sz w:val="24"/>
              </w:rPr>
              <w:t>，</w:t>
            </w:r>
            <w:r>
              <w:rPr>
                <w:rFonts w:hint="eastAsia"/>
                <w:color w:val="auto"/>
                <w:sz w:val="24"/>
                <w:lang w:eastAsia="zh-CN"/>
              </w:rPr>
              <w:t>可</w:t>
            </w:r>
            <w:r>
              <w:rPr>
                <w:color w:val="auto"/>
                <w:sz w:val="24"/>
              </w:rPr>
              <w:t>减少初期受污染的雨水下渗，减轻对地下水环境的影响。</w:t>
            </w:r>
          </w:p>
          <w:p w14:paraId="67EC7C45">
            <w:pPr>
              <w:adjustRightInd w:val="0"/>
              <w:snapToGrid w:val="0"/>
              <w:spacing w:line="360" w:lineRule="auto"/>
              <w:ind w:firstLine="480" w:firstLineChars="200"/>
              <w:rPr>
                <w:color w:val="auto"/>
                <w:sz w:val="24"/>
              </w:rPr>
            </w:pPr>
            <w:r>
              <w:rPr>
                <w:color w:val="auto"/>
                <w:sz w:val="24"/>
              </w:rPr>
              <w:t>B.末端控制措施原则</w:t>
            </w:r>
          </w:p>
          <w:p w14:paraId="6561CF1C">
            <w:pPr>
              <w:adjustRightInd w:val="0"/>
              <w:snapToGrid w:val="0"/>
              <w:spacing w:line="360" w:lineRule="auto"/>
              <w:ind w:firstLine="480" w:firstLineChars="200"/>
              <w:rPr>
                <w:color w:val="auto"/>
                <w:sz w:val="24"/>
              </w:rPr>
            </w:pPr>
            <w:r>
              <w:rPr>
                <w:color w:val="auto"/>
                <w:sz w:val="24"/>
              </w:rPr>
              <w:t>末端控制措施，主要包括厂内污染区地面的防渗措施和泄漏、渗漏污染物收集措施，即在污染区地面进行防渗处理，防止洒落地面的污染物渗入地下，并把滞留在地面的污染物收集起来，集中送有资质单位安全处理。</w:t>
            </w:r>
          </w:p>
          <w:p w14:paraId="3DFE37E3">
            <w:pPr>
              <w:adjustRightInd w:val="0"/>
              <w:snapToGrid w:val="0"/>
              <w:spacing w:line="360" w:lineRule="auto"/>
              <w:ind w:firstLine="480" w:firstLineChars="200"/>
              <w:rPr>
                <w:color w:val="auto"/>
                <w:sz w:val="24"/>
              </w:rPr>
            </w:pPr>
            <w:r>
              <w:rPr>
                <w:color w:val="auto"/>
                <w:sz w:val="24"/>
              </w:rPr>
              <w:t>C.应急响应措施原则</w:t>
            </w:r>
          </w:p>
          <w:p w14:paraId="0DB4EF1D">
            <w:pPr>
              <w:adjustRightInd w:val="0"/>
              <w:snapToGrid w:val="0"/>
              <w:spacing w:line="360" w:lineRule="auto"/>
              <w:ind w:firstLine="480" w:firstLineChars="200"/>
              <w:rPr>
                <w:color w:val="auto"/>
                <w:sz w:val="24"/>
              </w:rPr>
            </w:pPr>
            <w:r>
              <w:rPr>
                <w:color w:val="auto"/>
                <w:sz w:val="24"/>
              </w:rPr>
              <w:t>进行质量体系认证，实现“质量、安全、环境”三位一体的全面质量管理目标。设立地下水动态监测小组，负责对地下水环境监测和管理，或者委托专业的机构完成。建立有关规章制度和岗位责任制，制定风险预警方案，设立应急设施减少环境污染影响。一旦发现地下水污染事故，立即启动应急预案，采取应急措施控制地下水污染，并使污染得到治理。</w:t>
            </w:r>
          </w:p>
          <w:p w14:paraId="36ECF050">
            <w:pPr>
              <w:adjustRightInd w:val="0"/>
              <w:snapToGrid w:val="0"/>
              <w:spacing w:line="360" w:lineRule="auto"/>
              <w:ind w:firstLine="480" w:firstLineChars="200"/>
              <w:rPr>
                <w:color w:val="auto"/>
                <w:sz w:val="24"/>
              </w:rPr>
            </w:pPr>
            <w:r>
              <w:rPr>
                <w:color w:val="auto"/>
                <w:sz w:val="24"/>
              </w:rPr>
              <w:t>D.分区管理和控制原则</w:t>
            </w:r>
          </w:p>
          <w:p w14:paraId="3BE4A129">
            <w:pPr>
              <w:adjustRightInd w:val="0"/>
              <w:snapToGrid w:val="0"/>
              <w:spacing w:line="360" w:lineRule="auto"/>
              <w:ind w:firstLine="480" w:firstLineChars="200"/>
              <w:rPr>
                <w:color w:val="auto"/>
                <w:sz w:val="24"/>
              </w:rPr>
            </w:pPr>
            <w:r>
              <w:rPr>
                <w:color w:val="auto"/>
                <w:sz w:val="24"/>
              </w:rPr>
              <w:t>分区管理和控制原则，即根据场址所在地的工程地质、水文地质条件和全厂可能发生泄漏的物料性质、排放量并参照相应标准要求有针对性</w:t>
            </w:r>
            <w:r>
              <w:rPr>
                <w:rFonts w:hint="eastAsia"/>
                <w:color w:val="auto"/>
                <w:sz w:val="24"/>
                <w:lang w:eastAsia="zh-CN"/>
              </w:rPr>
              <w:t>地</w:t>
            </w:r>
            <w:r>
              <w:rPr>
                <w:color w:val="auto"/>
                <w:sz w:val="24"/>
              </w:rPr>
              <w:t>分区，并分别设计地面防渗层结构。</w:t>
            </w:r>
          </w:p>
          <w:p w14:paraId="2A88F533">
            <w:pPr>
              <w:adjustRightInd w:val="0"/>
              <w:snapToGrid w:val="0"/>
              <w:spacing w:line="360" w:lineRule="auto"/>
              <w:ind w:firstLine="480" w:firstLineChars="200"/>
              <w:rPr>
                <w:color w:val="auto"/>
                <w:sz w:val="24"/>
              </w:rPr>
            </w:pPr>
            <w:r>
              <w:rPr>
                <w:color w:val="auto"/>
                <w:sz w:val="24"/>
              </w:rPr>
              <w:t>E.“可视化”原则</w:t>
            </w:r>
          </w:p>
          <w:p w14:paraId="7D5D4B71">
            <w:pPr>
              <w:adjustRightInd w:val="0"/>
              <w:snapToGrid w:val="0"/>
              <w:spacing w:line="360" w:lineRule="auto"/>
              <w:ind w:firstLine="480" w:firstLineChars="200"/>
              <w:rPr>
                <w:color w:val="auto"/>
                <w:sz w:val="24"/>
              </w:rPr>
            </w:pPr>
            <w:r>
              <w:rPr>
                <w:color w:val="auto"/>
                <w:sz w:val="24"/>
              </w:rPr>
              <w:t>“可视化”原则，即在满足工程和防渗层结构标准要求的前提下，尽量在地表实施防渗措施，便于泄漏物质就地收集和及时发现破损的防渗层。</w:t>
            </w:r>
          </w:p>
          <w:p w14:paraId="774E26A0">
            <w:pPr>
              <w:adjustRightInd w:val="0"/>
              <w:snapToGrid w:val="0"/>
              <w:spacing w:line="360" w:lineRule="auto"/>
              <w:ind w:firstLine="480" w:firstLineChars="200"/>
              <w:rPr>
                <w:color w:val="auto"/>
                <w:sz w:val="24"/>
              </w:rPr>
            </w:pPr>
            <w:r>
              <w:rPr>
                <w:color w:val="auto"/>
                <w:sz w:val="24"/>
              </w:rPr>
              <w:t>F.工程措施与污染监控相结合原则</w:t>
            </w:r>
          </w:p>
          <w:p w14:paraId="109AD94C">
            <w:pPr>
              <w:adjustRightInd w:val="0"/>
              <w:snapToGrid w:val="0"/>
              <w:spacing w:line="360" w:lineRule="auto"/>
              <w:ind w:firstLine="480" w:firstLineChars="200"/>
              <w:rPr>
                <w:color w:val="auto"/>
                <w:sz w:val="24"/>
              </w:rPr>
            </w:pPr>
            <w:r>
              <w:rPr>
                <w:color w:val="auto"/>
                <w:sz w:val="24"/>
              </w:rPr>
              <w:t>工程措施与污染监控相结合原则，即采用国际、国内先进的防渗材料、技术和实施手段，最大限度</w:t>
            </w:r>
            <w:r>
              <w:rPr>
                <w:rFonts w:hint="eastAsia"/>
                <w:color w:val="auto"/>
                <w:sz w:val="24"/>
                <w:lang w:eastAsia="zh-CN"/>
              </w:rPr>
              <w:t>地</w:t>
            </w:r>
            <w:r>
              <w:rPr>
                <w:color w:val="auto"/>
                <w:sz w:val="24"/>
              </w:rPr>
              <w:t>强化防渗防污能力。同时实施覆盖生产区及周边一定范围的地下水污染监控系统，包括建立完善的监测报告制度，配备先进的检漏检测分析仪器设备，科学合理布设地下水污染监测井，及时发现污染，及时采取措施，及早消除不良影响。</w:t>
            </w:r>
          </w:p>
          <w:p w14:paraId="2DC2BAAF">
            <w:pPr>
              <w:adjustRightInd w:val="0"/>
              <w:snapToGrid w:val="0"/>
              <w:spacing w:line="360" w:lineRule="auto"/>
              <w:ind w:firstLine="482" w:firstLineChars="200"/>
              <w:rPr>
                <w:b/>
                <w:color w:val="auto"/>
                <w:sz w:val="24"/>
              </w:rPr>
            </w:pPr>
            <w:r>
              <w:rPr>
                <w:b/>
                <w:color w:val="auto"/>
                <w:sz w:val="24"/>
              </w:rPr>
              <w:t>②地下水防渗防污措施</w:t>
            </w:r>
          </w:p>
          <w:p w14:paraId="20C704C6">
            <w:pPr>
              <w:adjustRightInd w:val="0"/>
              <w:snapToGrid w:val="0"/>
              <w:spacing w:line="360" w:lineRule="auto"/>
              <w:ind w:firstLine="420" w:firstLineChars="200"/>
              <w:rPr>
                <w:color w:val="auto"/>
              </w:rPr>
            </w:pPr>
            <w:r>
              <w:rPr>
                <w:color w:val="auto"/>
              </w:rPr>
              <w:t>A.污染控制难易程度</w:t>
            </w:r>
          </w:p>
          <w:p w14:paraId="23DFD674">
            <w:pPr>
              <w:adjustRightInd w:val="0"/>
              <w:snapToGrid w:val="0"/>
              <w:spacing w:line="360" w:lineRule="auto"/>
              <w:ind w:firstLine="420" w:firstLineChars="200"/>
              <w:rPr>
                <w:color w:val="auto"/>
              </w:rPr>
            </w:pPr>
            <w:r>
              <w:rPr>
                <w:color w:val="auto"/>
              </w:rPr>
              <w:t>污染控制难易程度分级参照表见表4</w:t>
            </w:r>
            <w:r>
              <w:rPr>
                <w:rFonts w:hint="eastAsia"/>
                <w:color w:val="auto"/>
              </w:rPr>
              <w:t>.5-</w:t>
            </w:r>
            <w:r>
              <w:rPr>
                <w:rFonts w:hint="eastAsia"/>
                <w:color w:val="auto"/>
                <w:lang w:val="en-US" w:eastAsia="zh-CN"/>
              </w:rPr>
              <w:t>2</w:t>
            </w:r>
            <w:r>
              <w:rPr>
                <w:color w:val="auto"/>
              </w:rPr>
              <w:t>。</w:t>
            </w:r>
          </w:p>
          <w:p w14:paraId="48249708">
            <w:pPr>
              <w:adjustRightInd w:val="0"/>
              <w:snapToGrid w:val="0"/>
              <w:ind w:firstLine="422" w:firstLineChars="200"/>
              <w:jc w:val="center"/>
              <w:rPr>
                <w:b/>
                <w:color w:val="auto"/>
              </w:rPr>
            </w:pPr>
            <w:r>
              <w:rPr>
                <w:b/>
                <w:color w:val="auto"/>
              </w:rPr>
              <w:t>表4</w:t>
            </w:r>
            <w:r>
              <w:rPr>
                <w:rFonts w:hint="eastAsia"/>
                <w:b/>
                <w:color w:val="auto"/>
              </w:rPr>
              <w:t>.5-</w:t>
            </w:r>
            <w:r>
              <w:rPr>
                <w:rFonts w:hint="eastAsia"/>
                <w:b/>
                <w:color w:val="auto"/>
                <w:lang w:val="en-US" w:eastAsia="zh-CN"/>
              </w:rPr>
              <w:t>2</w:t>
            </w:r>
            <w:r>
              <w:rPr>
                <w:b/>
                <w:color w:val="auto"/>
              </w:rPr>
              <w:t xml:space="preserve">  污染控制难易程度分级参照表</w:t>
            </w:r>
          </w:p>
          <w:tbl>
            <w:tblPr>
              <w:tblStyle w:val="88"/>
              <w:tblW w:w="83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5"/>
              <w:gridCol w:w="6414"/>
            </w:tblGrid>
            <w:tr w14:paraId="513A59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985" w:type="dxa"/>
                  <w:vAlign w:val="center"/>
                </w:tcPr>
                <w:p w14:paraId="5AE5C004">
                  <w:pPr>
                    <w:adjustRightInd w:val="0"/>
                    <w:snapToGrid w:val="0"/>
                    <w:jc w:val="center"/>
                    <w:rPr>
                      <w:b/>
                      <w:color w:val="auto"/>
                      <w:szCs w:val="21"/>
                    </w:rPr>
                  </w:pPr>
                  <w:r>
                    <w:rPr>
                      <w:b/>
                      <w:color w:val="auto"/>
                      <w:szCs w:val="21"/>
                    </w:rPr>
                    <w:t>污染控制难易程度</w:t>
                  </w:r>
                </w:p>
              </w:tc>
              <w:tc>
                <w:tcPr>
                  <w:tcW w:w="6414" w:type="dxa"/>
                  <w:vAlign w:val="center"/>
                </w:tcPr>
                <w:p w14:paraId="746B6F88">
                  <w:pPr>
                    <w:adjustRightInd w:val="0"/>
                    <w:snapToGrid w:val="0"/>
                    <w:jc w:val="center"/>
                    <w:rPr>
                      <w:b/>
                      <w:color w:val="auto"/>
                      <w:szCs w:val="21"/>
                    </w:rPr>
                  </w:pPr>
                  <w:r>
                    <w:rPr>
                      <w:b/>
                      <w:color w:val="auto"/>
                      <w:szCs w:val="21"/>
                    </w:rPr>
                    <w:t>主要特征</w:t>
                  </w:r>
                </w:p>
              </w:tc>
            </w:tr>
            <w:tr w14:paraId="72F16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5" w:type="dxa"/>
                  <w:vAlign w:val="center"/>
                </w:tcPr>
                <w:p w14:paraId="7F66C378">
                  <w:pPr>
                    <w:adjustRightInd w:val="0"/>
                    <w:snapToGrid w:val="0"/>
                    <w:jc w:val="center"/>
                    <w:rPr>
                      <w:color w:val="auto"/>
                      <w:szCs w:val="21"/>
                    </w:rPr>
                  </w:pPr>
                  <w:r>
                    <w:rPr>
                      <w:color w:val="auto"/>
                      <w:szCs w:val="21"/>
                    </w:rPr>
                    <w:t>难</w:t>
                  </w:r>
                </w:p>
              </w:tc>
              <w:tc>
                <w:tcPr>
                  <w:tcW w:w="6414" w:type="dxa"/>
                  <w:vAlign w:val="center"/>
                </w:tcPr>
                <w:p w14:paraId="26B900B9">
                  <w:pPr>
                    <w:adjustRightInd w:val="0"/>
                    <w:snapToGrid w:val="0"/>
                    <w:jc w:val="center"/>
                    <w:rPr>
                      <w:color w:val="auto"/>
                      <w:szCs w:val="21"/>
                    </w:rPr>
                  </w:pPr>
                  <w:r>
                    <w:rPr>
                      <w:color w:val="auto"/>
                      <w:szCs w:val="21"/>
                    </w:rPr>
                    <w:t>对地下水环境有污染的物料或污染物泄漏后，不能及时发现和处理</w:t>
                  </w:r>
                </w:p>
              </w:tc>
            </w:tr>
            <w:tr w14:paraId="17212B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5" w:type="dxa"/>
                  <w:vAlign w:val="center"/>
                </w:tcPr>
                <w:p w14:paraId="31606E03">
                  <w:pPr>
                    <w:adjustRightInd w:val="0"/>
                    <w:snapToGrid w:val="0"/>
                    <w:jc w:val="center"/>
                    <w:rPr>
                      <w:color w:val="auto"/>
                      <w:szCs w:val="21"/>
                    </w:rPr>
                  </w:pPr>
                  <w:r>
                    <w:rPr>
                      <w:color w:val="auto"/>
                      <w:szCs w:val="21"/>
                    </w:rPr>
                    <w:t>易</w:t>
                  </w:r>
                </w:p>
              </w:tc>
              <w:tc>
                <w:tcPr>
                  <w:tcW w:w="6414" w:type="dxa"/>
                  <w:vAlign w:val="center"/>
                </w:tcPr>
                <w:p w14:paraId="246CDABB">
                  <w:pPr>
                    <w:adjustRightInd w:val="0"/>
                    <w:snapToGrid w:val="0"/>
                    <w:jc w:val="center"/>
                    <w:rPr>
                      <w:color w:val="auto"/>
                      <w:szCs w:val="21"/>
                    </w:rPr>
                  </w:pPr>
                  <w:r>
                    <w:rPr>
                      <w:color w:val="auto"/>
                      <w:szCs w:val="21"/>
                    </w:rPr>
                    <w:t>对地下水有污染的物料或污染物泄漏后，可及时发现和处理</w:t>
                  </w:r>
                </w:p>
              </w:tc>
            </w:tr>
          </w:tbl>
          <w:p w14:paraId="4A859745">
            <w:pPr>
              <w:adjustRightInd w:val="0"/>
              <w:snapToGrid w:val="0"/>
              <w:spacing w:beforeLines="50" w:line="360" w:lineRule="auto"/>
              <w:ind w:firstLine="480" w:firstLineChars="200"/>
              <w:rPr>
                <w:rFonts w:hint="eastAsia"/>
                <w:color w:val="auto"/>
                <w:sz w:val="24"/>
                <w:lang w:eastAsia="zh-CN"/>
              </w:rPr>
            </w:pPr>
            <w:r>
              <w:rPr>
                <w:rFonts w:hint="eastAsia"/>
                <w:color w:val="auto"/>
                <w:sz w:val="24"/>
                <w:lang w:eastAsia="zh-CN"/>
              </w:rPr>
              <w:t>企业液氯罐区、黄磷池等如发生泄漏，液氯易挥发，泄漏时通过关闭液氯集装箱装卸场地大门，开启二级碱液喷淋装置进行氯气收集处理，同时将尚未挥发的液氯抽排至备用液氯罐，液氯集装箱装卸场地已进行水泥硬化；黄磷池采用双层池，内层采用316L钢，外层采用混凝土结构，</w:t>
            </w:r>
            <w:r>
              <w:rPr>
                <w:rFonts w:hint="eastAsia"/>
                <w:color w:val="auto"/>
                <w:sz w:val="24"/>
                <w:lang w:val="en-US" w:eastAsia="zh-CN"/>
              </w:rPr>
              <w:t>2层之间装有热水，进行保温，通过定期进行水质监测，确认是否存在内层破损情况，</w:t>
            </w:r>
            <w:r>
              <w:rPr>
                <w:rFonts w:hint="eastAsia"/>
                <w:color w:val="auto"/>
                <w:sz w:val="24"/>
                <w:lang w:eastAsia="zh-CN"/>
              </w:rPr>
              <w:t>因此，本项目地下水污染控制程度：不易。</w:t>
            </w:r>
          </w:p>
          <w:p w14:paraId="73AA212F">
            <w:pPr>
              <w:adjustRightInd w:val="0"/>
              <w:snapToGrid w:val="0"/>
              <w:spacing w:line="360" w:lineRule="auto"/>
              <w:ind w:firstLine="480" w:firstLineChars="200"/>
              <w:rPr>
                <w:color w:val="auto"/>
                <w:sz w:val="24"/>
              </w:rPr>
            </w:pPr>
            <w:r>
              <w:rPr>
                <w:color w:val="auto"/>
                <w:sz w:val="24"/>
              </w:rPr>
              <w:t>B.天然包气带防污性能分级参照表</w:t>
            </w:r>
          </w:p>
          <w:p w14:paraId="3D72B715">
            <w:pPr>
              <w:adjustRightInd w:val="0"/>
              <w:snapToGrid w:val="0"/>
              <w:ind w:firstLine="422" w:firstLineChars="200"/>
              <w:jc w:val="center"/>
              <w:rPr>
                <w:b/>
                <w:color w:val="auto"/>
              </w:rPr>
            </w:pPr>
            <w:r>
              <w:rPr>
                <w:b/>
                <w:color w:val="auto"/>
              </w:rPr>
              <w:t>表4</w:t>
            </w:r>
            <w:r>
              <w:rPr>
                <w:rFonts w:hint="eastAsia"/>
                <w:b/>
                <w:color w:val="auto"/>
              </w:rPr>
              <w:t>.5-</w:t>
            </w:r>
            <w:r>
              <w:rPr>
                <w:rFonts w:hint="eastAsia"/>
                <w:b/>
                <w:color w:val="auto"/>
                <w:lang w:val="en-US" w:eastAsia="zh-CN"/>
              </w:rPr>
              <w:t>3</w:t>
            </w:r>
            <w:r>
              <w:rPr>
                <w:b/>
                <w:color w:val="auto"/>
              </w:rPr>
              <w:t xml:space="preserve">  天然包气带防污性能分级参照表</w:t>
            </w:r>
          </w:p>
          <w:tbl>
            <w:tblPr>
              <w:tblStyle w:val="88"/>
              <w:tblW w:w="849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7835"/>
            </w:tblGrid>
            <w:tr w14:paraId="1E64CD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58" w:type="dxa"/>
                  <w:vAlign w:val="center"/>
                </w:tcPr>
                <w:p w14:paraId="529E5571">
                  <w:pPr>
                    <w:adjustRightInd w:val="0"/>
                    <w:snapToGrid w:val="0"/>
                    <w:jc w:val="center"/>
                    <w:rPr>
                      <w:b/>
                      <w:color w:val="auto"/>
                      <w:szCs w:val="21"/>
                    </w:rPr>
                  </w:pPr>
                  <w:r>
                    <w:rPr>
                      <w:b/>
                      <w:color w:val="auto"/>
                      <w:szCs w:val="21"/>
                    </w:rPr>
                    <w:t>分级</w:t>
                  </w:r>
                </w:p>
              </w:tc>
              <w:tc>
                <w:tcPr>
                  <w:tcW w:w="7835" w:type="dxa"/>
                  <w:vAlign w:val="center"/>
                </w:tcPr>
                <w:p w14:paraId="77EEFF63">
                  <w:pPr>
                    <w:adjustRightInd w:val="0"/>
                    <w:snapToGrid w:val="0"/>
                    <w:jc w:val="center"/>
                    <w:rPr>
                      <w:b/>
                      <w:color w:val="auto"/>
                      <w:szCs w:val="21"/>
                    </w:rPr>
                  </w:pPr>
                  <w:r>
                    <w:rPr>
                      <w:b/>
                      <w:color w:val="auto"/>
                      <w:szCs w:val="21"/>
                    </w:rPr>
                    <w:t>包气带岩土的渗透性能</w:t>
                  </w:r>
                </w:p>
              </w:tc>
            </w:tr>
            <w:tr w14:paraId="6A6ABF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dxa"/>
                  <w:vAlign w:val="center"/>
                </w:tcPr>
                <w:p w14:paraId="78AF8160">
                  <w:pPr>
                    <w:adjustRightInd w:val="0"/>
                    <w:snapToGrid w:val="0"/>
                    <w:jc w:val="center"/>
                    <w:rPr>
                      <w:color w:val="auto"/>
                      <w:szCs w:val="21"/>
                    </w:rPr>
                  </w:pPr>
                  <w:r>
                    <w:rPr>
                      <w:color w:val="auto"/>
                      <w:szCs w:val="21"/>
                    </w:rPr>
                    <w:t>强</w:t>
                  </w:r>
                </w:p>
              </w:tc>
              <w:tc>
                <w:tcPr>
                  <w:tcW w:w="7835" w:type="dxa"/>
                  <w:vAlign w:val="center"/>
                </w:tcPr>
                <w:p w14:paraId="7278C26F">
                  <w:pPr>
                    <w:adjustRightInd w:val="0"/>
                    <w:snapToGrid w:val="0"/>
                    <w:jc w:val="center"/>
                    <w:rPr>
                      <w:color w:val="auto"/>
                      <w:szCs w:val="21"/>
                    </w:rPr>
                  </w:pPr>
                  <w:r>
                    <w:rPr>
                      <w:color w:val="auto"/>
                      <w:szCs w:val="21"/>
                    </w:rPr>
                    <w:t>岩（土）层单层厚度Mb≥1.0m，渗透系数K≤10</w:t>
                  </w:r>
                  <w:r>
                    <w:rPr>
                      <w:rFonts w:hint="eastAsia"/>
                      <w:color w:val="auto"/>
                      <w:szCs w:val="21"/>
                      <w:lang w:eastAsia="zh-CN"/>
                    </w:rPr>
                    <w:t>—</w:t>
                  </w:r>
                  <w:r>
                    <w:rPr>
                      <w:color w:val="auto"/>
                      <w:szCs w:val="21"/>
                      <w:vertAlign w:val="superscript"/>
                    </w:rPr>
                    <w:t>6</w:t>
                  </w:r>
                  <w:r>
                    <w:rPr>
                      <w:color w:val="auto"/>
                      <w:szCs w:val="21"/>
                    </w:rPr>
                    <w:t>cm/s，且分布连续、稳定</w:t>
                  </w:r>
                </w:p>
              </w:tc>
            </w:tr>
            <w:tr w14:paraId="25A856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dxa"/>
                  <w:vAlign w:val="center"/>
                </w:tcPr>
                <w:p w14:paraId="3B2B3639">
                  <w:pPr>
                    <w:adjustRightInd w:val="0"/>
                    <w:snapToGrid w:val="0"/>
                    <w:jc w:val="center"/>
                    <w:rPr>
                      <w:color w:val="auto"/>
                      <w:szCs w:val="21"/>
                    </w:rPr>
                  </w:pPr>
                  <w:r>
                    <w:rPr>
                      <w:color w:val="auto"/>
                      <w:szCs w:val="21"/>
                    </w:rPr>
                    <w:t>中</w:t>
                  </w:r>
                </w:p>
              </w:tc>
              <w:tc>
                <w:tcPr>
                  <w:tcW w:w="7835" w:type="dxa"/>
                  <w:vAlign w:val="center"/>
                </w:tcPr>
                <w:p w14:paraId="57D1A835">
                  <w:pPr>
                    <w:adjustRightInd w:val="0"/>
                    <w:snapToGrid w:val="0"/>
                    <w:jc w:val="center"/>
                    <w:rPr>
                      <w:color w:val="auto"/>
                      <w:szCs w:val="21"/>
                    </w:rPr>
                  </w:pPr>
                  <w:r>
                    <w:rPr>
                      <w:color w:val="auto"/>
                      <w:szCs w:val="21"/>
                    </w:rPr>
                    <w:t>岩（土）层单层厚度0.5m≤Mb＜1.0m，渗透系数K≤10</w:t>
                  </w:r>
                  <w:r>
                    <w:rPr>
                      <w:rFonts w:hint="eastAsia"/>
                      <w:color w:val="auto"/>
                      <w:szCs w:val="21"/>
                      <w:lang w:eastAsia="zh-CN"/>
                    </w:rPr>
                    <w:t>—</w:t>
                  </w:r>
                  <w:r>
                    <w:rPr>
                      <w:color w:val="auto"/>
                      <w:szCs w:val="21"/>
                      <w:vertAlign w:val="superscript"/>
                    </w:rPr>
                    <w:t>6</w:t>
                  </w:r>
                  <w:r>
                    <w:rPr>
                      <w:color w:val="auto"/>
                      <w:szCs w:val="21"/>
                    </w:rPr>
                    <w:t>cm/s，且分布连续、稳定；</w:t>
                  </w:r>
                </w:p>
                <w:p w14:paraId="12F5159B">
                  <w:pPr>
                    <w:adjustRightInd w:val="0"/>
                    <w:snapToGrid w:val="0"/>
                    <w:jc w:val="center"/>
                    <w:rPr>
                      <w:color w:val="auto"/>
                      <w:szCs w:val="21"/>
                    </w:rPr>
                  </w:pPr>
                  <w:r>
                    <w:rPr>
                      <w:color w:val="auto"/>
                      <w:szCs w:val="21"/>
                    </w:rPr>
                    <w:t>岩（土）层单层厚度Mb≥1.0m，渗透系数10</w:t>
                  </w:r>
                  <w:r>
                    <w:rPr>
                      <w:rFonts w:hint="eastAsia"/>
                      <w:color w:val="auto"/>
                      <w:szCs w:val="21"/>
                      <w:lang w:eastAsia="zh-CN"/>
                    </w:rPr>
                    <w:t>—</w:t>
                  </w:r>
                  <w:r>
                    <w:rPr>
                      <w:color w:val="auto"/>
                      <w:szCs w:val="21"/>
                      <w:vertAlign w:val="superscript"/>
                    </w:rPr>
                    <w:t>6</w:t>
                  </w:r>
                  <w:r>
                    <w:rPr>
                      <w:color w:val="auto"/>
                      <w:szCs w:val="21"/>
                    </w:rPr>
                    <w:t>cm/s＜K≤10</w:t>
                  </w:r>
                  <w:r>
                    <w:rPr>
                      <w:rFonts w:hint="eastAsia"/>
                      <w:color w:val="auto"/>
                      <w:szCs w:val="21"/>
                      <w:lang w:eastAsia="zh-CN"/>
                    </w:rPr>
                    <w:t>—</w:t>
                  </w:r>
                  <w:r>
                    <w:rPr>
                      <w:color w:val="auto"/>
                      <w:szCs w:val="21"/>
                      <w:vertAlign w:val="superscript"/>
                    </w:rPr>
                    <w:t>4</w:t>
                  </w:r>
                  <w:r>
                    <w:rPr>
                      <w:color w:val="auto"/>
                      <w:szCs w:val="21"/>
                    </w:rPr>
                    <w:t>cm/s，且分布连续、稳定</w:t>
                  </w:r>
                </w:p>
              </w:tc>
            </w:tr>
            <w:tr w14:paraId="2F16C1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dxa"/>
                  <w:vAlign w:val="center"/>
                </w:tcPr>
                <w:p w14:paraId="4BB2BE84">
                  <w:pPr>
                    <w:adjustRightInd w:val="0"/>
                    <w:snapToGrid w:val="0"/>
                    <w:jc w:val="center"/>
                    <w:rPr>
                      <w:color w:val="auto"/>
                      <w:szCs w:val="21"/>
                    </w:rPr>
                  </w:pPr>
                  <w:r>
                    <w:rPr>
                      <w:color w:val="auto"/>
                      <w:szCs w:val="21"/>
                    </w:rPr>
                    <w:t>弱</w:t>
                  </w:r>
                </w:p>
              </w:tc>
              <w:tc>
                <w:tcPr>
                  <w:tcW w:w="7835" w:type="dxa"/>
                  <w:vAlign w:val="center"/>
                </w:tcPr>
                <w:p w14:paraId="7009E255">
                  <w:pPr>
                    <w:adjustRightInd w:val="0"/>
                    <w:snapToGrid w:val="0"/>
                    <w:jc w:val="center"/>
                    <w:rPr>
                      <w:color w:val="auto"/>
                      <w:szCs w:val="21"/>
                    </w:rPr>
                  </w:pPr>
                  <w:r>
                    <w:rPr>
                      <w:color w:val="auto"/>
                      <w:szCs w:val="21"/>
                    </w:rPr>
                    <w:t>岩（土）层不满足上述“强”和“中”条件</w:t>
                  </w:r>
                </w:p>
              </w:tc>
            </w:tr>
          </w:tbl>
          <w:p w14:paraId="67F4DC39">
            <w:pPr>
              <w:adjustRightInd w:val="0"/>
              <w:snapToGrid w:val="0"/>
              <w:spacing w:beforeLines="50" w:line="360" w:lineRule="auto"/>
              <w:ind w:firstLine="480" w:firstLineChars="200"/>
              <w:rPr>
                <w:color w:val="auto"/>
                <w:sz w:val="24"/>
              </w:rPr>
            </w:pPr>
            <w:r>
              <w:rPr>
                <w:color w:val="auto"/>
                <w:sz w:val="24"/>
              </w:rPr>
              <w:t>对比历史资料，建设项目包气带防护性能属于：中等。</w:t>
            </w:r>
          </w:p>
          <w:p w14:paraId="03E46433">
            <w:pPr>
              <w:adjustRightInd w:val="0"/>
              <w:snapToGrid w:val="0"/>
              <w:spacing w:line="360" w:lineRule="auto"/>
              <w:ind w:firstLine="480" w:firstLineChars="200"/>
              <w:rPr>
                <w:color w:val="auto"/>
                <w:sz w:val="24"/>
              </w:rPr>
            </w:pPr>
            <w:r>
              <w:rPr>
                <w:color w:val="auto"/>
                <w:sz w:val="24"/>
              </w:rPr>
              <w:t>C.分区防渗要求</w:t>
            </w:r>
          </w:p>
          <w:p w14:paraId="50F447D9">
            <w:pPr>
              <w:adjustRightInd w:val="0"/>
              <w:snapToGrid w:val="0"/>
              <w:spacing w:line="360" w:lineRule="auto"/>
              <w:ind w:firstLine="480" w:firstLineChars="200"/>
              <w:rPr>
                <w:color w:val="auto"/>
                <w:sz w:val="24"/>
              </w:rPr>
            </w:pPr>
            <w:r>
              <w:rPr>
                <w:color w:val="auto"/>
                <w:sz w:val="24"/>
              </w:rPr>
              <w:t>根据项目包气带防污性能和区域污染控制难易程度，根据项目实际情况，对照导则要求，地下水污染防渗分区见表4</w:t>
            </w:r>
            <w:r>
              <w:rPr>
                <w:rFonts w:hint="eastAsia"/>
                <w:color w:val="auto"/>
                <w:sz w:val="24"/>
              </w:rPr>
              <w:t>.5-</w:t>
            </w:r>
            <w:r>
              <w:rPr>
                <w:rFonts w:hint="eastAsia"/>
                <w:color w:val="auto"/>
                <w:sz w:val="24"/>
                <w:lang w:val="en-US" w:eastAsia="zh-CN"/>
              </w:rPr>
              <w:t>4</w:t>
            </w:r>
            <w:r>
              <w:rPr>
                <w:color w:val="auto"/>
                <w:sz w:val="24"/>
              </w:rPr>
              <w:t>。</w:t>
            </w:r>
          </w:p>
          <w:p w14:paraId="27938966">
            <w:pPr>
              <w:adjustRightInd w:val="0"/>
              <w:snapToGrid w:val="0"/>
              <w:ind w:firstLine="422" w:firstLineChars="200"/>
              <w:jc w:val="center"/>
              <w:rPr>
                <w:b/>
                <w:color w:val="auto"/>
              </w:rPr>
            </w:pPr>
            <w:r>
              <w:rPr>
                <w:b/>
                <w:color w:val="auto"/>
              </w:rPr>
              <w:t>表4</w:t>
            </w:r>
            <w:r>
              <w:rPr>
                <w:rFonts w:hint="eastAsia"/>
                <w:b/>
                <w:color w:val="auto"/>
              </w:rPr>
              <w:t>.5-</w:t>
            </w:r>
            <w:r>
              <w:rPr>
                <w:rFonts w:hint="eastAsia"/>
                <w:b/>
                <w:color w:val="auto"/>
                <w:lang w:val="en-US" w:eastAsia="zh-CN"/>
              </w:rPr>
              <w:t>4</w:t>
            </w:r>
            <w:r>
              <w:rPr>
                <w:rFonts w:hint="eastAsia"/>
                <w:b/>
                <w:color w:val="auto"/>
              </w:rPr>
              <w:t xml:space="preserve"> </w:t>
            </w:r>
            <w:r>
              <w:rPr>
                <w:b/>
                <w:color w:val="auto"/>
              </w:rPr>
              <w:t xml:space="preserve"> 地下水污染防渗分区参照表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1552"/>
              <w:gridCol w:w="1375"/>
              <w:gridCol w:w="1552"/>
              <w:gridCol w:w="2825"/>
            </w:tblGrid>
            <w:tr w14:paraId="472063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8" w:type="pct"/>
                  <w:vAlign w:val="center"/>
                </w:tcPr>
                <w:p w14:paraId="6271BD6C">
                  <w:pPr>
                    <w:adjustRightInd w:val="0"/>
                    <w:snapToGrid w:val="0"/>
                    <w:jc w:val="center"/>
                    <w:rPr>
                      <w:b/>
                      <w:color w:val="auto"/>
                      <w:szCs w:val="21"/>
                    </w:rPr>
                  </w:pPr>
                  <w:r>
                    <w:rPr>
                      <w:b/>
                      <w:color w:val="auto"/>
                      <w:szCs w:val="21"/>
                    </w:rPr>
                    <w:t>防渗分区</w:t>
                  </w:r>
                </w:p>
              </w:tc>
              <w:tc>
                <w:tcPr>
                  <w:tcW w:w="916" w:type="pct"/>
                  <w:vAlign w:val="center"/>
                </w:tcPr>
                <w:p w14:paraId="1387212C">
                  <w:pPr>
                    <w:adjustRightInd w:val="0"/>
                    <w:snapToGrid w:val="0"/>
                    <w:jc w:val="center"/>
                    <w:rPr>
                      <w:b/>
                      <w:color w:val="auto"/>
                      <w:szCs w:val="21"/>
                    </w:rPr>
                  </w:pPr>
                  <w:r>
                    <w:rPr>
                      <w:b/>
                      <w:color w:val="auto"/>
                      <w:szCs w:val="21"/>
                    </w:rPr>
                    <w:t>天然包气带防污性能</w:t>
                  </w:r>
                </w:p>
              </w:tc>
              <w:tc>
                <w:tcPr>
                  <w:tcW w:w="812" w:type="pct"/>
                  <w:vAlign w:val="center"/>
                </w:tcPr>
                <w:p w14:paraId="5963663E">
                  <w:pPr>
                    <w:adjustRightInd w:val="0"/>
                    <w:snapToGrid w:val="0"/>
                    <w:jc w:val="center"/>
                    <w:rPr>
                      <w:b/>
                      <w:color w:val="auto"/>
                      <w:szCs w:val="21"/>
                    </w:rPr>
                  </w:pPr>
                  <w:r>
                    <w:rPr>
                      <w:b/>
                      <w:color w:val="auto"/>
                      <w:szCs w:val="21"/>
                    </w:rPr>
                    <w:t>污染控制难易程度</w:t>
                  </w:r>
                </w:p>
              </w:tc>
              <w:tc>
                <w:tcPr>
                  <w:tcW w:w="916" w:type="pct"/>
                  <w:vAlign w:val="center"/>
                </w:tcPr>
                <w:p w14:paraId="007B6E36">
                  <w:pPr>
                    <w:adjustRightInd w:val="0"/>
                    <w:snapToGrid w:val="0"/>
                    <w:jc w:val="center"/>
                    <w:rPr>
                      <w:b/>
                      <w:color w:val="auto"/>
                      <w:szCs w:val="21"/>
                    </w:rPr>
                  </w:pPr>
                  <w:r>
                    <w:rPr>
                      <w:b/>
                      <w:color w:val="auto"/>
                      <w:szCs w:val="21"/>
                    </w:rPr>
                    <w:t>污染物类型</w:t>
                  </w:r>
                </w:p>
              </w:tc>
              <w:tc>
                <w:tcPr>
                  <w:tcW w:w="1668" w:type="pct"/>
                  <w:vAlign w:val="center"/>
                </w:tcPr>
                <w:p w14:paraId="53D6918F">
                  <w:pPr>
                    <w:adjustRightInd w:val="0"/>
                    <w:snapToGrid w:val="0"/>
                    <w:jc w:val="center"/>
                    <w:rPr>
                      <w:b/>
                      <w:color w:val="auto"/>
                      <w:szCs w:val="21"/>
                    </w:rPr>
                  </w:pPr>
                  <w:r>
                    <w:rPr>
                      <w:b/>
                      <w:color w:val="auto"/>
                      <w:szCs w:val="21"/>
                    </w:rPr>
                    <w:t>防渗单元</w:t>
                  </w:r>
                </w:p>
              </w:tc>
            </w:tr>
            <w:tr w14:paraId="575B0B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8" w:type="pct"/>
                  <w:vMerge w:val="restart"/>
                  <w:vAlign w:val="center"/>
                </w:tcPr>
                <w:p w14:paraId="5B819F3E">
                  <w:pPr>
                    <w:adjustRightInd w:val="0"/>
                    <w:snapToGrid w:val="0"/>
                    <w:jc w:val="center"/>
                    <w:rPr>
                      <w:color w:val="auto"/>
                      <w:szCs w:val="21"/>
                    </w:rPr>
                  </w:pPr>
                  <w:r>
                    <w:rPr>
                      <w:color w:val="auto"/>
                      <w:szCs w:val="21"/>
                    </w:rPr>
                    <w:t>重点防渗区</w:t>
                  </w:r>
                </w:p>
              </w:tc>
              <w:tc>
                <w:tcPr>
                  <w:tcW w:w="916" w:type="pct"/>
                  <w:vAlign w:val="center"/>
                </w:tcPr>
                <w:p w14:paraId="7B25B528">
                  <w:pPr>
                    <w:adjustRightInd w:val="0"/>
                    <w:snapToGrid w:val="0"/>
                    <w:jc w:val="center"/>
                    <w:rPr>
                      <w:color w:val="auto"/>
                      <w:szCs w:val="21"/>
                    </w:rPr>
                  </w:pPr>
                  <w:r>
                    <w:rPr>
                      <w:color w:val="auto"/>
                      <w:szCs w:val="21"/>
                    </w:rPr>
                    <w:t>弱</w:t>
                  </w:r>
                </w:p>
              </w:tc>
              <w:tc>
                <w:tcPr>
                  <w:tcW w:w="812" w:type="pct"/>
                  <w:vAlign w:val="center"/>
                </w:tcPr>
                <w:p w14:paraId="3820D24A">
                  <w:pPr>
                    <w:adjustRightInd w:val="0"/>
                    <w:snapToGrid w:val="0"/>
                    <w:jc w:val="center"/>
                    <w:rPr>
                      <w:color w:val="auto"/>
                      <w:szCs w:val="21"/>
                    </w:rPr>
                  </w:pPr>
                  <w:r>
                    <w:rPr>
                      <w:color w:val="auto"/>
                      <w:szCs w:val="21"/>
                    </w:rPr>
                    <w:t>难</w:t>
                  </w:r>
                </w:p>
              </w:tc>
              <w:tc>
                <w:tcPr>
                  <w:tcW w:w="916" w:type="pct"/>
                  <w:vMerge w:val="restart"/>
                  <w:vAlign w:val="center"/>
                </w:tcPr>
                <w:p w14:paraId="1FEA674E">
                  <w:pPr>
                    <w:adjustRightInd w:val="0"/>
                    <w:snapToGrid w:val="0"/>
                    <w:jc w:val="center"/>
                    <w:rPr>
                      <w:color w:val="auto"/>
                      <w:szCs w:val="21"/>
                    </w:rPr>
                  </w:pPr>
                  <w:r>
                    <w:rPr>
                      <w:color w:val="auto"/>
                      <w:szCs w:val="21"/>
                    </w:rPr>
                    <w:t>重金属、持久性有机物污染物</w:t>
                  </w:r>
                </w:p>
              </w:tc>
              <w:tc>
                <w:tcPr>
                  <w:tcW w:w="1668" w:type="pct"/>
                  <w:vMerge w:val="restart"/>
                  <w:vAlign w:val="center"/>
                </w:tcPr>
                <w:p w14:paraId="519DC536">
                  <w:pPr>
                    <w:adjustRightInd w:val="0"/>
                    <w:snapToGrid w:val="0"/>
                    <w:jc w:val="center"/>
                    <w:rPr>
                      <w:rFonts w:hint="eastAsia" w:eastAsia="宋体"/>
                      <w:color w:val="auto"/>
                      <w:szCs w:val="21"/>
                      <w:lang w:eastAsia="zh-CN"/>
                    </w:rPr>
                  </w:pPr>
                  <w:r>
                    <w:rPr>
                      <w:rFonts w:hint="eastAsia"/>
                      <w:color w:val="auto"/>
                      <w:szCs w:val="21"/>
                      <w:lang w:val="en-US" w:eastAsia="zh-CN"/>
                    </w:rPr>
                    <w:t>/</w:t>
                  </w:r>
                </w:p>
              </w:tc>
            </w:tr>
            <w:tr w14:paraId="1AEF79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8" w:type="pct"/>
                  <w:vMerge w:val="continue"/>
                  <w:vAlign w:val="center"/>
                </w:tcPr>
                <w:p w14:paraId="42CE0C65">
                  <w:pPr>
                    <w:adjustRightInd w:val="0"/>
                    <w:snapToGrid w:val="0"/>
                    <w:jc w:val="center"/>
                    <w:rPr>
                      <w:color w:val="auto"/>
                      <w:szCs w:val="21"/>
                    </w:rPr>
                  </w:pPr>
                </w:p>
              </w:tc>
              <w:tc>
                <w:tcPr>
                  <w:tcW w:w="916" w:type="pct"/>
                  <w:vAlign w:val="center"/>
                </w:tcPr>
                <w:p w14:paraId="4B73C92D">
                  <w:pPr>
                    <w:adjustRightInd w:val="0"/>
                    <w:snapToGrid w:val="0"/>
                    <w:jc w:val="center"/>
                    <w:rPr>
                      <w:color w:val="auto"/>
                      <w:szCs w:val="21"/>
                    </w:rPr>
                  </w:pPr>
                  <w:r>
                    <w:rPr>
                      <w:color w:val="auto"/>
                      <w:szCs w:val="21"/>
                    </w:rPr>
                    <w:t>中-强</w:t>
                  </w:r>
                </w:p>
              </w:tc>
              <w:tc>
                <w:tcPr>
                  <w:tcW w:w="812" w:type="pct"/>
                  <w:vAlign w:val="center"/>
                </w:tcPr>
                <w:p w14:paraId="03A545F3">
                  <w:pPr>
                    <w:adjustRightInd w:val="0"/>
                    <w:snapToGrid w:val="0"/>
                    <w:jc w:val="center"/>
                    <w:rPr>
                      <w:color w:val="auto"/>
                      <w:szCs w:val="21"/>
                    </w:rPr>
                  </w:pPr>
                  <w:r>
                    <w:rPr>
                      <w:color w:val="auto"/>
                      <w:szCs w:val="21"/>
                    </w:rPr>
                    <w:t>难</w:t>
                  </w:r>
                </w:p>
              </w:tc>
              <w:tc>
                <w:tcPr>
                  <w:tcW w:w="916" w:type="pct"/>
                  <w:vMerge w:val="continue"/>
                  <w:vAlign w:val="center"/>
                </w:tcPr>
                <w:p w14:paraId="5F31928A">
                  <w:pPr>
                    <w:adjustRightInd w:val="0"/>
                    <w:snapToGrid w:val="0"/>
                    <w:jc w:val="center"/>
                    <w:rPr>
                      <w:color w:val="auto"/>
                      <w:szCs w:val="21"/>
                    </w:rPr>
                  </w:pPr>
                </w:p>
              </w:tc>
              <w:tc>
                <w:tcPr>
                  <w:tcW w:w="1668" w:type="pct"/>
                  <w:vMerge w:val="continue"/>
                  <w:vAlign w:val="center"/>
                </w:tcPr>
                <w:p w14:paraId="52FFB4C7">
                  <w:pPr>
                    <w:adjustRightInd w:val="0"/>
                    <w:snapToGrid w:val="0"/>
                    <w:jc w:val="center"/>
                    <w:rPr>
                      <w:color w:val="auto"/>
                      <w:szCs w:val="21"/>
                    </w:rPr>
                  </w:pPr>
                </w:p>
              </w:tc>
            </w:tr>
            <w:tr w14:paraId="37A48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8" w:type="pct"/>
                  <w:vMerge w:val="continue"/>
                  <w:vAlign w:val="center"/>
                </w:tcPr>
                <w:p w14:paraId="7C6B0C3B">
                  <w:pPr>
                    <w:adjustRightInd w:val="0"/>
                    <w:snapToGrid w:val="0"/>
                    <w:jc w:val="center"/>
                    <w:rPr>
                      <w:color w:val="auto"/>
                      <w:szCs w:val="21"/>
                    </w:rPr>
                  </w:pPr>
                </w:p>
              </w:tc>
              <w:tc>
                <w:tcPr>
                  <w:tcW w:w="916" w:type="pct"/>
                  <w:vAlign w:val="center"/>
                </w:tcPr>
                <w:p w14:paraId="0CD50615">
                  <w:pPr>
                    <w:adjustRightInd w:val="0"/>
                    <w:snapToGrid w:val="0"/>
                    <w:jc w:val="center"/>
                    <w:rPr>
                      <w:color w:val="auto"/>
                      <w:szCs w:val="21"/>
                    </w:rPr>
                  </w:pPr>
                  <w:r>
                    <w:rPr>
                      <w:color w:val="auto"/>
                      <w:szCs w:val="21"/>
                    </w:rPr>
                    <w:t>弱</w:t>
                  </w:r>
                </w:p>
              </w:tc>
              <w:tc>
                <w:tcPr>
                  <w:tcW w:w="812" w:type="pct"/>
                  <w:vAlign w:val="center"/>
                </w:tcPr>
                <w:p w14:paraId="0D18C0AC">
                  <w:pPr>
                    <w:adjustRightInd w:val="0"/>
                    <w:snapToGrid w:val="0"/>
                    <w:jc w:val="center"/>
                    <w:rPr>
                      <w:color w:val="auto"/>
                      <w:szCs w:val="21"/>
                    </w:rPr>
                  </w:pPr>
                  <w:r>
                    <w:rPr>
                      <w:color w:val="auto"/>
                      <w:szCs w:val="21"/>
                    </w:rPr>
                    <w:t>易</w:t>
                  </w:r>
                </w:p>
              </w:tc>
              <w:tc>
                <w:tcPr>
                  <w:tcW w:w="916" w:type="pct"/>
                  <w:vMerge w:val="continue"/>
                  <w:vAlign w:val="center"/>
                </w:tcPr>
                <w:p w14:paraId="12DD87E0">
                  <w:pPr>
                    <w:adjustRightInd w:val="0"/>
                    <w:snapToGrid w:val="0"/>
                    <w:jc w:val="center"/>
                    <w:rPr>
                      <w:color w:val="auto"/>
                      <w:szCs w:val="21"/>
                    </w:rPr>
                  </w:pPr>
                </w:p>
              </w:tc>
              <w:tc>
                <w:tcPr>
                  <w:tcW w:w="1668" w:type="pct"/>
                  <w:vMerge w:val="continue"/>
                  <w:vAlign w:val="center"/>
                </w:tcPr>
                <w:p w14:paraId="5FEAB685">
                  <w:pPr>
                    <w:adjustRightInd w:val="0"/>
                    <w:snapToGrid w:val="0"/>
                    <w:jc w:val="center"/>
                    <w:rPr>
                      <w:color w:val="auto"/>
                      <w:szCs w:val="21"/>
                    </w:rPr>
                  </w:pPr>
                </w:p>
              </w:tc>
            </w:tr>
            <w:tr w14:paraId="3103A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8" w:type="pct"/>
                  <w:vMerge w:val="restart"/>
                  <w:vAlign w:val="center"/>
                </w:tcPr>
                <w:p w14:paraId="3B3DA628">
                  <w:pPr>
                    <w:adjustRightInd w:val="0"/>
                    <w:snapToGrid w:val="0"/>
                    <w:jc w:val="center"/>
                    <w:rPr>
                      <w:color w:val="auto"/>
                      <w:szCs w:val="21"/>
                    </w:rPr>
                  </w:pPr>
                  <w:r>
                    <w:rPr>
                      <w:color w:val="auto"/>
                      <w:szCs w:val="21"/>
                    </w:rPr>
                    <w:t>一般防渗区</w:t>
                  </w:r>
                </w:p>
              </w:tc>
              <w:tc>
                <w:tcPr>
                  <w:tcW w:w="916" w:type="pct"/>
                  <w:vAlign w:val="center"/>
                </w:tcPr>
                <w:p w14:paraId="304C93F7">
                  <w:pPr>
                    <w:adjustRightInd w:val="0"/>
                    <w:snapToGrid w:val="0"/>
                    <w:jc w:val="center"/>
                    <w:rPr>
                      <w:color w:val="auto"/>
                      <w:szCs w:val="21"/>
                    </w:rPr>
                  </w:pPr>
                  <w:r>
                    <w:rPr>
                      <w:color w:val="auto"/>
                      <w:szCs w:val="21"/>
                    </w:rPr>
                    <w:t>弱</w:t>
                  </w:r>
                </w:p>
              </w:tc>
              <w:tc>
                <w:tcPr>
                  <w:tcW w:w="812" w:type="pct"/>
                  <w:vAlign w:val="center"/>
                </w:tcPr>
                <w:p w14:paraId="06494670">
                  <w:pPr>
                    <w:adjustRightInd w:val="0"/>
                    <w:snapToGrid w:val="0"/>
                    <w:jc w:val="center"/>
                    <w:rPr>
                      <w:color w:val="auto"/>
                      <w:szCs w:val="21"/>
                    </w:rPr>
                  </w:pPr>
                  <w:r>
                    <w:rPr>
                      <w:color w:val="auto"/>
                      <w:szCs w:val="21"/>
                    </w:rPr>
                    <w:t>易-难</w:t>
                  </w:r>
                </w:p>
              </w:tc>
              <w:tc>
                <w:tcPr>
                  <w:tcW w:w="916" w:type="pct"/>
                  <w:vMerge w:val="restart"/>
                  <w:vAlign w:val="center"/>
                </w:tcPr>
                <w:p w14:paraId="2E46552C">
                  <w:pPr>
                    <w:adjustRightInd w:val="0"/>
                    <w:snapToGrid w:val="0"/>
                    <w:jc w:val="center"/>
                    <w:rPr>
                      <w:color w:val="auto"/>
                      <w:szCs w:val="21"/>
                    </w:rPr>
                  </w:pPr>
                  <w:r>
                    <w:rPr>
                      <w:color w:val="auto"/>
                      <w:szCs w:val="21"/>
                    </w:rPr>
                    <w:t>其他类型</w:t>
                  </w:r>
                </w:p>
              </w:tc>
              <w:tc>
                <w:tcPr>
                  <w:tcW w:w="1668" w:type="pct"/>
                  <w:vMerge w:val="restart"/>
                  <w:vAlign w:val="center"/>
                </w:tcPr>
                <w:p w14:paraId="1A44C3CB">
                  <w:pPr>
                    <w:adjustRightInd w:val="0"/>
                    <w:snapToGrid w:val="0"/>
                    <w:jc w:val="center"/>
                    <w:rPr>
                      <w:color w:val="auto"/>
                      <w:szCs w:val="21"/>
                    </w:rPr>
                  </w:pPr>
                  <w:r>
                    <w:rPr>
                      <w:rFonts w:hint="eastAsia"/>
                      <w:color w:val="auto"/>
                      <w:szCs w:val="21"/>
                      <w:lang w:eastAsia="zh-CN"/>
                    </w:rPr>
                    <w:t>黄磷池、液氯罐区</w:t>
                  </w:r>
                </w:p>
              </w:tc>
            </w:tr>
            <w:tr w14:paraId="0E1F7D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jc w:val="center"/>
              </w:trPr>
              <w:tc>
                <w:tcPr>
                  <w:tcW w:w="688" w:type="pct"/>
                  <w:vMerge w:val="continue"/>
                  <w:vAlign w:val="center"/>
                </w:tcPr>
                <w:p w14:paraId="137A68E3">
                  <w:pPr>
                    <w:adjustRightInd w:val="0"/>
                    <w:snapToGrid w:val="0"/>
                    <w:jc w:val="center"/>
                    <w:rPr>
                      <w:color w:val="auto"/>
                      <w:szCs w:val="21"/>
                    </w:rPr>
                  </w:pPr>
                </w:p>
              </w:tc>
              <w:tc>
                <w:tcPr>
                  <w:tcW w:w="916" w:type="pct"/>
                  <w:vAlign w:val="center"/>
                </w:tcPr>
                <w:p w14:paraId="6356E8F1">
                  <w:pPr>
                    <w:adjustRightInd w:val="0"/>
                    <w:snapToGrid w:val="0"/>
                    <w:jc w:val="center"/>
                    <w:rPr>
                      <w:color w:val="auto"/>
                      <w:szCs w:val="21"/>
                    </w:rPr>
                  </w:pPr>
                  <w:r>
                    <w:rPr>
                      <w:color w:val="auto"/>
                      <w:szCs w:val="21"/>
                    </w:rPr>
                    <w:t>中-强</w:t>
                  </w:r>
                </w:p>
              </w:tc>
              <w:tc>
                <w:tcPr>
                  <w:tcW w:w="812" w:type="pct"/>
                  <w:vAlign w:val="center"/>
                </w:tcPr>
                <w:p w14:paraId="2ABC2A40">
                  <w:pPr>
                    <w:adjustRightInd w:val="0"/>
                    <w:snapToGrid w:val="0"/>
                    <w:jc w:val="center"/>
                    <w:rPr>
                      <w:color w:val="auto"/>
                      <w:szCs w:val="21"/>
                    </w:rPr>
                  </w:pPr>
                  <w:r>
                    <w:rPr>
                      <w:color w:val="auto"/>
                      <w:szCs w:val="21"/>
                    </w:rPr>
                    <w:t>难</w:t>
                  </w:r>
                </w:p>
              </w:tc>
              <w:tc>
                <w:tcPr>
                  <w:tcW w:w="916" w:type="pct"/>
                  <w:vMerge w:val="continue"/>
                  <w:vAlign w:val="center"/>
                </w:tcPr>
                <w:p w14:paraId="76323160">
                  <w:pPr>
                    <w:adjustRightInd w:val="0"/>
                    <w:snapToGrid w:val="0"/>
                    <w:jc w:val="center"/>
                    <w:rPr>
                      <w:color w:val="auto"/>
                      <w:szCs w:val="21"/>
                    </w:rPr>
                  </w:pPr>
                </w:p>
              </w:tc>
              <w:tc>
                <w:tcPr>
                  <w:tcW w:w="1668" w:type="pct"/>
                  <w:vMerge w:val="continue"/>
                  <w:vAlign w:val="center"/>
                </w:tcPr>
                <w:p w14:paraId="7B6A3F18">
                  <w:pPr>
                    <w:adjustRightInd w:val="0"/>
                    <w:snapToGrid w:val="0"/>
                    <w:jc w:val="center"/>
                    <w:rPr>
                      <w:color w:val="auto"/>
                      <w:szCs w:val="21"/>
                    </w:rPr>
                  </w:pPr>
                </w:p>
              </w:tc>
            </w:tr>
            <w:tr w14:paraId="303807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8" w:type="pct"/>
                  <w:vMerge w:val="continue"/>
                  <w:vAlign w:val="center"/>
                </w:tcPr>
                <w:p w14:paraId="76E2E375">
                  <w:pPr>
                    <w:adjustRightInd w:val="0"/>
                    <w:snapToGrid w:val="0"/>
                    <w:jc w:val="center"/>
                    <w:rPr>
                      <w:color w:val="auto"/>
                      <w:szCs w:val="21"/>
                    </w:rPr>
                  </w:pPr>
                </w:p>
              </w:tc>
              <w:tc>
                <w:tcPr>
                  <w:tcW w:w="916" w:type="pct"/>
                  <w:vAlign w:val="center"/>
                </w:tcPr>
                <w:p w14:paraId="1607E13F">
                  <w:pPr>
                    <w:adjustRightInd w:val="0"/>
                    <w:snapToGrid w:val="0"/>
                    <w:jc w:val="center"/>
                    <w:rPr>
                      <w:color w:val="auto"/>
                      <w:szCs w:val="21"/>
                    </w:rPr>
                  </w:pPr>
                  <w:r>
                    <w:rPr>
                      <w:color w:val="auto"/>
                      <w:szCs w:val="21"/>
                    </w:rPr>
                    <w:t>中</w:t>
                  </w:r>
                </w:p>
              </w:tc>
              <w:tc>
                <w:tcPr>
                  <w:tcW w:w="812" w:type="pct"/>
                  <w:vAlign w:val="center"/>
                </w:tcPr>
                <w:p w14:paraId="201471CB">
                  <w:pPr>
                    <w:adjustRightInd w:val="0"/>
                    <w:snapToGrid w:val="0"/>
                    <w:jc w:val="center"/>
                    <w:rPr>
                      <w:color w:val="auto"/>
                      <w:szCs w:val="21"/>
                    </w:rPr>
                  </w:pPr>
                  <w:r>
                    <w:rPr>
                      <w:color w:val="auto"/>
                      <w:szCs w:val="21"/>
                    </w:rPr>
                    <w:t>易</w:t>
                  </w:r>
                </w:p>
              </w:tc>
              <w:tc>
                <w:tcPr>
                  <w:tcW w:w="916" w:type="pct"/>
                  <w:vMerge w:val="restart"/>
                  <w:vAlign w:val="center"/>
                </w:tcPr>
                <w:p w14:paraId="2AF35069">
                  <w:pPr>
                    <w:adjustRightInd w:val="0"/>
                    <w:snapToGrid w:val="0"/>
                    <w:jc w:val="center"/>
                    <w:rPr>
                      <w:color w:val="auto"/>
                      <w:szCs w:val="21"/>
                    </w:rPr>
                  </w:pPr>
                  <w:r>
                    <w:rPr>
                      <w:color w:val="auto"/>
                      <w:szCs w:val="21"/>
                    </w:rPr>
                    <w:t>重金属、持久性有机物污染物</w:t>
                  </w:r>
                </w:p>
              </w:tc>
              <w:tc>
                <w:tcPr>
                  <w:tcW w:w="1668" w:type="pct"/>
                  <w:vMerge w:val="continue"/>
                  <w:vAlign w:val="center"/>
                </w:tcPr>
                <w:p w14:paraId="5CF8AE54">
                  <w:pPr>
                    <w:adjustRightInd w:val="0"/>
                    <w:snapToGrid w:val="0"/>
                    <w:jc w:val="center"/>
                    <w:rPr>
                      <w:color w:val="auto"/>
                      <w:szCs w:val="21"/>
                    </w:rPr>
                  </w:pPr>
                </w:p>
              </w:tc>
            </w:tr>
            <w:tr w14:paraId="6EF43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8" w:type="pct"/>
                  <w:vMerge w:val="continue"/>
                  <w:vAlign w:val="center"/>
                </w:tcPr>
                <w:p w14:paraId="26505DEA">
                  <w:pPr>
                    <w:adjustRightInd w:val="0"/>
                    <w:snapToGrid w:val="0"/>
                    <w:jc w:val="center"/>
                    <w:rPr>
                      <w:color w:val="auto"/>
                      <w:szCs w:val="21"/>
                    </w:rPr>
                  </w:pPr>
                </w:p>
              </w:tc>
              <w:tc>
                <w:tcPr>
                  <w:tcW w:w="916" w:type="pct"/>
                  <w:vAlign w:val="center"/>
                </w:tcPr>
                <w:p w14:paraId="575E131A">
                  <w:pPr>
                    <w:adjustRightInd w:val="0"/>
                    <w:snapToGrid w:val="0"/>
                    <w:jc w:val="center"/>
                    <w:rPr>
                      <w:color w:val="auto"/>
                      <w:szCs w:val="21"/>
                    </w:rPr>
                  </w:pPr>
                  <w:r>
                    <w:rPr>
                      <w:color w:val="auto"/>
                      <w:szCs w:val="21"/>
                    </w:rPr>
                    <w:t>强</w:t>
                  </w:r>
                </w:p>
              </w:tc>
              <w:tc>
                <w:tcPr>
                  <w:tcW w:w="812" w:type="pct"/>
                  <w:vAlign w:val="center"/>
                </w:tcPr>
                <w:p w14:paraId="769AB362">
                  <w:pPr>
                    <w:adjustRightInd w:val="0"/>
                    <w:snapToGrid w:val="0"/>
                    <w:jc w:val="center"/>
                    <w:rPr>
                      <w:color w:val="auto"/>
                      <w:szCs w:val="21"/>
                    </w:rPr>
                  </w:pPr>
                  <w:r>
                    <w:rPr>
                      <w:color w:val="auto"/>
                      <w:szCs w:val="21"/>
                    </w:rPr>
                    <w:t>易</w:t>
                  </w:r>
                </w:p>
              </w:tc>
              <w:tc>
                <w:tcPr>
                  <w:tcW w:w="916" w:type="pct"/>
                  <w:vMerge w:val="continue"/>
                  <w:vAlign w:val="center"/>
                </w:tcPr>
                <w:p w14:paraId="62FAA766">
                  <w:pPr>
                    <w:adjustRightInd w:val="0"/>
                    <w:snapToGrid w:val="0"/>
                    <w:jc w:val="center"/>
                    <w:rPr>
                      <w:color w:val="auto"/>
                      <w:szCs w:val="21"/>
                    </w:rPr>
                  </w:pPr>
                </w:p>
              </w:tc>
              <w:tc>
                <w:tcPr>
                  <w:tcW w:w="1668" w:type="pct"/>
                  <w:vMerge w:val="continue"/>
                  <w:vAlign w:val="center"/>
                </w:tcPr>
                <w:p w14:paraId="4413E91E">
                  <w:pPr>
                    <w:adjustRightInd w:val="0"/>
                    <w:snapToGrid w:val="0"/>
                    <w:jc w:val="center"/>
                    <w:rPr>
                      <w:color w:val="auto"/>
                      <w:szCs w:val="21"/>
                    </w:rPr>
                  </w:pPr>
                </w:p>
              </w:tc>
            </w:tr>
            <w:tr w14:paraId="12570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88" w:type="pct"/>
                  <w:vAlign w:val="center"/>
                </w:tcPr>
                <w:p w14:paraId="2FF7D1FC">
                  <w:pPr>
                    <w:adjustRightInd w:val="0"/>
                    <w:snapToGrid w:val="0"/>
                    <w:jc w:val="center"/>
                    <w:rPr>
                      <w:color w:val="auto"/>
                      <w:szCs w:val="21"/>
                    </w:rPr>
                  </w:pPr>
                  <w:r>
                    <w:rPr>
                      <w:color w:val="auto"/>
                      <w:szCs w:val="21"/>
                    </w:rPr>
                    <w:t>简单防渗区</w:t>
                  </w:r>
                </w:p>
              </w:tc>
              <w:tc>
                <w:tcPr>
                  <w:tcW w:w="916" w:type="pct"/>
                  <w:vAlign w:val="center"/>
                </w:tcPr>
                <w:p w14:paraId="51E2C0D3">
                  <w:pPr>
                    <w:adjustRightInd w:val="0"/>
                    <w:snapToGrid w:val="0"/>
                    <w:jc w:val="center"/>
                    <w:rPr>
                      <w:color w:val="auto"/>
                      <w:szCs w:val="21"/>
                    </w:rPr>
                  </w:pPr>
                  <w:r>
                    <w:rPr>
                      <w:color w:val="auto"/>
                      <w:szCs w:val="21"/>
                    </w:rPr>
                    <w:t>中-强</w:t>
                  </w:r>
                </w:p>
              </w:tc>
              <w:tc>
                <w:tcPr>
                  <w:tcW w:w="812" w:type="pct"/>
                  <w:vAlign w:val="center"/>
                </w:tcPr>
                <w:p w14:paraId="040188EE">
                  <w:pPr>
                    <w:adjustRightInd w:val="0"/>
                    <w:snapToGrid w:val="0"/>
                    <w:jc w:val="center"/>
                    <w:rPr>
                      <w:color w:val="auto"/>
                      <w:szCs w:val="21"/>
                    </w:rPr>
                  </w:pPr>
                  <w:r>
                    <w:rPr>
                      <w:color w:val="auto"/>
                      <w:szCs w:val="21"/>
                    </w:rPr>
                    <w:t>易</w:t>
                  </w:r>
                </w:p>
              </w:tc>
              <w:tc>
                <w:tcPr>
                  <w:tcW w:w="916" w:type="pct"/>
                  <w:vAlign w:val="center"/>
                </w:tcPr>
                <w:p w14:paraId="1CDF242C">
                  <w:pPr>
                    <w:adjustRightInd w:val="0"/>
                    <w:snapToGrid w:val="0"/>
                    <w:jc w:val="center"/>
                    <w:rPr>
                      <w:color w:val="auto"/>
                      <w:szCs w:val="21"/>
                    </w:rPr>
                  </w:pPr>
                  <w:r>
                    <w:rPr>
                      <w:color w:val="auto"/>
                      <w:szCs w:val="21"/>
                    </w:rPr>
                    <w:t>其他类型</w:t>
                  </w:r>
                </w:p>
              </w:tc>
              <w:tc>
                <w:tcPr>
                  <w:tcW w:w="1668" w:type="pct"/>
                  <w:vAlign w:val="center"/>
                </w:tcPr>
                <w:p w14:paraId="63410A3C">
                  <w:pPr>
                    <w:adjustRightInd w:val="0"/>
                    <w:snapToGrid w:val="0"/>
                    <w:jc w:val="center"/>
                    <w:rPr>
                      <w:color w:val="auto"/>
                      <w:szCs w:val="21"/>
                    </w:rPr>
                  </w:pPr>
                  <w:r>
                    <w:rPr>
                      <w:color w:val="auto"/>
                      <w:szCs w:val="21"/>
                    </w:rPr>
                    <w:t>厂区内路面</w:t>
                  </w:r>
                </w:p>
              </w:tc>
            </w:tr>
          </w:tbl>
          <w:p w14:paraId="160F582F">
            <w:pPr>
              <w:pStyle w:val="100"/>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2" w:firstLineChars="200"/>
              <w:jc w:val="left"/>
              <w:textAlignment w:val="auto"/>
              <w:rPr>
                <w:rFonts w:eastAsiaTheme="minorEastAsia"/>
                <w:color w:val="auto"/>
                <w:kern w:val="0"/>
                <w:sz w:val="24"/>
              </w:rPr>
            </w:pPr>
            <w:r>
              <w:rPr>
                <w:rFonts w:hint="eastAsia" w:eastAsiaTheme="minorEastAsia"/>
                <w:b/>
                <w:bCs/>
                <w:color w:val="auto"/>
                <w:kern w:val="0"/>
                <w:sz w:val="24"/>
              </w:rPr>
              <w:t>a.</w:t>
            </w:r>
            <w:r>
              <w:rPr>
                <w:rFonts w:hAnsiTheme="minorEastAsia" w:eastAsiaTheme="minorEastAsia"/>
                <w:color w:val="auto"/>
                <w:kern w:val="0"/>
                <w:sz w:val="24"/>
              </w:rPr>
              <w:t>一般污染防治区防渗措施</w:t>
            </w:r>
          </w:p>
          <w:p w14:paraId="161678C0">
            <w:pPr>
              <w:autoSpaceDE w:val="0"/>
              <w:autoSpaceDN w:val="0"/>
              <w:adjustRightInd w:val="0"/>
              <w:snapToGrid w:val="0"/>
              <w:spacing w:line="360" w:lineRule="auto"/>
              <w:ind w:firstLine="480" w:firstLineChars="200"/>
              <w:jc w:val="left"/>
              <w:rPr>
                <w:rFonts w:eastAsiaTheme="minorEastAsia"/>
                <w:color w:val="auto"/>
                <w:kern w:val="0"/>
                <w:sz w:val="24"/>
              </w:rPr>
            </w:pPr>
            <w:r>
              <w:rPr>
                <w:rFonts w:hAnsiTheme="minorEastAsia" w:eastAsiaTheme="minorEastAsia"/>
                <w:color w:val="auto"/>
                <w:kern w:val="0"/>
                <w:sz w:val="24"/>
              </w:rPr>
              <w:t>本项目一般污染防治区参照《一般工业固体废物贮存和填埋污染控制标准》（</w:t>
            </w:r>
            <w:r>
              <w:rPr>
                <w:rFonts w:eastAsiaTheme="minorEastAsia"/>
                <w:color w:val="auto"/>
                <w:kern w:val="0"/>
                <w:sz w:val="24"/>
              </w:rPr>
              <w:t>GB18599-2020</w:t>
            </w:r>
            <w:r>
              <w:rPr>
                <w:rFonts w:hAnsiTheme="minorEastAsia" w:eastAsiaTheme="minorEastAsia"/>
                <w:color w:val="auto"/>
                <w:kern w:val="0"/>
                <w:sz w:val="24"/>
              </w:rPr>
              <w:t>）要求。</w:t>
            </w:r>
          </w:p>
          <w:p w14:paraId="3EBEDBCA">
            <w:pPr>
              <w:autoSpaceDE w:val="0"/>
              <w:autoSpaceDN w:val="0"/>
              <w:adjustRightInd w:val="0"/>
              <w:snapToGrid w:val="0"/>
              <w:spacing w:line="360" w:lineRule="auto"/>
              <w:ind w:firstLine="480" w:firstLineChars="200"/>
              <w:jc w:val="left"/>
              <w:rPr>
                <w:rFonts w:eastAsiaTheme="minorEastAsia"/>
                <w:color w:val="auto"/>
                <w:kern w:val="0"/>
                <w:sz w:val="24"/>
              </w:rPr>
            </w:pPr>
            <w:r>
              <w:rPr>
                <w:rFonts w:hAnsiTheme="minorEastAsia" w:eastAsiaTheme="minorEastAsia"/>
                <w:color w:val="auto"/>
                <w:kern w:val="0"/>
                <w:sz w:val="24"/>
              </w:rPr>
              <w:t>根据标准要求，当天然基础层的渗透系数大于</w:t>
            </w:r>
            <w:r>
              <w:rPr>
                <w:rFonts w:eastAsiaTheme="minorEastAsia"/>
                <w:color w:val="auto"/>
                <w:kern w:val="0"/>
                <w:sz w:val="24"/>
              </w:rPr>
              <w:t>1.0×10</w:t>
            </w:r>
            <w:r>
              <w:rPr>
                <w:rFonts w:hint="eastAsia" w:eastAsiaTheme="minorEastAsia"/>
                <w:color w:val="auto"/>
                <w:kern w:val="0"/>
                <w:sz w:val="24"/>
                <w:lang w:eastAsia="zh-CN"/>
              </w:rPr>
              <w:t>—</w:t>
            </w:r>
            <w:r>
              <w:rPr>
                <w:rFonts w:eastAsiaTheme="minorEastAsia"/>
                <w:color w:val="auto"/>
                <w:kern w:val="0"/>
                <w:sz w:val="24"/>
                <w:vertAlign w:val="superscript"/>
              </w:rPr>
              <w:t>7</w:t>
            </w:r>
            <w:r>
              <w:rPr>
                <w:rFonts w:eastAsiaTheme="minorEastAsia"/>
                <w:color w:val="auto"/>
                <w:kern w:val="0"/>
                <w:sz w:val="24"/>
              </w:rPr>
              <w:t>cm/s</w:t>
            </w:r>
            <w:r>
              <w:rPr>
                <w:rFonts w:hAnsiTheme="minorEastAsia" w:eastAsiaTheme="minorEastAsia"/>
                <w:color w:val="auto"/>
                <w:kern w:val="0"/>
                <w:sz w:val="24"/>
              </w:rPr>
              <w:t>时，应采用天然或人工材料构筑防渗层，防渗层的厚度应相当于渗透系数</w:t>
            </w:r>
            <w:r>
              <w:rPr>
                <w:rFonts w:eastAsiaTheme="minorEastAsia"/>
                <w:color w:val="auto"/>
                <w:kern w:val="0"/>
                <w:sz w:val="24"/>
              </w:rPr>
              <w:t>1.0×10</w:t>
            </w:r>
            <w:r>
              <w:rPr>
                <w:rFonts w:hint="eastAsia" w:eastAsiaTheme="minorEastAsia"/>
                <w:color w:val="auto"/>
                <w:kern w:val="0"/>
                <w:sz w:val="24"/>
                <w:lang w:eastAsia="zh-CN"/>
              </w:rPr>
              <w:t>—</w:t>
            </w:r>
            <w:r>
              <w:rPr>
                <w:rFonts w:eastAsiaTheme="minorEastAsia"/>
                <w:color w:val="auto"/>
                <w:kern w:val="0"/>
                <w:sz w:val="24"/>
                <w:vertAlign w:val="superscript"/>
              </w:rPr>
              <w:t>7</w:t>
            </w:r>
            <w:r>
              <w:rPr>
                <w:rFonts w:eastAsiaTheme="minorEastAsia"/>
                <w:color w:val="auto"/>
                <w:kern w:val="0"/>
                <w:sz w:val="24"/>
              </w:rPr>
              <w:t>cm/s</w:t>
            </w:r>
            <w:r>
              <w:rPr>
                <w:rFonts w:hAnsiTheme="minorEastAsia" w:eastAsiaTheme="minorEastAsia"/>
                <w:color w:val="auto"/>
                <w:kern w:val="0"/>
                <w:sz w:val="24"/>
              </w:rPr>
              <w:t>和厚度</w:t>
            </w:r>
            <w:r>
              <w:rPr>
                <w:rFonts w:eastAsiaTheme="minorEastAsia"/>
                <w:color w:val="auto"/>
                <w:kern w:val="0"/>
                <w:sz w:val="24"/>
              </w:rPr>
              <w:t>1.5m</w:t>
            </w:r>
            <w:r>
              <w:rPr>
                <w:rFonts w:hAnsiTheme="minorEastAsia" w:eastAsiaTheme="minorEastAsia"/>
                <w:color w:val="auto"/>
                <w:kern w:val="0"/>
                <w:sz w:val="24"/>
              </w:rPr>
              <w:t>的粘土层的防渗性能。</w:t>
            </w:r>
          </w:p>
          <w:p w14:paraId="151D9074">
            <w:pPr>
              <w:adjustRightInd w:val="0"/>
              <w:snapToGrid w:val="0"/>
              <w:spacing w:line="360" w:lineRule="auto"/>
              <w:ind w:firstLine="480" w:firstLineChars="200"/>
              <w:rPr>
                <w:rFonts w:hAnsiTheme="minorEastAsia" w:eastAsiaTheme="minorEastAsia"/>
                <w:color w:val="auto"/>
                <w:kern w:val="0"/>
                <w:sz w:val="24"/>
              </w:rPr>
            </w:pPr>
            <w:r>
              <w:rPr>
                <w:rFonts w:hAnsiTheme="minorEastAsia" w:eastAsiaTheme="minorEastAsia"/>
                <w:color w:val="auto"/>
                <w:kern w:val="0"/>
                <w:sz w:val="24"/>
              </w:rPr>
              <w:t>因此，本项目一般区域采用天然材料构筑防渗层，天然材料衬层厚度应满足表</w:t>
            </w:r>
            <w:r>
              <w:rPr>
                <w:rFonts w:hint="eastAsia" w:eastAsiaTheme="minorEastAsia"/>
                <w:color w:val="auto"/>
                <w:kern w:val="0"/>
                <w:sz w:val="24"/>
              </w:rPr>
              <w:t>4.5-</w:t>
            </w:r>
            <w:r>
              <w:rPr>
                <w:rFonts w:hint="eastAsia" w:eastAsiaTheme="minorEastAsia"/>
                <w:color w:val="auto"/>
                <w:kern w:val="0"/>
                <w:sz w:val="24"/>
                <w:lang w:val="en-US" w:eastAsia="zh-CN"/>
              </w:rPr>
              <w:t>5</w:t>
            </w:r>
            <w:r>
              <w:rPr>
                <w:rFonts w:hAnsiTheme="minorEastAsia" w:eastAsiaTheme="minorEastAsia"/>
                <w:color w:val="auto"/>
                <w:kern w:val="0"/>
                <w:sz w:val="24"/>
              </w:rPr>
              <w:t>中要求。</w:t>
            </w:r>
          </w:p>
          <w:p w14:paraId="7236B8D8">
            <w:pPr>
              <w:pStyle w:val="100"/>
              <w:jc w:val="center"/>
              <w:rPr>
                <w:b/>
                <w:color w:val="auto"/>
              </w:rPr>
            </w:pPr>
            <w:r>
              <w:rPr>
                <w:rFonts w:hint="eastAsia"/>
                <w:b/>
                <w:color w:val="auto"/>
              </w:rPr>
              <w:t>表4.5-</w:t>
            </w:r>
            <w:r>
              <w:rPr>
                <w:rFonts w:hint="eastAsia"/>
                <w:b/>
                <w:color w:val="auto"/>
                <w:lang w:val="en-US" w:eastAsia="zh-CN"/>
              </w:rPr>
              <w:t>5</w:t>
            </w:r>
            <w:r>
              <w:rPr>
                <w:rFonts w:hint="eastAsia"/>
                <w:b/>
                <w:color w:val="auto"/>
              </w:rPr>
              <w:t xml:space="preserve">  天然材料衬层厚度设计要求</w:t>
            </w:r>
          </w:p>
          <w:tbl>
            <w:tblPr>
              <w:tblStyle w:val="88"/>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32"/>
              <w:gridCol w:w="4232"/>
            </w:tblGrid>
            <w:tr w14:paraId="1DD888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32" w:type="dxa"/>
                  <w:vAlign w:val="center"/>
                </w:tcPr>
                <w:p w14:paraId="5E821795">
                  <w:pPr>
                    <w:pStyle w:val="100"/>
                    <w:jc w:val="center"/>
                    <w:rPr>
                      <w:color w:val="auto"/>
                      <w:sz w:val="21"/>
                      <w:szCs w:val="21"/>
                    </w:rPr>
                  </w:pPr>
                  <w:r>
                    <w:rPr>
                      <w:rFonts w:hint="eastAsia"/>
                      <w:color w:val="auto"/>
                      <w:sz w:val="21"/>
                      <w:szCs w:val="21"/>
                    </w:rPr>
                    <w:t>基础层条件</w:t>
                  </w:r>
                </w:p>
              </w:tc>
              <w:tc>
                <w:tcPr>
                  <w:tcW w:w="4232" w:type="dxa"/>
                  <w:vAlign w:val="center"/>
                </w:tcPr>
                <w:p w14:paraId="6A1A50C4">
                  <w:pPr>
                    <w:pStyle w:val="100"/>
                    <w:jc w:val="center"/>
                    <w:rPr>
                      <w:color w:val="auto"/>
                      <w:sz w:val="21"/>
                      <w:szCs w:val="21"/>
                    </w:rPr>
                  </w:pPr>
                  <w:r>
                    <w:rPr>
                      <w:rFonts w:hint="eastAsia"/>
                      <w:color w:val="auto"/>
                      <w:sz w:val="21"/>
                      <w:szCs w:val="21"/>
                    </w:rPr>
                    <w:t>下衬层厚度</w:t>
                  </w:r>
                </w:p>
              </w:tc>
            </w:tr>
            <w:tr w14:paraId="34423F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32" w:type="dxa"/>
                  <w:vAlign w:val="center"/>
                </w:tcPr>
                <w:p w14:paraId="4B3D3A68">
                  <w:pPr>
                    <w:pStyle w:val="100"/>
                    <w:jc w:val="center"/>
                    <w:rPr>
                      <w:color w:val="auto"/>
                      <w:sz w:val="21"/>
                      <w:szCs w:val="21"/>
                    </w:rPr>
                  </w:pPr>
                  <w:r>
                    <w:rPr>
                      <w:rFonts w:hint="eastAsia"/>
                      <w:color w:val="auto"/>
                      <w:sz w:val="21"/>
                      <w:szCs w:val="21"/>
                    </w:rPr>
                    <w:t>渗透系数≤1.0×10</w:t>
                  </w:r>
                  <w:r>
                    <w:rPr>
                      <w:rFonts w:hint="eastAsia"/>
                      <w:color w:val="auto"/>
                      <w:sz w:val="21"/>
                      <w:szCs w:val="21"/>
                      <w:lang w:eastAsia="zh-CN"/>
                    </w:rPr>
                    <w:t>—</w:t>
                  </w:r>
                  <w:r>
                    <w:rPr>
                      <w:rFonts w:hint="eastAsia"/>
                      <w:color w:val="auto"/>
                      <w:sz w:val="21"/>
                      <w:szCs w:val="21"/>
                      <w:vertAlign w:val="superscript"/>
                    </w:rPr>
                    <w:t>7</w:t>
                  </w:r>
                  <w:r>
                    <w:rPr>
                      <w:rFonts w:hint="eastAsia"/>
                      <w:color w:val="auto"/>
                      <w:sz w:val="21"/>
                      <w:szCs w:val="21"/>
                    </w:rPr>
                    <w:t>cm/s，厚度≥3m</w:t>
                  </w:r>
                </w:p>
              </w:tc>
              <w:tc>
                <w:tcPr>
                  <w:tcW w:w="4232" w:type="dxa"/>
                  <w:vAlign w:val="center"/>
                </w:tcPr>
                <w:p w14:paraId="4F196AF5">
                  <w:pPr>
                    <w:pStyle w:val="100"/>
                    <w:jc w:val="center"/>
                    <w:rPr>
                      <w:color w:val="auto"/>
                      <w:sz w:val="21"/>
                      <w:szCs w:val="21"/>
                    </w:rPr>
                  </w:pPr>
                  <w:r>
                    <w:rPr>
                      <w:rFonts w:hint="eastAsia"/>
                      <w:color w:val="auto"/>
                      <w:sz w:val="21"/>
                      <w:szCs w:val="21"/>
                    </w:rPr>
                    <w:t>厚度≥0.5m</w:t>
                  </w:r>
                </w:p>
              </w:tc>
            </w:tr>
            <w:tr w14:paraId="2EC219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32" w:type="dxa"/>
                  <w:vAlign w:val="center"/>
                </w:tcPr>
                <w:p w14:paraId="5FA7D2A1">
                  <w:pPr>
                    <w:pStyle w:val="100"/>
                    <w:jc w:val="center"/>
                    <w:rPr>
                      <w:color w:val="auto"/>
                      <w:sz w:val="21"/>
                      <w:szCs w:val="21"/>
                    </w:rPr>
                  </w:pPr>
                  <w:r>
                    <w:rPr>
                      <w:rFonts w:hint="eastAsia"/>
                      <w:color w:val="auto"/>
                      <w:sz w:val="21"/>
                      <w:szCs w:val="21"/>
                    </w:rPr>
                    <w:t>渗透系数≤1.0×10</w:t>
                  </w:r>
                  <w:r>
                    <w:rPr>
                      <w:rFonts w:hint="eastAsia"/>
                      <w:color w:val="auto"/>
                      <w:sz w:val="21"/>
                      <w:szCs w:val="21"/>
                      <w:lang w:eastAsia="zh-CN"/>
                    </w:rPr>
                    <w:t>—</w:t>
                  </w:r>
                  <w:r>
                    <w:rPr>
                      <w:rFonts w:hint="eastAsia"/>
                      <w:color w:val="auto"/>
                      <w:sz w:val="21"/>
                      <w:szCs w:val="21"/>
                      <w:vertAlign w:val="superscript"/>
                    </w:rPr>
                    <w:t>7</w:t>
                  </w:r>
                  <w:r>
                    <w:rPr>
                      <w:rFonts w:hint="eastAsia"/>
                      <w:color w:val="auto"/>
                      <w:sz w:val="21"/>
                      <w:szCs w:val="21"/>
                    </w:rPr>
                    <w:t>cm/s，厚度≥6m</w:t>
                  </w:r>
                </w:p>
              </w:tc>
              <w:tc>
                <w:tcPr>
                  <w:tcW w:w="4232" w:type="dxa"/>
                  <w:vAlign w:val="center"/>
                </w:tcPr>
                <w:p w14:paraId="49E1086A">
                  <w:pPr>
                    <w:pStyle w:val="100"/>
                    <w:jc w:val="center"/>
                    <w:rPr>
                      <w:color w:val="auto"/>
                      <w:sz w:val="21"/>
                      <w:szCs w:val="21"/>
                    </w:rPr>
                  </w:pPr>
                  <w:r>
                    <w:rPr>
                      <w:rFonts w:hint="eastAsia"/>
                      <w:color w:val="auto"/>
                      <w:sz w:val="21"/>
                      <w:szCs w:val="21"/>
                    </w:rPr>
                    <w:t>厚度≥0.5m</w:t>
                  </w:r>
                </w:p>
              </w:tc>
            </w:tr>
            <w:tr w14:paraId="0BE038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32" w:type="dxa"/>
                  <w:vAlign w:val="center"/>
                </w:tcPr>
                <w:p w14:paraId="4E25BA3A">
                  <w:pPr>
                    <w:pStyle w:val="100"/>
                    <w:jc w:val="center"/>
                    <w:rPr>
                      <w:color w:val="auto"/>
                      <w:sz w:val="21"/>
                      <w:szCs w:val="21"/>
                    </w:rPr>
                  </w:pPr>
                  <w:r>
                    <w:rPr>
                      <w:rFonts w:hint="eastAsia"/>
                      <w:color w:val="auto"/>
                      <w:sz w:val="21"/>
                      <w:szCs w:val="21"/>
                    </w:rPr>
                    <w:t>渗透系数≤1.0×10</w:t>
                  </w:r>
                  <w:r>
                    <w:rPr>
                      <w:rFonts w:hint="eastAsia"/>
                      <w:color w:val="auto"/>
                      <w:sz w:val="21"/>
                      <w:szCs w:val="21"/>
                      <w:lang w:eastAsia="zh-CN"/>
                    </w:rPr>
                    <w:t>—</w:t>
                  </w:r>
                  <w:r>
                    <w:rPr>
                      <w:rFonts w:hint="eastAsia"/>
                      <w:color w:val="auto"/>
                      <w:sz w:val="21"/>
                      <w:szCs w:val="21"/>
                      <w:vertAlign w:val="superscript"/>
                    </w:rPr>
                    <w:t>6</w:t>
                  </w:r>
                  <w:r>
                    <w:rPr>
                      <w:rFonts w:hint="eastAsia"/>
                      <w:color w:val="auto"/>
                      <w:sz w:val="21"/>
                      <w:szCs w:val="21"/>
                    </w:rPr>
                    <w:t>cm/s，厚度≥3m</w:t>
                  </w:r>
                </w:p>
              </w:tc>
              <w:tc>
                <w:tcPr>
                  <w:tcW w:w="4232" w:type="dxa"/>
                  <w:vAlign w:val="center"/>
                </w:tcPr>
                <w:p w14:paraId="5E2C393E">
                  <w:pPr>
                    <w:pStyle w:val="100"/>
                    <w:jc w:val="center"/>
                    <w:rPr>
                      <w:color w:val="auto"/>
                      <w:sz w:val="21"/>
                      <w:szCs w:val="21"/>
                    </w:rPr>
                  </w:pPr>
                  <w:r>
                    <w:rPr>
                      <w:rFonts w:hint="eastAsia"/>
                      <w:color w:val="auto"/>
                      <w:sz w:val="21"/>
                      <w:szCs w:val="21"/>
                    </w:rPr>
                    <w:t>厚度≥1.0m</w:t>
                  </w:r>
                </w:p>
              </w:tc>
            </w:tr>
          </w:tbl>
          <w:p w14:paraId="09D4DCC1">
            <w:pPr>
              <w:pStyle w:val="100"/>
              <w:snapToGrid w:val="0"/>
              <w:spacing w:beforeLines="50" w:line="360" w:lineRule="auto"/>
              <w:ind w:firstLine="482" w:firstLineChars="200"/>
              <w:jc w:val="left"/>
              <w:rPr>
                <w:rFonts w:ascii="Times New Roman" w:cs="Times New Roman" w:eastAsiaTheme="minorEastAsia"/>
                <w:color w:val="auto"/>
              </w:rPr>
            </w:pPr>
            <w:r>
              <w:rPr>
                <w:rFonts w:hint="eastAsia" w:ascii="Times New Roman" w:cs="Times New Roman" w:eastAsiaTheme="minorEastAsia"/>
                <w:b/>
                <w:bCs/>
                <w:color w:val="auto"/>
                <w:lang w:val="en-US" w:eastAsia="zh-CN"/>
              </w:rPr>
              <w:t>b</w:t>
            </w:r>
            <w:r>
              <w:rPr>
                <w:rFonts w:ascii="Times New Roman" w:cs="Times New Roman" w:eastAsiaTheme="minorEastAsia"/>
                <w:b/>
                <w:bCs/>
                <w:color w:val="auto"/>
              </w:rPr>
              <w:t>.</w:t>
            </w:r>
            <w:r>
              <w:rPr>
                <w:rFonts w:ascii="Times New Roman" w:cs="Times New Roman" w:hAnsiTheme="minorEastAsia" w:eastAsiaTheme="minorEastAsia"/>
                <w:color w:val="auto"/>
              </w:rPr>
              <w:t>防渗区域填土垫高措施</w:t>
            </w:r>
          </w:p>
          <w:p w14:paraId="452663DF">
            <w:pPr>
              <w:pStyle w:val="100"/>
              <w:snapToGrid w:val="0"/>
              <w:spacing w:line="360" w:lineRule="auto"/>
              <w:ind w:firstLine="480" w:firstLineChars="200"/>
              <w:jc w:val="left"/>
              <w:rPr>
                <w:rFonts w:ascii="Times New Roman" w:cs="Times New Roman" w:eastAsiaTheme="minorEastAsia"/>
                <w:color w:val="auto"/>
              </w:rPr>
            </w:pPr>
            <w:r>
              <w:rPr>
                <w:rFonts w:ascii="Times New Roman" w:cs="Times New Roman" w:hAnsiTheme="minorEastAsia" w:eastAsiaTheme="minorEastAsia"/>
                <w:color w:val="auto"/>
              </w:rPr>
              <w:t>本项目所在区域地下水位埋深约</w:t>
            </w:r>
            <w:r>
              <w:rPr>
                <w:rFonts w:ascii="Times New Roman" w:cs="Times New Roman" w:eastAsiaTheme="minorEastAsia"/>
                <w:color w:val="auto"/>
              </w:rPr>
              <w:t>0.464</w:t>
            </w:r>
            <w:r>
              <w:rPr>
                <w:rFonts w:ascii="Times New Roman" w:cs="Times New Roman" w:hAnsiTheme="minorEastAsia" w:eastAsiaTheme="minorEastAsia"/>
                <w:color w:val="auto"/>
              </w:rPr>
              <w:t>～</w:t>
            </w:r>
            <w:r>
              <w:rPr>
                <w:rFonts w:ascii="Times New Roman" w:cs="Times New Roman" w:eastAsiaTheme="minorEastAsia"/>
                <w:color w:val="auto"/>
              </w:rPr>
              <w:t>1.929m</w:t>
            </w:r>
            <w:r>
              <w:rPr>
                <w:rFonts w:ascii="Times New Roman" w:cs="Times New Roman" w:hAnsiTheme="minorEastAsia" w:eastAsiaTheme="minorEastAsia"/>
                <w:color w:val="auto"/>
              </w:rPr>
              <w:t>，根据《一般工业固体废物贮存和填埋污染控制标准》（</w:t>
            </w:r>
            <w:r>
              <w:rPr>
                <w:rFonts w:ascii="Times New Roman" w:cs="Times New Roman" w:eastAsiaTheme="minorEastAsia"/>
                <w:color w:val="auto"/>
              </w:rPr>
              <w:t>GB18599-2020</w:t>
            </w:r>
            <w:r>
              <w:rPr>
                <w:rFonts w:ascii="Times New Roman" w:cs="Times New Roman" w:hAnsiTheme="minorEastAsia" w:eastAsiaTheme="minorEastAsia"/>
                <w:color w:val="auto"/>
              </w:rPr>
              <w:t>），</w:t>
            </w:r>
            <w:r>
              <w:rPr>
                <w:rFonts w:cs="Times New Roman" w:asciiTheme="minorEastAsia" w:hAnsiTheme="minorEastAsia" w:eastAsiaTheme="minorEastAsia"/>
                <w:color w:val="auto"/>
              </w:rPr>
              <w:t>Ⅱ</w:t>
            </w:r>
            <w:r>
              <w:rPr>
                <w:rFonts w:ascii="Times New Roman" w:cs="Times New Roman" w:hAnsiTheme="minorEastAsia" w:eastAsiaTheme="minorEastAsia"/>
                <w:color w:val="auto"/>
              </w:rPr>
              <w:t>类场应选在防渗性能好的地基上，天然基础层地表距地下水位的距离不得小于</w:t>
            </w:r>
            <w:r>
              <w:rPr>
                <w:rFonts w:ascii="Times New Roman" w:cs="Times New Roman" w:eastAsiaTheme="minorEastAsia"/>
                <w:color w:val="auto"/>
              </w:rPr>
              <w:t>1.5m</w:t>
            </w:r>
            <w:r>
              <w:rPr>
                <w:rFonts w:ascii="Times New Roman" w:cs="Times New Roman" w:hAnsiTheme="minorEastAsia" w:eastAsiaTheme="minorEastAsia"/>
                <w:color w:val="auto"/>
              </w:rPr>
              <w:t>。因此，为了满足标准要求，本项目采取以下两方面的措施：</w:t>
            </w:r>
          </w:p>
          <w:p w14:paraId="4E7538A9">
            <w:pPr>
              <w:pStyle w:val="100"/>
              <w:snapToGrid w:val="0"/>
              <w:spacing w:line="360" w:lineRule="auto"/>
              <w:ind w:firstLine="480" w:firstLineChars="200"/>
              <w:jc w:val="left"/>
              <w:rPr>
                <w:rFonts w:ascii="Times New Roman" w:cs="Times New Roman" w:eastAsiaTheme="minorEastAsia"/>
                <w:color w:val="auto"/>
              </w:rPr>
            </w:pPr>
            <w:r>
              <w:rPr>
                <w:rFonts w:hint="eastAsia" w:ascii="Times New Roman" w:cs="Times New Roman" w:hAnsiTheme="minorEastAsia" w:eastAsiaTheme="minorEastAsia"/>
                <w:color w:val="auto"/>
                <w:lang w:val="en-US" w:eastAsia="zh-CN"/>
              </w:rPr>
              <w:t>a</w:t>
            </w:r>
            <w:r>
              <w:rPr>
                <w:rFonts w:ascii="Times New Roman" w:cs="Times New Roman" w:hAnsiTheme="minorEastAsia" w:eastAsiaTheme="minorEastAsia"/>
                <w:color w:val="auto"/>
              </w:rPr>
              <w:t>）在防渗区域平整过程中通过填土的方式增加表土层距离地下水位的距离，确保表土层距离地下水位的距离不得小于</w:t>
            </w:r>
            <w:r>
              <w:rPr>
                <w:rFonts w:ascii="Times New Roman" w:cs="Times New Roman" w:eastAsiaTheme="minorEastAsia"/>
                <w:color w:val="auto"/>
              </w:rPr>
              <w:t>1.5m</w:t>
            </w:r>
            <w:r>
              <w:rPr>
                <w:rFonts w:ascii="Times New Roman" w:cs="Times New Roman" w:hAnsiTheme="minorEastAsia" w:eastAsiaTheme="minorEastAsia"/>
                <w:color w:val="auto"/>
              </w:rPr>
              <w:t>，并在表土层上直接做防渗处理。</w:t>
            </w:r>
          </w:p>
          <w:p w14:paraId="580DDF01">
            <w:pPr>
              <w:pStyle w:val="7"/>
              <w:adjustRightInd w:val="0"/>
              <w:snapToGrid w:val="0"/>
              <w:spacing w:before="0" w:after="0" w:line="360" w:lineRule="auto"/>
              <w:ind w:firstLine="480" w:firstLineChars="200"/>
              <w:jc w:val="left"/>
              <w:rPr>
                <w:rFonts w:eastAsiaTheme="minorEastAsia"/>
                <w:b w:val="0"/>
                <w:color w:val="auto"/>
                <w:sz w:val="24"/>
                <w:szCs w:val="24"/>
              </w:rPr>
            </w:pPr>
            <w:bookmarkStart w:id="44" w:name="_Toc27592"/>
            <w:bookmarkStart w:id="45" w:name="_Toc143770067"/>
            <w:bookmarkStart w:id="46" w:name="_Toc18022"/>
            <w:bookmarkStart w:id="47" w:name="_Toc145335121"/>
            <w:bookmarkStart w:id="48" w:name="_Toc146628041"/>
            <w:r>
              <w:rPr>
                <w:rFonts w:hint="eastAsia" w:hAnsiTheme="minorEastAsia" w:eastAsiaTheme="minorEastAsia"/>
                <w:b w:val="0"/>
                <w:color w:val="auto"/>
                <w:sz w:val="24"/>
                <w:szCs w:val="24"/>
                <w:lang w:val="en-US" w:eastAsia="zh-CN"/>
              </w:rPr>
              <w:t>b</w:t>
            </w:r>
            <w:r>
              <w:rPr>
                <w:rFonts w:hAnsiTheme="minorEastAsia" w:eastAsiaTheme="minorEastAsia"/>
                <w:b w:val="0"/>
                <w:color w:val="auto"/>
                <w:sz w:val="24"/>
                <w:szCs w:val="24"/>
              </w:rPr>
              <w:t>）为了防止地下水对防渗膜的顶托而使膜易受破坏，须将厂区地下水及时导出，使地下水水位低于防渗结构层的标高，故设计在水平防渗膜底下设置地下水集排系统。</w:t>
            </w:r>
            <w:r>
              <w:rPr>
                <w:rFonts w:hint="eastAsia" w:hAnsiTheme="minorEastAsia" w:eastAsiaTheme="minorEastAsia"/>
                <w:b w:val="0"/>
                <w:color w:val="auto"/>
                <w:sz w:val="24"/>
                <w:szCs w:val="24"/>
                <w:lang w:eastAsia="zh-CN"/>
              </w:rPr>
              <w:t>顺应自然</w:t>
            </w:r>
            <w:r>
              <w:rPr>
                <w:rFonts w:hAnsiTheme="minorEastAsia" w:eastAsiaTheme="minorEastAsia"/>
                <w:b w:val="0"/>
                <w:color w:val="auto"/>
                <w:sz w:val="24"/>
                <w:szCs w:val="24"/>
              </w:rPr>
              <w:t>地下水流向，设置的地下水集排系统总体方向为由北向南，在防渗层下面设置了土工复合排水网，使每个防渗部位的地下水都可以及时导出。</w:t>
            </w:r>
            <w:bookmarkEnd w:id="44"/>
            <w:bookmarkEnd w:id="45"/>
            <w:bookmarkEnd w:id="46"/>
            <w:bookmarkEnd w:id="47"/>
            <w:bookmarkEnd w:id="48"/>
          </w:p>
          <w:p w14:paraId="675F7AE4">
            <w:pPr>
              <w:pStyle w:val="7"/>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eastAsiaTheme="minorEastAsia"/>
                <w:b/>
                <w:bCs w:val="0"/>
                <w:color w:val="auto"/>
                <w:sz w:val="24"/>
                <w:szCs w:val="24"/>
              </w:rPr>
            </w:pPr>
            <w:bookmarkStart w:id="49" w:name="_Toc146628042"/>
            <w:bookmarkStart w:id="50" w:name="_Toc5467"/>
            <w:bookmarkStart w:id="51" w:name="_Toc2616"/>
            <w:bookmarkStart w:id="52" w:name="_Toc145335122"/>
            <w:bookmarkStart w:id="53" w:name="_Toc143770068"/>
            <w:r>
              <w:rPr>
                <w:rFonts w:asciiTheme="minorEastAsia" w:hAnsiTheme="minorEastAsia" w:eastAsiaTheme="minorEastAsia"/>
                <w:b/>
                <w:bCs w:val="0"/>
                <w:color w:val="auto"/>
                <w:sz w:val="24"/>
                <w:szCs w:val="24"/>
              </w:rPr>
              <w:t>③</w:t>
            </w:r>
            <w:r>
              <w:rPr>
                <w:rFonts w:hAnsiTheme="minorEastAsia" w:eastAsiaTheme="minorEastAsia"/>
                <w:b/>
                <w:bCs w:val="0"/>
                <w:color w:val="auto"/>
                <w:sz w:val="24"/>
                <w:szCs w:val="24"/>
              </w:rPr>
              <w:t>地下水污染监控系统</w:t>
            </w:r>
            <w:bookmarkEnd w:id="49"/>
            <w:bookmarkEnd w:id="50"/>
            <w:bookmarkEnd w:id="51"/>
            <w:bookmarkEnd w:id="52"/>
            <w:bookmarkEnd w:id="53"/>
          </w:p>
          <w:p w14:paraId="341A152E">
            <w:pPr>
              <w:adjustRightInd w:val="0"/>
              <w:snapToGrid w:val="0"/>
              <w:spacing w:line="360" w:lineRule="auto"/>
              <w:ind w:firstLine="480" w:firstLineChars="200"/>
              <w:rPr>
                <w:rFonts w:eastAsiaTheme="minorEastAsia"/>
                <w:color w:val="auto"/>
                <w:sz w:val="24"/>
              </w:rPr>
            </w:pPr>
            <w:r>
              <w:rPr>
                <w:rFonts w:eastAsiaTheme="minorEastAsia"/>
                <w:color w:val="auto"/>
                <w:sz w:val="24"/>
              </w:rPr>
              <w:t>A.</w:t>
            </w:r>
            <w:r>
              <w:rPr>
                <w:rFonts w:hAnsiTheme="minorEastAsia" w:eastAsiaTheme="minorEastAsia"/>
                <w:color w:val="auto"/>
                <w:sz w:val="24"/>
              </w:rPr>
              <w:t>地下水监测计划</w:t>
            </w:r>
          </w:p>
          <w:p w14:paraId="5484E9D6">
            <w:pPr>
              <w:adjustRightInd w:val="0"/>
              <w:snapToGrid w:val="0"/>
              <w:spacing w:line="360" w:lineRule="auto"/>
              <w:ind w:firstLine="480" w:firstLineChars="200"/>
              <w:rPr>
                <w:rFonts w:eastAsiaTheme="minorEastAsia"/>
                <w:color w:val="auto"/>
                <w:sz w:val="24"/>
              </w:rPr>
            </w:pPr>
            <w:r>
              <w:rPr>
                <w:rFonts w:hAnsiTheme="minorEastAsia" w:eastAsiaTheme="minorEastAsia"/>
                <w:color w:val="auto"/>
                <w:sz w:val="24"/>
              </w:rPr>
              <w:t>为了及时准确地掌握厂区地下水质量状况和地下水体中污染物的动态变化，</w:t>
            </w:r>
            <w:r>
              <w:rPr>
                <w:rFonts w:hint="eastAsia" w:hAnsiTheme="minorEastAsia" w:eastAsiaTheme="minorEastAsia"/>
                <w:color w:val="auto"/>
                <w:sz w:val="24"/>
                <w:lang w:eastAsia="zh-CN"/>
              </w:rPr>
              <w:t>企业已</w:t>
            </w:r>
            <w:r>
              <w:rPr>
                <w:rFonts w:hAnsiTheme="minorEastAsia" w:eastAsiaTheme="minorEastAsia"/>
                <w:color w:val="auto"/>
                <w:sz w:val="24"/>
              </w:rPr>
              <w:t>建立覆盖全厂的地下水长期监控系统，包括科学、合理地设置地下水污染监控井，建立完善的监测制度，配备先进的检测仪器和设备，以便及时发现、及时控制。按照地下水流向，项目在厂界的下游设置一口永久地下水监测井，井深超过已知最大地下水埋深以下</w:t>
            </w:r>
            <w:r>
              <w:rPr>
                <w:rFonts w:eastAsiaTheme="minorEastAsia"/>
                <w:color w:val="auto"/>
                <w:sz w:val="24"/>
              </w:rPr>
              <w:t>2m</w:t>
            </w:r>
            <w:r>
              <w:rPr>
                <w:rFonts w:hAnsiTheme="minorEastAsia" w:eastAsiaTheme="minorEastAsia"/>
                <w:color w:val="auto"/>
                <w:sz w:val="24"/>
              </w:rPr>
              <w:t>，设标识牌。</w:t>
            </w:r>
          </w:p>
          <w:p w14:paraId="2A0C0FEA">
            <w:pPr>
              <w:adjustRightInd w:val="0"/>
              <w:snapToGrid w:val="0"/>
              <w:spacing w:line="360" w:lineRule="auto"/>
              <w:ind w:firstLine="480" w:firstLineChars="200"/>
              <w:rPr>
                <w:color w:val="auto"/>
                <w:sz w:val="24"/>
              </w:rPr>
            </w:pPr>
            <w:r>
              <w:rPr>
                <w:color w:val="auto"/>
                <w:sz w:val="24"/>
              </w:rPr>
              <w:t>B.地下水监测原则</w:t>
            </w:r>
          </w:p>
          <w:p w14:paraId="79856C1D">
            <w:pPr>
              <w:adjustRightInd w:val="0"/>
              <w:snapToGrid w:val="0"/>
              <w:spacing w:line="360" w:lineRule="auto"/>
              <w:ind w:firstLine="480" w:firstLineChars="200"/>
              <w:rPr>
                <w:color w:val="auto"/>
                <w:sz w:val="24"/>
              </w:rPr>
            </w:pPr>
            <w:r>
              <w:rPr>
                <w:color w:val="auto"/>
                <w:sz w:val="24"/>
              </w:rPr>
              <w:t>a.重点污染防治区加密监测原则；</w:t>
            </w:r>
          </w:p>
          <w:p w14:paraId="6EFAC966">
            <w:pPr>
              <w:adjustRightInd w:val="0"/>
              <w:snapToGrid w:val="0"/>
              <w:spacing w:line="360" w:lineRule="auto"/>
              <w:ind w:firstLine="480" w:firstLineChars="200"/>
              <w:rPr>
                <w:color w:val="auto"/>
                <w:sz w:val="24"/>
              </w:rPr>
            </w:pPr>
            <w:r>
              <w:rPr>
                <w:color w:val="auto"/>
                <w:sz w:val="24"/>
              </w:rPr>
              <w:t>b.以浅层地下水监测为主的原则；</w:t>
            </w:r>
          </w:p>
          <w:p w14:paraId="49B86788">
            <w:pPr>
              <w:adjustRightInd w:val="0"/>
              <w:snapToGrid w:val="0"/>
              <w:spacing w:line="360" w:lineRule="auto"/>
              <w:ind w:firstLine="480" w:firstLineChars="200"/>
              <w:rPr>
                <w:color w:val="auto"/>
                <w:sz w:val="24"/>
              </w:rPr>
            </w:pPr>
            <w:r>
              <w:rPr>
                <w:color w:val="auto"/>
                <w:sz w:val="24"/>
              </w:rPr>
              <w:t>c.上、下游同步对比监测原则；</w:t>
            </w:r>
          </w:p>
          <w:p w14:paraId="7208541C">
            <w:pPr>
              <w:adjustRightInd w:val="0"/>
              <w:snapToGrid w:val="0"/>
              <w:spacing w:line="360" w:lineRule="auto"/>
              <w:ind w:firstLine="480" w:firstLineChars="200"/>
              <w:rPr>
                <w:color w:val="auto"/>
                <w:sz w:val="24"/>
              </w:rPr>
            </w:pPr>
            <w:r>
              <w:rPr>
                <w:color w:val="auto"/>
                <w:sz w:val="24"/>
              </w:rPr>
              <w:t>d.水质监测项目参照《地下水质量标准》相关要求和潜在污染源特征污染因子确定，各监测井可依据监测目的的不同适当增加和减少监测项目，厂内安全环保部门设立地下水动态监测小组，专人负责监测。</w:t>
            </w:r>
          </w:p>
          <w:p w14:paraId="5BCE37B7">
            <w:pPr>
              <w:adjustRightInd w:val="0"/>
              <w:snapToGrid w:val="0"/>
              <w:spacing w:line="360" w:lineRule="auto"/>
              <w:ind w:firstLine="480" w:firstLineChars="200"/>
              <w:rPr>
                <w:b/>
                <w:color w:val="auto"/>
                <w:sz w:val="24"/>
              </w:rPr>
            </w:pPr>
            <w:r>
              <w:rPr>
                <w:color w:val="auto"/>
                <w:sz w:val="24"/>
              </w:rPr>
              <w:t>④</w:t>
            </w:r>
            <w:r>
              <w:rPr>
                <w:b/>
                <w:color w:val="auto"/>
                <w:sz w:val="24"/>
              </w:rPr>
              <w:t>地下水污染应急措施</w:t>
            </w:r>
          </w:p>
          <w:p w14:paraId="440EA69E">
            <w:pPr>
              <w:adjustRightInd w:val="0"/>
              <w:snapToGrid w:val="0"/>
              <w:spacing w:line="360" w:lineRule="auto"/>
              <w:ind w:firstLine="482" w:firstLineChars="200"/>
              <w:rPr>
                <w:b/>
                <w:color w:val="auto"/>
                <w:sz w:val="24"/>
              </w:rPr>
            </w:pPr>
            <w:r>
              <w:rPr>
                <w:b/>
                <w:color w:val="auto"/>
                <w:sz w:val="24"/>
              </w:rPr>
              <w:t>A.地下水污染环境监控</w:t>
            </w:r>
          </w:p>
          <w:p w14:paraId="47ED29F4">
            <w:pPr>
              <w:adjustRightInd w:val="0"/>
              <w:snapToGrid w:val="0"/>
              <w:spacing w:line="360" w:lineRule="auto"/>
              <w:ind w:firstLine="480" w:firstLineChars="200"/>
              <w:rPr>
                <w:color w:val="auto"/>
                <w:sz w:val="24"/>
              </w:rPr>
            </w:pPr>
            <w:r>
              <w:rPr>
                <w:color w:val="auto"/>
                <w:sz w:val="24"/>
              </w:rPr>
              <w:t>建设单位可根据实际情况建立场区地下水环境监控体系，包括建立地下水污染控制制度和环境管理体系、制定监测计划、配备先进的监测仪器和设备，以便及时发现问题，及时采取措施。</w:t>
            </w:r>
          </w:p>
          <w:p w14:paraId="41D902BD">
            <w:pPr>
              <w:adjustRightInd w:val="0"/>
              <w:snapToGrid w:val="0"/>
              <w:spacing w:line="360" w:lineRule="auto"/>
              <w:ind w:firstLine="482" w:firstLineChars="200"/>
              <w:rPr>
                <w:b/>
                <w:color w:val="auto"/>
                <w:sz w:val="24"/>
              </w:rPr>
            </w:pPr>
            <w:r>
              <w:rPr>
                <w:b/>
                <w:color w:val="auto"/>
                <w:sz w:val="24"/>
              </w:rPr>
              <w:t>B.风险事故应急响应</w:t>
            </w:r>
          </w:p>
          <w:p w14:paraId="3E38D561">
            <w:pPr>
              <w:adjustRightInd w:val="0"/>
              <w:snapToGrid w:val="0"/>
              <w:spacing w:line="360" w:lineRule="auto"/>
              <w:ind w:firstLine="480" w:firstLineChars="200"/>
              <w:rPr>
                <w:color w:val="auto"/>
                <w:sz w:val="24"/>
              </w:rPr>
            </w:pPr>
            <w:r>
              <w:rPr>
                <w:color w:val="auto"/>
                <w:sz w:val="24"/>
              </w:rPr>
              <w:t>建设单位可在制定企业安全管理制度的基础上，制定专门地下水污染事故应急措施，并与其它应急预案相协调。</w:t>
            </w:r>
          </w:p>
          <w:p w14:paraId="04CE3A34">
            <w:pPr>
              <w:adjustRightInd w:val="0"/>
              <w:snapToGrid w:val="0"/>
              <w:spacing w:line="360" w:lineRule="auto"/>
              <w:ind w:firstLine="480" w:firstLineChars="200"/>
              <w:rPr>
                <w:color w:val="auto"/>
                <w:sz w:val="24"/>
              </w:rPr>
            </w:pPr>
            <w:r>
              <w:rPr>
                <w:color w:val="auto"/>
                <w:sz w:val="24"/>
              </w:rPr>
              <w:t>风险应急程序：针对应急工作需要，参照相关技术导则，结合地下水污染治理技术特点，制定地下水污染应急治理程序，具体程序见图4-</w:t>
            </w:r>
            <w:r>
              <w:rPr>
                <w:rFonts w:hint="eastAsia"/>
                <w:color w:val="auto"/>
                <w:sz w:val="24"/>
                <w:lang w:val="en-US" w:eastAsia="zh-CN"/>
              </w:rPr>
              <w:t>1</w:t>
            </w:r>
            <w:r>
              <w:rPr>
                <w:color w:val="auto"/>
                <w:sz w:val="24"/>
              </w:rPr>
              <w:t>。</w:t>
            </w:r>
          </w:p>
          <w:p w14:paraId="59C5705A">
            <w:pPr>
              <w:adjustRightInd w:val="0"/>
              <w:snapToGrid w:val="0"/>
              <w:spacing w:line="360" w:lineRule="auto"/>
              <w:jc w:val="center"/>
              <w:rPr>
                <w:color w:val="auto"/>
              </w:rPr>
            </w:pPr>
            <w:r>
              <w:rPr>
                <w:color w:val="auto"/>
              </w:rPr>
              <w:drawing>
                <wp:inline distT="0" distB="0" distL="0" distR="0">
                  <wp:extent cx="2849245" cy="3364230"/>
                  <wp:effectExtent l="19050" t="0" r="8180" b="0"/>
                  <wp:docPr id="1"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5"/>
                          <pic:cNvPicPr>
                            <a:picLocks noChangeAspect="1" noChangeArrowheads="1"/>
                          </pic:cNvPicPr>
                        </pic:nvPicPr>
                        <pic:blipFill>
                          <a:blip r:embed="rId24" cstate="print"/>
                          <a:srcRect/>
                          <a:stretch>
                            <a:fillRect/>
                          </a:stretch>
                        </pic:blipFill>
                        <pic:spPr>
                          <a:xfrm>
                            <a:off x="0" y="0"/>
                            <a:ext cx="2850502" cy="3365698"/>
                          </a:xfrm>
                          <a:prstGeom prst="rect">
                            <a:avLst/>
                          </a:prstGeom>
                          <a:noFill/>
                          <a:ln w="9525">
                            <a:noFill/>
                            <a:miter lim="800000"/>
                            <a:headEnd/>
                            <a:tailEnd/>
                          </a:ln>
                        </pic:spPr>
                      </pic:pic>
                    </a:graphicData>
                  </a:graphic>
                </wp:inline>
              </w:drawing>
            </w:r>
          </w:p>
          <w:p w14:paraId="4A58A671">
            <w:pPr>
              <w:adjustRightInd w:val="0"/>
              <w:snapToGrid w:val="0"/>
              <w:spacing w:line="360" w:lineRule="auto"/>
              <w:ind w:firstLine="422" w:firstLineChars="200"/>
              <w:jc w:val="center"/>
              <w:rPr>
                <w:b/>
                <w:color w:val="auto"/>
              </w:rPr>
            </w:pPr>
            <w:r>
              <w:rPr>
                <w:b/>
                <w:color w:val="auto"/>
              </w:rPr>
              <w:t>图4-</w:t>
            </w:r>
            <w:r>
              <w:rPr>
                <w:rFonts w:hint="eastAsia"/>
                <w:b/>
                <w:color w:val="auto"/>
                <w:lang w:val="en-US" w:eastAsia="zh-CN"/>
              </w:rPr>
              <w:t>1</w:t>
            </w:r>
            <w:r>
              <w:rPr>
                <w:b/>
                <w:color w:val="auto"/>
              </w:rPr>
              <w:t xml:space="preserve">  地下水污染应急治理程序图</w:t>
            </w:r>
          </w:p>
          <w:p w14:paraId="1CBB9F93">
            <w:pPr>
              <w:adjustRightInd w:val="0"/>
              <w:snapToGrid w:val="0"/>
              <w:spacing w:line="360" w:lineRule="auto"/>
              <w:ind w:firstLine="482" w:firstLineChars="200"/>
              <w:rPr>
                <w:b/>
                <w:bCs/>
                <w:color w:val="auto"/>
                <w:sz w:val="24"/>
                <w:lang w:val="zh-CN"/>
              </w:rPr>
            </w:pPr>
            <w:r>
              <w:rPr>
                <w:rFonts w:hint="eastAsia"/>
                <w:b/>
                <w:bCs/>
                <w:color w:val="auto"/>
                <w:sz w:val="24"/>
                <w:lang w:val="zh-CN"/>
              </w:rPr>
              <w:t>⑤其他措施</w:t>
            </w:r>
          </w:p>
          <w:p w14:paraId="56C9C0BF">
            <w:pPr>
              <w:adjustRightInd w:val="0"/>
              <w:snapToGrid w:val="0"/>
              <w:spacing w:line="360" w:lineRule="auto"/>
              <w:ind w:firstLine="480" w:firstLineChars="200"/>
              <w:rPr>
                <w:rFonts w:eastAsiaTheme="minorEastAsia"/>
                <w:color w:val="auto"/>
                <w:kern w:val="0"/>
                <w:sz w:val="24"/>
              </w:rPr>
            </w:pPr>
            <w:r>
              <w:rPr>
                <w:rFonts w:hint="eastAsia" w:hAnsiTheme="minorEastAsia" w:eastAsiaTheme="minorEastAsia"/>
                <w:color w:val="auto"/>
                <w:kern w:val="0"/>
                <w:sz w:val="24"/>
              </w:rPr>
              <w:t>A.</w:t>
            </w:r>
            <w:r>
              <w:rPr>
                <w:rFonts w:hAnsiTheme="minorEastAsia" w:eastAsiaTheme="minorEastAsia"/>
                <w:color w:val="auto"/>
                <w:kern w:val="0"/>
                <w:sz w:val="24"/>
              </w:rPr>
              <w:t>加强源头控制。厂区各类废物做到循环利用的具体方案，减少污染排放量；工艺、管道设备、污水储存及处理构筑物采取有效的污染控制措施，将污染物跑冒滴漏降到最低限。</w:t>
            </w:r>
          </w:p>
          <w:p w14:paraId="45330051">
            <w:pPr>
              <w:adjustRightInd w:val="0"/>
              <w:snapToGrid w:val="0"/>
              <w:spacing w:line="360" w:lineRule="auto"/>
              <w:ind w:firstLine="480" w:firstLineChars="200"/>
              <w:rPr>
                <w:rFonts w:ascii="仿宋_GB2312" w:eastAsia="仿宋_GB2312" w:cs="仿宋_GB2312"/>
                <w:color w:val="auto"/>
                <w:kern w:val="0"/>
                <w:sz w:val="28"/>
                <w:szCs w:val="28"/>
              </w:rPr>
            </w:pPr>
            <w:r>
              <w:rPr>
                <w:rFonts w:hint="eastAsia" w:hAnsiTheme="minorEastAsia" w:eastAsiaTheme="minorEastAsia"/>
                <w:color w:val="auto"/>
                <w:kern w:val="0"/>
                <w:sz w:val="24"/>
              </w:rPr>
              <w:t>B.</w:t>
            </w:r>
            <w:r>
              <w:rPr>
                <w:rFonts w:hAnsiTheme="minorEastAsia" w:eastAsiaTheme="minorEastAsia"/>
                <w:color w:val="auto"/>
                <w:kern w:val="0"/>
                <w:sz w:val="24"/>
              </w:rPr>
              <w:t>按照《环境影响评价技术导则地下水环境》（</w:t>
            </w:r>
            <w:r>
              <w:rPr>
                <w:rFonts w:eastAsiaTheme="minorEastAsia"/>
                <w:color w:val="auto"/>
                <w:kern w:val="0"/>
                <w:sz w:val="24"/>
              </w:rPr>
              <w:t>HJ610-2016</w:t>
            </w:r>
            <w:r>
              <w:rPr>
                <w:rFonts w:hAnsiTheme="minorEastAsia" w:eastAsiaTheme="minorEastAsia"/>
                <w:color w:val="auto"/>
                <w:kern w:val="0"/>
                <w:sz w:val="24"/>
              </w:rPr>
              <w:t>）要求做好分区防控，一般情况下应以水平防渗为主，对难以采取水平防渗的场地，可采用垂直防渗为主，局部水平防渗为辅的防控措施。</w:t>
            </w:r>
          </w:p>
          <w:p w14:paraId="335FAA9D">
            <w:pPr>
              <w:adjustRightInd w:val="0"/>
              <w:snapToGrid w:val="0"/>
              <w:spacing w:line="360" w:lineRule="auto"/>
              <w:ind w:firstLine="480" w:firstLineChars="200"/>
              <w:rPr>
                <w:rFonts w:eastAsiaTheme="minorEastAsia"/>
                <w:color w:val="auto"/>
                <w:kern w:val="0"/>
                <w:sz w:val="24"/>
              </w:rPr>
            </w:pPr>
            <w:r>
              <w:rPr>
                <w:rFonts w:hint="eastAsia" w:hAnsiTheme="minorEastAsia" w:eastAsiaTheme="minorEastAsia"/>
                <w:color w:val="auto"/>
                <w:kern w:val="0"/>
                <w:sz w:val="24"/>
              </w:rPr>
              <w:t>C.</w:t>
            </w:r>
            <w:r>
              <w:rPr>
                <w:rFonts w:hAnsiTheme="minorEastAsia" w:eastAsiaTheme="minorEastAsia"/>
                <w:color w:val="auto"/>
                <w:kern w:val="0"/>
                <w:sz w:val="24"/>
              </w:rPr>
              <w:t>制定地下水污染应急响应预案，明确污染状况下应采取的控制污染源、切断污染途径等措施。</w:t>
            </w:r>
          </w:p>
          <w:p w14:paraId="6AAC1366">
            <w:pPr>
              <w:adjustRightInd w:val="0"/>
              <w:snapToGrid w:val="0"/>
              <w:spacing w:line="360" w:lineRule="auto"/>
              <w:ind w:firstLine="480" w:firstLineChars="200"/>
              <w:rPr>
                <w:rFonts w:eastAsiaTheme="minorEastAsia"/>
                <w:color w:val="auto"/>
                <w:sz w:val="24"/>
              </w:rPr>
            </w:pPr>
            <w:r>
              <w:rPr>
                <w:rFonts w:hint="eastAsia" w:hAnsiTheme="minorEastAsia" w:eastAsiaTheme="minorEastAsia"/>
                <w:color w:val="auto"/>
                <w:kern w:val="0"/>
                <w:sz w:val="24"/>
              </w:rPr>
              <w:t>D.</w:t>
            </w:r>
            <w:r>
              <w:rPr>
                <w:rFonts w:hAnsiTheme="minorEastAsia" w:eastAsiaTheme="minorEastAsia"/>
                <w:color w:val="auto"/>
                <w:kern w:val="0"/>
                <w:sz w:val="24"/>
              </w:rPr>
              <w:t>加强环境管理。加强厂区巡检，对跑冒滴漏做到及时发现、及时控制；做好厂区危废库、装置区地面防渗</w:t>
            </w:r>
            <w:r>
              <w:rPr>
                <w:rFonts w:hint="eastAsia" w:hAnsiTheme="minorEastAsia" w:eastAsiaTheme="minorEastAsia"/>
                <w:color w:val="auto"/>
                <w:kern w:val="0"/>
                <w:sz w:val="24"/>
                <w:lang w:eastAsia="zh-CN"/>
              </w:rPr>
              <w:t>层</w:t>
            </w:r>
            <w:r>
              <w:rPr>
                <w:rFonts w:hAnsiTheme="minorEastAsia" w:eastAsiaTheme="minorEastAsia"/>
                <w:color w:val="auto"/>
                <w:kern w:val="0"/>
                <w:sz w:val="24"/>
              </w:rPr>
              <w:t>的管理，防渗层破裂后及时补救、更换。</w:t>
            </w:r>
          </w:p>
          <w:p w14:paraId="165C4FB1">
            <w:pPr>
              <w:adjustRightInd w:val="0"/>
              <w:snapToGrid w:val="0"/>
              <w:spacing w:line="360" w:lineRule="auto"/>
              <w:ind w:firstLine="482" w:firstLineChars="200"/>
              <w:rPr>
                <w:b/>
                <w:color w:val="auto"/>
                <w:sz w:val="24"/>
              </w:rPr>
            </w:pPr>
            <w:r>
              <w:rPr>
                <w:b/>
                <w:color w:val="auto"/>
                <w:sz w:val="24"/>
              </w:rPr>
              <w:t>（2）土壤污染防治措施</w:t>
            </w:r>
          </w:p>
          <w:p w14:paraId="452C986C">
            <w:pPr>
              <w:adjustRightInd w:val="0"/>
              <w:snapToGrid w:val="0"/>
              <w:spacing w:line="360" w:lineRule="auto"/>
              <w:ind w:firstLine="482" w:firstLineChars="200"/>
              <w:rPr>
                <w:b/>
                <w:color w:val="auto"/>
                <w:sz w:val="24"/>
              </w:rPr>
            </w:pPr>
            <w:r>
              <w:rPr>
                <w:b/>
                <w:color w:val="auto"/>
                <w:sz w:val="24"/>
              </w:rPr>
              <w:t>①源头控制措施</w:t>
            </w:r>
          </w:p>
          <w:p w14:paraId="4925E360">
            <w:pPr>
              <w:adjustRightInd w:val="0"/>
              <w:snapToGrid w:val="0"/>
              <w:spacing w:line="360" w:lineRule="auto"/>
              <w:ind w:firstLine="480" w:firstLineChars="200"/>
              <w:rPr>
                <w:color w:val="auto"/>
                <w:sz w:val="24"/>
              </w:rPr>
            </w:pPr>
            <w:r>
              <w:rPr>
                <w:rFonts w:hint="eastAsia"/>
                <w:color w:val="auto"/>
                <w:sz w:val="24"/>
                <w:lang w:val="en-US" w:eastAsia="zh-CN"/>
              </w:rPr>
              <w:t>A.</w:t>
            </w:r>
            <w:r>
              <w:rPr>
                <w:color w:val="auto"/>
                <w:sz w:val="24"/>
              </w:rPr>
              <w:t>垂直入渗影响源头控制措施：</w:t>
            </w:r>
          </w:p>
          <w:p w14:paraId="4D0BE4C5">
            <w:pPr>
              <w:adjustRightInd w:val="0"/>
              <w:snapToGrid w:val="0"/>
              <w:spacing w:line="360" w:lineRule="auto"/>
              <w:ind w:firstLine="480" w:firstLineChars="200"/>
              <w:rPr>
                <w:color w:val="auto"/>
                <w:sz w:val="24"/>
              </w:rPr>
            </w:pPr>
            <w:r>
              <w:rPr>
                <w:color w:val="auto"/>
                <w:sz w:val="24"/>
              </w:rPr>
              <w:t>垂直入渗预防措施主要为分区防渗，项目主要区域均进行硬化和防渗处理。项目主要防渗区域有：企业</w:t>
            </w:r>
            <w:r>
              <w:rPr>
                <w:rFonts w:hint="eastAsia"/>
                <w:color w:val="auto"/>
                <w:sz w:val="24"/>
                <w:lang w:eastAsia="zh-CN"/>
              </w:rPr>
              <w:t>液氯罐区、黄磷池</w:t>
            </w:r>
            <w:r>
              <w:rPr>
                <w:color w:val="auto"/>
                <w:sz w:val="24"/>
              </w:rPr>
              <w:t>等防渗标准按照地下水章节提出的防渗要求。</w:t>
            </w:r>
          </w:p>
          <w:p w14:paraId="0E529ABB">
            <w:pPr>
              <w:adjustRightInd w:val="0"/>
              <w:snapToGrid w:val="0"/>
              <w:spacing w:line="360" w:lineRule="auto"/>
              <w:ind w:firstLine="480" w:firstLineChars="200"/>
              <w:rPr>
                <w:color w:val="auto"/>
                <w:sz w:val="24"/>
              </w:rPr>
            </w:pPr>
            <w:r>
              <w:rPr>
                <w:rFonts w:hint="eastAsia"/>
                <w:color w:val="auto"/>
                <w:sz w:val="24"/>
                <w:lang w:val="en-US" w:eastAsia="zh-CN"/>
              </w:rPr>
              <w:t>B</w:t>
            </w:r>
            <w:r>
              <w:rPr>
                <w:color w:val="auto"/>
                <w:sz w:val="24"/>
              </w:rPr>
              <w:t>.地面</w:t>
            </w:r>
            <w:r>
              <w:rPr>
                <w:rFonts w:hint="eastAsia"/>
                <w:color w:val="auto"/>
                <w:sz w:val="24"/>
                <w:lang w:eastAsia="zh-CN"/>
              </w:rPr>
              <w:t>径流</w:t>
            </w:r>
            <w:r>
              <w:rPr>
                <w:color w:val="auto"/>
                <w:sz w:val="24"/>
              </w:rPr>
              <w:t>影响源头控制措施</w:t>
            </w:r>
          </w:p>
          <w:p w14:paraId="183EE5E0">
            <w:pPr>
              <w:adjustRightInd w:val="0"/>
              <w:snapToGrid w:val="0"/>
              <w:spacing w:line="360" w:lineRule="auto"/>
              <w:ind w:firstLine="480" w:firstLineChars="200"/>
              <w:rPr>
                <w:color w:val="auto"/>
                <w:sz w:val="24"/>
              </w:rPr>
            </w:pPr>
            <w:r>
              <w:rPr>
                <w:rFonts w:hint="eastAsia"/>
                <w:color w:val="auto"/>
                <w:sz w:val="24"/>
                <w:lang w:eastAsia="zh-CN"/>
              </w:rPr>
              <w:t>建设项目黄磷池采用双层池暂存，且根据黄磷理化性质，黄磷泄漏后会迅速凝固，并自然，不会发生黄磷地面漫流的情况；液氯储存在液氯集装箱装卸场地内，液氯集装箱装卸场地设置门槛，与厂房形成围堰，门槛不低于300mm，</w:t>
            </w:r>
            <w:r>
              <w:rPr>
                <w:color w:val="auto"/>
                <w:sz w:val="24"/>
              </w:rPr>
              <w:t>一旦发生漫流，</w:t>
            </w:r>
            <w:r>
              <w:rPr>
                <w:rFonts w:hint="eastAsia"/>
                <w:color w:val="auto"/>
                <w:sz w:val="24"/>
                <w:lang w:eastAsia="zh-CN"/>
              </w:rPr>
              <w:t>可确保液氯不出液氯集装箱装卸场地</w:t>
            </w:r>
            <w:r>
              <w:rPr>
                <w:color w:val="auto"/>
                <w:sz w:val="24"/>
              </w:rPr>
              <w:t>，通过采取以上措施，</w:t>
            </w:r>
            <w:r>
              <w:rPr>
                <w:rFonts w:hint="eastAsia"/>
                <w:color w:val="auto"/>
                <w:sz w:val="24"/>
                <w:lang w:eastAsia="zh-CN"/>
              </w:rPr>
              <w:t>液氯、黄磷</w:t>
            </w:r>
            <w:r>
              <w:rPr>
                <w:color w:val="auto"/>
                <w:sz w:val="24"/>
              </w:rPr>
              <w:t>漫流进入外环境可能性较小，对周边地表水环境影响不大。</w:t>
            </w:r>
          </w:p>
          <w:p w14:paraId="683D2891">
            <w:pPr>
              <w:adjustRightInd w:val="0"/>
              <w:snapToGrid w:val="0"/>
              <w:spacing w:line="360" w:lineRule="auto"/>
              <w:ind w:firstLine="480" w:firstLineChars="200"/>
              <w:rPr>
                <w:color w:val="auto"/>
                <w:sz w:val="24"/>
              </w:rPr>
            </w:pPr>
            <w:r>
              <w:rPr>
                <w:rFonts w:hint="eastAsia"/>
                <w:color w:val="auto"/>
                <w:sz w:val="24"/>
                <w:lang w:val="en-US" w:eastAsia="zh-CN"/>
              </w:rPr>
              <w:t>C</w:t>
            </w:r>
            <w:r>
              <w:rPr>
                <w:color w:val="auto"/>
                <w:sz w:val="24"/>
              </w:rPr>
              <w:t>.其他源头控制措施</w:t>
            </w:r>
          </w:p>
          <w:p w14:paraId="1CF38B66">
            <w:pPr>
              <w:adjustRightInd w:val="0"/>
              <w:snapToGrid w:val="0"/>
              <w:spacing w:line="360" w:lineRule="auto"/>
              <w:ind w:firstLine="480" w:firstLineChars="200"/>
              <w:rPr>
                <w:color w:val="auto"/>
                <w:sz w:val="24"/>
              </w:rPr>
            </w:pPr>
            <w:r>
              <w:rPr>
                <w:color w:val="auto"/>
                <w:sz w:val="24"/>
              </w:rPr>
              <w:t>建设项目对产生的废水进行合理的治理和重复利用，以先进工艺、管道、设备、污水储存，尽可能从源头上减少可能污染物产生；严格按照国家相关规范要求，对工艺、管道、设备、污水储存及处理构筑物采取相应的措施，以防止和降低可能污染物的跑、冒、滴、漏，将废水泄漏的环境风险事故降低到最低程度；优化排水系统设计，管线铺设尽量采用“可视化”原则，即管道尽可</w:t>
            </w:r>
            <w:r>
              <w:rPr>
                <w:rFonts w:hint="eastAsia"/>
                <w:color w:val="auto"/>
                <w:sz w:val="24"/>
                <w:lang w:eastAsia="zh-CN"/>
              </w:rPr>
              <w:t>能在</w:t>
            </w:r>
            <w:r>
              <w:rPr>
                <w:color w:val="auto"/>
                <w:sz w:val="24"/>
              </w:rPr>
              <w:t>地上铺设，做到污染物“早发现、早处理”，以减少由于埋地管道泄漏而可能造成的地下水污染。进行质量体系认证，实现“质量、安全、环境”三位一体的全面质量管理目标。设立土壤动态监测小组，负责对土壤环境监测和管理，或者委托专业的机构完成。建立有关规章制度和岗位责任制。制定风险预警方案，设立应急设施减少环境污染影响。</w:t>
            </w:r>
          </w:p>
          <w:p w14:paraId="44AF1E0F">
            <w:pPr>
              <w:adjustRightInd w:val="0"/>
              <w:snapToGrid w:val="0"/>
              <w:spacing w:line="360" w:lineRule="auto"/>
              <w:ind w:firstLine="482" w:firstLineChars="200"/>
              <w:rPr>
                <w:b/>
                <w:color w:val="auto"/>
                <w:sz w:val="24"/>
              </w:rPr>
            </w:pPr>
            <w:r>
              <w:rPr>
                <w:b/>
                <w:color w:val="auto"/>
                <w:sz w:val="24"/>
              </w:rPr>
              <w:t>②过程防控措施</w:t>
            </w:r>
          </w:p>
          <w:p w14:paraId="2F078C77">
            <w:pPr>
              <w:adjustRightInd w:val="0"/>
              <w:snapToGrid w:val="0"/>
              <w:spacing w:line="360" w:lineRule="auto"/>
              <w:ind w:firstLine="480" w:firstLineChars="200"/>
              <w:rPr>
                <w:color w:val="auto"/>
                <w:sz w:val="24"/>
              </w:rPr>
            </w:pPr>
            <w:r>
              <w:rPr>
                <w:color w:val="auto"/>
                <w:sz w:val="24"/>
              </w:rPr>
              <w:t>建设项目为土壤污染型项目，根据《环境影响评价技术导则土壤环境（试行）》（HJ964-2018）过程控制措施，结合建设项目污染特征。</w:t>
            </w:r>
          </w:p>
          <w:p w14:paraId="22931C2B">
            <w:pPr>
              <w:adjustRightInd w:val="0"/>
              <w:snapToGrid w:val="0"/>
              <w:spacing w:line="360" w:lineRule="auto"/>
              <w:ind w:firstLine="480" w:firstLineChars="200"/>
              <w:rPr>
                <w:color w:val="auto"/>
                <w:sz w:val="24"/>
              </w:rPr>
            </w:pPr>
            <w:r>
              <w:rPr>
                <w:color w:val="auto"/>
                <w:sz w:val="24"/>
              </w:rPr>
              <w:t>针对大气沉降影响，厂界及周边应加强绿化措施，以种植具有较强吸附能力的植物为主，根据建设项目所处区域自然地理特征，可种植易于在该地区生长且富集能力较强、生物量较大的植物种植。</w:t>
            </w:r>
          </w:p>
          <w:p w14:paraId="0CB5A7FC">
            <w:pPr>
              <w:adjustRightInd w:val="0"/>
              <w:snapToGrid w:val="0"/>
              <w:spacing w:line="360" w:lineRule="auto"/>
              <w:ind w:firstLine="480" w:firstLineChars="200"/>
              <w:rPr>
                <w:color w:val="auto"/>
                <w:sz w:val="24"/>
              </w:rPr>
            </w:pPr>
            <w:r>
              <w:rPr>
                <w:rFonts w:hint="eastAsia"/>
                <w:color w:val="auto"/>
                <w:sz w:val="24"/>
                <w:lang w:eastAsia="zh-CN"/>
              </w:rPr>
              <w:t>针对垂直入渗影响</w:t>
            </w:r>
            <w:r>
              <w:rPr>
                <w:color w:val="auto"/>
                <w:sz w:val="24"/>
              </w:rPr>
              <w:t>，</w:t>
            </w:r>
            <w:r>
              <w:rPr>
                <w:rFonts w:hint="eastAsia"/>
                <w:color w:val="auto"/>
                <w:sz w:val="24"/>
                <w:lang w:eastAsia="zh-CN"/>
              </w:rPr>
              <w:t>项目拟要求企业</w:t>
            </w:r>
            <w:r>
              <w:rPr>
                <w:color w:val="auto"/>
                <w:sz w:val="24"/>
              </w:rPr>
              <w:t>对</w:t>
            </w:r>
            <w:r>
              <w:rPr>
                <w:rFonts w:hint="eastAsia"/>
                <w:color w:val="auto"/>
                <w:sz w:val="24"/>
                <w:lang w:eastAsia="zh-CN"/>
              </w:rPr>
              <w:t>黄磷池</w:t>
            </w:r>
            <w:r>
              <w:rPr>
                <w:color w:val="auto"/>
                <w:sz w:val="24"/>
              </w:rPr>
              <w:t>、</w:t>
            </w:r>
            <w:r>
              <w:rPr>
                <w:rFonts w:hint="eastAsia"/>
                <w:color w:val="auto"/>
                <w:sz w:val="24"/>
              </w:rPr>
              <w:t>液氯</w:t>
            </w:r>
            <w:r>
              <w:rPr>
                <w:rFonts w:hint="eastAsia"/>
                <w:color w:val="auto"/>
                <w:sz w:val="24"/>
                <w:lang w:eastAsia="zh-CN"/>
              </w:rPr>
              <w:t>储罐</w:t>
            </w:r>
            <w:r>
              <w:rPr>
                <w:color w:val="auto"/>
                <w:sz w:val="24"/>
              </w:rPr>
              <w:t>等定期检查，应根据相关标</w:t>
            </w:r>
            <w:r>
              <w:rPr>
                <w:rFonts w:hint="eastAsia"/>
                <w:color w:val="auto"/>
                <w:sz w:val="24"/>
                <w:lang w:eastAsia="zh-CN"/>
              </w:rPr>
              <w:t>准和</w:t>
            </w:r>
            <w:r>
              <w:rPr>
                <w:color w:val="auto"/>
                <w:sz w:val="24"/>
              </w:rPr>
              <w:t>规范要求，做好</w:t>
            </w:r>
            <w:r>
              <w:rPr>
                <w:rFonts w:hint="eastAsia"/>
                <w:color w:val="auto"/>
                <w:sz w:val="24"/>
                <w:lang w:eastAsia="zh-CN"/>
              </w:rPr>
              <w:t>黄磷池体、液氯罐式集装箱装卸场地地面、厂区地面等进行</w:t>
            </w:r>
            <w:r>
              <w:rPr>
                <w:color w:val="auto"/>
                <w:sz w:val="24"/>
              </w:rPr>
              <w:t>防渗，以防止土壤环境污染。</w:t>
            </w:r>
          </w:p>
          <w:p w14:paraId="5831D1E0">
            <w:pPr>
              <w:adjustRightInd w:val="0"/>
              <w:snapToGrid w:val="0"/>
              <w:spacing w:line="360" w:lineRule="auto"/>
              <w:ind w:firstLine="480" w:firstLineChars="200"/>
              <w:rPr>
                <w:color w:val="auto"/>
                <w:sz w:val="24"/>
              </w:rPr>
            </w:pPr>
            <w:r>
              <w:rPr>
                <w:color w:val="auto"/>
                <w:sz w:val="24"/>
              </w:rPr>
              <w:t>针对地面漫流影响，过程控制措施应根据建设项目所在地的地形特点优化地面布局，关注事故状态下的废水收集，以防止土壤环境污染。</w:t>
            </w:r>
            <w:bookmarkEnd w:id="42"/>
            <w:bookmarkEnd w:id="43"/>
          </w:p>
          <w:p w14:paraId="5D75D2BF">
            <w:pPr>
              <w:adjustRightInd w:val="0"/>
              <w:snapToGrid w:val="0"/>
              <w:spacing w:line="360" w:lineRule="auto"/>
              <w:ind w:firstLine="480" w:firstLineChars="200"/>
              <w:rPr>
                <w:rFonts w:eastAsiaTheme="minorEastAsia"/>
                <w:color w:val="auto"/>
                <w:kern w:val="0"/>
                <w:sz w:val="24"/>
                <w:lang w:val="zh-CN"/>
              </w:rPr>
            </w:pPr>
            <w:r>
              <w:rPr>
                <w:rFonts w:eastAsiaTheme="minorEastAsia"/>
                <w:color w:val="auto"/>
                <w:kern w:val="0"/>
                <w:sz w:val="24"/>
                <w:lang w:val="zh-CN"/>
              </w:rPr>
              <w:t>在采取以上土壤和地下水污染防治措施后，项目建设对土壤、地下水环境影响较小。</w:t>
            </w:r>
          </w:p>
          <w:p w14:paraId="3B8D6A70">
            <w:pPr>
              <w:adjustRightInd w:val="0"/>
              <w:snapToGrid w:val="0"/>
              <w:spacing w:line="360" w:lineRule="auto"/>
              <w:ind w:firstLine="482" w:firstLineChars="200"/>
              <w:rPr>
                <w:rFonts w:eastAsiaTheme="minorEastAsia"/>
                <w:b/>
                <w:color w:val="auto"/>
                <w:kern w:val="0"/>
                <w:sz w:val="24"/>
                <w:lang w:val="zh-CN"/>
              </w:rPr>
            </w:pPr>
            <w:r>
              <w:rPr>
                <w:rFonts w:eastAsiaTheme="minorEastAsia"/>
                <w:b/>
                <w:color w:val="auto"/>
                <w:kern w:val="0"/>
                <w:sz w:val="24"/>
                <w:lang w:val="zh-CN"/>
              </w:rPr>
              <w:t>6.环境风险及风险防范措施分析</w:t>
            </w:r>
          </w:p>
          <w:p w14:paraId="6E345861">
            <w:pPr>
              <w:adjustRightInd w:val="0"/>
              <w:snapToGrid w:val="0"/>
              <w:spacing w:line="360" w:lineRule="auto"/>
              <w:ind w:firstLine="480" w:firstLineChars="200"/>
              <w:rPr>
                <w:rFonts w:eastAsiaTheme="minorEastAsia"/>
                <w:color w:val="auto"/>
                <w:sz w:val="24"/>
                <w:lang w:val="zh-CN"/>
              </w:rPr>
            </w:pPr>
            <w:r>
              <w:rPr>
                <w:rFonts w:eastAsiaTheme="minorEastAsia"/>
                <w:color w:val="auto"/>
                <w:sz w:val="24"/>
                <w:lang w:val="zh-CN"/>
              </w:rPr>
              <w:t>本项目环境风险影响分析见风险专项评价。经识别，本项目环境风险主要为储罐区</w:t>
            </w:r>
            <w:r>
              <w:rPr>
                <w:rFonts w:hint="eastAsia" w:eastAsiaTheme="minorEastAsia"/>
                <w:color w:val="auto"/>
                <w:sz w:val="24"/>
                <w:lang w:val="zh-CN"/>
              </w:rPr>
              <w:t>液氯、黄磷</w:t>
            </w:r>
            <w:r>
              <w:rPr>
                <w:rFonts w:eastAsiaTheme="minorEastAsia"/>
                <w:color w:val="auto"/>
                <w:sz w:val="24"/>
                <w:lang w:val="zh-CN"/>
              </w:rPr>
              <w:t>等泄漏事故以及</w:t>
            </w:r>
            <w:r>
              <w:rPr>
                <w:rFonts w:hint="eastAsia" w:eastAsiaTheme="minorEastAsia"/>
                <w:color w:val="auto"/>
                <w:sz w:val="24"/>
                <w:lang w:val="zh-CN"/>
              </w:rPr>
              <w:t>黄磷池</w:t>
            </w:r>
            <w:r>
              <w:rPr>
                <w:rFonts w:eastAsiaTheme="minorEastAsia"/>
                <w:color w:val="auto"/>
                <w:sz w:val="24"/>
                <w:lang w:val="zh-CN"/>
              </w:rPr>
              <w:t>的火灾爆炸事故引起的次生污染。预测结果表明在采取相应风险防范措施后，项目</w:t>
            </w:r>
            <w:r>
              <w:rPr>
                <w:rFonts w:hint="eastAsia" w:eastAsiaTheme="minorEastAsia"/>
                <w:color w:val="auto"/>
                <w:sz w:val="24"/>
                <w:lang w:val="zh-CN"/>
              </w:rPr>
              <w:t>液氯</w:t>
            </w:r>
            <w:r>
              <w:rPr>
                <w:rFonts w:eastAsiaTheme="minorEastAsia"/>
                <w:color w:val="auto"/>
                <w:sz w:val="24"/>
                <w:lang w:val="zh-CN"/>
              </w:rPr>
              <w:t>储罐、</w:t>
            </w:r>
            <w:r>
              <w:rPr>
                <w:rFonts w:hint="eastAsia" w:eastAsiaTheme="minorEastAsia"/>
                <w:color w:val="auto"/>
                <w:sz w:val="24"/>
                <w:lang w:val="zh-CN"/>
              </w:rPr>
              <w:t>黄磷池</w:t>
            </w:r>
            <w:r>
              <w:rPr>
                <w:rFonts w:eastAsiaTheme="minorEastAsia"/>
                <w:color w:val="auto"/>
                <w:sz w:val="24"/>
                <w:lang w:val="zh-CN"/>
              </w:rPr>
              <w:t>泄漏事故、火灾爆炸事故次生污染等对周边环境影响较小，项目风险</w:t>
            </w:r>
            <w:r>
              <w:rPr>
                <w:rFonts w:hint="eastAsia" w:eastAsiaTheme="minorEastAsia"/>
                <w:color w:val="auto"/>
                <w:sz w:val="24"/>
                <w:lang w:val="zh-CN"/>
              </w:rPr>
              <w:t>是</w:t>
            </w:r>
            <w:r>
              <w:rPr>
                <w:rFonts w:eastAsiaTheme="minorEastAsia"/>
                <w:color w:val="auto"/>
                <w:sz w:val="24"/>
                <w:lang w:val="zh-CN"/>
              </w:rPr>
              <w:t>可</w:t>
            </w:r>
            <w:r>
              <w:rPr>
                <w:rFonts w:hint="eastAsia" w:eastAsiaTheme="minorEastAsia"/>
                <w:color w:val="auto"/>
                <w:sz w:val="24"/>
                <w:lang w:val="zh-CN"/>
              </w:rPr>
              <w:t>防控的</w:t>
            </w:r>
            <w:r>
              <w:rPr>
                <w:rFonts w:eastAsiaTheme="minorEastAsia"/>
                <w:color w:val="auto"/>
                <w:sz w:val="24"/>
                <w:lang w:val="zh-CN"/>
              </w:rPr>
              <w:t>。</w:t>
            </w:r>
            <w:bookmarkStart w:id="54" w:name="_Toc98345170"/>
          </w:p>
          <w:bookmarkEnd w:id="54"/>
          <w:p w14:paraId="221D7D4F">
            <w:pPr>
              <w:pStyle w:val="100"/>
              <w:rPr>
                <w:color w:val="auto"/>
              </w:rPr>
            </w:pPr>
          </w:p>
          <w:p w14:paraId="213CDAE2">
            <w:pPr>
              <w:rPr>
                <w:color w:val="auto"/>
              </w:rPr>
            </w:pPr>
          </w:p>
          <w:p w14:paraId="25EADB65">
            <w:pPr>
              <w:rPr>
                <w:color w:val="auto"/>
              </w:rPr>
            </w:pPr>
          </w:p>
          <w:p w14:paraId="6F815F34">
            <w:pPr>
              <w:pStyle w:val="100"/>
              <w:rPr>
                <w:color w:val="auto"/>
              </w:rPr>
            </w:pPr>
          </w:p>
          <w:p w14:paraId="0A8BAE2F">
            <w:pPr>
              <w:rPr>
                <w:color w:val="auto"/>
              </w:rPr>
            </w:pPr>
          </w:p>
          <w:p w14:paraId="7749D260">
            <w:pPr>
              <w:pStyle w:val="40"/>
              <w:rPr>
                <w:color w:val="auto"/>
              </w:rPr>
            </w:pPr>
          </w:p>
          <w:p w14:paraId="024F7701">
            <w:pPr>
              <w:pStyle w:val="40"/>
              <w:rPr>
                <w:color w:val="auto"/>
              </w:rPr>
            </w:pPr>
          </w:p>
          <w:p w14:paraId="7AC7F555">
            <w:pPr>
              <w:rPr>
                <w:color w:val="auto"/>
              </w:rPr>
            </w:pPr>
          </w:p>
        </w:tc>
      </w:tr>
    </w:tbl>
    <w:p w14:paraId="378AF4D6">
      <w:pPr>
        <w:pStyle w:val="81"/>
        <w:jc w:val="center"/>
        <w:outlineLvl w:val="0"/>
        <w:rPr>
          <w:rFonts w:ascii="Times New Roman" w:hAnsi="Times New Roman" w:eastAsia="黑体" w:cs="Times New Roman"/>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8973DCC">
      <w:pPr>
        <w:pStyle w:val="81"/>
        <w:jc w:val="center"/>
        <w:outlineLvl w:val="0"/>
        <w:rPr>
          <w:rFonts w:ascii="Times New Roman" w:hAnsi="Times New Roman" w:eastAsia="黑体" w:cs="Times New Roman"/>
          <w:snapToGrid w:val="0"/>
          <w:color w:val="auto"/>
          <w:sz w:val="30"/>
          <w:szCs w:val="30"/>
        </w:rPr>
      </w:pPr>
      <w:bookmarkStart w:id="55" w:name="_Toc32382"/>
      <w:r>
        <w:rPr>
          <w:rFonts w:ascii="Times New Roman" w:hAnsi="Times New Roman" w:eastAsia="黑体" w:cs="Times New Roman"/>
          <w:snapToGrid w:val="0"/>
          <w:color w:val="auto"/>
          <w:sz w:val="30"/>
          <w:szCs w:val="30"/>
        </w:rPr>
        <w:t>五、</w:t>
      </w:r>
      <w:bookmarkStart w:id="56" w:name="_Hlk54167917"/>
      <w:r>
        <w:rPr>
          <w:rFonts w:ascii="Times New Roman" w:hAnsi="Times New Roman" w:eastAsia="黑体" w:cs="Times New Roman"/>
          <w:snapToGrid w:val="0"/>
          <w:color w:val="auto"/>
          <w:sz w:val="30"/>
          <w:szCs w:val="30"/>
        </w:rPr>
        <w:t>环境保护措施监督检查清单</w:t>
      </w:r>
      <w:bookmarkEnd w:id="55"/>
      <w:bookmarkEnd w:id="56"/>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992"/>
        <w:gridCol w:w="943"/>
        <w:gridCol w:w="1090"/>
        <w:gridCol w:w="1620"/>
        <w:gridCol w:w="2627"/>
      </w:tblGrid>
      <w:tr w14:paraId="091FC9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l2br w:val="single" w:color="auto" w:sz="4" w:space="0"/>
            </w:tcBorders>
          </w:tcPr>
          <w:p w14:paraId="1320AD8A">
            <w:pPr>
              <w:adjustRightInd w:val="0"/>
              <w:snapToGrid w:val="0"/>
              <w:ind w:firstLine="840"/>
              <w:rPr>
                <w:color w:val="auto"/>
                <w:szCs w:val="21"/>
              </w:rPr>
            </w:pPr>
            <w:r>
              <w:rPr>
                <w:color w:val="auto"/>
                <w:szCs w:val="21"/>
              </w:rPr>
              <w:t>内容</w:t>
            </w:r>
          </w:p>
          <w:p w14:paraId="05AC9E05">
            <w:pPr>
              <w:adjustRightInd w:val="0"/>
              <w:snapToGrid w:val="0"/>
              <w:rPr>
                <w:color w:val="auto"/>
                <w:szCs w:val="21"/>
              </w:rPr>
            </w:pPr>
            <w:r>
              <w:rPr>
                <w:color w:val="auto"/>
                <w:szCs w:val="21"/>
              </w:rPr>
              <w:t>要素</w:t>
            </w:r>
          </w:p>
        </w:tc>
        <w:tc>
          <w:tcPr>
            <w:tcW w:w="1935" w:type="dxa"/>
            <w:gridSpan w:val="2"/>
            <w:vAlign w:val="center"/>
          </w:tcPr>
          <w:p w14:paraId="741F8079">
            <w:pPr>
              <w:adjustRightInd w:val="0"/>
              <w:snapToGrid w:val="0"/>
              <w:jc w:val="center"/>
              <w:rPr>
                <w:color w:val="auto"/>
                <w:szCs w:val="21"/>
              </w:rPr>
            </w:pPr>
            <w:r>
              <w:rPr>
                <w:color w:val="auto"/>
                <w:szCs w:val="21"/>
              </w:rPr>
              <w:t>排放口</w:t>
            </w:r>
            <w:r>
              <w:rPr>
                <w:rFonts w:hint="eastAsia"/>
                <w:color w:val="auto"/>
                <w:szCs w:val="21"/>
                <w:lang w:eastAsia="zh-CN"/>
              </w:rPr>
              <w:t>（</w:t>
            </w:r>
            <w:r>
              <w:rPr>
                <w:color w:val="auto"/>
                <w:szCs w:val="21"/>
              </w:rPr>
              <w:t>编号、</w:t>
            </w:r>
          </w:p>
          <w:p w14:paraId="53EFB22A">
            <w:pPr>
              <w:adjustRightInd w:val="0"/>
              <w:snapToGrid w:val="0"/>
              <w:jc w:val="center"/>
              <w:rPr>
                <w:color w:val="auto"/>
                <w:szCs w:val="21"/>
              </w:rPr>
            </w:pPr>
            <w:r>
              <w:rPr>
                <w:color w:val="auto"/>
                <w:szCs w:val="21"/>
              </w:rPr>
              <w:t>名称</w:t>
            </w:r>
            <w:r>
              <w:rPr>
                <w:rFonts w:hint="eastAsia"/>
                <w:color w:val="auto"/>
                <w:szCs w:val="21"/>
                <w:lang w:eastAsia="zh-CN"/>
              </w:rPr>
              <w:t>）</w:t>
            </w:r>
            <w:r>
              <w:rPr>
                <w:color w:val="auto"/>
                <w:szCs w:val="21"/>
              </w:rPr>
              <w:t>/污染源</w:t>
            </w:r>
          </w:p>
        </w:tc>
        <w:tc>
          <w:tcPr>
            <w:tcW w:w="1090" w:type="dxa"/>
            <w:vAlign w:val="center"/>
          </w:tcPr>
          <w:p w14:paraId="04F22AFA">
            <w:pPr>
              <w:adjustRightInd w:val="0"/>
              <w:snapToGrid w:val="0"/>
              <w:jc w:val="center"/>
              <w:rPr>
                <w:color w:val="auto"/>
                <w:szCs w:val="21"/>
              </w:rPr>
            </w:pPr>
            <w:r>
              <w:rPr>
                <w:color w:val="auto"/>
                <w:szCs w:val="21"/>
              </w:rPr>
              <w:t>污染物项目</w:t>
            </w:r>
          </w:p>
        </w:tc>
        <w:tc>
          <w:tcPr>
            <w:tcW w:w="1620" w:type="dxa"/>
            <w:vAlign w:val="center"/>
          </w:tcPr>
          <w:p w14:paraId="0BCD42F3">
            <w:pPr>
              <w:adjustRightInd w:val="0"/>
              <w:snapToGrid w:val="0"/>
              <w:jc w:val="center"/>
              <w:rPr>
                <w:color w:val="auto"/>
                <w:szCs w:val="21"/>
              </w:rPr>
            </w:pPr>
            <w:r>
              <w:rPr>
                <w:color w:val="auto"/>
                <w:szCs w:val="21"/>
              </w:rPr>
              <w:t>环境保护措施</w:t>
            </w:r>
          </w:p>
        </w:tc>
        <w:tc>
          <w:tcPr>
            <w:tcW w:w="2627" w:type="dxa"/>
            <w:vAlign w:val="center"/>
          </w:tcPr>
          <w:p w14:paraId="5FE3B34E">
            <w:pPr>
              <w:adjustRightInd w:val="0"/>
              <w:snapToGrid w:val="0"/>
              <w:jc w:val="center"/>
              <w:rPr>
                <w:color w:val="auto"/>
                <w:szCs w:val="21"/>
              </w:rPr>
            </w:pPr>
            <w:r>
              <w:rPr>
                <w:color w:val="auto"/>
                <w:szCs w:val="21"/>
              </w:rPr>
              <w:t>执行标准</w:t>
            </w:r>
          </w:p>
        </w:tc>
      </w:tr>
      <w:tr w14:paraId="0EBF1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restart"/>
            <w:vAlign w:val="center"/>
          </w:tcPr>
          <w:p w14:paraId="76178838">
            <w:pPr>
              <w:adjustRightInd w:val="0"/>
              <w:snapToGrid w:val="0"/>
              <w:jc w:val="center"/>
              <w:rPr>
                <w:color w:val="auto"/>
                <w:szCs w:val="21"/>
              </w:rPr>
            </w:pPr>
            <w:r>
              <w:rPr>
                <w:color w:val="auto"/>
                <w:szCs w:val="21"/>
              </w:rPr>
              <w:t>大气环境</w:t>
            </w:r>
          </w:p>
        </w:tc>
        <w:tc>
          <w:tcPr>
            <w:tcW w:w="992" w:type="dxa"/>
            <w:tcBorders>
              <w:right w:val="single" w:color="000000" w:sz="4" w:space="0"/>
            </w:tcBorders>
            <w:vAlign w:val="center"/>
          </w:tcPr>
          <w:p w14:paraId="72AB4FF9">
            <w:pPr>
              <w:adjustRightInd w:val="0"/>
              <w:snapToGrid w:val="0"/>
              <w:jc w:val="center"/>
              <w:rPr>
                <w:rFonts w:hint="default" w:eastAsia="宋体"/>
                <w:color w:val="auto"/>
                <w:szCs w:val="21"/>
                <w:lang w:val="en-US" w:eastAsia="zh-CN"/>
              </w:rPr>
            </w:pPr>
            <w:r>
              <w:rPr>
                <w:rFonts w:hint="eastAsia"/>
                <w:color w:val="auto"/>
                <w:szCs w:val="21"/>
                <w:lang w:val="en-US" w:eastAsia="zh-CN"/>
              </w:rPr>
              <w:t>DA001</w:t>
            </w:r>
          </w:p>
        </w:tc>
        <w:tc>
          <w:tcPr>
            <w:tcW w:w="943" w:type="dxa"/>
            <w:tcBorders>
              <w:left w:val="single" w:color="000000" w:sz="4" w:space="0"/>
            </w:tcBorders>
            <w:vAlign w:val="center"/>
          </w:tcPr>
          <w:p w14:paraId="24622E85">
            <w:pPr>
              <w:jc w:val="center"/>
              <w:rPr>
                <w:rFonts w:hint="default" w:eastAsia="宋体"/>
                <w:color w:val="auto"/>
                <w:szCs w:val="21"/>
                <w:lang w:val="en-US" w:eastAsia="zh-CN"/>
              </w:rPr>
            </w:pPr>
            <w:r>
              <w:rPr>
                <w:rFonts w:hint="eastAsia"/>
                <w:color w:val="auto"/>
                <w:szCs w:val="21"/>
                <w:lang w:val="en-US" w:eastAsia="zh-CN"/>
              </w:rPr>
              <w:t>液氯储存</w:t>
            </w:r>
          </w:p>
        </w:tc>
        <w:tc>
          <w:tcPr>
            <w:tcW w:w="1090" w:type="dxa"/>
            <w:vAlign w:val="center"/>
          </w:tcPr>
          <w:p w14:paraId="1B30F143">
            <w:pPr>
              <w:jc w:val="center"/>
              <w:rPr>
                <w:rFonts w:hint="eastAsia" w:eastAsia="宋体"/>
                <w:color w:val="auto"/>
                <w:szCs w:val="21"/>
                <w:lang w:eastAsia="zh-CN"/>
              </w:rPr>
            </w:pPr>
            <w:r>
              <w:rPr>
                <w:rFonts w:hint="eastAsia"/>
                <w:color w:val="auto"/>
                <w:szCs w:val="21"/>
                <w:lang w:val="en-US" w:eastAsia="zh-CN"/>
              </w:rPr>
              <w:t>氯气</w:t>
            </w:r>
          </w:p>
        </w:tc>
        <w:tc>
          <w:tcPr>
            <w:tcW w:w="1620" w:type="dxa"/>
            <w:vAlign w:val="center"/>
          </w:tcPr>
          <w:p w14:paraId="6C849127">
            <w:pPr>
              <w:jc w:val="center"/>
              <w:rPr>
                <w:rFonts w:hint="default" w:eastAsia="宋体"/>
                <w:color w:val="auto"/>
                <w:szCs w:val="21"/>
                <w:lang w:val="en-US" w:eastAsia="zh-CN"/>
              </w:rPr>
            </w:pPr>
            <w:r>
              <w:rPr>
                <w:rFonts w:hint="eastAsia" w:ascii="Times New Roman" w:hAnsi="Times New Roman" w:cs="Times New Roman"/>
                <w:color w:val="auto"/>
                <w:sz w:val="21"/>
                <w:szCs w:val="21"/>
                <w:lang w:eastAsia="zh-CN"/>
              </w:rPr>
              <w:t>一级水吸收+二级碱吸收</w:t>
            </w:r>
          </w:p>
        </w:tc>
        <w:tc>
          <w:tcPr>
            <w:tcW w:w="2627" w:type="dxa"/>
            <w:shd w:val="clear" w:color="auto" w:fill="auto"/>
            <w:vAlign w:val="center"/>
          </w:tcPr>
          <w:p w14:paraId="5564CCF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《大气污染物综合排放标准》（DB32/4041-2021）表1</w:t>
            </w:r>
          </w:p>
        </w:tc>
      </w:tr>
      <w:tr w14:paraId="2ED51C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vAlign w:val="center"/>
          </w:tcPr>
          <w:p w14:paraId="41E6A1EC">
            <w:pPr>
              <w:adjustRightInd w:val="0"/>
              <w:snapToGrid w:val="0"/>
              <w:jc w:val="center"/>
              <w:rPr>
                <w:color w:val="auto"/>
                <w:szCs w:val="21"/>
              </w:rPr>
            </w:pPr>
          </w:p>
        </w:tc>
        <w:tc>
          <w:tcPr>
            <w:tcW w:w="1935" w:type="dxa"/>
            <w:gridSpan w:val="2"/>
            <w:vMerge w:val="restart"/>
            <w:vAlign w:val="center"/>
          </w:tcPr>
          <w:p w14:paraId="062D13C8">
            <w:pPr>
              <w:jc w:val="center"/>
              <w:rPr>
                <w:rFonts w:hint="eastAsia"/>
                <w:color w:val="auto"/>
                <w:szCs w:val="21"/>
                <w:lang w:val="en-US" w:eastAsia="zh-CN"/>
              </w:rPr>
            </w:pPr>
            <w:r>
              <w:rPr>
                <w:rFonts w:hint="eastAsia"/>
                <w:color w:val="auto"/>
                <w:szCs w:val="21"/>
                <w:lang w:val="en-US" w:eastAsia="zh-CN"/>
              </w:rPr>
              <w:t>厂界</w:t>
            </w:r>
          </w:p>
        </w:tc>
        <w:tc>
          <w:tcPr>
            <w:tcW w:w="1090" w:type="dxa"/>
            <w:vAlign w:val="center"/>
          </w:tcPr>
          <w:p w14:paraId="00103F00">
            <w:pPr>
              <w:jc w:val="center"/>
              <w:rPr>
                <w:rFonts w:hint="eastAsia"/>
                <w:color w:val="auto"/>
                <w:szCs w:val="21"/>
                <w:lang w:val="en-US" w:eastAsia="zh-CN"/>
              </w:rPr>
            </w:pPr>
            <w:r>
              <w:rPr>
                <w:rFonts w:hint="eastAsia"/>
                <w:color w:val="auto"/>
                <w:szCs w:val="21"/>
                <w:lang w:val="en-US" w:eastAsia="zh-CN"/>
              </w:rPr>
              <w:t>氯气</w:t>
            </w:r>
          </w:p>
        </w:tc>
        <w:tc>
          <w:tcPr>
            <w:tcW w:w="1620" w:type="dxa"/>
            <w:vMerge w:val="restart"/>
            <w:vAlign w:val="center"/>
          </w:tcPr>
          <w:p w14:paraId="12642430">
            <w:pPr>
              <w:jc w:val="center"/>
              <w:rPr>
                <w:rFonts w:hint="eastAsia" w:ascii="Times New Roman" w:hAnsi="Times New Roman" w:cs="Times New Roman"/>
                <w:color w:val="auto"/>
                <w:sz w:val="21"/>
                <w:szCs w:val="21"/>
                <w:lang w:eastAsia="zh-CN"/>
              </w:rPr>
            </w:pPr>
            <w:r>
              <w:rPr>
                <w:rFonts w:hint="eastAsia" w:cs="Times New Roman"/>
                <w:color w:val="auto"/>
                <w:sz w:val="21"/>
                <w:szCs w:val="21"/>
                <w:lang w:eastAsia="zh-CN"/>
              </w:rPr>
              <w:t>加强通风</w:t>
            </w:r>
          </w:p>
        </w:tc>
        <w:tc>
          <w:tcPr>
            <w:tcW w:w="2627" w:type="dxa"/>
            <w:shd w:val="clear" w:color="auto" w:fill="auto"/>
            <w:vAlign w:val="center"/>
          </w:tcPr>
          <w:p w14:paraId="212DB2C2">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《大气污染物综合排放标准》（DB32/4041-2021）表3</w:t>
            </w:r>
          </w:p>
        </w:tc>
      </w:tr>
      <w:tr w14:paraId="142256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vAlign w:val="center"/>
          </w:tcPr>
          <w:p w14:paraId="2D4BA2D1">
            <w:pPr>
              <w:adjustRightInd w:val="0"/>
              <w:snapToGrid w:val="0"/>
              <w:jc w:val="center"/>
              <w:rPr>
                <w:color w:val="auto"/>
                <w:szCs w:val="21"/>
              </w:rPr>
            </w:pPr>
          </w:p>
        </w:tc>
        <w:tc>
          <w:tcPr>
            <w:tcW w:w="1935" w:type="dxa"/>
            <w:gridSpan w:val="2"/>
            <w:vMerge w:val="continue"/>
            <w:vAlign w:val="center"/>
          </w:tcPr>
          <w:p w14:paraId="35F749C1">
            <w:pPr>
              <w:jc w:val="center"/>
              <w:rPr>
                <w:rFonts w:hint="eastAsia"/>
                <w:color w:val="auto"/>
                <w:szCs w:val="21"/>
                <w:lang w:val="en-US" w:eastAsia="zh-CN"/>
              </w:rPr>
            </w:pPr>
          </w:p>
        </w:tc>
        <w:tc>
          <w:tcPr>
            <w:tcW w:w="1090" w:type="dxa"/>
            <w:vAlign w:val="center"/>
          </w:tcPr>
          <w:p w14:paraId="50C94337">
            <w:pPr>
              <w:jc w:val="center"/>
              <w:rPr>
                <w:rFonts w:hint="eastAsia"/>
                <w:color w:val="auto"/>
                <w:szCs w:val="21"/>
                <w:lang w:val="en-US" w:eastAsia="zh-CN"/>
              </w:rPr>
            </w:pPr>
            <w:r>
              <w:rPr>
                <w:rFonts w:hint="eastAsia"/>
                <w:color w:val="auto"/>
                <w:szCs w:val="21"/>
                <w:lang w:val="en-US" w:eastAsia="zh-CN"/>
              </w:rPr>
              <w:t>臭气浓度</w:t>
            </w:r>
          </w:p>
        </w:tc>
        <w:tc>
          <w:tcPr>
            <w:tcW w:w="1620" w:type="dxa"/>
            <w:vMerge w:val="continue"/>
            <w:vAlign w:val="center"/>
          </w:tcPr>
          <w:p w14:paraId="35806FB0">
            <w:pPr>
              <w:jc w:val="center"/>
              <w:rPr>
                <w:rFonts w:hint="eastAsia" w:ascii="Times New Roman" w:hAnsi="Times New Roman" w:cs="Times New Roman"/>
                <w:color w:val="auto"/>
                <w:sz w:val="21"/>
                <w:szCs w:val="21"/>
                <w:lang w:eastAsia="zh-CN"/>
              </w:rPr>
            </w:pPr>
          </w:p>
        </w:tc>
        <w:tc>
          <w:tcPr>
            <w:tcW w:w="2627" w:type="dxa"/>
            <w:shd w:val="clear" w:color="auto" w:fill="auto"/>
            <w:vAlign w:val="center"/>
          </w:tcPr>
          <w:p w14:paraId="107146D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《恶臭污染物排放标准》（GB 14554-93）</w:t>
            </w:r>
            <w:r>
              <w:rPr>
                <w:rFonts w:hint="eastAsia" w:cs="Times New Roman"/>
                <w:color w:val="auto"/>
                <w:kern w:val="2"/>
                <w:sz w:val="21"/>
                <w:szCs w:val="21"/>
                <w:lang w:val="en-US" w:eastAsia="zh-CN" w:bidi="ar-SA"/>
              </w:rPr>
              <w:t>表1二级新扩改建标准值</w:t>
            </w:r>
          </w:p>
        </w:tc>
      </w:tr>
      <w:tr w14:paraId="7B4BA8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Align w:val="center"/>
          </w:tcPr>
          <w:p w14:paraId="62CA4AB9">
            <w:pPr>
              <w:adjustRightInd w:val="0"/>
              <w:snapToGrid w:val="0"/>
              <w:jc w:val="center"/>
              <w:rPr>
                <w:color w:val="auto"/>
                <w:szCs w:val="21"/>
              </w:rPr>
            </w:pPr>
            <w:r>
              <w:rPr>
                <w:color w:val="auto"/>
                <w:szCs w:val="21"/>
              </w:rPr>
              <w:t>地表水环境</w:t>
            </w:r>
          </w:p>
        </w:tc>
        <w:tc>
          <w:tcPr>
            <w:tcW w:w="992" w:type="dxa"/>
            <w:tcBorders>
              <w:right w:val="single" w:color="000000" w:sz="4" w:space="0"/>
            </w:tcBorders>
            <w:vAlign w:val="center"/>
          </w:tcPr>
          <w:p w14:paraId="5371415C">
            <w:pPr>
              <w:adjustRightInd w:val="0"/>
              <w:snapToGrid w:val="0"/>
              <w:jc w:val="center"/>
              <w:rPr>
                <w:rFonts w:hint="default" w:eastAsia="宋体"/>
                <w:color w:val="auto"/>
                <w:szCs w:val="21"/>
                <w:lang w:val="en-US" w:eastAsia="zh-CN"/>
              </w:rPr>
            </w:pPr>
            <w:r>
              <w:rPr>
                <w:rFonts w:hint="eastAsia"/>
                <w:color w:val="auto"/>
                <w:szCs w:val="21"/>
                <w:lang w:val="en-US" w:eastAsia="zh-CN"/>
              </w:rPr>
              <w:t>DW001</w:t>
            </w:r>
          </w:p>
        </w:tc>
        <w:tc>
          <w:tcPr>
            <w:tcW w:w="943" w:type="dxa"/>
            <w:tcBorders>
              <w:left w:val="single" w:color="000000" w:sz="4" w:space="0"/>
            </w:tcBorders>
            <w:vAlign w:val="center"/>
          </w:tcPr>
          <w:p w14:paraId="3544B629">
            <w:pPr>
              <w:jc w:val="center"/>
              <w:rPr>
                <w:rFonts w:hint="default" w:eastAsia="宋体"/>
                <w:color w:val="auto"/>
                <w:szCs w:val="21"/>
                <w:lang w:val="en-US" w:eastAsia="zh-CN"/>
              </w:rPr>
            </w:pPr>
            <w:r>
              <w:rPr>
                <w:rFonts w:hint="eastAsia"/>
                <w:color w:val="auto"/>
                <w:szCs w:val="21"/>
                <w:lang w:val="en-US" w:eastAsia="zh-CN"/>
              </w:rPr>
              <w:t>液氯储存</w:t>
            </w:r>
          </w:p>
        </w:tc>
        <w:tc>
          <w:tcPr>
            <w:tcW w:w="1090" w:type="dxa"/>
            <w:vAlign w:val="center"/>
          </w:tcPr>
          <w:p w14:paraId="71DA5FB4">
            <w:pPr>
              <w:jc w:val="center"/>
              <w:rPr>
                <w:rFonts w:hint="eastAsia" w:eastAsia="宋体"/>
                <w:color w:val="auto"/>
                <w:szCs w:val="21"/>
                <w:lang w:eastAsia="zh-CN"/>
              </w:rPr>
            </w:pPr>
            <w:r>
              <w:rPr>
                <w:rFonts w:hint="eastAsia" w:eastAsiaTheme="minorEastAsia"/>
                <w:color w:val="auto"/>
                <w:szCs w:val="21"/>
                <w:lang w:val="en-US" w:eastAsia="zh-CN"/>
              </w:rPr>
              <w:t>COD、SS、氯化物</w:t>
            </w:r>
          </w:p>
        </w:tc>
        <w:tc>
          <w:tcPr>
            <w:tcW w:w="1620" w:type="dxa"/>
            <w:vAlign w:val="center"/>
          </w:tcPr>
          <w:p w14:paraId="37D56055">
            <w:pPr>
              <w:jc w:val="center"/>
              <w:rPr>
                <w:rFonts w:hint="default" w:eastAsia="宋体"/>
                <w:color w:val="auto"/>
                <w:szCs w:val="21"/>
                <w:lang w:val="en-US" w:eastAsia="zh-CN"/>
              </w:rPr>
            </w:pPr>
            <w:r>
              <w:rPr>
                <w:rFonts w:hint="eastAsia"/>
                <w:color w:val="auto"/>
                <w:szCs w:val="21"/>
                <w:lang w:val="en-US" w:eastAsia="zh-CN"/>
              </w:rPr>
              <w:t>厂区污水处理站</w:t>
            </w:r>
          </w:p>
        </w:tc>
        <w:tc>
          <w:tcPr>
            <w:tcW w:w="2627" w:type="dxa"/>
            <w:vAlign w:val="center"/>
          </w:tcPr>
          <w:p w14:paraId="1AB1DFF9">
            <w:pPr>
              <w:jc w:val="center"/>
              <w:rPr>
                <w:rFonts w:hint="default" w:eastAsia="宋体"/>
                <w:color w:val="auto"/>
                <w:szCs w:val="21"/>
                <w:lang w:val="en-US" w:eastAsia="zh-CN"/>
              </w:rPr>
            </w:pPr>
            <w:r>
              <w:rPr>
                <w:rFonts w:hint="eastAsia"/>
                <w:color w:val="auto"/>
                <w:szCs w:val="21"/>
                <w:lang w:val="en-US" w:eastAsia="zh-CN"/>
              </w:rPr>
              <w:t>薛行污水处理厂接管标准</w:t>
            </w:r>
          </w:p>
        </w:tc>
      </w:tr>
      <w:tr w14:paraId="10A7D7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Align w:val="center"/>
          </w:tcPr>
          <w:p w14:paraId="1BF6B209">
            <w:pPr>
              <w:adjustRightInd w:val="0"/>
              <w:snapToGrid w:val="0"/>
              <w:jc w:val="center"/>
              <w:rPr>
                <w:color w:val="auto"/>
                <w:szCs w:val="21"/>
              </w:rPr>
            </w:pPr>
            <w:r>
              <w:rPr>
                <w:color w:val="auto"/>
                <w:szCs w:val="21"/>
              </w:rPr>
              <w:t>声环境</w:t>
            </w:r>
          </w:p>
        </w:tc>
        <w:tc>
          <w:tcPr>
            <w:tcW w:w="992" w:type="dxa"/>
            <w:tcBorders>
              <w:right w:val="single" w:color="000000" w:sz="4" w:space="0"/>
            </w:tcBorders>
            <w:vAlign w:val="center"/>
          </w:tcPr>
          <w:p w14:paraId="03EEA659">
            <w:pPr>
              <w:adjustRightInd w:val="0"/>
              <w:snapToGrid w:val="0"/>
              <w:jc w:val="center"/>
              <w:rPr>
                <w:color w:val="auto"/>
                <w:szCs w:val="21"/>
              </w:rPr>
            </w:pPr>
            <w:r>
              <w:rPr>
                <w:color w:val="auto"/>
                <w:szCs w:val="21"/>
              </w:rPr>
              <w:t>ZS001</w:t>
            </w:r>
          </w:p>
        </w:tc>
        <w:tc>
          <w:tcPr>
            <w:tcW w:w="943" w:type="dxa"/>
            <w:tcBorders>
              <w:left w:val="single" w:color="000000" w:sz="4" w:space="0"/>
            </w:tcBorders>
            <w:vAlign w:val="center"/>
          </w:tcPr>
          <w:p w14:paraId="7F24D50F">
            <w:pPr>
              <w:adjustRightInd w:val="0"/>
              <w:snapToGrid w:val="0"/>
              <w:jc w:val="center"/>
              <w:rPr>
                <w:color w:val="auto"/>
                <w:szCs w:val="21"/>
              </w:rPr>
            </w:pPr>
            <w:r>
              <w:rPr>
                <w:rFonts w:hint="eastAsia"/>
                <w:color w:val="auto"/>
                <w:szCs w:val="21"/>
                <w:lang w:eastAsia="zh-CN"/>
              </w:rPr>
              <w:t>黄磷泵</w:t>
            </w:r>
          </w:p>
        </w:tc>
        <w:tc>
          <w:tcPr>
            <w:tcW w:w="1090" w:type="dxa"/>
            <w:vAlign w:val="center"/>
          </w:tcPr>
          <w:p w14:paraId="7DCA3EFB">
            <w:pPr>
              <w:adjustRightInd w:val="0"/>
              <w:snapToGrid w:val="0"/>
              <w:jc w:val="center"/>
              <w:rPr>
                <w:color w:val="auto"/>
                <w:szCs w:val="21"/>
              </w:rPr>
            </w:pPr>
            <w:r>
              <w:rPr>
                <w:color w:val="auto"/>
                <w:szCs w:val="21"/>
              </w:rPr>
              <w:t>dB</w:t>
            </w:r>
            <w:r>
              <w:rPr>
                <w:rFonts w:hint="eastAsia"/>
                <w:color w:val="auto"/>
                <w:szCs w:val="21"/>
                <w:lang w:eastAsia="zh-CN"/>
              </w:rPr>
              <w:t>(</w:t>
            </w:r>
            <w:r>
              <w:rPr>
                <w:color w:val="auto"/>
                <w:szCs w:val="21"/>
              </w:rPr>
              <w:t>A</w:t>
            </w:r>
            <w:r>
              <w:rPr>
                <w:rFonts w:hint="eastAsia"/>
                <w:color w:val="auto"/>
                <w:szCs w:val="21"/>
                <w:lang w:eastAsia="zh-CN"/>
              </w:rPr>
              <w:t>)</w:t>
            </w:r>
          </w:p>
        </w:tc>
        <w:tc>
          <w:tcPr>
            <w:tcW w:w="1620" w:type="dxa"/>
            <w:vAlign w:val="center"/>
          </w:tcPr>
          <w:p w14:paraId="1C222814">
            <w:pPr>
              <w:adjustRightInd w:val="0"/>
              <w:snapToGrid w:val="0"/>
              <w:jc w:val="center"/>
              <w:rPr>
                <w:color w:val="auto"/>
                <w:szCs w:val="21"/>
              </w:rPr>
            </w:pPr>
            <w:r>
              <w:rPr>
                <w:color w:val="auto"/>
                <w:szCs w:val="21"/>
              </w:rPr>
              <w:t>选用低噪音设备、消声减震、利用建筑物隔声屏蔽、加强操作管理和维护、合理布局等</w:t>
            </w:r>
          </w:p>
        </w:tc>
        <w:tc>
          <w:tcPr>
            <w:tcW w:w="2627" w:type="dxa"/>
            <w:vAlign w:val="center"/>
          </w:tcPr>
          <w:p w14:paraId="5BC4BBA5">
            <w:pPr>
              <w:adjustRightInd w:val="0"/>
              <w:snapToGrid w:val="0"/>
              <w:jc w:val="center"/>
              <w:rPr>
                <w:color w:val="auto"/>
                <w:szCs w:val="21"/>
              </w:rPr>
            </w:pPr>
            <w:r>
              <w:rPr>
                <w:color w:val="auto"/>
                <w:szCs w:val="21"/>
              </w:rPr>
              <w:t>《工业企业厂界环境噪声排放标准》（GB12348-2008）中的3类标准值</w:t>
            </w:r>
          </w:p>
        </w:tc>
      </w:tr>
      <w:tr w14:paraId="627F59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Align w:val="center"/>
          </w:tcPr>
          <w:p w14:paraId="7017D68F">
            <w:pPr>
              <w:adjustRightInd w:val="0"/>
              <w:snapToGrid w:val="0"/>
              <w:jc w:val="center"/>
              <w:rPr>
                <w:color w:val="auto"/>
                <w:szCs w:val="21"/>
              </w:rPr>
            </w:pPr>
            <w:r>
              <w:rPr>
                <w:color w:val="auto"/>
                <w:szCs w:val="21"/>
              </w:rPr>
              <w:t>电磁辐射</w:t>
            </w:r>
          </w:p>
        </w:tc>
        <w:tc>
          <w:tcPr>
            <w:tcW w:w="1935" w:type="dxa"/>
            <w:gridSpan w:val="2"/>
            <w:tcBorders>
              <w:right w:val="single" w:color="000000" w:sz="4" w:space="0"/>
            </w:tcBorders>
            <w:vAlign w:val="center"/>
          </w:tcPr>
          <w:p w14:paraId="3751F9D9">
            <w:pPr>
              <w:adjustRightInd w:val="0"/>
              <w:snapToGrid w:val="0"/>
              <w:jc w:val="center"/>
              <w:rPr>
                <w:color w:val="auto"/>
                <w:szCs w:val="21"/>
              </w:rPr>
            </w:pPr>
            <w:r>
              <w:rPr>
                <w:color w:val="auto"/>
                <w:szCs w:val="21"/>
              </w:rPr>
              <w:t>/</w:t>
            </w:r>
          </w:p>
        </w:tc>
        <w:tc>
          <w:tcPr>
            <w:tcW w:w="1090" w:type="dxa"/>
            <w:tcBorders>
              <w:left w:val="single" w:color="000000" w:sz="4" w:space="0"/>
              <w:right w:val="single" w:color="000000" w:sz="4" w:space="0"/>
            </w:tcBorders>
            <w:vAlign w:val="center"/>
          </w:tcPr>
          <w:p w14:paraId="0B3F2375">
            <w:pPr>
              <w:adjustRightInd w:val="0"/>
              <w:snapToGrid w:val="0"/>
              <w:jc w:val="center"/>
              <w:rPr>
                <w:color w:val="auto"/>
                <w:szCs w:val="21"/>
              </w:rPr>
            </w:pPr>
            <w:r>
              <w:rPr>
                <w:color w:val="auto"/>
                <w:szCs w:val="21"/>
              </w:rPr>
              <w:t>/</w:t>
            </w:r>
          </w:p>
        </w:tc>
        <w:tc>
          <w:tcPr>
            <w:tcW w:w="1620" w:type="dxa"/>
            <w:tcBorders>
              <w:left w:val="single" w:color="000000" w:sz="4" w:space="0"/>
              <w:right w:val="single" w:color="000000" w:sz="4" w:space="0"/>
            </w:tcBorders>
            <w:vAlign w:val="center"/>
          </w:tcPr>
          <w:p w14:paraId="5279E9D3">
            <w:pPr>
              <w:adjustRightInd w:val="0"/>
              <w:snapToGrid w:val="0"/>
              <w:jc w:val="center"/>
              <w:rPr>
                <w:color w:val="auto"/>
                <w:szCs w:val="21"/>
              </w:rPr>
            </w:pPr>
            <w:r>
              <w:rPr>
                <w:color w:val="auto"/>
                <w:szCs w:val="21"/>
              </w:rPr>
              <w:t>/</w:t>
            </w:r>
          </w:p>
        </w:tc>
        <w:tc>
          <w:tcPr>
            <w:tcW w:w="2627" w:type="dxa"/>
            <w:tcBorders>
              <w:left w:val="single" w:color="000000" w:sz="4" w:space="0"/>
            </w:tcBorders>
            <w:vAlign w:val="center"/>
          </w:tcPr>
          <w:p w14:paraId="0072AF55">
            <w:pPr>
              <w:adjustRightInd w:val="0"/>
              <w:snapToGrid w:val="0"/>
              <w:jc w:val="center"/>
              <w:rPr>
                <w:color w:val="auto"/>
                <w:szCs w:val="21"/>
              </w:rPr>
            </w:pPr>
            <w:r>
              <w:rPr>
                <w:color w:val="auto"/>
                <w:szCs w:val="21"/>
              </w:rPr>
              <w:t>/</w:t>
            </w:r>
          </w:p>
        </w:tc>
      </w:tr>
      <w:tr w14:paraId="0846F3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38" w:type="dxa"/>
            <w:vAlign w:val="center"/>
          </w:tcPr>
          <w:p w14:paraId="73F5AD85">
            <w:pPr>
              <w:adjustRightInd w:val="0"/>
              <w:snapToGrid w:val="0"/>
              <w:jc w:val="center"/>
              <w:rPr>
                <w:color w:val="auto"/>
                <w:szCs w:val="21"/>
              </w:rPr>
            </w:pPr>
            <w:r>
              <w:rPr>
                <w:color w:val="auto"/>
                <w:szCs w:val="21"/>
              </w:rPr>
              <w:t>固体废物</w:t>
            </w:r>
          </w:p>
        </w:tc>
        <w:tc>
          <w:tcPr>
            <w:tcW w:w="7272" w:type="dxa"/>
            <w:gridSpan w:val="5"/>
            <w:vAlign w:val="center"/>
          </w:tcPr>
          <w:p w14:paraId="36BCDCE5">
            <w:pPr>
              <w:adjustRightInd w:val="0"/>
              <w:snapToGrid w:val="0"/>
              <w:ind w:firstLine="420" w:firstLineChars="200"/>
              <w:jc w:val="left"/>
              <w:rPr>
                <w:rFonts w:hint="eastAsia" w:eastAsia="宋体"/>
                <w:color w:val="auto"/>
                <w:szCs w:val="21"/>
                <w:lang w:eastAsia="zh-CN"/>
              </w:rPr>
            </w:pPr>
            <w:r>
              <w:rPr>
                <w:rFonts w:hint="eastAsia"/>
                <w:color w:val="auto"/>
                <w:szCs w:val="21"/>
                <w:lang w:val="en-US" w:eastAsia="zh-CN"/>
              </w:rPr>
              <w:t>/</w:t>
            </w:r>
          </w:p>
        </w:tc>
      </w:tr>
      <w:tr w14:paraId="28FC89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38" w:type="dxa"/>
            <w:vAlign w:val="center"/>
          </w:tcPr>
          <w:p w14:paraId="0EDF2D47">
            <w:pPr>
              <w:adjustRightInd w:val="0"/>
              <w:snapToGrid w:val="0"/>
              <w:jc w:val="center"/>
              <w:rPr>
                <w:color w:val="auto"/>
                <w:szCs w:val="21"/>
              </w:rPr>
            </w:pPr>
            <w:r>
              <w:rPr>
                <w:color w:val="auto"/>
                <w:szCs w:val="21"/>
              </w:rPr>
              <w:t>土壤及地下水</w:t>
            </w:r>
          </w:p>
          <w:p w14:paraId="746F1842">
            <w:pPr>
              <w:adjustRightInd w:val="0"/>
              <w:snapToGrid w:val="0"/>
              <w:jc w:val="center"/>
              <w:rPr>
                <w:color w:val="auto"/>
                <w:szCs w:val="21"/>
              </w:rPr>
            </w:pPr>
            <w:r>
              <w:rPr>
                <w:color w:val="auto"/>
                <w:szCs w:val="21"/>
              </w:rPr>
              <w:t>污染防治措施</w:t>
            </w:r>
          </w:p>
        </w:tc>
        <w:tc>
          <w:tcPr>
            <w:tcW w:w="7272" w:type="dxa"/>
            <w:gridSpan w:val="5"/>
            <w:vAlign w:val="center"/>
          </w:tcPr>
          <w:p w14:paraId="1323DFFC">
            <w:pPr>
              <w:adjustRightInd w:val="0"/>
              <w:snapToGrid w:val="0"/>
              <w:ind w:firstLine="420" w:firstLineChars="200"/>
              <w:jc w:val="left"/>
              <w:rPr>
                <w:color w:val="auto"/>
              </w:rPr>
            </w:pPr>
            <w:r>
              <w:rPr>
                <w:rFonts w:hint="eastAsia" w:ascii="宋体" w:hAnsi="宋体" w:cs="宋体"/>
                <w:color w:val="auto"/>
              </w:rPr>
              <w:t>①</w:t>
            </w:r>
            <w:r>
              <w:rPr>
                <w:color w:val="auto"/>
              </w:rPr>
              <w:t>建立罐区、生产线、生产车间管理制度，对生产线、罐区进行定期维护保养、例行检查</w:t>
            </w:r>
            <w:r>
              <w:rPr>
                <w:rFonts w:hint="eastAsia"/>
                <w:color w:val="auto"/>
                <w:lang w:eastAsia="zh-CN"/>
              </w:rPr>
              <w:t>，从</w:t>
            </w:r>
            <w:r>
              <w:rPr>
                <w:color w:val="auto"/>
              </w:rPr>
              <w:t>源头上减少污染物泄漏可能性；</w:t>
            </w:r>
            <w:r>
              <w:rPr>
                <w:rFonts w:hint="eastAsia" w:ascii="宋体" w:hAnsi="宋体" w:cs="宋体"/>
                <w:color w:val="auto"/>
              </w:rPr>
              <w:t>②</w:t>
            </w:r>
            <w:r>
              <w:rPr>
                <w:color w:val="auto"/>
              </w:rPr>
              <w:t>合理布局，减少污染物泄漏途径；</w:t>
            </w:r>
            <w:r>
              <w:rPr>
                <w:rFonts w:hint="eastAsia" w:ascii="宋体" w:hAnsi="宋体" w:cs="宋体"/>
                <w:color w:val="auto"/>
              </w:rPr>
              <w:t>③</w:t>
            </w:r>
            <w:r>
              <w:rPr>
                <w:color w:val="auto"/>
              </w:rPr>
              <w:t>厂内不同区域实施分区防治；</w:t>
            </w:r>
            <w:r>
              <w:rPr>
                <w:rFonts w:hint="eastAsia" w:ascii="宋体" w:hAnsi="宋体" w:cs="宋体"/>
                <w:color w:val="auto"/>
              </w:rPr>
              <w:t>④</w:t>
            </w:r>
            <w:r>
              <w:rPr>
                <w:color w:val="auto"/>
              </w:rPr>
              <w:t>对全厂及各装置设施采取严格的防渗措施</w:t>
            </w:r>
          </w:p>
        </w:tc>
      </w:tr>
      <w:tr w14:paraId="38E055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538" w:type="dxa"/>
            <w:vAlign w:val="center"/>
          </w:tcPr>
          <w:p w14:paraId="289AE357">
            <w:pPr>
              <w:adjustRightInd w:val="0"/>
              <w:snapToGrid w:val="0"/>
              <w:jc w:val="center"/>
              <w:rPr>
                <w:color w:val="auto"/>
                <w:szCs w:val="21"/>
              </w:rPr>
            </w:pPr>
            <w:r>
              <w:rPr>
                <w:color w:val="auto"/>
                <w:szCs w:val="21"/>
              </w:rPr>
              <w:t>生态保护措施</w:t>
            </w:r>
          </w:p>
        </w:tc>
        <w:tc>
          <w:tcPr>
            <w:tcW w:w="7272" w:type="dxa"/>
            <w:gridSpan w:val="5"/>
            <w:vAlign w:val="center"/>
          </w:tcPr>
          <w:p w14:paraId="1B471E7E">
            <w:pPr>
              <w:adjustRightInd w:val="0"/>
              <w:snapToGrid w:val="0"/>
              <w:jc w:val="center"/>
              <w:rPr>
                <w:color w:val="auto"/>
                <w:szCs w:val="21"/>
              </w:rPr>
            </w:pPr>
            <w:r>
              <w:rPr>
                <w:color w:val="auto"/>
                <w:szCs w:val="21"/>
              </w:rPr>
              <w:t>/</w:t>
            </w:r>
          </w:p>
        </w:tc>
      </w:tr>
      <w:tr w14:paraId="600E5F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538" w:type="dxa"/>
            <w:vAlign w:val="center"/>
          </w:tcPr>
          <w:p w14:paraId="6A991D00">
            <w:pPr>
              <w:adjustRightInd w:val="0"/>
              <w:snapToGrid w:val="0"/>
              <w:jc w:val="center"/>
              <w:rPr>
                <w:color w:val="auto"/>
                <w:spacing w:val="-8"/>
                <w:szCs w:val="21"/>
              </w:rPr>
            </w:pPr>
            <w:r>
              <w:rPr>
                <w:color w:val="auto"/>
                <w:spacing w:val="-8"/>
                <w:szCs w:val="21"/>
              </w:rPr>
              <w:t>环境风险</w:t>
            </w:r>
          </w:p>
          <w:p w14:paraId="385F6899">
            <w:pPr>
              <w:adjustRightInd w:val="0"/>
              <w:snapToGrid w:val="0"/>
              <w:jc w:val="center"/>
              <w:rPr>
                <w:color w:val="auto"/>
                <w:spacing w:val="-8"/>
                <w:szCs w:val="21"/>
              </w:rPr>
            </w:pPr>
            <w:r>
              <w:rPr>
                <w:color w:val="auto"/>
                <w:spacing w:val="-8"/>
                <w:szCs w:val="21"/>
              </w:rPr>
              <w:t>防范措施</w:t>
            </w:r>
          </w:p>
        </w:tc>
        <w:tc>
          <w:tcPr>
            <w:tcW w:w="7272" w:type="dxa"/>
            <w:gridSpan w:val="5"/>
            <w:vAlign w:val="center"/>
          </w:tcPr>
          <w:p w14:paraId="08072384">
            <w:pPr>
              <w:adjustRightInd w:val="0"/>
              <w:snapToGrid w:val="0"/>
              <w:ind w:firstLine="420" w:firstLineChars="200"/>
              <w:rPr>
                <w:color w:val="auto"/>
                <w:szCs w:val="21"/>
              </w:rPr>
            </w:pPr>
            <w:r>
              <w:rPr>
                <w:color w:val="auto"/>
                <w:szCs w:val="21"/>
              </w:rPr>
              <w:t>①合理选址、总图布置；②安全生产管理系统；③电气、电讯安全防范措施；④消防及火灾报警系统；⑤废水事故排放防范及应急措施，设置</w:t>
            </w:r>
            <w:r>
              <w:rPr>
                <w:rFonts w:hint="eastAsia"/>
                <w:color w:val="auto"/>
                <w:szCs w:val="21"/>
                <w:lang w:val="en-US" w:eastAsia="zh-CN"/>
              </w:rPr>
              <w:t>96</w:t>
            </w:r>
            <w:r>
              <w:rPr>
                <w:rFonts w:hint="eastAsia"/>
                <w:color w:val="auto"/>
                <w:szCs w:val="21"/>
              </w:rPr>
              <w:t>0</w:t>
            </w:r>
            <w:r>
              <w:rPr>
                <w:color w:val="auto"/>
                <w:szCs w:val="21"/>
              </w:rPr>
              <w:t>m</w:t>
            </w:r>
            <w:r>
              <w:rPr>
                <w:color w:val="auto"/>
                <w:szCs w:val="21"/>
                <w:vertAlign w:val="superscript"/>
              </w:rPr>
              <w:t>3</w:t>
            </w:r>
            <w:r>
              <w:rPr>
                <w:color w:val="auto"/>
                <w:szCs w:val="21"/>
              </w:rPr>
              <w:t>事故池</w:t>
            </w:r>
            <w:r>
              <w:rPr>
                <w:rFonts w:hint="eastAsia"/>
                <w:color w:val="auto"/>
                <w:szCs w:val="21"/>
                <w:lang w:eastAsia="zh-CN"/>
              </w:rPr>
              <w:t>（依托厂区现有）</w:t>
            </w:r>
            <w:r>
              <w:rPr>
                <w:color w:val="auto"/>
                <w:szCs w:val="21"/>
              </w:rPr>
              <w:t>⑥制定应急响应及疏散措施</w:t>
            </w:r>
          </w:p>
          <w:p w14:paraId="1D9A74A4">
            <w:pPr>
              <w:widowControl/>
              <w:ind w:firstLine="420" w:firstLineChars="200"/>
              <w:jc w:val="left"/>
              <w:rPr>
                <w:color w:val="auto"/>
                <w:szCs w:val="21"/>
              </w:rPr>
            </w:pPr>
            <w:r>
              <w:rPr>
                <w:color w:val="auto"/>
                <w:kern w:val="0"/>
                <w:szCs w:val="21"/>
              </w:rPr>
              <w:t>a.总图布置严格按照《建筑设计防火规范》（GB50016-2014）及2018年修改单的要求进行设计。</w:t>
            </w:r>
          </w:p>
          <w:p w14:paraId="7EC24A62">
            <w:pPr>
              <w:widowControl/>
              <w:ind w:firstLine="420" w:firstLineChars="200"/>
              <w:jc w:val="left"/>
              <w:rPr>
                <w:color w:val="auto"/>
                <w:szCs w:val="21"/>
              </w:rPr>
            </w:pPr>
            <w:r>
              <w:rPr>
                <w:color w:val="auto"/>
                <w:kern w:val="0"/>
                <w:szCs w:val="21"/>
              </w:rPr>
              <w:t>b.危废库地面均做防渗处理。</w:t>
            </w:r>
          </w:p>
          <w:p w14:paraId="2DCC7D29">
            <w:pPr>
              <w:widowControl/>
              <w:ind w:firstLine="420" w:firstLineChars="200"/>
              <w:jc w:val="left"/>
              <w:rPr>
                <w:color w:val="auto"/>
                <w:szCs w:val="21"/>
              </w:rPr>
            </w:pPr>
            <w:r>
              <w:rPr>
                <w:color w:val="auto"/>
                <w:kern w:val="0"/>
                <w:szCs w:val="21"/>
              </w:rPr>
              <w:t>c.按照使用计划严格控制化学品的暂存量，不过多存放；及时清理危废。</w:t>
            </w:r>
          </w:p>
          <w:p w14:paraId="36C87DB6">
            <w:pPr>
              <w:widowControl/>
              <w:ind w:firstLine="420" w:firstLineChars="200"/>
              <w:jc w:val="left"/>
              <w:rPr>
                <w:color w:val="auto"/>
                <w:kern w:val="0"/>
                <w:szCs w:val="21"/>
              </w:rPr>
            </w:pPr>
            <w:r>
              <w:rPr>
                <w:color w:val="auto"/>
                <w:kern w:val="0"/>
                <w:szCs w:val="21"/>
              </w:rPr>
              <w:t>d.危废的存放设置明显标志，并由专人管理，出入库应当进行核查登记，并定期检查。</w:t>
            </w:r>
          </w:p>
          <w:p w14:paraId="62A5B107">
            <w:pPr>
              <w:widowControl/>
              <w:ind w:firstLine="420" w:firstLineChars="200"/>
              <w:jc w:val="left"/>
              <w:rPr>
                <w:color w:val="auto"/>
                <w:szCs w:val="21"/>
              </w:rPr>
            </w:pPr>
            <w:r>
              <w:rPr>
                <w:color w:val="auto"/>
                <w:kern w:val="0"/>
                <w:szCs w:val="21"/>
              </w:rPr>
              <w:t>e.制定突发环境事件应急预案，建立应急小组，负责应急</w:t>
            </w:r>
            <w:r>
              <w:rPr>
                <w:rFonts w:hint="eastAsia"/>
                <w:color w:val="auto"/>
                <w:kern w:val="0"/>
                <w:szCs w:val="21"/>
                <w:lang w:eastAsia="zh-CN"/>
              </w:rPr>
              <w:t>突发</w:t>
            </w:r>
            <w:r>
              <w:rPr>
                <w:color w:val="auto"/>
                <w:kern w:val="0"/>
                <w:szCs w:val="21"/>
              </w:rPr>
              <w:t>事件的组织、指挥、抢修、控制、协调等应急响应行动；配备消防器材、救生器、防护面罩、胶皮手套、急救用品、沙袋、吸收棉、收集桶等应急物资或设备；发生泄漏时，用</w:t>
            </w:r>
            <w:r>
              <w:rPr>
                <w:rFonts w:hint="eastAsia"/>
                <w:color w:val="auto"/>
                <w:kern w:val="0"/>
                <w:szCs w:val="21"/>
                <w:lang w:eastAsia="zh-CN"/>
              </w:rPr>
              <w:t>沙土</w:t>
            </w:r>
            <w:r>
              <w:rPr>
                <w:color w:val="auto"/>
                <w:kern w:val="0"/>
                <w:szCs w:val="21"/>
              </w:rPr>
              <w:t>或</w:t>
            </w:r>
            <w:r>
              <w:rPr>
                <w:rFonts w:hint="eastAsia"/>
                <w:color w:val="auto"/>
                <w:kern w:val="0"/>
                <w:szCs w:val="21"/>
                <w:lang w:eastAsia="zh-CN"/>
              </w:rPr>
              <w:t>其他</w:t>
            </w:r>
            <w:r>
              <w:rPr>
                <w:color w:val="auto"/>
                <w:kern w:val="0"/>
                <w:szCs w:val="21"/>
              </w:rPr>
              <w:t>材料吸附或吸收，然后铲入桶内收集；</w:t>
            </w:r>
            <w:r>
              <w:rPr>
                <w:color w:val="auto"/>
                <w:szCs w:val="21"/>
              </w:rPr>
              <w:t>设置</w:t>
            </w:r>
            <w:r>
              <w:rPr>
                <w:rFonts w:hint="eastAsia"/>
                <w:color w:val="auto"/>
                <w:szCs w:val="21"/>
                <w:lang w:val="en-US" w:eastAsia="zh-CN"/>
              </w:rPr>
              <w:t>96</w:t>
            </w:r>
            <w:r>
              <w:rPr>
                <w:color w:val="auto"/>
                <w:szCs w:val="21"/>
              </w:rPr>
              <w:t>0m</w:t>
            </w:r>
            <w:r>
              <w:rPr>
                <w:color w:val="auto"/>
                <w:szCs w:val="21"/>
                <w:vertAlign w:val="superscript"/>
              </w:rPr>
              <w:t>3</w:t>
            </w:r>
            <w:r>
              <w:rPr>
                <w:color w:val="auto"/>
                <w:szCs w:val="21"/>
              </w:rPr>
              <w:t>事故池</w:t>
            </w:r>
            <w:r>
              <w:rPr>
                <w:rFonts w:hint="eastAsia"/>
                <w:color w:val="auto"/>
                <w:szCs w:val="21"/>
                <w:lang w:eastAsia="zh-CN"/>
              </w:rPr>
              <w:t>（依托厂区现有）</w:t>
            </w:r>
            <w:r>
              <w:rPr>
                <w:color w:val="auto"/>
                <w:szCs w:val="21"/>
              </w:rPr>
              <w:t>；制定应急响应及疏散措施</w:t>
            </w:r>
          </w:p>
        </w:tc>
      </w:tr>
      <w:tr w14:paraId="4E672D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38" w:type="dxa"/>
            <w:vAlign w:val="center"/>
          </w:tcPr>
          <w:p w14:paraId="3705D2BD">
            <w:pPr>
              <w:adjustRightInd w:val="0"/>
              <w:snapToGrid w:val="0"/>
              <w:jc w:val="center"/>
              <w:rPr>
                <w:color w:val="auto"/>
                <w:spacing w:val="-8"/>
                <w:szCs w:val="21"/>
              </w:rPr>
            </w:pPr>
            <w:r>
              <w:rPr>
                <w:color w:val="auto"/>
                <w:spacing w:val="-8"/>
                <w:szCs w:val="21"/>
              </w:rPr>
              <w:t>其他环境</w:t>
            </w:r>
          </w:p>
          <w:p w14:paraId="5C22213D">
            <w:pPr>
              <w:adjustRightInd w:val="0"/>
              <w:snapToGrid w:val="0"/>
              <w:jc w:val="center"/>
              <w:rPr>
                <w:color w:val="auto"/>
                <w:spacing w:val="-8"/>
                <w:szCs w:val="21"/>
              </w:rPr>
            </w:pPr>
            <w:r>
              <w:rPr>
                <w:color w:val="auto"/>
                <w:spacing w:val="-8"/>
                <w:szCs w:val="21"/>
              </w:rPr>
              <w:t>管理要求</w:t>
            </w:r>
          </w:p>
        </w:tc>
        <w:tc>
          <w:tcPr>
            <w:tcW w:w="7272" w:type="dxa"/>
            <w:gridSpan w:val="5"/>
            <w:vAlign w:val="center"/>
          </w:tcPr>
          <w:p w14:paraId="363AC133">
            <w:pPr>
              <w:ind w:firstLine="420" w:firstLineChars="200"/>
              <w:rPr>
                <w:color w:val="auto"/>
                <w:szCs w:val="21"/>
              </w:rPr>
            </w:pPr>
            <w:r>
              <w:rPr>
                <w:rFonts w:hint="eastAsia"/>
                <w:color w:val="auto"/>
                <w:szCs w:val="21"/>
                <w:lang w:eastAsia="zh-CN"/>
              </w:rPr>
              <w:t>1.</w:t>
            </w:r>
            <w:r>
              <w:rPr>
                <w:color w:val="auto"/>
                <w:szCs w:val="21"/>
              </w:rPr>
              <w:t>环境管理与监测计划</w:t>
            </w:r>
          </w:p>
          <w:p w14:paraId="7E96BD46">
            <w:pPr>
              <w:keepNext/>
              <w:widowControl/>
              <w:ind w:firstLine="420" w:firstLineChars="200"/>
              <w:rPr>
                <w:color w:val="auto"/>
                <w:szCs w:val="21"/>
              </w:rPr>
            </w:pPr>
            <w:r>
              <w:rPr>
                <w:color w:val="auto"/>
                <w:szCs w:val="21"/>
              </w:rPr>
              <w:t xml:space="preserve">（1）环境管理计划 </w:t>
            </w:r>
          </w:p>
          <w:p w14:paraId="47A89C9D">
            <w:pPr>
              <w:keepNext/>
              <w:widowControl/>
              <w:ind w:firstLine="420" w:firstLineChars="200"/>
              <w:rPr>
                <w:color w:val="auto"/>
                <w:szCs w:val="21"/>
              </w:rPr>
            </w:pPr>
            <w:r>
              <w:rPr>
                <w:color w:val="auto"/>
                <w:szCs w:val="21"/>
              </w:rPr>
              <w:t xml:space="preserve">①严格执行“三同时”制度 </w:t>
            </w:r>
          </w:p>
          <w:p w14:paraId="606857E7">
            <w:pPr>
              <w:keepNext/>
              <w:widowControl/>
              <w:ind w:firstLine="420" w:firstLineChars="200"/>
              <w:rPr>
                <w:color w:val="auto"/>
                <w:szCs w:val="21"/>
              </w:rPr>
            </w:pPr>
            <w:r>
              <w:rPr>
                <w:color w:val="auto"/>
                <w:szCs w:val="21"/>
              </w:rPr>
              <w:t>在项目筹备、设计和施工建设不同阶段，均应严格执行“三同时”制度，确保</w:t>
            </w:r>
            <w:r>
              <w:rPr>
                <w:rFonts w:hint="eastAsia"/>
                <w:color w:val="auto"/>
                <w:szCs w:val="21"/>
                <w:lang w:eastAsia="zh-CN"/>
              </w:rPr>
              <w:t>污水处理</w:t>
            </w:r>
            <w:r>
              <w:rPr>
                <w:color w:val="auto"/>
                <w:szCs w:val="21"/>
              </w:rPr>
              <w:t xml:space="preserve">设施能够与生产工艺设施“同时设计、同时施工、同时竣工”。 </w:t>
            </w:r>
          </w:p>
          <w:p w14:paraId="27BFE6D7">
            <w:pPr>
              <w:keepNext/>
              <w:widowControl/>
              <w:ind w:firstLine="420" w:firstLineChars="200"/>
              <w:rPr>
                <w:color w:val="auto"/>
                <w:szCs w:val="21"/>
              </w:rPr>
            </w:pPr>
            <w:r>
              <w:rPr>
                <w:color w:val="auto"/>
                <w:szCs w:val="21"/>
              </w:rPr>
              <w:t xml:space="preserve">②建立环境报告制度 </w:t>
            </w:r>
          </w:p>
          <w:p w14:paraId="2D6E97EF">
            <w:pPr>
              <w:keepNext/>
              <w:widowControl/>
              <w:ind w:firstLine="420" w:firstLineChars="200"/>
              <w:rPr>
                <w:color w:val="auto"/>
                <w:szCs w:val="21"/>
              </w:rPr>
            </w:pPr>
            <w:r>
              <w:rPr>
                <w:color w:val="auto"/>
                <w:szCs w:val="21"/>
              </w:rPr>
              <w:t xml:space="preserve">应按有关法规的要求，严格执行排污申报制度；此外，在项目工程排污发生重大变化、污染治理设施发生重大改变或拟实施新、改、新建项目时必须及时向相关环保行政主管部门申报。 </w:t>
            </w:r>
          </w:p>
          <w:p w14:paraId="5F5277C5">
            <w:pPr>
              <w:keepNext/>
              <w:widowControl/>
              <w:ind w:firstLine="420" w:firstLineChars="200"/>
              <w:rPr>
                <w:color w:val="auto"/>
                <w:szCs w:val="21"/>
              </w:rPr>
            </w:pPr>
            <w:r>
              <w:rPr>
                <w:color w:val="auto"/>
                <w:szCs w:val="21"/>
              </w:rPr>
              <w:t xml:space="preserve">③健全污染治理设施管理制度 </w:t>
            </w:r>
          </w:p>
          <w:p w14:paraId="11DE2942">
            <w:pPr>
              <w:ind w:firstLine="420" w:firstLineChars="200"/>
              <w:rPr>
                <w:color w:val="auto"/>
                <w:szCs w:val="21"/>
              </w:rPr>
            </w:pPr>
            <w:r>
              <w:rPr>
                <w:color w:val="auto"/>
                <w:szCs w:val="21"/>
              </w:rPr>
              <w:t>建立健全污染治理设施的运行、检修、维护保养的作业规程和管理制度，将污染治理设施的管理与生产经营管理一同纳入公司日常管理工作的范畴，落实责任人，建立</w:t>
            </w:r>
            <w:r>
              <w:rPr>
                <w:rFonts w:hint="eastAsia"/>
                <w:color w:val="auto"/>
                <w:szCs w:val="21"/>
                <w:lang w:eastAsia="zh-CN"/>
              </w:rPr>
              <w:t>管理台账</w:t>
            </w:r>
            <w:r>
              <w:rPr>
                <w:color w:val="auto"/>
                <w:szCs w:val="21"/>
              </w:rPr>
              <w:t>。</w:t>
            </w:r>
          </w:p>
          <w:p w14:paraId="39725CFE">
            <w:pPr>
              <w:keepNext/>
              <w:widowControl/>
              <w:ind w:firstLine="420" w:firstLineChars="200"/>
              <w:rPr>
                <w:color w:val="auto"/>
                <w:szCs w:val="21"/>
              </w:rPr>
            </w:pPr>
            <w:r>
              <w:rPr>
                <w:color w:val="auto"/>
                <w:szCs w:val="21"/>
              </w:rPr>
              <w:t xml:space="preserve">④建立环境目标管理责任制和奖惩条例 </w:t>
            </w:r>
          </w:p>
          <w:p w14:paraId="791BD084">
            <w:pPr>
              <w:ind w:firstLine="420" w:firstLineChars="200"/>
              <w:rPr>
                <w:color w:val="auto"/>
                <w:szCs w:val="21"/>
              </w:rPr>
            </w:pPr>
            <w:r>
              <w:rPr>
                <w:color w:val="auto"/>
                <w:szCs w:val="21"/>
              </w:rPr>
              <w:t>建立并实施各级人员的环境目标管理责任制，把环境目标责任完成情况与奖惩制度结合起来。设置环境保护奖惩条例，在公司内部形成注重环境管理，持续改进环境绩效的氛围。</w:t>
            </w:r>
          </w:p>
          <w:p w14:paraId="067240BE">
            <w:pPr>
              <w:keepNext/>
              <w:widowControl/>
              <w:ind w:firstLine="420" w:firstLineChars="200"/>
              <w:rPr>
                <w:color w:val="auto"/>
                <w:szCs w:val="21"/>
              </w:rPr>
            </w:pPr>
            <w:r>
              <w:rPr>
                <w:color w:val="auto"/>
                <w:szCs w:val="21"/>
              </w:rPr>
              <w:t xml:space="preserve">⑤建设单位应通过“江苏省危险废物动态管理信息系统”（江苏省环保厅网站）进行危险废物申报登记。 </w:t>
            </w:r>
          </w:p>
          <w:p w14:paraId="487E7484">
            <w:pPr>
              <w:keepNext/>
              <w:widowControl/>
              <w:ind w:firstLine="420" w:firstLineChars="200"/>
              <w:rPr>
                <w:color w:val="auto"/>
                <w:szCs w:val="21"/>
              </w:rPr>
            </w:pPr>
            <w:r>
              <w:rPr>
                <w:color w:val="auto"/>
                <w:szCs w:val="21"/>
              </w:rPr>
              <w:t xml:space="preserve">⑥建立风险管理及应急救援体系，执行环境监测计划、转移联单管理制度及国家和省有关转移管理的相关规定、处置过程安全操作规程、人员培训考核制度、档案管理制度、处置全过程管理制度。 </w:t>
            </w:r>
          </w:p>
          <w:p w14:paraId="2E3856FD">
            <w:pPr>
              <w:keepNext/>
              <w:widowControl/>
              <w:ind w:firstLine="420" w:firstLineChars="200"/>
              <w:rPr>
                <w:color w:val="auto"/>
                <w:szCs w:val="21"/>
              </w:rPr>
            </w:pPr>
            <w:r>
              <w:rPr>
                <w:color w:val="auto"/>
                <w:szCs w:val="21"/>
              </w:rPr>
              <w:t>⑦规范建设危险废物贮存场所并按照要求设置警告标志，危废包装、容器和贮存场所应按照《危险废物贮存污染控制标准》（GB18597</w:t>
            </w:r>
            <w:r>
              <w:rPr>
                <w:rFonts w:hint="eastAsia"/>
                <w:color w:val="auto"/>
                <w:szCs w:val="21"/>
              </w:rPr>
              <w:t>-</w:t>
            </w:r>
            <w:r>
              <w:rPr>
                <w:color w:val="auto"/>
                <w:szCs w:val="21"/>
              </w:rPr>
              <w:t xml:space="preserve">2023）要求张贴标识。 </w:t>
            </w:r>
          </w:p>
          <w:p w14:paraId="27773183">
            <w:pPr>
              <w:autoSpaceDE w:val="0"/>
              <w:autoSpaceDN w:val="0"/>
              <w:adjustRightInd w:val="0"/>
              <w:ind w:firstLine="420" w:firstLineChars="200"/>
              <w:rPr>
                <w:color w:val="auto"/>
                <w:szCs w:val="21"/>
              </w:rPr>
            </w:pPr>
            <w:r>
              <w:rPr>
                <w:color w:val="auto"/>
                <w:szCs w:val="21"/>
              </w:rPr>
              <w:t>⑧企业需要根据</w:t>
            </w:r>
            <w:r>
              <w:rPr>
                <w:rFonts w:hint="eastAsia"/>
                <w:color w:val="auto"/>
              </w:rPr>
              <w:t>《企业环境信息依法披露管理办法》（生态环境</w:t>
            </w:r>
            <w:r>
              <w:rPr>
                <w:rFonts w:hint="eastAsia"/>
                <w:color w:val="auto"/>
                <w:lang w:eastAsia="zh-CN"/>
              </w:rPr>
              <w:t>部</w:t>
            </w:r>
            <w:r>
              <w:rPr>
                <w:rFonts w:hint="eastAsia"/>
                <w:color w:val="auto"/>
              </w:rPr>
              <w:t>令 第24号）</w:t>
            </w:r>
            <w:r>
              <w:rPr>
                <w:color w:val="auto"/>
                <w:szCs w:val="21"/>
              </w:rPr>
              <w:t>要求向社会公开相关信息。</w:t>
            </w:r>
          </w:p>
          <w:p w14:paraId="4B8FE6FD">
            <w:pPr>
              <w:widowControl/>
              <w:ind w:firstLine="420" w:firstLineChars="200"/>
              <w:rPr>
                <w:rFonts w:hint="eastAsia"/>
                <w:color w:val="auto"/>
                <w:szCs w:val="21"/>
              </w:rPr>
            </w:pPr>
            <w:r>
              <w:rPr>
                <w:rFonts w:hint="eastAsia"/>
                <w:color w:val="auto"/>
                <w:szCs w:val="21"/>
              </w:rPr>
              <w:t>企业于2023年12月20日重新申领了排污许可证，排污许可编号为913208267855626437001V，有效期自2023年12月20日至2028年12月19日。</w:t>
            </w:r>
          </w:p>
          <w:p w14:paraId="4695F87D">
            <w:pPr>
              <w:widowControl/>
              <w:ind w:firstLine="420" w:firstLineChars="200"/>
              <w:rPr>
                <w:color w:val="auto"/>
                <w:szCs w:val="21"/>
              </w:rPr>
            </w:pPr>
            <w:r>
              <w:rPr>
                <w:color w:val="auto"/>
                <w:szCs w:val="21"/>
              </w:rPr>
              <w:t>本项目行业分类为</w:t>
            </w:r>
            <w:r>
              <w:rPr>
                <w:rFonts w:hint="eastAsia"/>
                <w:color w:val="auto"/>
                <w:szCs w:val="21"/>
                <w:lang w:eastAsia="zh-CN"/>
              </w:rPr>
              <w:t>G5942 危险化学品仓储</w:t>
            </w:r>
            <w:r>
              <w:rPr>
                <w:color w:val="auto"/>
                <w:szCs w:val="21"/>
              </w:rPr>
              <w:t>，根据《固定污染源排污许可分类管理名录》（2019年版），属于</w:t>
            </w:r>
            <w:r>
              <w:rPr>
                <w:rFonts w:hint="eastAsia"/>
                <w:color w:val="auto"/>
                <w:szCs w:val="21"/>
                <w:lang w:eastAsia="zh-CN"/>
              </w:rPr>
              <w:t>登记</w:t>
            </w:r>
            <w:r>
              <w:rPr>
                <w:color w:val="auto"/>
                <w:szCs w:val="21"/>
              </w:rPr>
              <w:t>管理。</w:t>
            </w:r>
          </w:p>
          <w:p w14:paraId="734D6D7F">
            <w:pPr>
              <w:widowControl/>
              <w:ind w:firstLine="420" w:firstLineChars="200"/>
              <w:rPr>
                <w:color w:val="auto"/>
                <w:szCs w:val="21"/>
              </w:rPr>
            </w:pPr>
            <w:r>
              <w:rPr>
                <w:rFonts w:hint="eastAsia"/>
                <w:color w:val="auto"/>
                <w:szCs w:val="21"/>
                <w:lang w:eastAsia="zh-CN"/>
              </w:rPr>
              <w:t>现有项目属于排污许可重点管理，项目建成后新增危险化学品暂存，未新增废气、废水排放口、排放口位置未发生变化，不属于《排污许可管理条例》第十五条规定的情形，</w:t>
            </w:r>
            <w:r>
              <w:rPr>
                <w:color w:val="auto"/>
                <w:szCs w:val="21"/>
              </w:rPr>
              <w:t>根据</w:t>
            </w:r>
            <w:bookmarkStart w:id="60" w:name="_GoBack"/>
            <w:r>
              <w:rPr>
                <w:color w:val="auto"/>
                <w:szCs w:val="21"/>
              </w:rPr>
              <w:t>《</w:t>
            </w:r>
            <w:bookmarkEnd w:id="60"/>
            <w:r>
              <w:rPr>
                <w:color w:val="auto"/>
                <w:szCs w:val="21"/>
              </w:rPr>
              <w:t>排污许可管理办法（试行）</w:t>
            </w:r>
            <w:r>
              <w:rPr>
                <w:rFonts w:hint="eastAsia"/>
                <w:color w:val="auto"/>
                <w:szCs w:val="21"/>
                <w:lang w:eastAsia="zh-CN"/>
              </w:rPr>
              <w:t>、《排污许可管理条例》，无需申请重新排污许可证</w:t>
            </w:r>
            <w:r>
              <w:rPr>
                <w:color w:val="auto"/>
                <w:szCs w:val="21"/>
              </w:rPr>
              <w:t>。</w:t>
            </w:r>
          </w:p>
          <w:p w14:paraId="3430EFEE">
            <w:pPr>
              <w:ind w:firstLine="480"/>
              <w:rPr>
                <w:color w:val="auto"/>
                <w:szCs w:val="21"/>
              </w:rPr>
            </w:pPr>
            <w:r>
              <w:rPr>
                <w:color w:val="auto"/>
                <w:szCs w:val="21"/>
              </w:rPr>
              <w:t>（2）自行监测计划</w:t>
            </w:r>
          </w:p>
          <w:p w14:paraId="313BD4BA">
            <w:pPr>
              <w:ind w:firstLine="480"/>
              <w:rPr>
                <w:color w:val="auto"/>
                <w:szCs w:val="21"/>
              </w:rPr>
            </w:pPr>
            <w:r>
              <w:rPr>
                <w:color w:val="auto"/>
                <w:szCs w:val="21"/>
              </w:rPr>
              <w:t>根据</w:t>
            </w:r>
            <w:r>
              <w:rPr>
                <w:rFonts w:hint="eastAsia"/>
                <w:color w:val="auto"/>
                <w:szCs w:val="21"/>
              </w:rPr>
              <w:t>《排污许可证申请与核发技术规范无机化学工业》</w:t>
            </w:r>
            <w:r>
              <w:rPr>
                <w:rFonts w:hint="eastAsia"/>
                <w:color w:val="auto"/>
                <w:szCs w:val="21"/>
                <w:lang w:eastAsia="zh-CN"/>
              </w:rPr>
              <w:t>（</w:t>
            </w:r>
            <w:r>
              <w:rPr>
                <w:rFonts w:hint="eastAsia"/>
                <w:color w:val="auto"/>
                <w:szCs w:val="21"/>
              </w:rPr>
              <w:t>HJ1035--2019</w:t>
            </w:r>
            <w:r>
              <w:rPr>
                <w:rFonts w:hint="eastAsia"/>
                <w:color w:val="auto"/>
                <w:szCs w:val="21"/>
                <w:lang w:eastAsia="zh-CN"/>
              </w:rPr>
              <w:t>）</w:t>
            </w:r>
            <w:r>
              <w:rPr>
                <w:rFonts w:hint="eastAsia"/>
                <w:color w:val="auto"/>
                <w:szCs w:val="21"/>
              </w:rPr>
              <w:t>、《排污单位自行监测技术指南无机化学工业》</w:t>
            </w:r>
            <w:r>
              <w:rPr>
                <w:rFonts w:hint="eastAsia"/>
                <w:color w:val="auto"/>
                <w:szCs w:val="21"/>
                <w:lang w:eastAsia="zh-CN"/>
              </w:rPr>
              <w:t>（</w:t>
            </w:r>
            <w:r>
              <w:rPr>
                <w:rFonts w:hint="eastAsia"/>
                <w:color w:val="auto"/>
                <w:szCs w:val="21"/>
              </w:rPr>
              <w:t>HJ 1138-2020</w:t>
            </w:r>
            <w:r>
              <w:rPr>
                <w:rFonts w:hint="eastAsia"/>
                <w:color w:val="auto"/>
                <w:szCs w:val="21"/>
                <w:lang w:eastAsia="zh-CN"/>
              </w:rPr>
              <w:t>）、《</w:t>
            </w:r>
            <w:r>
              <w:rPr>
                <w:rFonts w:hint="eastAsia"/>
                <w:color w:val="auto"/>
                <w:szCs w:val="21"/>
              </w:rPr>
              <w:t>排污许可证申请与核发技术规范</w:t>
            </w:r>
            <w:r>
              <w:rPr>
                <w:rFonts w:hint="default" w:ascii="Times New Roman" w:hAnsi="Times New Roman" w:eastAsia="宋体" w:cs="Times New Roman"/>
                <w:color w:val="auto"/>
                <w:szCs w:val="21"/>
                <w:lang w:eastAsia="zh-CN"/>
              </w:rPr>
              <w:t xml:space="preserve"> </w:t>
            </w:r>
            <w:r>
              <w:rPr>
                <w:rFonts w:hint="eastAsia" w:ascii="Times New Roman" w:hAnsi="Times New Roman" w:eastAsia="宋体" w:cs="Times New Roman"/>
                <w:color w:val="auto"/>
                <w:szCs w:val="21"/>
                <w:lang w:eastAsia="zh-CN"/>
              </w:rPr>
              <w:t>工业噪声</w:t>
            </w:r>
            <w:r>
              <w:rPr>
                <w:rFonts w:hint="eastAsia"/>
                <w:color w:val="auto"/>
                <w:szCs w:val="21"/>
                <w:lang w:eastAsia="zh-CN"/>
              </w:rPr>
              <w:t>》（HJ 1301-2023）</w:t>
            </w:r>
            <w:r>
              <w:rPr>
                <w:color w:val="auto"/>
                <w:szCs w:val="21"/>
              </w:rPr>
              <w:t>，建设单位定期委托有资质的检</w:t>
            </w:r>
            <w:r>
              <w:rPr>
                <w:rFonts w:hint="eastAsia"/>
                <w:color w:val="auto"/>
                <w:szCs w:val="21"/>
                <w:lang w:eastAsia="zh-CN"/>
              </w:rPr>
              <w:t>（</w:t>
            </w:r>
            <w:r>
              <w:rPr>
                <w:color w:val="auto"/>
                <w:szCs w:val="21"/>
              </w:rPr>
              <w:t>监</w:t>
            </w:r>
            <w:r>
              <w:rPr>
                <w:rFonts w:hint="eastAsia"/>
                <w:color w:val="auto"/>
                <w:szCs w:val="21"/>
                <w:lang w:eastAsia="zh-CN"/>
              </w:rPr>
              <w:t>）</w:t>
            </w:r>
            <w:r>
              <w:rPr>
                <w:color w:val="auto"/>
                <w:szCs w:val="21"/>
              </w:rPr>
              <w:t>测机构代其开展自行监测，根据监测结果编写自行监测年度报告并上报当地环境保护主管部门。</w:t>
            </w:r>
          </w:p>
          <w:p w14:paraId="77335FA7">
            <w:pPr>
              <w:ind w:firstLine="480"/>
              <w:rPr>
                <w:color w:val="auto"/>
                <w:szCs w:val="21"/>
              </w:rPr>
            </w:pPr>
            <w:r>
              <w:rPr>
                <w:color w:val="auto"/>
                <w:szCs w:val="21"/>
              </w:rPr>
              <w:t>（3）验收监测计划</w:t>
            </w:r>
          </w:p>
          <w:p w14:paraId="2F80639E">
            <w:pPr>
              <w:ind w:firstLine="480"/>
              <w:rPr>
                <w:color w:val="auto"/>
              </w:rPr>
            </w:pPr>
            <w:r>
              <w:rPr>
                <w:color w:val="auto"/>
                <w:szCs w:val="21"/>
              </w:rPr>
              <w:t>当本项目达到验收标准时根据《建设项目竣工环境保护验收技术指南 污染影响类》委托有资质的检</w:t>
            </w:r>
            <w:r>
              <w:rPr>
                <w:rFonts w:hint="eastAsia"/>
                <w:color w:val="auto"/>
                <w:szCs w:val="21"/>
                <w:lang w:eastAsia="zh-CN"/>
              </w:rPr>
              <w:t>（</w:t>
            </w:r>
            <w:r>
              <w:rPr>
                <w:color w:val="auto"/>
                <w:szCs w:val="21"/>
              </w:rPr>
              <w:t>监</w:t>
            </w:r>
            <w:r>
              <w:rPr>
                <w:rFonts w:hint="eastAsia"/>
                <w:color w:val="auto"/>
                <w:szCs w:val="21"/>
                <w:lang w:eastAsia="zh-CN"/>
              </w:rPr>
              <w:t>）</w:t>
            </w:r>
            <w:r>
              <w:rPr>
                <w:color w:val="auto"/>
                <w:szCs w:val="21"/>
              </w:rPr>
              <w:t>测机构代其开展验收监测，根据监测结果编写验收监测报告。</w:t>
            </w:r>
          </w:p>
        </w:tc>
      </w:tr>
    </w:tbl>
    <w:p w14:paraId="501C830F">
      <w:pPr>
        <w:pStyle w:val="81"/>
        <w:jc w:val="center"/>
        <w:outlineLvl w:val="0"/>
        <w:rPr>
          <w:rFonts w:ascii="Times New Roman" w:hAnsi="Times New Roman" w:eastAsia="黑体" w:cs="Times New Roman"/>
          <w:snapToGrid w:val="0"/>
          <w:color w:val="auto"/>
          <w:sz w:val="30"/>
          <w:szCs w:val="30"/>
        </w:rPr>
      </w:pPr>
      <w:r>
        <w:rPr>
          <w:rFonts w:ascii="Times New Roman" w:hAnsi="Times New Roman" w:cs="Times New Roman"/>
          <w:snapToGrid w:val="0"/>
          <w:color w:val="auto"/>
        </w:rPr>
        <w:br w:type="page"/>
      </w:r>
      <w:bookmarkStart w:id="57" w:name="_Toc16857"/>
      <w:r>
        <w:rPr>
          <w:rFonts w:ascii="Times New Roman" w:hAnsi="Times New Roman" w:eastAsia="黑体" w:cs="Times New Roman"/>
          <w:snapToGrid w:val="0"/>
          <w:color w:val="auto"/>
          <w:sz w:val="30"/>
          <w:szCs w:val="30"/>
        </w:rPr>
        <w:t>六、结论</w:t>
      </w:r>
      <w:bookmarkEnd w:id="57"/>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DC68A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4B73C87E">
            <w:pPr>
              <w:adjustRightInd w:val="0"/>
              <w:snapToGrid w:val="0"/>
              <w:spacing w:beforeLines="50" w:line="360" w:lineRule="auto"/>
              <w:ind w:firstLine="480" w:firstLineChars="200"/>
              <w:rPr>
                <w:color w:val="auto"/>
                <w:sz w:val="24"/>
              </w:rPr>
            </w:pPr>
            <w:r>
              <w:rPr>
                <w:rFonts w:eastAsiaTheme="minorEastAsia"/>
                <w:color w:val="auto"/>
                <w:sz w:val="24"/>
              </w:rPr>
              <w:t>综上所述：本项目符合国家和地方产业政策，拟采用的各项污染防治措施合理、有效，噪声可实现达标排放，</w:t>
            </w:r>
            <w:r>
              <w:rPr>
                <w:rFonts w:hint="eastAsia" w:eastAsiaTheme="minorEastAsia"/>
                <w:color w:val="auto"/>
                <w:sz w:val="24"/>
                <w:lang w:eastAsia="zh-CN"/>
              </w:rPr>
              <w:t>废气、废水、</w:t>
            </w:r>
            <w:r>
              <w:rPr>
                <w:rFonts w:eastAsiaTheme="minorEastAsia"/>
                <w:color w:val="auto"/>
                <w:sz w:val="24"/>
              </w:rPr>
              <w:t>固体废物可实现零排放；项目投产后，对周边环境污染影响较小。因此在下一步的工程设计和建设中，如能严格落实建设单位既定的污染防治措施和本报告中提出的各项环境保护对策建议，从环保角度分析，项目在拟建地址建设是可行的。</w:t>
            </w:r>
          </w:p>
        </w:tc>
      </w:tr>
    </w:tbl>
    <w:p w14:paraId="4D4CBDAE">
      <w:pPr>
        <w:rPr>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1FE33DA">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ascii="Times New Roman" w:hAnsi="Times New Roman" w:eastAsia="黑体" w:cs="Times New Roman"/>
          <w:snapToGrid w:val="0"/>
          <w:color w:val="auto"/>
          <w:sz w:val="32"/>
          <w:szCs w:val="32"/>
        </w:rPr>
      </w:pPr>
      <w:bookmarkStart w:id="58" w:name="_Toc10869"/>
      <w:r>
        <w:rPr>
          <w:rFonts w:ascii="Times New Roman" w:hAnsi="Times New Roman" w:eastAsia="黑体" w:cs="Times New Roman"/>
          <w:snapToGrid w:val="0"/>
          <w:color w:val="auto"/>
          <w:sz w:val="32"/>
          <w:szCs w:val="32"/>
        </w:rPr>
        <w:t>附表</w:t>
      </w:r>
      <w:bookmarkEnd w:id="58"/>
    </w:p>
    <w:p w14:paraId="000358CF">
      <w:pPr>
        <w:pStyle w:val="81"/>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ascii="Times New Roman" w:hAnsi="Times New Roman" w:eastAsia="方正小标宋_GBK" w:cs="Times New Roman"/>
          <w:snapToGrid w:val="0"/>
          <w:color w:val="auto"/>
          <w:sz w:val="38"/>
          <w:szCs w:val="38"/>
        </w:rPr>
      </w:pPr>
      <w:bookmarkStart w:id="59" w:name="_Toc24326"/>
      <w:r>
        <w:rPr>
          <w:rFonts w:ascii="Times New Roman" w:hAnsi="Times New Roman" w:eastAsia="方正小标宋_GBK" w:cs="Times New Roman"/>
          <w:snapToGrid w:val="0"/>
          <w:color w:val="auto"/>
          <w:sz w:val="38"/>
          <w:szCs w:val="38"/>
        </w:rPr>
        <w:t>建设项目污染物排放量汇总表</w:t>
      </w:r>
      <w:bookmarkEnd w:id="59"/>
    </w:p>
    <w:tbl>
      <w:tblPr>
        <w:tblStyle w:val="88"/>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706"/>
        <w:gridCol w:w="1137"/>
        <w:gridCol w:w="1701"/>
        <w:gridCol w:w="1276"/>
        <w:gridCol w:w="1701"/>
        <w:gridCol w:w="1559"/>
        <w:gridCol w:w="1701"/>
        <w:gridCol w:w="1559"/>
        <w:gridCol w:w="1286"/>
      </w:tblGrid>
      <w:tr w14:paraId="4A1A3A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2" w:type="dxa"/>
            <w:tcBorders>
              <w:tl2br w:val="single" w:color="auto" w:sz="4" w:space="0"/>
            </w:tcBorders>
            <w:tcMar>
              <w:left w:w="28" w:type="dxa"/>
              <w:right w:w="28" w:type="dxa"/>
            </w:tcMar>
            <w:vAlign w:val="center"/>
          </w:tcPr>
          <w:p w14:paraId="46199B78">
            <w:pPr>
              <w:pStyle w:val="148"/>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right"/>
              <w:textAlignment w:val="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项目</w:t>
            </w:r>
          </w:p>
          <w:p w14:paraId="4229D208">
            <w:pPr>
              <w:pStyle w:val="148"/>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left"/>
              <w:textAlignment w:val="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分类</w:t>
            </w:r>
          </w:p>
        </w:tc>
        <w:tc>
          <w:tcPr>
            <w:tcW w:w="1843" w:type="dxa"/>
            <w:gridSpan w:val="2"/>
            <w:tcMar>
              <w:left w:w="28" w:type="dxa"/>
              <w:right w:w="28" w:type="dxa"/>
            </w:tcMar>
            <w:vAlign w:val="center"/>
          </w:tcPr>
          <w:p w14:paraId="4CE40148">
            <w:pPr>
              <w:pStyle w:val="148"/>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污染物名称</w:t>
            </w:r>
          </w:p>
        </w:tc>
        <w:tc>
          <w:tcPr>
            <w:tcW w:w="1701" w:type="dxa"/>
            <w:tcMar>
              <w:left w:w="28" w:type="dxa"/>
              <w:right w:w="28" w:type="dxa"/>
            </w:tcMar>
            <w:vAlign w:val="center"/>
          </w:tcPr>
          <w:p w14:paraId="497F9F9F">
            <w:pPr>
              <w:pStyle w:val="148"/>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现有工程</w:t>
            </w:r>
          </w:p>
          <w:p w14:paraId="16886C69">
            <w:pPr>
              <w:pStyle w:val="148"/>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排放量（固体废物产生量）</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p>
        </w:tc>
        <w:tc>
          <w:tcPr>
            <w:tcW w:w="1276" w:type="dxa"/>
            <w:tcMar>
              <w:left w:w="28" w:type="dxa"/>
              <w:right w:w="28" w:type="dxa"/>
            </w:tcMar>
            <w:vAlign w:val="center"/>
          </w:tcPr>
          <w:p w14:paraId="61EF11AD">
            <w:pPr>
              <w:pStyle w:val="148"/>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现有工程</w:t>
            </w:r>
          </w:p>
          <w:p w14:paraId="22148A18">
            <w:pPr>
              <w:pStyle w:val="148"/>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许可排放量</w:t>
            </w:r>
          </w:p>
          <w:p w14:paraId="7809EDFD">
            <w:pPr>
              <w:pStyle w:val="148"/>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2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snapToGrid w:val="0"/>
                <w:color w:val="auto"/>
                <w:spacing w:val="-6"/>
                <w:kern w:val="21"/>
                <w:szCs w:val="21"/>
              </w:rPr>
              <w:t>②</w:t>
            </w:r>
            <w:r>
              <w:rPr>
                <w:rFonts w:hint="default" w:ascii="Times New Roman" w:hAnsi="Times New Roman" w:eastAsia="宋体" w:cs="Times New Roman"/>
                <w:snapToGrid w:val="0"/>
                <w:color w:val="auto"/>
                <w:spacing w:val="-6"/>
                <w:kern w:val="21"/>
                <w:szCs w:val="21"/>
              </w:rPr>
              <w:fldChar w:fldCharType="end"/>
            </w:r>
          </w:p>
        </w:tc>
        <w:tc>
          <w:tcPr>
            <w:tcW w:w="1701" w:type="dxa"/>
            <w:tcMar>
              <w:left w:w="28" w:type="dxa"/>
              <w:right w:w="28" w:type="dxa"/>
            </w:tcMar>
            <w:vAlign w:val="center"/>
          </w:tcPr>
          <w:p w14:paraId="08755CA0">
            <w:pPr>
              <w:pStyle w:val="148"/>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在建工程</w:t>
            </w:r>
          </w:p>
          <w:p w14:paraId="384E9C08">
            <w:pPr>
              <w:pStyle w:val="148"/>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排放量（固体废物产生量）</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snapToGrid w:val="0"/>
                <w:color w:val="auto"/>
                <w:spacing w:val="-6"/>
                <w:kern w:val="21"/>
                <w:szCs w:val="21"/>
              </w:rPr>
              <w:fldChar w:fldCharType="end"/>
            </w:r>
          </w:p>
        </w:tc>
        <w:tc>
          <w:tcPr>
            <w:tcW w:w="1559" w:type="dxa"/>
            <w:tcMar>
              <w:left w:w="28" w:type="dxa"/>
              <w:right w:w="28" w:type="dxa"/>
            </w:tcMar>
            <w:vAlign w:val="center"/>
          </w:tcPr>
          <w:p w14:paraId="54F23BC4">
            <w:pPr>
              <w:pStyle w:val="148"/>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本项目</w:t>
            </w:r>
          </w:p>
          <w:p w14:paraId="188A8B0F">
            <w:pPr>
              <w:pStyle w:val="148"/>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排放量（固体废物产生量）</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宋体" w:cs="Times New Roman"/>
                <w:snapToGrid w:val="0"/>
                <w:color w:val="auto"/>
                <w:spacing w:val="-6"/>
                <w:kern w:val="21"/>
                <w:szCs w:val="21"/>
              </w:rPr>
              <w:fldChar w:fldCharType="end"/>
            </w:r>
          </w:p>
        </w:tc>
        <w:tc>
          <w:tcPr>
            <w:tcW w:w="1701" w:type="dxa"/>
            <w:tcMar>
              <w:left w:w="28" w:type="dxa"/>
              <w:right w:w="28" w:type="dxa"/>
            </w:tcMar>
            <w:vAlign w:val="center"/>
          </w:tcPr>
          <w:p w14:paraId="33504CDD">
            <w:pPr>
              <w:pStyle w:val="148"/>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以新带老削减量</w:t>
            </w:r>
          </w:p>
          <w:p w14:paraId="69E7EE1D">
            <w:pPr>
              <w:pStyle w:val="148"/>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（新建项目不填）</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宋体" w:cs="Times New Roman"/>
                <w:snapToGrid w:val="0"/>
                <w:color w:val="auto"/>
                <w:spacing w:val="-16"/>
                <w:kern w:val="21"/>
                <w:szCs w:val="21"/>
              </w:rPr>
              <w:fldChar w:fldCharType="end"/>
            </w:r>
          </w:p>
        </w:tc>
        <w:tc>
          <w:tcPr>
            <w:tcW w:w="1559" w:type="dxa"/>
            <w:tcMar>
              <w:left w:w="28" w:type="dxa"/>
              <w:right w:w="28" w:type="dxa"/>
            </w:tcMar>
            <w:vAlign w:val="center"/>
          </w:tcPr>
          <w:p w14:paraId="39734467">
            <w:pPr>
              <w:pStyle w:val="148"/>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本项目建成后</w:t>
            </w:r>
          </w:p>
          <w:p w14:paraId="28A02FB4">
            <w:pPr>
              <w:pStyle w:val="148"/>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全厂排放量（固体废物产生量）</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p>
        </w:tc>
        <w:tc>
          <w:tcPr>
            <w:tcW w:w="1286" w:type="dxa"/>
            <w:tcMar>
              <w:left w:w="28" w:type="dxa"/>
              <w:right w:w="28" w:type="dxa"/>
            </w:tcMar>
            <w:vAlign w:val="center"/>
          </w:tcPr>
          <w:p w14:paraId="52F9E706">
            <w:pPr>
              <w:pStyle w:val="148"/>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变化量</w:t>
            </w:r>
          </w:p>
          <w:p w14:paraId="55E68FB4">
            <w:pPr>
              <w:pStyle w:val="148"/>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宋体" w:cs="Times New Roman"/>
                <w:snapToGrid w:val="0"/>
                <w:color w:val="auto"/>
                <w:spacing w:val="-6"/>
                <w:kern w:val="21"/>
                <w:szCs w:val="21"/>
              </w:rPr>
              <w:fldChar w:fldCharType="end"/>
            </w:r>
          </w:p>
        </w:tc>
      </w:tr>
      <w:tr w14:paraId="49C509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2" w:type="dxa"/>
            <w:vMerge w:val="restart"/>
            <w:vAlign w:val="center"/>
          </w:tcPr>
          <w:p w14:paraId="15725612">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废气</w:t>
            </w:r>
          </w:p>
        </w:tc>
        <w:tc>
          <w:tcPr>
            <w:tcW w:w="706" w:type="dxa"/>
            <w:vMerge w:val="restart"/>
            <w:vAlign w:val="center"/>
          </w:tcPr>
          <w:p w14:paraId="78EBFF6D">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lang w:eastAsia="zh-CN"/>
              </w:rPr>
            </w:pPr>
            <w:r>
              <w:rPr>
                <w:rFonts w:hint="eastAsia" w:ascii="Times New Roman" w:cs="Times New Roman"/>
                <w:color w:val="auto"/>
                <w:szCs w:val="21"/>
                <w:lang w:eastAsia="zh-CN"/>
              </w:rPr>
              <w:t>有组织</w:t>
            </w:r>
          </w:p>
        </w:tc>
        <w:tc>
          <w:tcPr>
            <w:tcW w:w="1137" w:type="dxa"/>
            <w:shd w:val="clear" w:color="auto" w:fill="auto"/>
            <w:vAlign w:val="center"/>
          </w:tcPr>
          <w:p w14:paraId="1B3F8068">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cs="Times New Roman"/>
                <w:color w:val="auto"/>
                <w:sz w:val="21"/>
                <w:szCs w:val="21"/>
              </w:rPr>
              <w:t>氯气</w:t>
            </w:r>
          </w:p>
        </w:tc>
        <w:tc>
          <w:tcPr>
            <w:tcW w:w="1701" w:type="dxa"/>
            <w:shd w:val="clear" w:color="auto" w:fill="auto"/>
            <w:vAlign w:val="center"/>
          </w:tcPr>
          <w:p w14:paraId="35948073">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cs="Times New Roman"/>
                <w:color w:val="auto"/>
                <w:sz w:val="21"/>
                <w:szCs w:val="21"/>
                <w:lang w:val="en-US" w:eastAsia="zh-CN"/>
              </w:rPr>
              <w:t>0.010098</w:t>
            </w:r>
          </w:p>
        </w:tc>
        <w:tc>
          <w:tcPr>
            <w:tcW w:w="1276" w:type="dxa"/>
            <w:vAlign w:val="center"/>
          </w:tcPr>
          <w:p w14:paraId="7A332407">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lang w:eastAsia="zh-CN"/>
              </w:rPr>
            </w:pPr>
            <w:r>
              <w:rPr>
                <w:rFonts w:ascii="Times New Roman" w:hAnsi="Times New Roman" w:cs="Times New Roman"/>
                <w:color w:val="auto"/>
                <w:sz w:val="21"/>
                <w:szCs w:val="21"/>
              </w:rPr>
              <w:t xml:space="preserve">0.179 </w:t>
            </w:r>
          </w:p>
        </w:tc>
        <w:tc>
          <w:tcPr>
            <w:tcW w:w="1701" w:type="dxa"/>
            <w:vAlign w:val="center"/>
          </w:tcPr>
          <w:p w14:paraId="1BDAA9C3">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559" w:type="dxa"/>
            <w:vAlign w:val="center"/>
          </w:tcPr>
          <w:p w14:paraId="6BDF187B">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p>
        </w:tc>
        <w:tc>
          <w:tcPr>
            <w:tcW w:w="1701" w:type="dxa"/>
            <w:vAlign w:val="center"/>
          </w:tcPr>
          <w:p w14:paraId="7DC2EE59">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1559" w:type="dxa"/>
            <w:vAlign w:val="center"/>
          </w:tcPr>
          <w:p w14:paraId="07A96D4D">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eastAsia" w:ascii="Times New Roman" w:cs="Times New Roman"/>
                <w:color w:val="auto"/>
                <w:sz w:val="21"/>
                <w:szCs w:val="21"/>
                <w:lang w:val="en-US" w:eastAsia="zh-CN"/>
              </w:rPr>
              <w:t>0.010098</w:t>
            </w:r>
          </w:p>
        </w:tc>
        <w:tc>
          <w:tcPr>
            <w:tcW w:w="1286" w:type="dxa"/>
            <w:vAlign w:val="center"/>
          </w:tcPr>
          <w:p w14:paraId="39184D6D">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eastAsia" w:ascii="Times New Roman" w:hAnsi="Times New Roman" w:eastAsia="宋体" w:cs="Times New Roman"/>
                <w:color w:val="auto"/>
                <w:szCs w:val="21"/>
                <w:lang w:eastAsia="zh-CN"/>
              </w:rPr>
            </w:pPr>
            <w:r>
              <w:rPr>
                <w:rFonts w:hint="default" w:ascii="Times New Roman" w:hAnsi="Times New Roman" w:eastAsia="宋体" w:cs="Times New Roman"/>
                <w:snapToGrid w:val="0"/>
                <w:color w:val="auto"/>
                <w:kern w:val="21"/>
                <w:szCs w:val="21"/>
              </w:rPr>
              <w:t>/</w:t>
            </w:r>
          </w:p>
        </w:tc>
      </w:tr>
      <w:tr w14:paraId="6895CF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2" w:type="dxa"/>
            <w:vMerge w:val="continue"/>
            <w:vAlign w:val="center"/>
          </w:tcPr>
          <w:p w14:paraId="32B79091">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p>
        </w:tc>
        <w:tc>
          <w:tcPr>
            <w:tcW w:w="706" w:type="dxa"/>
            <w:vMerge w:val="continue"/>
            <w:vAlign w:val="center"/>
          </w:tcPr>
          <w:p w14:paraId="3809C3BC">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p>
        </w:tc>
        <w:tc>
          <w:tcPr>
            <w:tcW w:w="1137" w:type="dxa"/>
            <w:shd w:val="clear" w:color="auto" w:fill="auto"/>
            <w:vAlign w:val="center"/>
          </w:tcPr>
          <w:p w14:paraId="5A949BE7">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4"/>
                <w:szCs w:val="21"/>
                <w:lang w:val="en-US" w:eastAsia="zh-CN" w:bidi="ar-SA"/>
              </w:rPr>
            </w:pPr>
            <w:r>
              <w:rPr>
                <w:rFonts w:ascii="Times New Roman" w:hAnsi="Times New Roman" w:cs="Times New Roman"/>
                <w:color w:val="auto"/>
                <w:sz w:val="21"/>
                <w:szCs w:val="21"/>
              </w:rPr>
              <w:t>HCl</w:t>
            </w:r>
          </w:p>
        </w:tc>
        <w:tc>
          <w:tcPr>
            <w:tcW w:w="1701" w:type="dxa"/>
            <w:shd w:val="clear" w:color="auto" w:fill="auto"/>
            <w:vAlign w:val="center"/>
          </w:tcPr>
          <w:p w14:paraId="70424781">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cs="Times New Roman"/>
                <w:color w:val="auto"/>
                <w:sz w:val="21"/>
                <w:szCs w:val="21"/>
                <w:lang w:val="en-US" w:eastAsia="zh-CN"/>
              </w:rPr>
              <w:t>ND</w:t>
            </w:r>
          </w:p>
        </w:tc>
        <w:tc>
          <w:tcPr>
            <w:tcW w:w="1276" w:type="dxa"/>
            <w:vAlign w:val="center"/>
          </w:tcPr>
          <w:p w14:paraId="08DE07FC">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ascii="Times New Roman" w:hAnsi="Times New Roman" w:cs="Times New Roman"/>
                <w:color w:val="auto"/>
                <w:sz w:val="21"/>
                <w:szCs w:val="21"/>
              </w:rPr>
              <w:t xml:space="preserve">0.434 </w:t>
            </w:r>
          </w:p>
        </w:tc>
        <w:tc>
          <w:tcPr>
            <w:tcW w:w="1701" w:type="dxa"/>
            <w:vAlign w:val="center"/>
          </w:tcPr>
          <w:p w14:paraId="24194315">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559" w:type="dxa"/>
            <w:vAlign w:val="center"/>
          </w:tcPr>
          <w:p w14:paraId="54B2F9EE">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p>
        </w:tc>
        <w:tc>
          <w:tcPr>
            <w:tcW w:w="1701" w:type="dxa"/>
            <w:vAlign w:val="center"/>
          </w:tcPr>
          <w:p w14:paraId="426CD88B">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1559" w:type="dxa"/>
            <w:vAlign w:val="center"/>
          </w:tcPr>
          <w:p w14:paraId="79EE7664">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eastAsia" w:ascii="Times New Roman" w:cs="Times New Roman"/>
                <w:color w:val="auto"/>
                <w:sz w:val="21"/>
                <w:szCs w:val="21"/>
                <w:lang w:val="en-US" w:eastAsia="zh-CN"/>
              </w:rPr>
              <w:t>ND</w:t>
            </w:r>
          </w:p>
        </w:tc>
        <w:tc>
          <w:tcPr>
            <w:tcW w:w="1286" w:type="dxa"/>
            <w:vAlign w:val="center"/>
          </w:tcPr>
          <w:p w14:paraId="13259E6C">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eastAsia" w:ascii="Times New Roman" w:hAnsi="Times New Roman" w:eastAsia="宋体" w:cs="Times New Roman"/>
                <w:color w:val="auto"/>
                <w:szCs w:val="21"/>
                <w:lang w:eastAsia="zh-CN"/>
              </w:rPr>
            </w:pPr>
            <w:r>
              <w:rPr>
                <w:rFonts w:hint="default" w:ascii="Times New Roman" w:hAnsi="Times New Roman" w:eastAsia="宋体" w:cs="Times New Roman"/>
                <w:snapToGrid w:val="0"/>
                <w:color w:val="auto"/>
                <w:kern w:val="21"/>
                <w:szCs w:val="21"/>
              </w:rPr>
              <w:t>/</w:t>
            </w:r>
          </w:p>
        </w:tc>
      </w:tr>
      <w:tr w14:paraId="660262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2" w:type="dxa"/>
            <w:vMerge w:val="continue"/>
            <w:vAlign w:val="center"/>
          </w:tcPr>
          <w:p w14:paraId="2C006FEC">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p>
        </w:tc>
        <w:tc>
          <w:tcPr>
            <w:tcW w:w="706" w:type="dxa"/>
            <w:vMerge w:val="continue"/>
            <w:vAlign w:val="center"/>
          </w:tcPr>
          <w:p w14:paraId="08D18FDE">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p>
        </w:tc>
        <w:tc>
          <w:tcPr>
            <w:tcW w:w="1137" w:type="dxa"/>
            <w:shd w:val="clear" w:color="auto" w:fill="auto"/>
            <w:vAlign w:val="center"/>
          </w:tcPr>
          <w:p w14:paraId="4D6622E6">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cs="Times New Roman"/>
                <w:color w:val="auto"/>
                <w:sz w:val="21"/>
                <w:szCs w:val="21"/>
              </w:rPr>
              <w:t>磷酸雾</w:t>
            </w:r>
          </w:p>
        </w:tc>
        <w:tc>
          <w:tcPr>
            <w:tcW w:w="1701" w:type="dxa"/>
            <w:shd w:val="clear" w:color="auto" w:fill="auto"/>
            <w:vAlign w:val="center"/>
          </w:tcPr>
          <w:p w14:paraId="3E35730A">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cs="Times New Roman"/>
                <w:color w:val="auto"/>
                <w:sz w:val="21"/>
                <w:szCs w:val="21"/>
                <w:lang w:val="en-US" w:eastAsia="zh-CN"/>
              </w:rPr>
              <w:t>ND</w:t>
            </w:r>
          </w:p>
        </w:tc>
        <w:tc>
          <w:tcPr>
            <w:tcW w:w="1276" w:type="dxa"/>
            <w:vAlign w:val="center"/>
          </w:tcPr>
          <w:p w14:paraId="2E61ADEC">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ascii="Times New Roman" w:hAnsi="Times New Roman" w:cs="Times New Roman"/>
                <w:color w:val="auto"/>
                <w:sz w:val="21"/>
                <w:szCs w:val="21"/>
              </w:rPr>
              <w:t xml:space="preserve">0.017 </w:t>
            </w:r>
          </w:p>
        </w:tc>
        <w:tc>
          <w:tcPr>
            <w:tcW w:w="1701" w:type="dxa"/>
            <w:vAlign w:val="center"/>
          </w:tcPr>
          <w:p w14:paraId="0C944D16">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559" w:type="dxa"/>
            <w:vAlign w:val="center"/>
          </w:tcPr>
          <w:p w14:paraId="18A489FE">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701" w:type="dxa"/>
            <w:vAlign w:val="center"/>
          </w:tcPr>
          <w:p w14:paraId="4B9A0637">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snapToGrid w:val="0"/>
                <w:color w:val="auto"/>
                <w:kern w:val="21"/>
                <w:szCs w:val="21"/>
              </w:rPr>
              <w:t>/</w:t>
            </w:r>
          </w:p>
        </w:tc>
        <w:tc>
          <w:tcPr>
            <w:tcW w:w="1559" w:type="dxa"/>
            <w:vAlign w:val="center"/>
          </w:tcPr>
          <w:p w14:paraId="2EBE6212">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eastAsia" w:ascii="Times New Roman" w:cs="Times New Roman"/>
                <w:color w:val="auto"/>
                <w:sz w:val="21"/>
                <w:szCs w:val="21"/>
                <w:lang w:val="en-US" w:eastAsia="zh-CN"/>
              </w:rPr>
              <w:t>ND</w:t>
            </w:r>
          </w:p>
        </w:tc>
        <w:tc>
          <w:tcPr>
            <w:tcW w:w="1286" w:type="dxa"/>
            <w:vAlign w:val="center"/>
          </w:tcPr>
          <w:p w14:paraId="25ADB0CB">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snapToGrid w:val="0"/>
                <w:color w:val="auto"/>
                <w:kern w:val="21"/>
                <w:szCs w:val="21"/>
              </w:rPr>
              <w:t>/</w:t>
            </w:r>
          </w:p>
        </w:tc>
      </w:tr>
      <w:tr w14:paraId="4A5877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2" w:type="dxa"/>
            <w:vMerge w:val="continue"/>
            <w:vAlign w:val="center"/>
          </w:tcPr>
          <w:p w14:paraId="148685EE">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p>
        </w:tc>
        <w:tc>
          <w:tcPr>
            <w:tcW w:w="706" w:type="dxa"/>
            <w:vMerge w:val="continue"/>
            <w:vAlign w:val="center"/>
          </w:tcPr>
          <w:p w14:paraId="7C376D6E">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p>
        </w:tc>
        <w:tc>
          <w:tcPr>
            <w:tcW w:w="1137" w:type="dxa"/>
            <w:shd w:val="clear" w:color="auto" w:fill="auto"/>
            <w:vAlign w:val="center"/>
          </w:tcPr>
          <w:p w14:paraId="6C50332C">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氨气</w:t>
            </w:r>
          </w:p>
        </w:tc>
        <w:tc>
          <w:tcPr>
            <w:tcW w:w="1701" w:type="dxa"/>
            <w:shd w:val="clear" w:color="auto" w:fill="auto"/>
            <w:vAlign w:val="center"/>
          </w:tcPr>
          <w:p w14:paraId="426D8252">
            <w:pPr>
              <w:pStyle w:val="100"/>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color w:val="auto"/>
                <w:sz w:val="21"/>
                <w:szCs w:val="21"/>
              </w:rPr>
            </w:pPr>
            <w:r>
              <w:rPr>
                <w:rFonts w:hint="eastAsia" w:ascii="Times New Roman" w:cs="Times New Roman"/>
                <w:color w:val="auto"/>
                <w:sz w:val="21"/>
                <w:szCs w:val="21"/>
                <w:lang w:val="en-US" w:eastAsia="zh-CN"/>
              </w:rPr>
              <w:t>ND</w:t>
            </w:r>
          </w:p>
        </w:tc>
        <w:tc>
          <w:tcPr>
            <w:tcW w:w="1276" w:type="dxa"/>
            <w:vAlign w:val="center"/>
          </w:tcPr>
          <w:p w14:paraId="2124C6EA">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ascii="Times New Roman" w:hAnsi="Times New Roman" w:cs="Times New Roman"/>
                <w:color w:val="auto"/>
                <w:sz w:val="21"/>
                <w:szCs w:val="21"/>
              </w:rPr>
              <w:t xml:space="preserve">0.014 </w:t>
            </w:r>
          </w:p>
        </w:tc>
        <w:tc>
          <w:tcPr>
            <w:tcW w:w="1701" w:type="dxa"/>
            <w:vAlign w:val="center"/>
          </w:tcPr>
          <w:p w14:paraId="00B249B7">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559" w:type="dxa"/>
            <w:vAlign w:val="center"/>
          </w:tcPr>
          <w:p w14:paraId="570E7C78">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701" w:type="dxa"/>
            <w:vAlign w:val="center"/>
          </w:tcPr>
          <w:p w14:paraId="4BCBAA5B">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snapToGrid w:val="0"/>
                <w:color w:val="auto"/>
                <w:kern w:val="21"/>
                <w:szCs w:val="21"/>
              </w:rPr>
              <w:t>/</w:t>
            </w:r>
          </w:p>
        </w:tc>
        <w:tc>
          <w:tcPr>
            <w:tcW w:w="1559" w:type="dxa"/>
            <w:vAlign w:val="center"/>
          </w:tcPr>
          <w:p w14:paraId="13AF75BD">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eastAsia" w:ascii="Times New Roman" w:cs="Times New Roman"/>
                <w:color w:val="auto"/>
                <w:sz w:val="21"/>
                <w:szCs w:val="21"/>
                <w:lang w:val="en-US" w:eastAsia="zh-CN"/>
              </w:rPr>
              <w:t>ND</w:t>
            </w:r>
          </w:p>
        </w:tc>
        <w:tc>
          <w:tcPr>
            <w:tcW w:w="1286" w:type="dxa"/>
            <w:vAlign w:val="center"/>
          </w:tcPr>
          <w:p w14:paraId="5A0A0BB1">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snapToGrid w:val="0"/>
                <w:color w:val="auto"/>
                <w:kern w:val="21"/>
                <w:szCs w:val="21"/>
              </w:rPr>
              <w:t>/</w:t>
            </w:r>
          </w:p>
        </w:tc>
      </w:tr>
      <w:tr w14:paraId="6ABBD8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2" w:type="dxa"/>
            <w:vMerge w:val="continue"/>
            <w:vAlign w:val="center"/>
          </w:tcPr>
          <w:p w14:paraId="040226F9">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p>
        </w:tc>
        <w:tc>
          <w:tcPr>
            <w:tcW w:w="706" w:type="dxa"/>
            <w:vMerge w:val="continue"/>
            <w:vAlign w:val="center"/>
          </w:tcPr>
          <w:p w14:paraId="3F7B739E">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p>
        </w:tc>
        <w:tc>
          <w:tcPr>
            <w:tcW w:w="1137" w:type="dxa"/>
            <w:shd w:val="clear" w:color="auto" w:fill="auto"/>
            <w:vAlign w:val="center"/>
          </w:tcPr>
          <w:p w14:paraId="4F16D304">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cs="Times New Roman"/>
                <w:color w:val="auto"/>
                <w:sz w:val="21"/>
                <w:szCs w:val="21"/>
              </w:rPr>
              <w:t>硫化氢</w:t>
            </w:r>
          </w:p>
        </w:tc>
        <w:tc>
          <w:tcPr>
            <w:tcW w:w="1701" w:type="dxa"/>
            <w:shd w:val="clear" w:color="auto" w:fill="auto"/>
            <w:vAlign w:val="center"/>
          </w:tcPr>
          <w:p w14:paraId="159AD4DD">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cs="Times New Roman"/>
                <w:color w:val="auto"/>
                <w:sz w:val="21"/>
                <w:szCs w:val="21"/>
                <w:lang w:val="en-US" w:eastAsia="zh-CN"/>
              </w:rPr>
              <w:t>0.0010512</w:t>
            </w:r>
          </w:p>
        </w:tc>
        <w:tc>
          <w:tcPr>
            <w:tcW w:w="1276" w:type="dxa"/>
            <w:vAlign w:val="center"/>
          </w:tcPr>
          <w:p w14:paraId="352D7BCC">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ascii="Times New Roman" w:hAnsi="Times New Roman" w:cs="Times New Roman"/>
                <w:color w:val="auto"/>
                <w:sz w:val="21"/>
                <w:szCs w:val="21"/>
              </w:rPr>
              <w:t xml:space="preserve">0.0016 </w:t>
            </w:r>
          </w:p>
        </w:tc>
        <w:tc>
          <w:tcPr>
            <w:tcW w:w="1701" w:type="dxa"/>
            <w:vAlign w:val="center"/>
          </w:tcPr>
          <w:p w14:paraId="22F4DCB4">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559" w:type="dxa"/>
            <w:vAlign w:val="center"/>
          </w:tcPr>
          <w:p w14:paraId="6D4646A7">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701" w:type="dxa"/>
            <w:vAlign w:val="center"/>
          </w:tcPr>
          <w:p w14:paraId="339DACC7">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snapToGrid w:val="0"/>
                <w:color w:val="auto"/>
                <w:kern w:val="21"/>
                <w:szCs w:val="21"/>
              </w:rPr>
              <w:t>/</w:t>
            </w:r>
          </w:p>
        </w:tc>
        <w:tc>
          <w:tcPr>
            <w:tcW w:w="1559" w:type="dxa"/>
            <w:vAlign w:val="center"/>
          </w:tcPr>
          <w:p w14:paraId="28A94C11">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eastAsia" w:ascii="Times New Roman" w:cs="Times New Roman"/>
                <w:color w:val="auto"/>
                <w:sz w:val="21"/>
                <w:szCs w:val="21"/>
                <w:lang w:val="en-US" w:eastAsia="zh-CN"/>
              </w:rPr>
              <w:t>0.0010512</w:t>
            </w:r>
          </w:p>
        </w:tc>
        <w:tc>
          <w:tcPr>
            <w:tcW w:w="1286" w:type="dxa"/>
            <w:vAlign w:val="center"/>
          </w:tcPr>
          <w:p w14:paraId="77E3B6E6">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p>
        </w:tc>
      </w:tr>
      <w:tr w14:paraId="05A67B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2" w:type="dxa"/>
            <w:vMerge w:val="continue"/>
            <w:vAlign w:val="center"/>
          </w:tcPr>
          <w:p w14:paraId="25696E62">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p>
        </w:tc>
        <w:tc>
          <w:tcPr>
            <w:tcW w:w="706" w:type="dxa"/>
            <w:vMerge w:val="restart"/>
            <w:vAlign w:val="center"/>
          </w:tcPr>
          <w:p w14:paraId="7E0A574D">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Cs w:val="21"/>
                <w:lang w:eastAsia="zh-CN"/>
              </w:rPr>
            </w:pPr>
            <w:r>
              <w:rPr>
                <w:rFonts w:hint="eastAsia" w:ascii="Times New Roman" w:cs="Times New Roman"/>
                <w:color w:val="auto"/>
                <w:szCs w:val="21"/>
                <w:lang w:eastAsia="zh-CN"/>
              </w:rPr>
              <w:t>无组织</w:t>
            </w:r>
          </w:p>
        </w:tc>
        <w:tc>
          <w:tcPr>
            <w:tcW w:w="1137" w:type="dxa"/>
            <w:shd w:val="clear" w:color="auto" w:fill="auto"/>
            <w:vAlign w:val="center"/>
          </w:tcPr>
          <w:p w14:paraId="6E2D9A8B">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kern w:val="2"/>
                <w:sz w:val="24"/>
                <w:szCs w:val="21"/>
                <w:lang w:val="en-US" w:eastAsia="zh-CN" w:bidi="ar-SA"/>
              </w:rPr>
            </w:pPr>
            <w:r>
              <w:rPr>
                <w:rFonts w:ascii="Times New Roman" w:hAnsi="Times New Roman" w:cs="Times New Roman"/>
                <w:color w:val="auto"/>
                <w:sz w:val="21"/>
                <w:szCs w:val="21"/>
              </w:rPr>
              <w:t>HCl</w:t>
            </w:r>
          </w:p>
        </w:tc>
        <w:tc>
          <w:tcPr>
            <w:tcW w:w="1701" w:type="dxa"/>
            <w:shd w:val="clear" w:color="auto" w:fill="auto"/>
            <w:vAlign w:val="center"/>
          </w:tcPr>
          <w:p w14:paraId="46AD1CAD">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cs="Times New Roman"/>
                <w:color w:val="auto"/>
                <w:sz w:val="21"/>
                <w:szCs w:val="21"/>
                <w:lang w:val="en-US" w:eastAsia="zh-CN"/>
              </w:rPr>
              <w:t>/</w:t>
            </w:r>
          </w:p>
        </w:tc>
        <w:tc>
          <w:tcPr>
            <w:tcW w:w="1276" w:type="dxa"/>
            <w:vAlign w:val="center"/>
          </w:tcPr>
          <w:p w14:paraId="1894EFA1">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ascii="Times New Roman" w:hAnsi="Times New Roman" w:cs="Times New Roman"/>
                <w:color w:val="auto"/>
                <w:sz w:val="21"/>
                <w:szCs w:val="21"/>
              </w:rPr>
              <w:t xml:space="preserve">0.060 </w:t>
            </w:r>
          </w:p>
        </w:tc>
        <w:tc>
          <w:tcPr>
            <w:tcW w:w="1701" w:type="dxa"/>
            <w:vAlign w:val="center"/>
          </w:tcPr>
          <w:p w14:paraId="5E4205D0">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559" w:type="dxa"/>
            <w:vAlign w:val="center"/>
          </w:tcPr>
          <w:p w14:paraId="1F0E1783">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701" w:type="dxa"/>
            <w:vAlign w:val="center"/>
          </w:tcPr>
          <w:p w14:paraId="0BD5F2CE">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snapToGrid w:val="0"/>
                <w:color w:val="auto"/>
                <w:kern w:val="21"/>
                <w:szCs w:val="21"/>
              </w:rPr>
              <w:t>/</w:t>
            </w:r>
          </w:p>
        </w:tc>
        <w:tc>
          <w:tcPr>
            <w:tcW w:w="1559" w:type="dxa"/>
            <w:vAlign w:val="center"/>
          </w:tcPr>
          <w:p w14:paraId="0F4200B5">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eastAsia" w:ascii="Times New Roman" w:cs="Times New Roman"/>
                <w:color w:val="auto"/>
                <w:sz w:val="21"/>
                <w:szCs w:val="21"/>
                <w:lang w:val="en-US" w:eastAsia="zh-CN"/>
              </w:rPr>
              <w:t>/</w:t>
            </w:r>
          </w:p>
        </w:tc>
        <w:tc>
          <w:tcPr>
            <w:tcW w:w="1286" w:type="dxa"/>
            <w:vAlign w:val="center"/>
          </w:tcPr>
          <w:p w14:paraId="1F5BFF0A">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p>
        </w:tc>
      </w:tr>
      <w:tr w14:paraId="43F430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2" w:type="dxa"/>
            <w:vMerge w:val="continue"/>
            <w:vAlign w:val="center"/>
          </w:tcPr>
          <w:p w14:paraId="3E4B7B66">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p>
        </w:tc>
        <w:tc>
          <w:tcPr>
            <w:tcW w:w="706" w:type="dxa"/>
            <w:vMerge w:val="continue"/>
            <w:vAlign w:val="center"/>
          </w:tcPr>
          <w:p w14:paraId="0C084FDA">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p>
        </w:tc>
        <w:tc>
          <w:tcPr>
            <w:tcW w:w="1137" w:type="dxa"/>
            <w:shd w:val="clear" w:color="auto" w:fill="auto"/>
            <w:vAlign w:val="center"/>
          </w:tcPr>
          <w:p w14:paraId="22A200BA">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4"/>
                <w:szCs w:val="21"/>
                <w:lang w:val="en-US" w:eastAsia="zh-CN" w:bidi="ar-SA"/>
              </w:rPr>
            </w:pPr>
            <w:r>
              <w:rPr>
                <w:rFonts w:hint="eastAsia" w:ascii="Times New Roman" w:hAnsi="Times New Roman" w:cs="Times New Roman"/>
                <w:color w:val="auto"/>
                <w:sz w:val="21"/>
                <w:szCs w:val="21"/>
              </w:rPr>
              <w:t>磷酸雾</w:t>
            </w:r>
          </w:p>
        </w:tc>
        <w:tc>
          <w:tcPr>
            <w:tcW w:w="1701" w:type="dxa"/>
            <w:shd w:val="clear" w:color="auto" w:fill="auto"/>
            <w:vAlign w:val="center"/>
          </w:tcPr>
          <w:p w14:paraId="4A2DEB7E">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cs="Times New Roman"/>
                <w:color w:val="auto"/>
                <w:sz w:val="21"/>
                <w:szCs w:val="21"/>
                <w:lang w:val="en-US" w:eastAsia="zh-CN"/>
              </w:rPr>
              <w:t>/</w:t>
            </w:r>
          </w:p>
        </w:tc>
        <w:tc>
          <w:tcPr>
            <w:tcW w:w="1276" w:type="dxa"/>
            <w:vAlign w:val="center"/>
          </w:tcPr>
          <w:p w14:paraId="4D516F17">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ascii="Times New Roman" w:hAnsi="Times New Roman" w:cs="Times New Roman"/>
                <w:color w:val="auto"/>
                <w:sz w:val="21"/>
                <w:szCs w:val="21"/>
              </w:rPr>
              <w:t xml:space="preserve">0.036 </w:t>
            </w:r>
          </w:p>
        </w:tc>
        <w:tc>
          <w:tcPr>
            <w:tcW w:w="1701" w:type="dxa"/>
            <w:vAlign w:val="center"/>
          </w:tcPr>
          <w:p w14:paraId="5D204FA5">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559" w:type="dxa"/>
            <w:vAlign w:val="center"/>
          </w:tcPr>
          <w:p w14:paraId="4871E8A1">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701" w:type="dxa"/>
            <w:vAlign w:val="center"/>
          </w:tcPr>
          <w:p w14:paraId="6635468F">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snapToGrid w:val="0"/>
                <w:color w:val="auto"/>
                <w:kern w:val="21"/>
                <w:szCs w:val="21"/>
              </w:rPr>
              <w:t>/</w:t>
            </w:r>
          </w:p>
        </w:tc>
        <w:tc>
          <w:tcPr>
            <w:tcW w:w="1559" w:type="dxa"/>
            <w:vAlign w:val="center"/>
          </w:tcPr>
          <w:p w14:paraId="332779D2">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eastAsia" w:ascii="Times New Roman" w:cs="Times New Roman"/>
                <w:color w:val="auto"/>
                <w:sz w:val="21"/>
                <w:szCs w:val="21"/>
                <w:lang w:val="en-US" w:eastAsia="zh-CN"/>
              </w:rPr>
              <w:t>/</w:t>
            </w:r>
          </w:p>
        </w:tc>
        <w:tc>
          <w:tcPr>
            <w:tcW w:w="1286" w:type="dxa"/>
            <w:vAlign w:val="center"/>
          </w:tcPr>
          <w:p w14:paraId="6BE74C7F">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p>
        </w:tc>
      </w:tr>
      <w:tr w14:paraId="21A5A8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2" w:type="dxa"/>
            <w:vMerge w:val="continue"/>
            <w:vAlign w:val="center"/>
          </w:tcPr>
          <w:p w14:paraId="737571C8">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p>
        </w:tc>
        <w:tc>
          <w:tcPr>
            <w:tcW w:w="706" w:type="dxa"/>
            <w:vMerge w:val="continue"/>
            <w:vAlign w:val="center"/>
          </w:tcPr>
          <w:p w14:paraId="28651803">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p>
        </w:tc>
        <w:tc>
          <w:tcPr>
            <w:tcW w:w="1137" w:type="dxa"/>
            <w:shd w:val="clear" w:color="auto" w:fill="auto"/>
            <w:vAlign w:val="center"/>
          </w:tcPr>
          <w:p w14:paraId="711EC4FE">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cs="Times New Roman"/>
                <w:color w:val="auto"/>
                <w:sz w:val="21"/>
                <w:szCs w:val="21"/>
              </w:rPr>
              <w:t>氨气</w:t>
            </w:r>
          </w:p>
        </w:tc>
        <w:tc>
          <w:tcPr>
            <w:tcW w:w="1701" w:type="dxa"/>
            <w:shd w:val="clear" w:color="auto" w:fill="auto"/>
            <w:vAlign w:val="center"/>
          </w:tcPr>
          <w:p w14:paraId="182050E7">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cs="Times New Roman"/>
                <w:color w:val="auto"/>
                <w:sz w:val="21"/>
                <w:szCs w:val="21"/>
                <w:lang w:val="en-US" w:eastAsia="zh-CN"/>
              </w:rPr>
              <w:t>/</w:t>
            </w:r>
          </w:p>
        </w:tc>
        <w:tc>
          <w:tcPr>
            <w:tcW w:w="1276" w:type="dxa"/>
            <w:vAlign w:val="center"/>
          </w:tcPr>
          <w:p w14:paraId="1894E7E0">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ascii="Times New Roman" w:hAnsi="Times New Roman" w:cs="Times New Roman"/>
                <w:color w:val="auto"/>
                <w:sz w:val="21"/>
                <w:szCs w:val="21"/>
              </w:rPr>
              <w:t xml:space="preserve">0.015 </w:t>
            </w:r>
          </w:p>
        </w:tc>
        <w:tc>
          <w:tcPr>
            <w:tcW w:w="1701" w:type="dxa"/>
            <w:vAlign w:val="center"/>
          </w:tcPr>
          <w:p w14:paraId="47FA8AE7">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559" w:type="dxa"/>
            <w:vAlign w:val="center"/>
          </w:tcPr>
          <w:p w14:paraId="698D97A4">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701" w:type="dxa"/>
            <w:vAlign w:val="center"/>
          </w:tcPr>
          <w:p w14:paraId="0CF6CD47">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snapToGrid w:val="0"/>
                <w:color w:val="auto"/>
                <w:kern w:val="21"/>
                <w:szCs w:val="21"/>
              </w:rPr>
              <w:t>/</w:t>
            </w:r>
          </w:p>
        </w:tc>
        <w:tc>
          <w:tcPr>
            <w:tcW w:w="1559" w:type="dxa"/>
            <w:vAlign w:val="center"/>
          </w:tcPr>
          <w:p w14:paraId="2ED254E3">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eastAsia" w:ascii="Times New Roman" w:cs="Times New Roman"/>
                <w:color w:val="auto"/>
                <w:sz w:val="21"/>
                <w:szCs w:val="21"/>
                <w:lang w:val="en-US" w:eastAsia="zh-CN"/>
              </w:rPr>
              <w:t>/</w:t>
            </w:r>
          </w:p>
        </w:tc>
        <w:tc>
          <w:tcPr>
            <w:tcW w:w="1286" w:type="dxa"/>
            <w:vAlign w:val="center"/>
          </w:tcPr>
          <w:p w14:paraId="62E94F8B">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p>
        </w:tc>
      </w:tr>
      <w:tr w14:paraId="275956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2" w:type="dxa"/>
            <w:vMerge w:val="continue"/>
            <w:vAlign w:val="center"/>
          </w:tcPr>
          <w:p w14:paraId="5904FFF6">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p>
        </w:tc>
        <w:tc>
          <w:tcPr>
            <w:tcW w:w="706" w:type="dxa"/>
            <w:vMerge w:val="continue"/>
            <w:vAlign w:val="center"/>
          </w:tcPr>
          <w:p w14:paraId="26F10827">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p>
        </w:tc>
        <w:tc>
          <w:tcPr>
            <w:tcW w:w="1137" w:type="dxa"/>
            <w:shd w:val="clear" w:color="auto" w:fill="auto"/>
            <w:vAlign w:val="center"/>
          </w:tcPr>
          <w:p w14:paraId="01A95C0D">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cs="Times New Roman"/>
                <w:color w:val="auto"/>
                <w:sz w:val="21"/>
                <w:szCs w:val="21"/>
              </w:rPr>
              <w:t>硫化氢</w:t>
            </w:r>
          </w:p>
        </w:tc>
        <w:tc>
          <w:tcPr>
            <w:tcW w:w="1701" w:type="dxa"/>
            <w:shd w:val="clear" w:color="auto" w:fill="auto"/>
            <w:vAlign w:val="center"/>
          </w:tcPr>
          <w:p w14:paraId="1FA325CC">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cs="Times New Roman"/>
                <w:color w:val="auto"/>
                <w:sz w:val="21"/>
                <w:szCs w:val="21"/>
                <w:lang w:val="en-US" w:eastAsia="zh-CN"/>
              </w:rPr>
              <w:t>/</w:t>
            </w:r>
          </w:p>
        </w:tc>
        <w:tc>
          <w:tcPr>
            <w:tcW w:w="1276" w:type="dxa"/>
            <w:vAlign w:val="center"/>
          </w:tcPr>
          <w:p w14:paraId="14F6EF32">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ascii="Times New Roman" w:hAnsi="Times New Roman" w:cs="Times New Roman"/>
                <w:color w:val="auto"/>
                <w:sz w:val="21"/>
                <w:szCs w:val="21"/>
              </w:rPr>
              <w:t xml:space="preserve">0.0006 </w:t>
            </w:r>
          </w:p>
        </w:tc>
        <w:tc>
          <w:tcPr>
            <w:tcW w:w="1701" w:type="dxa"/>
            <w:vAlign w:val="center"/>
          </w:tcPr>
          <w:p w14:paraId="4D358538">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559" w:type="dxa"/>
            <w:vAlign w:val="center"/>
          </w:tcPr>
          <w:p w14:paraId="5B32D587">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701" w:type="dxa"/>
            <w:vAlign w:val="center"/>
          </w:tcPr>
          <w:p w14:paraId="52EF734A">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snapToGrid w:val="0"/>
                <w:color w:val="auto"/>
                <w:kern w:val="21"/>
                <w:szCs w:val="21"/>
              </w:rPr>
              <w:t>/</w:t>
            </w:r>
          </w:p>
        </w:tc>
        <w:tc>
          <w:tcPr>
            <w:tcW w:w="1559" w:type="dxa"/>
            <w:vAlign w:val="center"/>
          </w:tcPr>
          <w:p w14:paraId="09C51021">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eastAsia" w:ascii="Times New Roman" w:cs="Times New Roman"/>
                <w:color w:val="auto"/>
                <w:sz w:val="21"/>
                <w:szCs w:val="21"/>
                <w:lang w:val="en-US" w:eastAsia="zh-CN"/>
              </w:rPr>
              <w:t>/</w:t>
            </w:r>
          </w:p>
        </w:tc>
        <w:tc>
          <w:tcPr>
            <w:tcW w:w="1286" w:type="dxa"/>
            <w:vAlign w:val="center"/>
          </w:tcPr>
          <w:p w14:paraId="5587C829">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p>
        </w:tc>
      </w:tr>
      <w:tr w14:paraId="66A42D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2" w:type="dxa"/>
            <w:vMerge w:val="restart"/>
            <w:vAlign w:val="center"/>
          </w:tcPr>
          <w:p w14:paraId="6C327A1B">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废水（接管量）</w:t>
            </w:r>
          </w:p>
        </w:tc>
        <w:tc>
          <w:tcPr>
            <w:tcW w:w="1843" w:type="dxa"/>
            <w:gridSpan w:val="2"/>
            <w:shd w:val="clear" w:color="auto" w:fill="auto"/>
            <w:vAlign w:val="center"/>
          </w:tcPr>
          <w:p w14:paraId="7720EF29">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COD</w:t>
            </w:r>
          </w:p>
        </w:tc>
        <w:tc>
          <w:tcPr>
            <w:tcW w:w="1701" w:type="dxa"/>
            <w:shd w:val="clear" w:color="auto" w:fill="auto"/>
            <w:vAlign w:val="center"/>
          </w:tcPr>
          <w:p w14:paraId="54A2AFE6">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0.1472</w:t>
            </w:r>
          </w:p>
        </w:tc>
        <w:tc>
          <w:tcPr>
            <w:tcW w:w="1276" w:type="dxa"/>
            <w:shd w:val="clear" w:color="auto" w:fill="auto"/>
            <w:vAlign w:val="center"/>
          </w:tcPr>
          <w:p w14:paraId="4E843D79">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1.699</w:t>
            </w:r>
          </w:p>
        </w:tc>
        <w:tc>
          <w:tcPr>
            <w:tcW w:w="1701" w:type="dxa"/>
            <w:vAlign w:val="center"/>
          </w:tcPr>
          <w:p w14:paraId="55BC8F53">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559" w:type="dxa"/>
            <w:vAlign w:val="center"/>
          </w:tcPr>
          <w:p w14:paraId="2CF9B59D">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p>
        </w:tc>
        <w:tc>
          <w:tcPr>
            <w:tcW w:w="1701" w:type="dxa"/>
            <w:vAlign w:val="center"/>
          </w:tcPr>
          <w:p w14:paraId="3ED4F0C8">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1559" w:type="dxa"/>
            <w:shd w:val="clear" w:color="auto" w:fill="auto"/>
            <w:vAlign w:val="center"/>
          </w:tcPr>
          <w:p w14:paraId="7406D969">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0.1472</w:t>
            </w:r>
          </w:p>
        </w:tc>
        <w:tc>
          <w:tcPr>
            <w:tcW w:w="1286" w:type="dxa"/>
            <w:vAlign w:val="center"/>
          </w:tcPr>
          <w:p w14:paraId="5D66D745">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p>
        </w:tc>
      </w:tr>
      <w:tr w14:paraId="29DBD4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2" w:type="dxa"/>
            <w:vMerge w:val="continue"/>
            <w:vAlign w:val="center"/>
          </w:tcPr>
          <w:p w14:paraId="256F3F83">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p>
        </w:tc>
        <w:tc>
          <w:tcPr>
            <w:tcW w:w="1843" w:type="dxa"/>
            <w:gridSpan w:val="2"/>
            <w:shd w:val="clear" w:color="auto" w:fill="auto"/>
            <w:vAlign w:val="center"/>
          </w:tcPr>
          <w:p w14:paraId="3E711B1A">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SS</w:t>
            </w:r>
          </w:p>
        </w:tc>
        <w:tc>
          <w:tcPr>
            <w:tcW w:w="1701" w:type="dxa"/>
            <w:shd w:val="clear" w:color="auto" w:fill="auto"/>
            <w:vAlign w:val="center"/>
          </w:tcPr>
          <w:p w14:paraId="7030F4C8">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0.0639</w:t>
            </w:r>
          </w:p>
        </w:tc>
        <w:tc>
          <w:tcPr>
            <w:tcW w:w="1276" w:type="dxa"/>
            <w:shd w:val="clear" w:color="auto" w:fill="auto"/>
            <w:vAlign w:val="center"/>
          </w:tcPr>
          <w:p w14:paraId="6BD8711D">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0.697</w:t>
            </w:r>
          </w:p>
        </w:tc>
        <w:tc>
          <w:tcPr>
            <w:tcW w:w="1701" w:type="dxa"/>
            <w:vAlign w:val="center"/>
          </w:tcPr>
          <w:p w14:paraId="32F2BC41">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559" w:type="dxa"/>
            <w:vAlign w:val="center"/>
          </w:tcPr>
          <w:p w14:paraId="36860F91">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p>
        </w:tc>
        <w:tc>
          <w:tcPr>
            <w:tcW w:w="1701" w:type="dxa"/>
            <w:vAlign w:val="center"/>
          </w:tcPr>
          <w:p w14:paraId="0D6D9CEA">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1559" w:type="dxa"/>
            <w:shd w:val="clear" w:color="auto" w:fill="auto"/>
            <w:vAlign w:val="center"/>
          </w:tcPr>
          <w:p w14:paraId="00943956">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0.0639</w:t>
            </w:r>
          </w:p>
        </w:tc>
        <w:tc>
          <w:tcPr>
            <w:tcW w:w="1286" w:type="dxa"/>
            <w:vAlign w:val="center"/>
          </w:tcPr>
          <w:p w14:paraId="1F76F524">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p>
        </w:tc>
      </w:tr>
      <w:tr w14:paraId="77CF88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2" w:type="dxa"/>
            <w:vMerge w:val="continue"/>
            <w:vAlign w:val="center"/>
          </w:tcPr>
          <w:p w14:paraId="7BAAB62B">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p>
        </w:tc>
        <w:tc>
          <w:tcPr>
            <w:tcW w:w="1843" w:type="dxa"/>
            <w:gridSpan w:val="2"/>
            <w:shd w:val="clear" w:color="auto" w:fill="auto"/>
            <w:vAlign w:val="center"/>
          </w:tcPr>
          <w:p w14:paraId="43B41D87">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rPr>
              <w:t>氨氮</w:t>
            </w:r>
          </w:p>
        </w:tc>
        <w:tc>
          <w:tcPr>
            <w:tcW w:w="1701" w:type="dxa"/>
            <w:shd w:val="clear" w:color="auto" w:fill="auto"/>
            <w:vAlign w:val="center"/>
          </w:tcPr>
          <w:p w14:paraId="1A7819C4">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0.0210</w:t>
            </w:r>
          </w:p>
        </w:tc>
        <w:tc>
          <w:tcPr>
            <w:tcW w:w="1276" w:type="dxa"/>
            <w:shd w:val="clear" w:color="auto" w:fill="auto"/>
            <w:vAlign w:val="center"/>
          </w:tcPr>
          <w:p w14:paraId="15F918A0">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0.065</w:t>
            </w:r>
          </w:p>
        </w:tc>
        <w:tc>
          <w:tcPr>
            <w:tcW w:w="1701" w:type="dxa"/>
            <w:vAlign w:val="center"/>
          </w:tcPr>
          <w:p w14:paraId="4CE242AF">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1559" w:type="dxa"/>
            <w:vAlign w:val="center"/>
          </w:tcPr>
          <w:p w14:paraId="5FB80B4E">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p>
        </w:tc>
        <w:tc>
          <w:tcPr>
            <w:tcW w:w="1701" w:type="dxa"/>
            <w:vAlign w:val="center"/>
          </w:tcPr>
          <w:p w14:paraId="7CB332ED">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559" w:type="dxa"/>
            <w:shd w:val="clear" w:color="auto" w:fill="auto"/>
            <w:vAlign w:val="center"/>
          </w:tcPr>
          <w:p w14:paraId="12510F30">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0.0210</w:t>
            </w:r>
          </w:p>
        </w:tc>
        <w:tc>
          <w:tcPr>
            <w:tcW w:w="1286" w:type="dxa"/>
            <w:vAlign w:val="center"/>
          </w:tcPr>
          <w:p w14:paraId="0A12B46F">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0"/>
                <w:szCs w:val="20"/>
              </w:rPr>
              <w:t>/</w:t>
            </w:r>
          </w:p>
        </w:tc>
      </w:tr>
      <w:tr w14:paraId="02B20C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2" w:type="dxa"/>
            <w:vMerge w:val="continue"/>
            <w:vAlign w:val="center"/>
          </w:tcPr>
          <w:p w14:paraId="3B056EAA">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p>
        </w:tc>
        <w:tc>
          <w:tcPr>
            <w:tcW w:w="1843" w:type="dxa"/>
            <w:gridSpan w:val="2"/>
            <w:shd w:val="clear" w:color="auto" w:fill="auto"/>
            <w:vAlign w:val="center"/>
          </w:tcPr>
          <w:p w14:paraId="562A8763">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rPr>
              <w:t>总氮</w:t>
            </w:r>
          </w:p>
        </w:tc>
        <w:tc>
          <w:tcPr>
            <w:tcW w:w="1701" w:type="dxa"/>
            <w:shd w:val="clear" w:color="auto" w:fill="auto"/>
            <w:vAlign w:val="center"/>
          </w:tcPr>
          <w:p w14:paraId="33C973A6">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0.0323</w:t>
            </w:r>
          </w:p>
        </w:tc>
        <w:tc>
          <w:tcPr>
            <w:tcW w:w="1276" w:type="dxa"/>
            <w:shd w:val="clear" w:color="auto" w:fill="auto"/>
            <w:vAlign w:val="center"/>
          </w:tcPr>
          <w:p w14:paraId="3D57686C">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0.127</w:t>
            </w:r>
          </w:p>
        </w:tc>
        <w:tc>
          <w:tcPr>
            <w:tcW w:w="1701" w:type="dxa"/>
            <w:vAlign w:val="center"/>
          </w:tcPr>
          <w:p w14:paraId="0AE23BAF">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1559" w:type="dxa"/>
            <w:vAlign w:val="center"/>
          </w:tcPr>
          <w:p w14:paraId="15C092E1">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p>
        </w:tc>
        <w:tc>
          <w:tcPr>
            <w:tcW w:w="1701" w:type="dxa"/>
            <w:vAlign w:val="center"/>
          </w:tcPr>
          <w:p w14:paraId="3CE5982E">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559" w:type="dxa"/>
            <w:shd w:val="clear" w:color="auto" w:fill="auto"/>
            <w:vAlign w:val="center"/>
          </w:tcPr>
          <w:p w14:paraId="7AB41BE2">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0.0323</w:t>
            </w:r>
          </w:p>
        </w:tc>
        <w:tc>
          <w:tcPr>
            <w:tcW w:w="1286" w:type="dxa"/>
            <w:vAlign w:val="center"/>
          </w:tcPr>
          <w:p w14:paraId="367108AA">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p>
        </w:tc>
      </w:tr>
      <w:tr w14:paraId="2FFE16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2" w:type="dxa"/>
            <w:vMerge w:val="continue"/>
            <w:vAlign w:val="center"/>
          </w:tcPr>
          <w:p w14:paraId="01B1B460">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p>
        </w:tc>
        <w:tc>
          <w:tcPr>
            <w:tcW w:w="1843" w:type="dxa"/>
            <w:gridSpan w:val="2"/>
            <w:shd w:val="clear" w:color="auto" w:fill="auto"/>
            <w:vAlign w:val="center"/>
          </w:tcPr>
          <w:p w14:paraId="2C856B2B">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rPr>
              <w:t>总磷</w:t>
            </w:r>
          </w:p>
        </w:tc>
        <w:tc>
          <w:tcPr>
            <w:tcW w:w="1701" w:type="dxa"/>
            <w:shd w:val="clear" w:color="auto" w:fill="auto"/>
            <w:vAlign w:val="center"/>
          </w:tcPr>
          <w:p w14:paraId="5983C204">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0.0009</w:t>
            </w:r>
          </w:p>
        </w:tc>
        <w:tc>
          <w:tcPr>
            <w:tcW w:w="1276" w:type="dxa"/>
            <w:shd w:val="clear" w:color="auto" w:fill="auto"/>
            <w:vAlign w:val="center"/>
          </w:tcPr>
          <w:p w14:paraId="3F5E009B">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0.008</w:t>
            </w:r>
          </w:p>
        </w:tc>
        <w:tc>
          <w:tcPr>
            <w:tcW w:w="1701" w:type="dxa"/>
            <w:vAlign w:val="center"/>
          </w:tcPr>
          <w:p w14:paraId="6094051F">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1559" w:type="dxa"/>
            <w:vAlign w:val="center"/>
          </w:tcPr>
          <w:p w14:paraId="49CFDE84">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p>
        </w:tc>
        <w:tc>
          <w:tcPr>
            <w:tcW w:w="1701" w:type="dxa"/>
            <w:vAlign w:val="center"/>
          </w:tcPr>
          <w:p w14:paraId="61EDC21E">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559" w:type="dxa"/>
            <w:shd w:val="clear" w:color="auto" w:fill="auto"/>
            <w:vAlign w:val="center"/>
          </w:tcPr>
          <w:p w14:paraId="1A292C1C">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0.0009</w:t>
            </w:r>
          </w:p>
        </w:tc>
        <w:tc>
          <w:tcPr>
            <w:tcW w:w="1286" w:type="dxa"/>
            <w:vAlign w:val="center"/>
          </w:tcPr>
          <w:p w14:paraId="077E2D43">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p>
        </w:tc>
      </w:tr>
      <w:tr w14:paraId="58DE45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2" w:type="dxa"/>
            <w:vMerge w:val="continue"/>
            <w:vAlign w:val="center"/>
          </w:tcPr>
          <w:p w14:paraId="64A28A81">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p>
        </w:tc>
        <w:tc>
          <w:tcPr>
            <w:tcW w:w="1843" w:type="dxa"/>
            <w:gridSpan w:val="2"/>
            <w:shd w:val="clear" w:color="auto" w:fill="auto"/>
            <w:vAlign w:val="center"/>
          </w:tcPr>
          <w:p w14:paraId="2F9C1563">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rPr>
              <w:t>石油类</w:t>
            </w:r>
          </w:p>
        </w:tc>
        <w:tc>
          <w:tcPr>
            <w:tcW w:w="1701" w:type="dxa"/>
            <w:shd w:val="clear" w:color="auto" w:fill="auto"/>
            <w:vAlign w:val="center"/>
          </w:tcPr>
          <w:p w14:paraId="4A34D0D1">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cs="Times New Roman"/>
                <w:color w:val="auto"/>
                <w:sz w:val="21"/>
                <w:szCs w:val="21"/>
                <w:lang w:val="en-US" w:eastAsia="zh-CN"/>
              </w:rPr>
              <w:t>ND</w:t>
            </w:r>
          </w:p>
        </w:tc>
        <w:tc>
          <w:tcPr>
            <w:tcW w:w="1276" w:type="dxa"/>
            <w:shd w:val="clear" w:color="auto" w:fill="auto"/>
            <w:vAlign w:val="center"/>
          </w:tcPr>
          <w:p w14:paraId="585BCAE7">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0.009</w:t>
            </w:r>
          </w:p>
        </w:tc>
        <w:tc>
          <w:tcPr>
            <w:tcW w:w="1701" w:type="dxa"/>
            <w:vAlign w:val="center"/>
          </w:tcPr>
          <w:p w14:paraId="25863B06">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1559" w:type="dxa"/>
            <w:vAlign w:val="center"/>
          </w:tcPr>
          <w:p w14:paraId="6E958155">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p>
        </w:tc>
        <w:tc>
          <w:tcPr>
            <w:tcW w:w="1701" w:type="dxa"/>
            <w:vAlign w:val="center"/>
          </w:tcPr>
          <w:p w14:paraId="7E2545E4">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559" w:type="dxa"/>
            <w:shd w:val="clear" w:color="auto" w:fill="auto"/>
            <w:vAlign w:val="center"/>
          </w:tcPr>
          <w:p w14:paraId="6D18D5F7">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cs="Times New Roman"/>
                <w:color w:val="auto"/>
                <w:sz w:val="21"/>
                <w:szCs w:val="21"/>
                <w:lang w:val="en-US" w:eastAsia="zh-CN"/>
              </w:rPr>
              <w:t>ND</w:t>
            </w:r>
          </w:p>
        </w:tc>
        <w:tc>
          <w:tcPr>
            <w:tcW w:w="1286" w:type="dxa"/>
            <w:vAlign w:val="center"/>
          </w:tcPr>
          <w:p w14:paraId="1FFD02BD">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0"/>
                <w:szCs w:val="20"/>
              </w:rPr>
              <w:t>/</w:t>
            </w:r>
          </w:p>
        </w:tc>
      </w:tr>
      <w:tr w14:paraId="71D56E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2" w:type="dxa"/>
            <w:vMerge w:val="continue"/>
            <w:vAlign w:val="center"/>
          </w:tcPr>
          <w:p w14:paraId="2EA48F77">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p>
        </w:tc>
        <w:tc>
          <w:tcPr>
            <w:tcW w:w="1843" w:type="dxa"/>
            <w:gridSpan w:val="2"/>
            <w:shd w:val="clear" w:color="auto" w:fill="auto"/>
            <w:vAlign w:val="center"/>
          </w:tcPr>
          <w:p w14:paraId="16375B47">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rPr>
              <w:t>盐分</w:t>
            </w:r>
          </w:p>
        </w:tc>
        <w:tc>
          <w:tcPr>
            <w:tcW w:w="1701" w:type="dxa"/>
            <w:shd w:val="clear" w:color="auto" w:fill="auto"/>
            <w:vAlign w:val="center"/>
          </w:tcPr>
          <w:p w14:paraId="6A0215EA">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6.1837</w:t>
            </w:r>
          </w:p>
        </w:tc>
        <w:tc>
          <w:tcPr>
            <w:tcW w:w="1276" w:type="dxa"/>
            <w:shd w:val="clear" w:color="auto" w:fill="auto"/>
            <w:vAlign w:val="center"/>
          </w:tcPr>
          <w:p w14:paraId="44C47BB7">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19.364</w:t>
            </w:r>
          </w:p>
        </w:tc>
        <w:tc>
          <w:tcPr>
            <w:tcW w:w="1701" w:type="dxa"/>
            <w:vAlign w:val="center"/>
          </w:tcPr>
          <w:p w14:paraId="57AABD40">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1559" w:type="dxa"/>
            <w:vAlign w:val="center"/>
          </w:tcPr>
          <w:p w14:paraId="6C3DB7C2">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p>
        </w:tc>
        <w:tc>
          <w:tcPr>
            <w:tcW w:w="1701" w:type="dxa"/>
            <w:vAlign w:val="center"/>
          </w:tcPr>
          <w:p w14:paraId="317AB8AD">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559" w:type="dxa"/>
            <w:shd w:val="clear" w:color="auto" w:fill="auto"/>
            <w:vAlign w:val="center"/>
          </w:tcPr>
          <w:p w14:paraId="35094257">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6.1837</w:t>
            </w:r>
          </w:p>
        </w:tc>
        <w:tc>
          <w:tcPr>
            <w:tcW w:w="1286" w:type="dxa"/>
            <w:vAlign w:val="center"/>
          </w:tcPr>
          <w:p w14:paraId="54F7E476">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p>
        </w:tc>
      </w:tr>
      <w:tr w14:paraId="504745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2" w:type="dxa"/>
            <w:vAlign w:val="center"/>
          </w:tcPr>
          <w:p w14:paraId="4BFE3392">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一般工业固体废物</w:t>
            </w:r>
          </w:p>
        </w:tc>
        <w:tc>
          <w:tcPr>
            <w:tcW w:w="1843" w:type="dxa"/>
            <w:gridSpan w:val="2"/>
            <w:vAlign w:val="center"/>
          </w:tcPr>
          <w:p w14:paraId="75BB5A95">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ascii="Times New Roman" w:hAnsi="Times New Roman" w:cs="Times New Roman"/>
                <w:color w:val="auto"/>
                <w:sz w:val="21"/>
                <w:szCs w:val="21"/>
              </w:rPr>
              <w:t>纯水制备系统废物</w:t>
            </w:r>
          </w:p>
        </w:tc>
        <w:tc>
          <w:tcPr>
            <w:tcW w:w="1701" w:type="dxa"/>
            <w:vAlign w:val="center"/>
          </w:tcPr>
          <w:p w14:paraId="1B0ADD8C">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ascii="Times New Roman" w:hAnsi="Times New Roman" w:cs="Times New Roman"/>
                <w:color w:val="auto"/>
                <w:sz w:val="21"/>
                <w:szCs w:val="21"/>
              </w:rPr>
              <w:t>0.20</w:t>
            </w:r>
          </w:p>
        </w:tc>
        <w:tc>
          <w:tcPr>
            <w:tcW w:w="1276" w:type="dxa"/>
            <w:vAlign w:val="center"/>
          </w:tcPr>
          <w:p w14:paraId="0C5D3EC8">
            <w:pPr>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Cs w:val="21"/>
                <w:lang w:eastAsia="zh-CN"/>
              </w:rPr>
            </w:pPr>
            <w:r>
              <w:rPr>
                <w:rFonts w:hint="eastAsia" w:cs="Times New Roman"/>
                <w:color w:val="auto"/>
                <w:sz w:val="21"/>
                <w:szCs w:val="21"/>
                <w:lang w:val="en-US" w:eastAsia="zh-CN"/>
              </w:rPr>
              <w:t>/</w:t>
            </w:r>
          </w:p>
        </w:tc>
        <w:tc>
          <w:tcPr>
            <w:tcW w:w="1701" w:type="dxa"/>
            <w:vAlign w:val="center"/>
          </w:tcPr>
          <w:p w14:paraId="73882E7C">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1559" w:type="dxa"/>
            <w:vAlign w:val="center"/>
          </w:tcPr>
          <w:p w14:paraId="1EC8FFC9">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p>
        </w:tc>
        <w:tc>
          <w:tcPr>
            <w:tcW w:w="1701" w:type="dxa"/>
            <w:vAlign w:val="center"/>
          </w:tcPr>
          <w:p w14:paraId="6B5BDA2C">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559" w:type="dxa"/>
            <w:vAlign w:val="center"/>
          </w:tcPr>
          <w:p w14:paraId="648854B0">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ascii="Times New Roman" w:hAnsi="Times New Roman" w:cs="Times New Roman"/>
                <w:color w:val="auto"/>
                <w:sz w:val="21"/>
                <w:szCs w:val="21"/>
              </w:rPr>
              <w:t>0.20</w:t>
            </w:r>
          </w:p>
        </w:tc>
        <w:tc>
          <w:tcPr>
            <w:tcW w:w="1286" w:type="dxa"/>
            <w:vAlign w:val="center"/>
          </w:tcPr>
          <w:p w14:paraId="71F28D8C">
            <w:pPr>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w:t>
            </w:r>
          </w:p>
        </w:tc>
      </w:tr>
      <w:tr w14:paraId="0C3663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2" w:type="dxa"/>
            <w:vMerge w:val="restart"/>
            <w:vAlign w:val="center"/>
          </w:tcPr>
          <w:p w14:paraId="52D6EC76">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危险废物</w:t>
            </w:r>
          </w:p>
        </w:tc>
        <w:tc>
          <w:tcPr>
            <w:tcW w:w="1843" w:type="dxa"/>
            <w:gridSpan w:val="2"/>
            <w:shd w:val="clear" w:color="auto" w:fill="auto"/>
            <w:vAlign w:val="center"/>
          </w:tcPr>
          <w:p w14:paraId="78FC656D">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釜残/蒸馏残渣</w:t>
            </w:r>
          </w:p>
        </w:tc>
        <w:tc>
          <w:tcPr>
            <w:tcW w:w="1701" w:type="dxa"/>
            <w:shd w:val="clear" w:color="auto" w:fill="auto"/>
            <w:vAlign w:val="center"/>
          </w:tcPr>
          <w:p w14:paraId="295C02A3">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cs="Times New Roman"/>
                <w:color w:val="auto"/>
                <w:sz w:val="21"/>
                <w:szCs w:val="21"/>
                <w:lang w:val="en-US" w:eastAsia="zh-CN"/>
              </w:rPr>
              <w:t>269.57</w:t>
            </w:r>
          </w:p>
        </w:tc>
        <w:tc>
          <w:tcPr>
            <w:tcW w:w="1276" w:type="dxa"/>
            <w:shd w:val="clear" w:color="auto" w:fill="auto"/>
            <w:vAlign w:val="center"/>
          </w:tcPr>
          <w:p w14:paraId="055ED899">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cs="Times New Roman"/>
                <w:color w:val="auto"/>
                <w:sz w:val="21"/>
                <w:szCs w:val="21"/>
                <w:lang w:val="en-US" w:eastAsia="zh-CN"/>
              </w:rPr>
              <w:t>/</w:t>
            </w:r>
          </w:p>
        </w:tc>
        <w:tc>
          <w:tcPr>
            <w:tcW w:w="1701" w:type="dxa"/>
            <w:vAlign w:val="center"/>
          </w:tcPr>
          <w:p w14:paraId="792DEA4D">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1559" w:type="dxa"/>
            <w:vAlign w:val="center"/>
          </w:tcPr>
          <w:p w14:paraId="1C6E04FE">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p>
        </w:tc>
        <w:tc>
          <w:tcPr>
            <w:tcW w:w="1701" w:type="dxa"/>
            <w:vAlign w:val="center"/>
          </w:tcPr>
          <w:p w14:paraId="2E6AA26F">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559" w:type="dxa"/>
            <w:vAlign w:val="center"/>
          </w:tcPr>
          <w:p w14:paraId="2D9C5720">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eastAsia" w:ascii="Times New Roman" w:cs="Times New Roman"/>
                <w:color w:val="auto"/>
                <w:sz w:val="21"/>
                <w:szCs w:val="21"/>
                <w:lang w:val="en-US" w:eastAsia="zh-CN"/>
              </w:rPr>
              <w:t>269.57</w:t>
            </w:r>
          </w:p>
        </w:tc>
        <w:tc>
          <w:tcPr>
            <w:tcW w:w="1286" w:type="dxa"/>
            <w:vAlign w:val="center"/>
          </w:tcPr>
          <w:p w14:paraId="40EBFA03">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742E6D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2" w:type="dxa"/>
            <w:vMerge w:val="continue"/>
            <w:vAlign w:val="center"/>
          </w:tcPr>
          <w:p w14:paraId="3833DE71">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p>
        </w:tc>
        <w:tc>
          <w:tcPr>
            <w:tcW w:w="1843" w:type="dxa"/>
            <w:gridSpan w:val="2"/>
            <w:shd w:val="clear" w:color="auto" w:fill="auto"/>
            <w:vAlign w:val="center"/>
          </w:tcPr>
          <w:p w14:paraId="45831498">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板框压滤污泥</w:t>
            </w:r>
          </w:p>
        </w:tc>
        <w:tc>
          <w:tcPr>
            <w:tcW w:w="1701" w:type="dxa"/>
            <w:shd w:val="clear" w:color="auto" w:fill="auto"/>
            <w:vAlign w:val="center"/>
          </w:tcPr>
          <w:p w14:paraId="0AA613AB">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cs="Times New Roman"/>
                <w:color w:val="auto"/>
                <w:sz w:val="21"/>
                <w:szCs w:val="21"/>
                <w:lang w:val="en-US" w:eastAsia="zh-CN"/>
              </w:rPr>
              <w:t>41.26</w:t>
            </w:r>
            <w:r>
              <w:rPr>
                <w:rFonts w:ascii="Times New Roman" w:hAnsi="Times New Roman" w:cs="Times New Roman"/>
                <w:color w:val="auto"/>
                <w:sz w:val="21"/>
                <w:szCs w:val="21"/>
              </w:rPr>
              <w:t xml:space="preserve"> </w:t>
            </w:r>
          </w:p>
        </w:tc>
        <w:tc>
          <w:tcPr>
            <w:tcW w:w="1276" w:type="dxa"/>
            <w:shd w:val="clear" w:color="auto" w:fill="auto"/>
            <w:vAlign w:val="center"/>
          </w:tcPr>
          <w:p w14:paraId="29E676BE">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0"/>
                <w:szCs w:val="20"/>
              </w:rPr>
              <w:t>/</w:t>
            </w:r>
          </w:p>
        </w:tc>
        <w:tc>
          <w:tcPr>
            <w:tcW w:w="1701" w:type="dxa"/>
            <w:vAlign w:val="center"/>
          </w:tcPr>
          <w:p w14:paraId="15FCA109">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1559" w:type="dxa"/>
            <w:vAlign w:val="center"/>
          </w:tcPr>
          <w:p w14:paraId="056BEDE8">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p>
        </w:tc>
        <w:tc>
          <w:tcPr>
            <w:tcW w:w="1701" w:type="dxa"/>
            <w:vAlign w:val="center"/>
          </w:tcPr>
          <w:p w14:paraId="70A401F2">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559" w:type="dxa"/>
            <w:vAlign w:val="center"/>
          </w:tcPr>
          <w:p w14:paraId="306680FC">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eastAsia" w:ascii="Times New Roman" w:cs="Times New Roman"/>
                <w:b w:val="0"/>
                <w:bCs w:val="0"/>
                <w:color w:val="auto"/>
                <w:sz w:val="21"/>
                <w:szCs w:val="21"/>
                <w:lang w:val="en-US" w:eastAsia="zh-CN"/>
              </w:rPr>
              <w:t>41.26</w:t>
            </w:r>
            <w:r>
              <w:rPr>
                <w:rFonts w:ascii="Times New Roman" w:hAnsi="Times New Roman" w:cs="Times New Roman"/>
                <w:b w:val="0"/>
                <w:bCs w:val="0"/>
                <w:color w:val="auto"/>
                <w:sz w:val="21"/>
                <w:szCs w:val="21"/>
              </w:rPr>
              <w:t xml:space="preserve"> </w:t>
            </w:r>
          </w:p>
        </w:tc>
        <w:tc>
          <w:tcPr>
            <w:tcW w:w="1286" w:type="dxa"/>
            <w:vAlign w:val="center"/>
          </w:tcPr>
          <w:p w14:paraId="250E9DE0">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762D68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2" w:type="dxa"/>
            <w:vMerge w:val="continue"/>
            <w:vAlign w:val="center"/>
          </w:tcPr>
          <w:p w14:paraId="2BF808B1">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p>
        </w:tc>
        <w:tc>
          <w:tcPr>
            <w:tcW w:w="1843" w:type="dxa"/>
            <w:gridSpan w:val="2"/>
            <w:shd w:val="clear" w:color="auto" w:fill="auto"/>
            <w:vAlign w:val="center"/>
          </w:tcPr>
          <w:p w14:paraId="2CEA054C">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cs="Times New Roman"/>
                <w:color w:val="auto"/>
                <w:sz w:val="21"/>
                <w:szCs w:val="21"/>
                <w:lang w:eastAsia="zh-CN"/>
              </w:rPr>
              <w:t>实验室</w:t>
            </w:r>
            <w:r>
              <w:rPr>
                <w:rFonts w:hint="eastAsia" w:ascii="Times New Roman" w:hAnsi="Times New Roman" w:cs="Times New Roman"/>
                <w:color w:val="auto"/>
                <w:sz w:val="21"/>
                <w:szCs w:val="21"/>
              </w:rPr>
              <w:t>废液</w:t>
            </w:r>
          </w:p>
        </w:tc>
        <w:tc>
          <w:tcPr>
            <w:tcW w:w="1701" w:type="dxa"/>
            <w:shd w:val="clear" w:color="auto" w:fill="auto"/>
            <w:vAlign w:val="center"/>
          </w:tcPr>
          <w:p w14:paraId="3263AFF3">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 xml:space="preserve">0.05 </w:t>
            </w:r>
          </w:p>
        </w:tc>
        <w:tc>
          <w:tcPr>
            <w:tcW w:w="1276" w:type="dxa"/>
            <w:shd w:val="clear" w:color="auto" w:fill="auto"/>
            <w:vAlign w:val="center"/>
          </w:tcPr>
          <w:p w14:paraId="693B318B">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0"/>
                <w:szCs w:val="20"/>
              </w:rPr>
              <w:t>/</w:t>
            </w:r>
          </w:p>
        </w:tc>
        <w:tc>
          <w:tcPr>
            <w:tcW w:w="1701" w:type="dxa"/>
            <w:vAlign w:val="center"/>
          </w:tcPr>
          <w:p w14:paraId="2696FB8E">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1559" w:type="dxa"/>
            <w:vAlign w:val="center"/>
          </w:tcPr>
          <w:p w14:paraId="4D8CA33C">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p>
        </w:tc>
        <w:tc>
          <w:tcPr>
            <w:tcW w:w="1701" w:type="dxa"/>
            <w:vAlign w:val="center"/>
          </w:tcPr>
          <w:p w14:paraId="52D1364D">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559" w:type="dxa"/>
            <w:vAlign w:val="center"/>
          </w:tcPr>
          <w:p w14:paraId="4BC0969E">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ascii="Times New Roman" w:hAnsi="Times New Roman" w:cs="Times New Roman"/>
                <w:b w:val="0"/>
                <w:bCs w:val="0"/>
                <w:color w:val="auto"/>
                <w:sz w:val="21"/>
                <w:szCs w:val="21"/>
              </w:rPr>
              <w:t xml:space="preserve">0.05 </w:t>
            </w:r>
          </w:p>
        </w:tc>
        <w:tc>
          <w:tcPr>
            <w:tcW w:w="1286" w:type="dxa"/>
            <w:vAlign w:val="center"/>
          </w:tcPr>
          <w:p w14:paraId="2B03A626">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69E214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2" w:type="dxa"/>
            <w:vMerge w:val="continue"/>
            <w:vAlign w:val="center"/>
          </w:tcPr>
          <w:p w14:paraId="6BDE01DE">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p>
        </w:tc>
        <w:tc>
          <w:tcPr>
            <w:tcW w:w="1843" w:type="dxa"/>
            <w:gridSpan w:val="2"/>
            <w:shd w:val="clear" w:color="auto" w:fill="auto"/>
            <w:vAlign w:val="center"/>
          </w:tcPr>
          <w:p w14:paraId="0257023B">
            <w:pPr>
              <w:pStyle w:val="100"/>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21"/>
                <w:szCs w:val="21"/>
                <w:lang w:eastAsia="zh-CN"/>
              </w:rPr>
            </w:pPr>
            <w:r>
              <w:rPr>
                <w:rFonts w:hint="eastAsia" w:ascii="Times New Roman" w:cs="Times New Roman"/>
                <w:color w:val="auto"/>
                <w:sz w:val="21"/>
                <w:szCs w:val="21"/>
                <w:lang w:eastAsia="zh-CN"/>
              </w:rPr>
              <w:t>废活性炭（实验室废气处理）</w:t>
            </w:r>
          </w:p>
        </w:tc>
        <w:tc>
          <w:tcPr>
            <w:tcW w:w="1701" w:type="dxa"/>
            <w:shd w:val="clear" w:color="auto" w:fill="auto"/>
            <w:vAlign w:val="center"/>
          </w:tcPr>
          <w:p w14:paraId="3BA6D70A">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0.12</w:t>
            </w:r>
          </w:p>
        </w:tc>
        <w:tc>
          <w:tcPr>
            <w:tcW w:w="1276" w:type="dxa"/>
            <w:shd w:val="clear" w:color="auto" w:fill="auto"/>
            <w:vAlign w:val="center"/>
          </w:tcPr>
          <w:p w14:paraId="02D07F9A">
            <w:pPr>
              <w:keepNext w:val="0"/>
              <w:keepLines w:val="0"/>
              <w:pageBreakBefore w:val="0"/>
              <w:kinsoku/>
              <w:wordWrap/>
              <w:overflowPunct/>
              <w:topLinePunct w:val="0"/>
              <w:bidi w:val="0"/>
              <w:adjustRightInd w:val="0"/>
              <w:snapToGrid w:val="0"/>
              <w:spacing w:line="240" w:lineRule="auto"/>
              <w:jc w:val="center"/>
              <w:textAlignment w:val="auto"/>
              <w:rPr>
                <w:rFonts w:ascii="Times New Roman" w:hAnsi="Times New Roman" w:cs="Times New Roman"/>
                <w:b w:val="0"/>
                <w:bCs w:val="0"/>
                <w:color w:val="auto"/>
                <w:sz w:val="21"/>
                <w:szCs w:val="21"/>
              </w:rPr>
            </w:pPr>
            <w:r>
              <w:rPr>
                <w:rFonts w:hint="default" w:ascii="Times New Roman" w:hAnsi="Times New Roman" w:eastAsia="宋体" w:cs="Times New Roman"/>
                <w:color w:val="auto"/>
                <w:sz w:val="20"/>
                <w:szCs w:val="20"/>
              </w:rPr>
              <w:t>/</w:t>
            </w:r>
          </w:p>
        </w:tc>
        <w:tc>
          <w:tcPr>
            <w:tcW w:w="1701" w:type="dxa"/>
            <w:vAlign w:val="center"/>
          </w:tcPr>
          <w:p w14:paraId="4DF8B0E2">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1559" w:type="dxa"/>
            <w:vAlign w:val="center"/>
          </w:tcPr>
          <w:p w14:paraId="7B4CF8EB">
            <w:pPr>
              <w:pStyle w:val="148"/>
              <w:keepNext w:val="0"/>
              <w:keepLines w:val="0"/>
              <w:pageBreakBefore w:val="0"/>
              <w:kinsoku/>
              <w:wordWrap/>
              <w:overflowPunct/>
              <w:topLinePunct w:val="0"/>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701" w:type="dxa"/>
            <w:vAlign w:val="center"/>
          </w:tcPr>
          <w:p w14:paraId="35518685">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559" w:type="dxa"/>
            <w:vAlign w:val="center"/>
          </w:tcPr>
          <w:p w14:paraId="7EA29B79">
            <w:pPr>
              <w:pStyle w:val="100"/>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0.12</w:t>
            </w:r>
          </w:p>
        </w:tc>
        <w:tc>
          <w:tcPr>
            <w:tcW w:w="1286" w:type="dxa"/>
            <w:vAlign w:val="center"/>
          </w:tcPr>
          <w:p w14:paraId="1BA59E07">
            <w:pPr>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bl>
    <w:p w14:paraId="04FC2862">
      <w:pPr>
        <w:pStyle w:val="148"/>
        <w:spacing w:beforeLines="80" w:after="24"/>
        <w:jc w:val="left"/>
        <w:rPr>
          <w:rFonts w:ascii="Times New Roman" w:hAnsi="Times New Roman" w:cs="Times New Roman"/>
          <w:snapToGrid w:val="0"/>
          <w:color w:val="auto"/>
          <w:spacing w:val="-6"/>
          <w:kern w:val="21"/>
          <w:szCs w:val="21"/>
        </w:rPr>
      </w:pPr>
      <w:r>
        <w:rPr>
          <w:rFonts w:ascii="Times New Roman" w:hAnsi="Times New Roman" w:cs="Times New Roman"/>
          <w:snapToGrid w:val="0"/>
          <w:color w:val="auto"/>
          <w:kern w:val="21"/>
          <w:szCs w:val="21"/>
        </w:rPr>
        <w:t>注：</w:t>
      </w:r>
      <w:r>
        <w:rPr>
          <w:rFonts w:ascii="Times New Roman" w:hAnsi="Times New Roman" w:cs="Times New Roman"/>
          <w:snapToGrid w:val="0"/>
          <w:color w:val="auto"/>
          <w:spacing w:val="-16"/>
          <w:kern w:val="21"/>
          <w:szCs w:val="21"/>
        </w:rPr>
        <w:fldChar w:fldCharType="begin"/>
      </w:r>
      <w:r>
        <w:rPr>
          <w:rFonts w:ascii="Times New Roman" w:hAnsi="Times New Roman" w:cs="Times New Roman"/>
          <w:snapToGrid w:val="0"/>
          <w:color w:val="auto"/>
          <w:spacing w:val="-16"/>
          <w:kern w:val="21"/>
          <w:szCs w:val="21"/>
        </w:rPr>
        <w:instrText xml:space="preserve"> = 6 \* GB3 \* MERGEFORMAT </w:instrText>
      </w:r>
      <w:r>
        <w:rPr>
          <w:rFonts w:ascii="Times New Roman" w:hAnsi="Times New Roman" w:cs="Times New Roman"/>
          <w:snapToGrid w:val="0"/>
          <w:color w:val="auto"/>
          <w:spacing w:val="-16"/>
          <w:kern w:val="21"/>
          <w:szCs w:val="21"/>
        </w:rPr>
        <w:fldChar w:fldCharType="separate"/>
      </w:r>
      <w:r>
        <w:rPr>
          <w:rFonts w:ascii="Times New Roman" w:hAnsi="Times New Roman" w:eastAsia="宋体" w:cs="Times New Roman"/>
          <w:color w:val="auto"/>
          <w:szCs w:val="21"/>
        </w:rPr>
        <w:t>⑥</w:t>
      </w:r>
      <w:r>
        <w:rPr>
          <w:rFonts w:ascii="Times New Roman" w:hAnsi="Times New Roman" w:cs="Times New Roman"/>
          <w:snapToGrid w:val="0"/>
          <w:color w:val="auto"/>
          <w:spacing w:val="-16"/>
          <w:kern w:val="21"/>
          <w:szCs w:val="21"/>
        </w:rPr>
        <w:fldChar w:fldCharType="end"/>
      </w:r>
      <w:r>
        <w:rPr>
          <w:rFonts w:ascii="Times New Roman" w:hAnsi="Times New Roman" w:cs="Times New Roman"/>
          <w:snapToGrid w:val="0"/>
          <w:color w:val="auto"/>
          <w:spacing w:val="-16"/>
          <w:kern w:val="21"/>
          <w:szCs w:val="21"/>
        </w:rPr>
        <w:t>=</w:t>
      </w:r>
      <w:r>
        <w:rPr>
          <w:rFonts w:ascii="Times New Roman" w:hAnsi="Times New Roman" w:cs="Times New Roman"/>
          <w:snapToGrid w:val="0"/>
          <w:color w:val="auto"/>
          <w:spacing w:val="-6"/>
          <w:kern w:val="21"/>
          <w:szCs w:val="21"/>
        </w:rPr>
        <w:fldChar w:fldCharType="begin"/>
      </w:r>
      <w:r>
        <w:rPr>
          <w:rFonts w:ascii="Times New Roman" w:hAnsi="Times New Roman" w:cs="Times New Roman"/>
          <w:snapToGrid w:val="0"/>
          <w:color w:val="auto"/>
          <w:spacing w:val="-6"/>
          <w:kern w:val="21"/>
          <w:szCs w:val="21"/>
        </w:rPr>
        <w:instrText xml:space="preserve"> = 1 \* GB3 \* MERGEFORMAT </w:instrText>
      </w:r>
      <w:r>
        <w:rPr>
          <w:rFonts w:ascii="Times New Roman" w:hAnsi="Times New Roman" w:cs="Times New Roman"/>
          <w:snapToGrid w:val="0"/>
          <w:color w:val="auto"/>
          <w:spacing w:val="-6"/>
          <w:kern w:val="21"/>
          <w:szCs w:val="21"/>
        </w:rPr>
        <w:fldChar w:fldCharType="separate"/>
      </w:r>
      <w:r>
        <w:rPr>
          <w:rFonts w:ascii="Times New Roman" w:hAnsi="Times New Roman" w:eastAsia="宋体" w:cs="Times New Roman"/>
          <w:color w:val="auto"/>
          <w:szCs w:val="21"/>
        </w:rPr>
        <w:t>①</w:t>
      </w:r>
      <w:r>
        <w:rPr>
          <w:rFonts w:ascii="Times New Roman" w:hAnsi="Times New Roman" w:cs="Times New Roman"/>
          <w:snapToGrid w:val="0"/>
          <w:color w:val="auto"/>
          <w:spacing w:val="-6"/>
          <w:kern w:val="21"/>
          <w:szCs w:val="21"/>
        </w:rPr>
        <w:fldChar w:fldCharType="end"/>
      </w:r>
      <w:r>
        <w:rPr>
          <w:rFonts w:ascii="Times New Roman" w:hAnsi="Times New Roman" w:cs="Times New Roman"/>
          <w:snapToGrid w:val="0"/>
          <w:color w:val="auto"/>
          <w:spacing w:val="-6"/>
          <w:kern w:val="21"/>
          <w:szCs w:val="21"/>
        </w:rPr>
        <w:t>+</w:t>
      </w:r>
      <w:r>
        <w:rPr>
          <w:rFonts w:ascii="Times New Roman" w:hAnsi="Times New Roman" w:cs="Times New Roman"/>
          <w:snapToGrid w:val="0"/>
          <w:color w:val="auto"/>
          <w:spacing w:val="-6"/>
          <w:kern w:val="21"/>
          <w:szCs w:val="21"/>
        </w:rPr>
        <w:fldChar w:fldCharType="begin"/>
      </w:r>
      <w:r>
        <w:rPr>
          <w:rFonts w:ascii="Times New Roman" w:hAnsi="Times New Roman" w:cs="Times New Roman"/>
          <w:snapToGrid w:val="0"/>
          <w:color w:val="auto"/>
          <w:spacing w:val="-6"/>
          <w:kern w:val="21"/>
          <w:szCs w:val="21"/>
        </w:rPr>
        <w:instrText xml:space="preserve"> = 3 \* GB3 \* MERGEFORMAT </w:instrText>
      </w:r>
      <w:r>
        <w:rPr>
          <w:rFonts w:ascii="Times New Roman" w:hAnsi="Times New Roman" w:cs="Times New Roman"/>
          <w:snapToGrid w:val="0"/>
          <w:color w:val="auto"/>
          <w:spacing w:val="-6"/>
          <w:kern w:val="21"/>
          <w:szCs w:val="21"/>
        </w:rPr>
        <w:fldChar w:fldCharType="separate"/>
      </w:r>
      <w:r>
        <w:rPr>
          <w:rFonts w:ascii="Times New Roman" w:hAnsi="Times New Roman" w:eastAsia="宋体" w:cs="Times New Roman"/>
          <w:color w:val="auto"/>
          <w:szCs w:val="21"/>
        </w:rPr>
        <w:t>③</w:t>
      </w:r>
      <w:r>
        <w:rPr>
          <w:rFonts w:ascii="Times New Roman" w:hAnsi="Times New Roman" w:cs="Times New Roman"/>
          <w:snapToGrid w:val="0"/>
          <w:color w:val="auto"/>
          <w:spacing w:val="-6"/>
          <w:kern w:val="21"/>
          <w:szCs w:val="21"/>
        </w:rPr>
        <w:fldChar w:fldCharType="end"/>
      </w:r>
      <w:r>
        <w:rPr>
          <w:rFonts w:ascii="Times New Roman" w:hAnsi="Times New Roman" w:cs="Times New Roman"/>
          <w:snapToGrid w:val="0"/>
          <w:color w:val="auto"/>
          <w:spacing w:val="-6"/>
          <w:kern w:val="21"/>
          <w:szCs w:val="21"/>
        </w:rPr>
        <w:t>+</w:t>
      </w:r>
      <w:r>
        <w:rPr>
          <w:rFonts w:ascii="Times New Roman" w:hAnsi="Times New Roman" w:cs="Times New Roman"/>
          <w:snapToGrid w:val="0"/>
          <w:color w:val="auto"/>
          <w:spacing w:val="-6"/>
          <w:kern w:val="21"/>
          <w:szCs w:val="21"/>
        </w:rPr>
        <w:fldChar w:fldCharType="begin"/>
      </w:r>
      <w:r>
        <w:rPr>
          <w:rFonts w:ascii="Times New Roman" w:hAnsi="Times New Roman" w:cs="Times New Roman"/>
          <w:snapToGrid w:val="0"/>
          <w:color w:val="auto"/>
          <w:spacing w:val="-6"/>
          <w:kern w:val="21"/>
          <w:szCs w:val="21"/>
        </w:rPr>
        <w:instrText xml:space="preserve"> = 4 \* GB3 \* MERGEFORMAT </w:instrText>
      </w:r>
      <w:r>
        <w:rPr>
          <w:rFonts w:ascii="Times New Roman" w:hAnsi="Times New Roman" w:cs="Times New Roman"/>
          <w:snapToGrid w:val="0"/>
          <w:color w:val="auto"/>
          <w:spacing w:val="-6"/>
          <w:kern w:val="21"/>
          <w:szCs w:val="21"/>
        </w:rPr>
        <w:fldChar w:fldCharType="separate"/>
      </w:r>
      <w:r>
        <w:rPr>
          <w:rFonts w:ascii="Times New Roman" w:hAnsi="Times New Roman" w:eastAsia="宋体" w:cs="Times New Roman"/>
          <w:color w:val="auto"/>
          <w:szCs w:val="21"/>
        </w:rPr>
        <w:t>④</w:t>
      </w:r>
      <w:r>
        <w:rPr>
          <w:rFonts w:ascii="Times New Roman" w:hAnsi="Times New Roman" w:cs="Times New Roman"/>
          <w:snapToGrid w:val="0"/>
          <w:color w:val="auto"/>
          <w:spacing w:val="-6"/>
          <w:kern w:val="21"/>
          <w:szCs w:val="21"/>
        </w:rPr>
        <w:fldChar w:fldCharType="end"/>
      </w:r>
      <w:r>
        <w:rPr>
          <w:rFonts w:ascii="Times New Roman" w:hAnsi="Times New Roman" w:cs="Times New Roman"/>
          <w:snapToGrid w:val="0"/>
          <w:color w:val="auto"/>
          <w:spacing w:val="-6"/>
          <w:kern w:val="21"/>
          <w:szCs w:val="21"/>
        </w:rPr>
        <w:t>-</w:t>
      </w:r>
      <w:r>
        <w:rPr>
          <w:rFonts w:ascii="Times New Roman" w:hAnsi="Times New Roman" w:cs="Times New Roman"/>
          <w:snapToGrid w:val="0"/>
          <w:color w:val="auto"/>
          <w:spacing w:val="-16"/>
          <w:kern w:val="21"/>
          <w:szCs w:val="21"/>
        </w:rPr>
        <w:fldChar w:fldCharType="begin"/>
      </w:r>
      <w:r>
        <w:rPr>
          <w:rFonts w:ascii="Times New Roman" w:hAnsi="Times New Roman" w:cs="Times New Roman"/>
          <w:snapToGrid w:val="0"/>
          <w:color w:val="auto"/>
          <w:spacing w:val="-16"/>
          <w:kern w:val="21"/>
          <w:szCs w:val="21"/>
        </w:rPr>
        <w:instrText xml:space="preserve"> = 5 \* GB3 \* MERGEFORMAT </w:instrText>
      </w:r>
      <w:r>
        <w:rPr>
          <w:rFonts w:ascii="Times New Roman" w:hAnsi="Times New Roman" w:cs="Times New Roman"/>
          <w:snapToGrid w:val="0"/>
          <w:color w:val="auto"/>
          <w:spacing w:val="-16"/>
          <w:kern w:val="21"/>
          <w:szCs w:val="21"/>
        </w:rPr>
        <w:fldChar w:fldCharType="separate"/>
      </w:r>
      <w:r>
        <w:rPr>
          <w:rFonts w:ascii="Times New Roman" w:hAnsi="Times New Roman" w:eastAsia="宋体" w:cs="Times New Roman"/>
          <w:color w:val="auto"/>
          <w:szCs w:val="21"/>
        </w:rPr>
        <w:t>⑤</w:t>
      </w:r>
      <w:r>
        <w:rPr>
          <w:rFonts w:ascii="Times New Roman" w:hAnsi="Times New Roman" w:cs="Times New Roman"/>
          <w:snapToGrid w:val="0"/>
          <w:color w:val="auto"/>
          <w:spacing w:val="-16"/>
          <w:kern w:val="21"/>
          <w:szCs w:val="21"/>
        </w:rPr>
        <w:fldChar w:fldCharType="end"/>
      </w:r>
      <w:r>
        <w:rPr>
          <w:rFonts w:ascii="Times New Roman" w:hAnsi="Times New Roman" w:cs="Times New Roman"/>
          <w:snapToGrid w:val="0"/>
          <w:color w:val="auto"/>
          <w:spacing w:val="-16"/>
          <w:kern w:val="21"/>
          <w:szCs w:val="21"/>
        </w:rPr>
        <w:t>；</w:t>
      </w:r>
      <w:r>
        <w:rPr>
          <w:rFonts w:ascii="Times New Roman" w:hAnsi="Times New Roman" w:cs="Times New Roman"/>
          <w:snapToGrid w:val="0"/>
          <w:color w:val="auto"/>
          <w:spacing w:val="-6"/>
          <w:kern w:val="21"/>
          <w:szCs w:val="21"/>
        </w:rPr>
        <w:fldChar w:fldCharType="begin"/>
      </w:r>
      <w:r>
        <w:rPr>
          <w:rFonts w:ascii="Times New Roman" w:hAnsi="Times New Roman" w:cs="Times New Roman"/>
          <w:snapToGrid w:val="0"/>
          <w:color w:val="auto"/>
          <w:spacing w:val="-6"/>
          <w:kern w:val="21"/>
          <w:szCs w:val="21"/>
        </w:rPr>
        <w:instrText xml:space="preserve"> = 7 \* GB3 \* MERGEFORMAT </w:instrText>
      </w:r>
      <w:r>
        <w:rPr>
          <w:rFonts w:ascii="Times New Roman" w:hAnsi="Times New Roman" w:cs="Times New Roman"/>
          <w:snapToGrid w:val="0"/>
          <w:color w:val="auto"/>
          <w:spacing w:val="-6"/>
          <w:kern w:val="21"/>
          <w:szCs w:val="21"/>
        </w:rPr>
        <w:fldChar w:fldCharType="separate"/>
      </w:r>
      <w:r>
        <w:rPr>
          <w:rFonts w:ascii="Times New Roman" w:hAnsi="Times New Roman" w:eastAsia="宋体" w:cs="Times New Roman"/>
          <w:color w:val="auto"/>
          <w:szCs w:val="21"/>
        </w:rPr>
        <w:t>⑦</w:t>
      </w:r>
      <w:r>
        <w:rPr>
          <w:rFonts w:ascii="Times New Roman" w:hAnsi="Times New Roman" w:cs="Times New Roman"/>
          <w:snapToGrid w:val="0"/>
          <w:color w:val="auto"/>
          <w:spacing w:val="-6"/>
          <w:kern w:val="21"/>
          <w:szCs w:val="21"/>
        </w:rPr>
        <w:fldChar w:fldCharType="end"/>
      </w:r>
      <w:r>
        <w:rPr>
          <w:rFonts w:ascii="Times New Roman" w:hAnsi="Times New Roman" w:cs="Times New Roman"/>
          <w:snapToGrid w:val="0"/>
          <w:color w:val="auto"/>
          <w:spacing w:val="-6"/>
          <w:kern w:val="21"/>
          <w:szCs w:val="21"/>
        </w:rPr>
        <w:t>=</w:t>
      </w:r>
      <w:r>
        <w:rPr>
          <w:rFonts w:ascii="Times New Roman" w:hAnsi="Times New Roman" w:cs="Times New Roman"/>
          <w:snapToGrid w:val="0"/>
          <w:color w:val="auto"/>
          <w:spacing w:val="-16"/>
          <w:kern w:val="21"/>
          <w:szCs w:val="21"/>
        </w:rPr>
        <w:fldChar w:fldCharType="begin"/>
      </w:r>
      <w:r>
        <w:rPr>
          <w:rFonts w:ascii="Times New Roman" w:hAnsi="Times New Roman" w:cs="Times New Roman"/>
          <w:snapToGrid w:val="0"/>
          <w:color w:val="auto"/>
          <w:spacing w:val="-16"/>
          <w:kern w:val="21"/>
          <w:szCs w:val="21"/>
        </w:rPr>
        <w:instrText xml:space="preserve"> = 6 \* GB3 \* MERGEFORMAT </w:instrText>
      </w:r>
      <w:r>
        <w:rPr>
          <w:rFonts w:ascii="Times New Roman" w:hAnsi="Times New Roman" w:cs="Times New Roman"/>
          <w:snapToGrid w:val="0"/>
          <w:color w:val="auto"/>
          <w:spacing w:val="-16"/>
          <w:kern w:val="21"/>
          <w:szCs w:val="21"/>
        </w:rPr>
        <w:fldChar w:fldCharType="separate"/>
      </w:r>
      <w:r>
        <w:rPr>
          <w:rFonts w:ascii="Times New Roman" w:hAnsi="Times New Roman" w:eastAsia="宋体" w:cs="Times New Roman"/>
          <w:color w:val="auto"/>
          <w:szCs w:val="21"/>
        </w:rPr>
        <w:t>⑥</w:t>
      </w:r>
      <w:r>
        <w:rPr>
          <w:rFonts w:ascii="Times New Roman" w:hAnsi="Times New Roman" w:cs="Times New Roman"/>
          <w:snapToGrid w:val="0"/>
          <w:color w:val="auto"/>
          <w:spacing w:val="-16"/>
          <w:kern w:val="21"/>
          <w:szCs w:val="21"/>
        </w:rPr>
        <w:fldChar w:fldCharType="end"/>
      </w:r>
      <w:r>
        <w:rPr>
          <w:rFonts w:ascii="Times New Roman" w:hAnsi="Times New Roman" w:cs="Times New Roman"/>
          <w:snapToGrid w:val="0"/>
          <w:color w:val="auto"/>
          <w:spacing w:val="-16"/>
          <w:kern w:val="21"/>
          <w:szCs w:val="21"/>
        </w:rPr>
        <w:t>-</w:t>
      </w:r>
      <w:r>
        <w:rPr>
          <w:rFonts w:ascii="Times New Roman" w:hAnsi="Times New Roman" w:cs="Times New Roman"/>
          <w:snapToGrid w:val="0"/>
          <w:color w:val="auto"/>
          <w:spacing w:val="-6"/>
          <w:kern w:val="21"/>
          <w:szCs w:val="21"/>
        </w:rPr>
        <w:fldChar w:fldCharType="begin"/>
      </w:r>
      <w:r>
        <w:rPr>
          <w:rFonts w:ascii="Times New Roman" w:hAnsi="Times New Roman" w:cs="Times New Roman"/>
          <w:snapToGrid w:val="0"/>
          <w:color w:val="auto"/>
          <w:spacing w:val="-6"/>
          <w:kern w:val="21"/>
          <w:szCs w:val="21"/>
        </w:rPr>
        <w:instrText xml:space="preserve"> = 1 \* GB3 \* MERGEFORMAT </w:instrText>
      </w:r>
      <w:r>
        <w:rPr>
          <w:rFonts w:ascii="Times New Roman" w:hAnsi="Times New Roman" w:cs="Times New Roman"/>
          <w:snapToGrid w:val="0"/>
          <w:color w:val="auto"/>
          <w:spacing w:val="-6"/>
          <w:kern w:val="21"/>
          <w:szCs w:val="21"/>
        </w:rPr>
        <w:fldChar w:fldCharType="separate"/>
      </w:r>
      <w:r>
        <w:rPr>
          <w:rFonts w:ascii="Times New Roman" w:hAnsi="Times New Roman" w:eastAsia="宋体" w:cs="Times New Roman"/>
          <w:color w:val="auto"/>
          <w:szCs w:val="21"/>
        </w:rPr>
        <w:t>①</w:t>
      </w:r>
      <w:r>
        <w:rPr>
          <w:rFonts w:ascii="Times New Roman" w:hAnsi="Times New Roman" w:cs="Times New Roman"/>
          <w:snapToGrid w:val="0"/>
          <w:color w:val="auto"/>
          <w:spacing w:val="-6"/>
          <w:kern w:val="21"/>
          <w:szCs w:val="21"/>
        </w:rPr>
        <w:fldChar w:fldCharType="end"/>
      </w:r>
      <w:r>
        <w:rPr>
          <w:rFonts w:ascii="Times New Roman" w:hAnsi="Times New Roman" w:cs="Times New Roman"/>
          <w:snapToGrid w:val="0"/>
          <w:color w:val="auto"/>
          <w:spacing w:val="-6"/>
          <w:kern w:val="21"/>
          <w:szCs w:val="21"/>
        </w:rPr>
        <w:t xml:space="preserve"> 单位：t/a</w:t>
      </w:r>
    </w:p>
    <w:p w14:paraId="48AA3D96">
      <w:pPr>
        <w:pStyle w:val="81"/>
        <w:adjustRightInd w:val="0"/>
        <w:snapToGrid w:val="0"/>
        <w:spacing w:beforeLines="270" w:beforeAutospacing="0" w:afterLines="270" w:afterAutospacing="0"/>
        <w:jc w:val="center"/>
        <w:outlineLvl w:val="0"/>
        <w:rPr>
          <w:rFonts w:ascii="Times New Roman" w:hAnsi="Times New Roman" w:cs="Times New Roman"/>
          <w:color w:val="auto"/>
        </w:rPr>
      </w:pPr>
    </w:p>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C49A702-AB7A-4817-AA24-A8EAA3D0B0C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E56B1FE-90F2-46DE-9DDB-CA75549AD274}"/>
  </w:font>
  <w:font w:name="华文仿宋">
    <w:panose1 w:val="02010600040101010101"/>
    <w:charset w:val="86"/>
    <w:family w:val="auto"/>
    <w:pitch w:val="default"/>
    <w:sig w:usb0="00000287" w:usb1="080F0000" w:usb2="00000000" w:usb3="00000000" w:csb0="0004009F" w:csb1="DFD70000"/>
    <w:embedRegular r:id="rId3" w:fontKey="{DF8EE9CD-A29D-4676-ACF7-18115184888C}"/>
  </w:font>
  <w:font w:name="仿宋_GB2312">
    <w:panose1 w:val="02010609030101010101"/>
    <w:charset w:val="86"/>
    <w:family w:val="modern"/>
    <w:pitch w:val="default"/>
    <w:sig w:usb0="00000001" w:usb1="080E0000" w:usb2="00000000" w:usb3="00000000" w:csb0="00040000" w:csb1="00000000"/>
    <w:embedRegular r:id="rId4" w:fontKey="{75DE430E-3B64-4083-B0CC-E03D093E9F1B}"/>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Arial Black">
    <w:panose1 w:val="020B0A04020102020204"/>
    <w:charset w:val="00"/>
    <w:family w:val="swiss"/>
    <w:pitch w:val="default"/>
    <w:sig w:usb0="A00002AF" w:usb1="400078FB" w:usb2="00000000" w:usb3="00000000" w:csb0="6000009F" w:csb1="DFD70000"/>
  </w:font>
  <w:font w:name="仿宋体">
    <w:altName w:val="宋体"/>
    <w:panose1 w:val="00000000000000000000"/>
    <w:charset w:val="86"/>
    <w:family w:val="roman"/>
    <w:pitch w:val="default"/>
    <w:sig w:usb0="00000000" w:usb1="00000000" w:usb2="00000010" w:usb3="00000000" w:csb0="00040000" w:csb1="00000000"/>
  </w:font>
  <w:font w:name="方正小标宋_GBK">
    <w:panose1 w:val="02000000000000000000"/>
    <w:charset w:val="86"/>
    <w:family w:val="script"/>
    <w:pitch w:val="default"/>
    <w:sig w:usb0="A00002BF" w:usb1="38CF7CFA" w:usb2="00082016" w:usb3="00000000" w:csb0="00040001" w:csb1="00000000"/>
    <w:embedRegular r:id="rId5" w:fontKey="{82371EA3-FEE6-484F-B93F-024741DC6686}"/>
  </w:font>
  <w:font w:name="幼圆">
    <w:altName w:val="宋体"/>
    <w:panose1 w:val="02010509060101010101"/>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ˎ̥">
    <w:altName w:val="Times New Roman"/>
    <w:panose1 w:val="00000000000000000000"/>
    <w:charset w:val="01"/>
    <w:family w:val="roma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G Times (W1)">
    <w:altName w:val="Times New Roman"/>
    <w:panose1 w:val="00000000000000000000"/>
    <w:charset w:val="00"/>
    <w:family w:val="roman"/>
    <w:pitch w:val="default"/>
    <w:sig w:usb0="00000000" w:usb1="00000000" w:usb2="00000000" w:usb3="00000000" w:csb0="00000001" w:csb1="00000000"/>
  </w:font>
  <w:font w:name="TimesNewRoman">
    <w:altName w:val="宋体"/>
    <w:panose1 w:val="00000000000000000000"/>
    <w:charset w:val="86"/>
    <w:family w:val="auto"/>
    <w:pitch w:val="default"/>
    <w:sig w:usb0="00000000" w:usb1="00000000" w:usb2="00000010" w:usb3="00000000" w:csb0="00040000" w:csb1="00000000"/>
  </w:font>
  <w:font w:name="Angsana New">
    <w:altName w:val="Times New Roman"/>
    <w:panose1 w:val="02020603050405020304"/>
    <w:charset w:val="00"/>
    <w:family w:val="roman"/>
    <w:pitch w:val="default"/>
    <w:sig w:usb0="00000000" w:usb1="00000000" w:usb2="00000000" w:usb3="00000000" w:csb0="00010001" w:csb1="00000000"/>
  </w:font>
  <w:font w:name="楷体_GB2312">
    <w:altName w:val="楷体"/>
    <w:panose1 w:val="02010609030101010101"/>
    <w:charset w:val="86"/>
    <w:family w:val="modern"/>
    <w:pitch w:val="default"/>
    <w:sig w:usb0="00000000" w:usb1="00000000" w:usb2="00000000" w:usb3="00000000" w:csb0="00040000" w:csb1="00000000"/>
    <w:embedRegular r:id="rId6" w:fontKey="{AD915F6C-022C-4419-B90A-A4384E4F3939}"/>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Romantic">
    <w:altName w:val="Segoe Print"/>
    <w:panose1 w:val="00000400000000000000"/>
    <w:charset w:val="02"/>
    <w:family w:val="auto"/>
    <w:pitch w:val="default"/>
    <w:sig w:usb0="00000000" w:usb1="00000000" w:usb2="00000000" w:usb3="00000000" w:csb0="00000000" w:csb1="00000000"/>
  </w:font>
  <w:font w:name="Alaska">
    <w:altName w:val="Lucida Sans Unicode"/>
    <w:panose1 w:val="00000000000000000000"/>
    <w:charset w:val="00"/>
    <w:family w:val="swiss"/>
    <w:pitch w:val="default"/>
    <w:sig w:usb0="00000000" w:usb1="00000000" w:usb2="00000000" w:usb3="00000000" w:csb0="00000017" w:csb1="00000000"/>
  </w:font>
  <w:font w:name="Lucida Sans Unicode">
    <w:panose1 w:val="020B0602030504020204"/>
    <w:charset w:val="00"/>
    <w:family w:val="auto"/>
    <w:pitch w:val="default"/>
    <w:sig w:usb0="80001AFF" w:usb1="0000396B" w:usb2="00000000" w:usb3="00000000" w:csb0="200000BF" w:csb1="D7F7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新魏">
    <w:altName w:val="宋体"/>
    <w:panose1 w:val="02010800040101010101"/>
    <w:charset w:val="86"/>
    <w:family w:val="auto"/>
    <w:pitch w:val="default"/>
    <w:sig w:usb0="00000000" w:usb1="00000000" w:usb2="00000000" w:usb3="00000000" w:csb0="00040000" w:csb1="00000000"/>
  </w:font>
  <w:font w:name="Li Super">
    <w:altName w:val="黑体"/>
    <w:panose1 w:val="00000000000000000000"/>
    <w:charset w:val="86"/>
    <w:family w:val="auto"/>
    <w:pitch w:val="default"/>
    <w:sig w:usb0="00000000" w:usb1="00000000" w:usb2="00000010" w:usb3="00000000" w:csb0="00040000" w:csb1="00000000"/>
  </w:font>
  <w:font w:name="Garamond">
    <w:altName w:val="仓耳渔阳体 W05"/>
    <w:panose1 w:val="02020404030301010803"/>
    <w:charset w:val="00"/>
    <w:family w:val="roman"/>
    <w:pitch w:val="default"/>
    <w:sig w:usb0="00000000" w:usb1="00000000" w:usb2="00000000" w:usb3="00000000" w:csb0="0000009F" w:csb1="DFD70000"/>
  </w:font>
  <w:font w:name="Arial Narrow">
    <w:altName w:val="Arial"/>
    <w:panose1 w:val="020B0606020202030204"/>
    <w:charset w:val="00"/>
    <w:family w:val="swiss"/>
    <w:pitch w:val="default"/>
    <w:sig w:usb0="00000000" w:usb1="00000000" w:usb2="00000000" w:usb3="00000000" w:csb0="2000009F" w:csb1="DFD70000"/>
  </w:font>
  <w:font w:name="Bookman Old Style">
    <w:altName w:val="Segoe Print"/>
    <w:panose1 w:val="02050604050505020204"/>
    <w:charset w:val="00"/>
    <w:family w:val="roman"/>
    <w:pitch w:val="default"/>
    <w:sig w:usb0="00000000" w:usb1="00000000" w:usb2="00000000" w:usb3="00000000" w:csb0="2000009F" w:csb1="DFD70000"/>
  </w:font>
  <w:font w:name="华文细黑">
    <w:altName w:val="微软雅黑"/>
    <w:panose1 w:val="02010600040101010101"/>
    <w:charset w:val="86"/>
    <w:family w:val="auto"/>
    <w:pitch w:val="default"/>
    <w:sig w:usb0="00000000" w:usb1="00000000" w:usb2="00000000" w:usb3="00000000" w:csb0="0004009F" w:csb1="DFD70000"/>
  </w:font>
  <w:font w:name="Century">
    <w:altName w:val="Times New Roman"/>
    <w:panose1 w:val="02040604050505020304"/>
    <w:charset w:val="00"/>
    <w:family w:val="roman"/>
    <w:pitch w:val="default"/>
    <w:sig w:usb0="00000000" w:usb1="00000000" w:usb2="00000000" w:usb3="00000000" w:csb0="2000009F" w:csb1="DFD70000"/>
  </w:font>
  <w:font w:name="Times">
    <w:altName w:val="Times New Roman"/>
    <w:panose1 w:val="02020603050405020304"/>
    <w:charset w:val="00"/>
    <w:family w:val="roman"/>
    <w:pitch w:val="default"/>
    <w:sig w:usb0="00000000" w:usb1="00000000" w:usb2="00000009" w:usb3="00000000" w:csb0="000001FF" w:csb1="00000000"/>
  </w:font>
  <w:font w:name="Times New Roman;Symbol;Arial;婼">
    <w:altName w:val="黑体"/>
    <w:panose1 w:val="00000000000000000000"/>
    <w:charset w:val="86"/>
    <w:family w:val="auto"/>
    <w:pitch w:val="default"/>
    <w:sig w:usb0="00000000" w:usb1="00000000" w:usb2="00000010" w:usb3="00000000" w:csb0="00040000" w:csb1="00000000"/>
  </w:font>
  <w:font w:name="汉鼎简书宋">
    <w:altName w:val="宋体"/>
    <w:panose1 w:val="00000000000000000000"/>
    <w:charset w:val="86"/>
    <w:family w:val="modern"/>
    <w:pitch w:val="default"/>
    <w:sig w:usb0="00000000" w:usb1="00000000" w:usb2="00000010" w:usb3="00000000" w:csb0="00040000" w:csb1="00000000"/>
  </w:font>
  <w:font w:name="FangSong_GB2312">
    <w:altName w:val="仿宋_GB2312"/>
    <w:panose1 w:val="02010609060101010101"/>
    <w:charset w:val="00"/>
    <w:family w:val="roman"/>
    <w:pitch w:val="default"/>
    <w:sig w:usb0="00000000" w:usb1="00000000" w:usb2="00000000" w:usb3="00000000" w:csb0="00000000" w:csb1="00000000"/>
    <w:embedRegular r:id="rId7" w:fontKey="{6002BFC3-8FFF-4022-9063-73B1DC4CEB50}"/>
  </w:font>
  <w:font w:name="仿宋">
    <w:panose1 w:val="02010609060101010101"/>
    <w:charset w:val="86"/>
    <w:family w:val="modern"/>
    <w:pitch w:val="default"/>
    <w:sig w:usb0="800002BF" w:usb1="38CF7CFA" w:usb2="00000016" w:usb3="00000000" w:csb0="00040001" w:csb1="00000000"/>
    <w:embedRegular r:id="rId8" w:fontKey="{1E10E302-0892-4D30-93A5-E0838A8E9D27}"/>
  </w:font>
  <w:font w:name="新宋体">
    <w:panose1 w:val="02010609030101010101"/>
    <w:charset w:val="86"/>
    <w:family w:val="modern"/>
    <w:pitch w:val="default"/>
    <w:sig w:usb0="00000203" w:usb1="288F0000" w:usb2="00000006" w:usb3="00000000" w:csb0="00040001" w:csb1="00000000"/>
    <w:embedRegular r:id="rId9" w:fontKey="{E819697B-8913-4064-BD91-A6A830FF1D96}"/>
  </w:font>
  <w:font w:name="KSOFF9CC6125">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 w:name="Arial">
    <w:panose1 w:val="020B0604020202020204"/>
    <w:charset w:val="00"/>
    <w:family w:val="auto"/>
    <w:pitch w:val="default"/>
    <w:sig w:usb0="E0002EFF" w:usb1="C000785B" w:usb2="00000009" w:usb3="00000000" w:csb0="400001FF" w:csb1="FFFF0000"/>
  </w:font>
  <w:font w:name="KSOF3D47F291">
    <w:panose1 w:val="020B0604020202020204"/>
    <w:charset w:val="00"/>
    <w:family w:val="auto"/>
    <w:pitch w:val="default"/>
    <w:sig w:usb0="00000001"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KSOF4F9C2767">
    <w:panose1 w:val="020B0503020204020204"/>
    <w:charset w:val="86"/>
    <w:family w:val="auto"/>
    <w:pitch w:val="default"/>
    <w:sig w:usb0="00000001" w:usb1="00000000" w:usb2="00000000" w:usb3="00000000" w:csb0="00040001" w:csb1="00000000"/>
  </w:font>
  <w:font w:name="仓耳渔阳体 W05">
    <w:panose1 w:val="02020400000000000000"/>
    <w:charset w:val="80"/>
    <w:family w:val="auto"/>
    <w:pitch w:val="default"/>
    <w:sig w:usb0="80000023" w:usb1="08C10458" w:usb2="00000012"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FB05D">
    <w:pPr>
      <w:pStyle w:val="2"/>
      <w:framePr w:wrap="around" w:vAnchor="text" w:hAnchor="margin" w:xAlign="outside" w:y="1"/>
      <w:rPr>
        <w:rStyle w:val="93"/>
        <w:rFonts w:hint="eastAsia" w:ascii="宋体" w:hAnsi="宋体" w:eastAsiaTheme="minorEastAsia"/>
        <w:sz w:val="28"/>
        <w:szCs w:val="28"/>
        <w:lang w:eastAsia="zh-CN"/>
      </w:rPr>
    </w:pPr>
    <w:r>
      <w:rPr>
        <w:rStyle w:val="93"/>
        <w:rFonts w:hint="eastAsia" w:ascii="宋体" w:hAnsi="宋体"/>
        <w:sz w:val="28"/>
        <w:szCs w:val="28"/>
        <w:lang w:eastAsia="zh-CN"/>
      </w:rPr>
      <w:t>--</w:t>
    </w:r>
  </w:p>
  <w:p w14:paraId="788D9369">
    <w:pPr>
      <w:pStyle w:val="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D00BA">
    <w:pPr>
      <w:pStyle w:val="2"/>
      <w:framePr w:wrap="around" w:vAnchor="text" w:hAnchor="margin" w:xAlign="center" w:y="1"/>
      <w:rPr>
        <w:rStyle w:val="93"/>
      </w:rPr>
    </w:pPr>
    <w:r>
      <w:fldChar w:fldCharType="begin"/>
    </w:r>
    <w:r>
      <w:rPr>
        <w:rStyle w:val="93"/>
      </w:rPr>
      <w:instrText xml:space="preserve">PAGE  </w:instrText>
    </w:r>
    <w:r>
      <w:fldChar w:fldCharType="end"/>
    </w:r>
  </w:p>
  <w:p w14:paraId="650B0141">
    <w:pPr>
      <w:pStyle w:val="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A44C5">
    <w:pPr>
      <w:pStyle w:val="2"/>
      <w:framePr w:wrap="around" w:vAnchor="text" w:hAnchor="margin" w:xAlign="outside" w:y="1"/>
      <w:rPr>
        <w:rStyle w:val="93"/>
        <w:rFonts w:hint="eastAsia" w:ascii="宋体" w:hAnsi="宋体" w:eastAsiaTheme="minorEastAsia"/>
        <w:sz w:val="28"/>
        <w:szCs w:val="28"/>
        <w:lang w:eastAsia="zh-CN"/>
      </w:rPr>
    </w:pPr>
    <w:r>
      <w:rPr>
        <w:rStyle w:val="93"/>
        <w:rFonts w:hint="eastAsia" w:ascii="宋体" w:hAnsi="宋体"/>
        <w:sz w:val="28"/>
        <w:szCs w:val="28"/>
        <w:lang w:eastAsia="zh-CN"/>
      </w:rPr>
      <w:t>--</w:t>
    </w:r>
  </w:p>
  <w:p w14:paraId="5D1BC73E">
    <w:pPr>
      <w:pStyle w:val="2"/>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8462D">
    <w:pPr>
      <w:pStyle w:val="2"/>
      <w:framePr w:wrap="around" w:vAnchor="text" w:hAnchor="margin" w:xAlign="center" w:y="1"/>
      <w:rPr>
        <w:rStyle w:val="93"/>
      </w:rPr>
    </w:pPr>
    <w:r>
      <w:fldChar w:fldCharType="begin"/>
    </w:r>
    <w:r>
      <w:rPr>
        <w:rStyle w:val="93"/>
      </w:rPr>
      <w:instrText xml:space="preserve">PAGE  </w:instrText>
    </w:r>
    <w:r>
      <w:fldChar w:fldCharType="separate"/>
    </w:r>
    <w:r>
      <w:rPr>
        <w:rStyle w:val="93"/>
      </w:rPr>
      <w:t>30</w:t>
    </w:r>
    <w:r>
      <w:fldChar w:fldCharType="end"/>
    </w:r>
  </w:p>
  <w:p w14:paraId="27D02768">
    <w:pPr>
      <w:pStyle w:val="2"/>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EACAD">
    <w:pPr>
      <w:pStyle w:val="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F1155A">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2EF1155A">
                    <w:pPr>
                      <w:pStyle w:val="2"/>
                    </w:pPr>
                    <w:r>
                      <w:fldChar w:fldCharType="begin"/>
                    </w:r>
                    <w:r>
                      <w:instrText xml:space="preserve"> PAGE  \* MERGEFORMAT </w:instrText>
                    </w:r>
                    <w:r>
                      <w:fldChar w:fldCharType="separate"/>
                    </w:r>
                    <w:r>
                      <w:t>1</w:t>
                    </w:r>
                    <w:r>
                      <w:fldChar w:fldCharType="end"/>
                    </w:r>
                  </w:p>
                </w:txbxContent>
              </v:textbox>
            </v:shape>
          </w:pict>
        </mc:Fallback>
      </mc:AlternateContent>
    </w:r>
  </w:p>
  <w:p w14:paraId="4286B0BE">
    <w:pPr>
      <w:pStyle w:val="2"/>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A7AA8">
    <w:pPr>
      <w:pStyle w:val="2"/>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537D70">
                          <w:pPr>
                            <w:pStyle w:val="2"/>
                            <w:rPr>
                              <w:rStyle w:val="93"/>
                              <w:rFonts w:hint="eastAsia" w:ascii="宋体" w:hAnsi="宋体" w:eastAsiaTheme="minorEastAsia"/>
                              <w:sz w:val="28"/>
                              <w:szCs w:val="28"/>
                              <w:lang w:eastAsia="zh-CN"/>
                            </w:rPr>
                          </w:pPr>
                          <w:r>
                            <w:rPr>
                              <w:rStyle w:val="93"/>
                              <w:rFonts w:hint="eastAsia" w:ascii="宋体" w:hAnsi="宋体"/>
                              <w:sz w:val="28"/>
                              <w:szCs w:val="28"/>
                              <w:lang w:eastAsia="zh-CN"/>
                            </w:rPr>
                            <w:t>-</w:t>
                          </w:r>
                          <w:r>
                            <w:rPr>
                              <w:rStyle w:val="93"/>
                              <w:rFonts w:ascii="宋体" w:hAnsi="宋体"/>
                              <w:sz w:val="26"/>
                              <w:szCs w:val="26"/>
                            </w:rPr>
                            <w:fldChar w:fldCharType="begin"/>
                          </w:r>
                          <w:r>
                            <w:rPr>
                              <w:rStyle w:val="93"/>
                              <w:rFonts w:ascii="宋体" w:hAnsi="宋体"/>
                              <w:sz w:val="26"/>
                              <w:szCs w:val="26"/>
                            </w:rPr>
                            <w:instrText xml:space="preserve">PAGE  </w:instrText>
                          </w:r>
                          <w:r>
                            <w:rPr>
                              <w:rStyle w:val="93"/>
                              <w:rFonts w:ascii="宋体" w:hAnsi="宋体"/>
                              <w:sz w:val="26"/>
                              <w:szCs w:val="26"/>
                            </w:rPr>
                            <w:fldChar w:fldCharType="separate"/>
                          </w:r>
                          <w:r>
                            <w:rPr>
                              <w:rStyle w:val="93"/>
                              <w:rFonts w:ascii="宋体" w:hAnsi="宋体"/>
                              <w:sz w:val="26"/>
                              <w:szCs w:val="26"/>
                            </w:rPr>
                            <w:t>204</w:t>
                          </w:r>
                          <w:r>
                            <w:rPr>
                              <w:rStyle w:val="93"/>
                              <w:rFonts w:ascii="宋体" w:hAnsi="宋体"/>
                              <w:sz w:val="26"/>
                              <w:szCs w:val="26"/>
                            </w:rPr>
                            <w:fldChar w:fldCharType="end"/>
                          </w:r>
                          <w:r>
                            <w:rPr>
                              <w:rStyle w:val="93"/>
                              <w:rFonts w:hint="eastAsia" w:ascii="宋体" w:hAnsi="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E537D70">
                    <w:pPr>
                      <w:pStyle w:val="2"/>
                      <w:rPr>
                        <w:rStyle w:val="93"/>
                        <w:rFonts w:hint="eastAsia" w:ascii="宋体" w:hAnsi="宋体" w:eastAsiaTheme="minorEastAsia"/>
                        <w:sz w:val="28"/>
                        <w:szCs w:val="28"/>
                        <w:lang w:eastAsia="zh-CN"/>
                      </w:rPr>
                    </w:pPr>
                    <w:r>
                      <w:rPr>
                        <w:rStyle w:val="93"/>
                        <w:rFonts w:hint="eastAsia" w:ascii="宋体" w:hAnsi="宋体"/>
                        <w:sz w:val="28"/>
                        <w:szCs w:val="28"/>
                        <w:lang w:eastAsia="zh-CN"/>
                      </w:rPr>
                      <w:t>-</w:t>
                    </w:r>
                    <w:r>
                      <w:rPr>
                        <w:rStyle w:val="93"/>
                        <w:rFonts w:ascii="宋体" w:hAnsi="宋体"/>
                        <w:sz w:val="26"/>
                        <w:szCs w:val="26"/>
                      </w:rPr>
                      <w:fldChar w:fldCharType="begin"/>
                    </w:r>
                    <w:r>
                      <w:rPr>
                        <w:rStyle w:val="93"/>
                        <w:rFonts w:ascii="宋体" w:hAnsi="宋体"/>
                        <w:sz w:val="26"/>
                        <w:szCs w:val="26"/>
                      </w:rPr>
                      <w:instrText xml:space="preserve">PAGE  </w:instrText>
                    </w:r>
                    <w:r>
                      <w:rPr>
                        <w:rStyle w:val="93"/>
                        <w:rFonts w:ascii="宋体" w:hAnsi="宋体"/>
                        <w:sz w:val="26"/>
                        <w:szCs w:val="26"/>
                      </w:rPr>
                      <w:fldChar w:fldCharType="separate"/>
                    </w:r>
                    <w:r>
                      <w:rPr>
                        <w:rStyle w:val="93"/>
                        <w:rFonts w:ascii="宋体" w:hAnsi="宋体"/>
                        <w:sz w:val="26"/>
                        <w:szCs w:val="26"/>
                      </w:rPr>
                      <w:t>204</w:t>
                    </w:r>
                    <w:r>
                      <w:rPr>
                        <w:rStyle w:val="93"/>
                        <w:rFonts w:ascii="宋体" w:hAnsi="宋体"/>
                        <w:sz w:val="26"/>
                        <w:szCs w:val="26"/>
                      </w:rPr>
                      <w:fldChar w:fldCharType="end"/>
                    </w:r>
                    <w:r>
                      <w:rPr>
                        <w:rStyle w:val="93"/>
                        <w:rFonts w:hint="eastAsia" w:ascii="宋体" w:hAnsi="宋体"/>
                        <w:sz w:val="28"/>
                        <w:szCs w:val="28"/>
                        <w:lang w:eastAsia="zh-CN"/>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F"/>
    <w:multiLevelType w:val="multilevel"/>
    <w:tmpl w:val="0000000F"/>
    <w:lvl w:ilvl="0" w:tentative="0">
      <w:start w:val="1"/>
      <w:numFmt w:val="decimal"/>
      <w:pStyle w:val="4"/>
      <w:lvlText w:val="%1"/>
      <w:lvlJc w:val="left"/>
      <w:pPr>
        <w:tabs>
          <w:tab w:val="left" w:pos="1276"/>
        </w:tabs>
        <w:ind w:left="1276" w:hanging="425"/>
      </w:pPr>
    </w:lvl>
    <w:lvl w:ilvl="1" w:tentative="0">
      <w:start w:val="1"/>
      <w:numFmt w:val="decimal"/>
      <w:lvlText w:val="%1.%2"/>
      <w:lvlJc w:val="left"/>
      <w:pPr>
        <w:tabs>
          <w:tab w:val="left" w:pos="1003"/>
        </w:tabs>
        <w:ind w:left="1003" w:hanging="567"/>
      </w:pPr>
      <w:rPr>
        <w:rFonts w:ascii="华文仿宋" w:hAnsi="华文仿宋" w:eastAsia="华文仿宋"/>
      </w:rPr>
    </w:lvl>
    <w:lvl w:ilvl="2" w:tentative="0">
      <w:start w:val="1"/>
      <w:numFmt w:val="decimal"/>
      <w:lvlText w:val="%1.%2.%3"/>
      <w:lvlJc w:val="left"/>
      <w:pPr>
        <w:tabs>
          <w:tab w:val="left" w:pos="2176"/>
        </w:tabs>
        <w:ind w:left="2023" w:hanging="567"/>
      </w:pPr>
    </w:lvl>
    <w:lvl w:ilvl="3" w:tentative="0">
      <w:start w:val="1"/>
      <w:numFmt w:val="decimal"/>
      <w:lvlText w:val="%1.%2.%3.%4"/>
      <w:lvlJc w:val="left"/>
      <w:pPr>
        <w:tabs>
          <w:tab w:val="left" w:pos="1742"/>
        </w:tabs>
        <w:ind w:left="1370" w:hanging="708"/>
      </w:pPr>
    </w:lvl>
    <w:lvl w:ilvl="4" w:tentative="0">
      <w:start w:val="1"/>
      <w:numFmt w:val="decimal"/>
      <w:lvlText w:val="%1.%2.%3.%4.%5"/>
      <w:lvlJc w:val="left"/>
      <w:pPr>
        <w:tabs>
          <w:tab w:val="left" w:pos="3632"/>
        </w:tabs>
        <w:ind w:left="3402" w:hanging="850"/>
      </w:pPr>
    </w:lvl>
    <w:lvl w:ilvl="5" w:tentative="0">
      <w:start w:val="1"/>
      <w:numFmt w:val="decimal"/>
      <w:lvlText w:val="%1.%2.%3.%4.%5.%6"/>
      <w:lvlJc w:val="left"/>
      <w:pPr>
        <w:tabs>
          <w:tab w:val="left" w:pos="4417"/>
        </w:tabs>
        <w:ind w:left="4111" w:hanging="1134"/>
      </w:pPr>
    </w:lvl>
    <w:lvl w:ilvl="6" w:tentative="0">
      <w:start w:val="1"/>
      <w:numFmt w:val="decimal"/>
      <w:lvlText w:val="%1.%2.%3.%4.%5.%6.%7"/>
      <w:lvlJc w:val="left"/>
      <w:pPr>
        <w:tabs>
          <w:tab w:val="left" w:pos="5202"/>
        </w:tabs>
        <w:ind w:left="4678" w:hanging="1276"/>
      </w:pPr>
    </w:lvl>
    <w:lvl w:ilvl="7" w:tentative="0">
      <w:start w:val="1"/>
      <w:numFmt w:val="decimal"/>
      <w:lvlText w:val="%1.%2.%3.%4.%5.%6.%7.%8"/>
      <w:lvlJc w:val="left"/>
      <w:pPr>
        <w:tabs>
          <w:tab w:val="left" w:pos="5627"/>
        </w:tabs>
        <w:ind w:left="5245" w:hanging="1418"/>
      </w:pPr>
    </w:lvl>
    <w:lvl w:ilvl="8" w:tentative="0">
      <w:start w:val="1"/>
      <w:numFmt w:val="decimal"/>
      <w:lvlText w:val="%1.%2.%3.%4.%5.%6.%7.%8.%9"/>
      <w:lvlJc w:val="left"/>
      <w:pPr>
        <w:tabs>
          <w:tab w:val="left" w:pos="6413"/>
        </w:tabs>
        <w:ind w:left="5953" w:hanging="1700"/>
      </w:pPr>
    </w:lvl>
  </w:abstractNum>
  <w:abstractNum w:abstractNumId="1">
    <w:nsid w:val="2EFF77B7"/>
    <w:multiLevelType w:val="multilevel"/>
    <w:tmpl w:val="2EFF77B7"/>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1YjY4YTM5NmEzYzY1MTNmNDU4MWZhZGExZTI1ZTcifQ=="/>
    <w:docVar w:name="KSO_WPS_MARK_KEY" w:val="658889bb-7f68-4ac8-b139-86be76ed4a6e"/>
  </w:docVars>
  <w:rsids>
    <w:rsidRoot w:val="00172A27"/>
    <w:rsid w:val="00000F6A"/>
    <w:rsid w:val="00002C0D"/>
    <w:rsid w:val="00003882"/>
    <w:rsid w:val="000043EF"/>
    <w:rsid w:val="000048AA"/>
    <w:rsid w:val="00004F40"/>
    <w:rsid w:val="000058F6"/>
    <w:rsid w:val="00005B8B"/>
    <w:rsid w:val="00006EC6"/>
    <w:rsid w:val="000070EE"/>
    <w:rsid w:val="0000792F"/>
    <w:rsid w:val="000079F7"/>
    <w:rsid w:val="000102DF"/>
    <w:rsid w:val="00011253"/>
    <w:rsid w:val="00011B76"/>
    <w:rsid w:val="00012B2E"/>
    <w:rsid w:val="00012C03"/>
    <w:rsid w:val="0001382C"/>
    <w:rsid w:val="000138EC"/>
    <w:rsid w:val="00013900"/>
    <w:rsid w:val="00013932"/>
    <w:rsid w:val="00014CE0"/>
    <w:rsid w:val="00015621"/>
    <w:rsid w:val="000159FA"/>
    <w:rsid w:val="00016524"/>
    <w:rsid w:val="00020C8D"/>
    <w:rsid w:val="00021116"/>
    <w:rsid w:val="00021B13"/>
    <w:rsid w:val="000224F1"/>
    <w:rsid w:val="00022F38"/>
    <w:rsid w:val="0002308E"/>
    <w:rsid w:val="00023235"/>
    <w:rsid w:val="00023674"/>
    <w:rsid w:val="00023AA2"/>
    <w:rsid w:val="0002425C"/>
    <w:rsid w:val="00024739"/>
    <w:rsid w:val="00024863"/>
    <w:rsid w:val="00025508"/>
    <w:rsid w:val="00026704"/>
    <w:rsid w:val="00027205"/>
    <w:rsid w:val="00027A65"/>
    <w:rsid w:val="00030B12"/>
    <w:rsid w:val="00030C2B"/>
    <w:rsid w:val="00030D0A"/>
    <w:rsid w:val="00032E15"/>
    <w:rsid w:val="0003300D"/>
    <w:rsid w:val="00033612"/>
    <w:rsid w:val="0003363A"/>
    <w:rsid w:val="000340C6"/>
    <w:rsid w:val="000344C6"/>
    <w:rsid w:val="00034AF4"/>
    <w:rsid w:val="00034F9B"/>
    <w:rsid w:val="00035B67"/>
    <w:rsid w:val="00035DE8"/>
    <w:rsid w:val="00036330"/>
    <w:rsid w:val="00036F74"/>
    <w:rsid w:val="00037042"/>
    <w:rsid w:val="00037AC2"/>
    <w:rsid w:val="000401B4"/>
    <w:rsid w:val="00041A53"/>
    <w:rsid w:val="0004210F"/>
    <w:rsid w:val="0004271A"/>
    <w:rsid w:val="00043504"/>
    <w:rsid w:val="00043867"/>
    <w:rsid w:val="00044D0E"/>
    <w:rsid w:val="00045012"/>
    <w:rsid w:val="00046E96"/>
    <w:rsid w:val="00047470"/>
    <w:rsid w:val="0005019E"/>
    <w:rsid w:val="000501AE"/>
    <w:rsid w:val="00050390"/>
    <w:rsid w:val="0005154F"/>
    <w:rsid w:val="00051B5C"/>
    <w:rsid w:val="00051BC7"/>
    <w:rsid w:val="00051C32"/>
    <w:rsid w:val="000522D4"/>
    <w:rsid w:val="00052ACC"/>
    <w:rsid w:val="0005313F"/>
    <w:rsid w:val="00053677"/>
    <w:rsid w:val="000563B1"/>
    <w:rsid w:val="00056DA3"/>
    <w:rsid w:val="00057091"/>
    <w:rsid w:val="000571CE"/>
    <w:rsid w:val="0005795F"/>
    <w:rsid w:val="00057EEE"/>
    <w:rsid w:val="00060242"/>
    <w:rsid w:val="00060675"/>
    <w:rsid w:val="000609D4"/>
    <w:rsid w:val="00060D6A"/>
    <w:rsid w:val="00061244"/>
    <w:rsid w:val="00061513"/>
    <w:rsid w:val="00061BA4"/>
    <w:rsid w:val="00063073"/>
    <w:rsid w:val="000635ED"/>
    <w:rsid w:val="00063A5B"/>
    <w:rsid w:val="0006424D"/>
    <w:rsid w:val="0006480E"/>
    <w:rsid w:val="000657F2"/>
    <w:rsid w:val="00065918"/>
    <w:rsid w:val="00065E1D"/>
    <w:rsid w:val="00066C59"/>
    <w:rsid w:val="00067064"/>
    <w:rsid w:val="000672BD"/>
    <w:rsid w:val="00067834"/>
    <w:rsid w:val="00067CA4"/>
    <w:rsid w:val="00070144"/>
    <w:rsid w:val="00070DB6"/>
    <w:rsid w:val="000712BA"/>
    <w:rsid w:val="000712F4"/>
    <w:rsid w:val="000722F8"/>
    <w:rsid w:val="00072742"/>
    <w:rsid w:val="00072C79"/>
    <w:rsid w:val="000743BF"/>
    <w:rsid w:val="0007457A"/>
    <w:rsid w:val="000753CA"/>
    <w:rsid w:val="0007545B"/>
    <w:rsid w:val="000765E2"/>
    <w:rsid w:val="00077E3F"/>
    <w:rsid w:val="00077FB6"/>
    <w:rsid w:val="00080BA3"/>
    <w:rsid w:val="00080C2F"/>
    <w:rsid w:val="000825A4"/>
    <w:rsid w:val="0008299A"/>
    <w:rsid w:val="0008501C"/>
    <w:rsid w:val="0008516B"/>
    <w:rsid w:val="000864CB"/>
    <w:rsid w:val="00090018"/>
    <w:rsid w:val="00090A58"/>
    <w:rsid w:val="00091046"/>
    <w:rsid w:val="00091145"/>
    <w:rsid w:val="00091C64"/>
    <w:rsid w:val="00092495"/>
    <w:rsid w:val="000927CA"/>
    <w:rsid w:val="00093328"/>
    <w:rsid w:val="000938D6"/>
    <w:rsid w:val="00093BF1"/>
    <w:rsid w:val="00094484"/>
    <w:rsid w:val="000955FF"/>
    <w:rsid w:val="00095F22"/>
    <w:rsid w:val="00096084"/>
    <w:rsid w:val="00096689"/>
    <w:rsid w:val="00096824"/>
    <w:rsid w:val="00096AD7"/>
    <w:rsid w:val="000977AE"/>
    <w:rsid w:val="0009794A"/>
    <w:rsid w:val="00097FA1"/>
    <w:rsid w:val="000A0145"/>
    <w:rsid w:val="000A10BC"/>
    <w:rsid w:val="000A10E7"/>
    <w:rsid w:val="000A27B5"/>
    <w:rsid w:val="000A283E"/>
    <w:rsid w:val="000A2885"/>
    <w:rsid w:val="000A33C3"/>
    <w:rsid w:val="000A33ED"/>
    <w:rsid w:val="000A4192"/>
    <w:rsid w:val="000A46B0"/>
    <w:rsid w:val="000A5F68"/>
    <w:rsid w:val="000A62E9"/>
    <w:rsid w:val="000A6674"/>
    <w:rsid w:val="000A6968"/>
    <w:rsid w:val="000A7B11"/>
    <w:rsid w:val="000B077D"/>
    <w:rsid w:val="000B0BC8"/>
    <w:rsid w:val="000B10F2"/>
    <w:rsid w:val="000B18AA"/>
    <w:rsid w:val="000B1FB1"/>
    <w:rsid w:val="000B21EB"/>
    <w:rsid w:val="000B21FE"/>
    <w:rsid w:val="000B2BF4"/>
    <w:rsid w:val="000B3E68"/>
    <w:rsid w:val="000B3EF6"/>
    <w:rsid w:val="000B4298"/>
    <w:rsid w:val="000B4B49"/>
    <w:rsid w:val="000B4FE9"/>
    <w:rsid w:val="000B6882"/>
    <w:rsid w:val="000B6FBC"/>
    <w:rsid w:val="000B7294"/>
    <w:rsid w:val="000B7370"/>
    <w:rsid w:val="000B7E62"/>
    <w:rsid w:val="000C0357"/>
    <w:rsid w:val="000C0D44"/>
    <w:rsid w:val="000C1A68"/>
    <w:rsid w:val="000C216F"/>
    <w:rsid w:val="000C264B"/>
    <w:rsid w:val="000C3866"/>
    <w:rsid w:val="000C3BE6"/>
    <w:rsid w:val="000C4067"/>
    <w:rsid w:val="000C4340"/>
    <w:rsid w:val="000C439E"/>
    <w:rsid w:val="000C45EF"/>
    <w:rsid w:val="000C4EFA"/>
    <w:rsid w:val="000C55EC"/>
    <w:rsid w:val="000C6224"/>
    <w:rsid w:val="000C6260"/>
    <w:rsid w:val="000C69AF"/>
    <w:rsid w:val="000C705C"/>
    <w:rsid w:val="000D0034"/>
    <w:rsid w:val="000D0874"/>
    <w:rsid w:val="000D09BD"/>
    <w:rsid w:val="000D12A9"/>
    <w:rsid w:val="000D14A3"/>
    <w:rsid w:val="000D191F"/>
    <w:rsid w:val="000D26DF"/>
    <w:rsid w:val="000D2B99"/>
    <w:rsid w:val="000D2E0D"/>
    <w:rsid w:val="000D3349"/>
    <w:rsid w:val="000D5E5C"/>
    <w:rsid w:val="000D70CF"/>
    <w:rsid w:val="000D7B93"/>
    <w:rsid w:val="000E1343"/>
    <w:rsid w:val="000E2124"/>
    <w:rsid w:val="000E2412"/>
    <w:rsid w:val="000E2D33"/>
    <w:rsid w:val="000E3752"/>
    <w:rsid w:val="000E3E52"/>
    <w:rsid w:val="000E42FC"/>
    <w:rsid w:val="000E51DD"/>
    <w:rsid w:val="000E5B11"/>
    <w:rsid w:val="000E6940"/>
    <w:rsid w:val="000E6CC1"/>
    <w:rsid w:val="000E6E1B"/>
    <w:rsid w:val="000E7D32"/>
    <w:rsid w:val="000F0266"/>
    <w:rsid w:val="000F0B84"/>
    <w:rsid w:val="000F0DDB"/>
    <w:rsid w:val="000F1128"/>
    <w:rsid w:val="000F2B65"/>
    <w:rsid w:val="000F2BB1"/>
    <w:rsid w:val="000F2E77"/>
    <w:rsid w:val="000F3807"/>
    <w:rsid w:val="000F3DAE"/>
    <w:rsid w:val="000F3E7D"/>
    <w:rsid w:val="000F6449"/>
    <w:rsid w:val="000F67B4"/>
    <w:rsid w:val="000F6E21"/>
    <w:rsid w:val="000F72C0"/>
    <w:rsid w:val="000F75C4"/>
    <w:rsid w:val="000F7A05"/>
    <w:rsid w:val="000F7A97"/>
    <w:rsid w:val="000F7B27"/>
    <w:rsid w:val="00100228"/>
    <w:rsid w:val="00100CB4"/>
    <w:rsid w:val="00101369"/>
    <w:rsid w:val="00101681"/>
    <w:rsid w:val="00101E0C"/>
    <w:rsid w:val="00102006"/>
    <w:rsid w:val="00102308"/>
    <w:rsid w:val="0010310A"/>
    <w:rsid w:val="001045EB"/>
    <w:rsid w:val="00104842"/>
    <w:rsid w:val="00104D1D"/>
    <w:rsid w:val="00105386"/>
    <w:rsid w:val="001055A2"/>
    <w:rsid w:val="00105AF5"/>
    <w:rsid w:val="00106063"/>
    <w:rsid w:val="00106245"/>
    <w:rsid w:val="0010641D"/>
    <w:rsid w:val="00106615"/>
    <w:rsid w:val="00106AD0"/>
    <w:rsid w:val="00106E69"/>
    <w:rsid w:val="0011063D"/>
    <w:rsid w:val="0011100D"/>
    <w:rsid w:val="0011138D"/>
    <w:rsid w:val="001118DC"/>
    <w:rsid w:val="00112CED"/>
    <w:rsid w:val="001140D4"/>
    <w:rsid w:val="0011477C"/>
    <w:rsid w:val="001147DE"/>
    <w:rsid w:val="00114F44"/>
    <w:rsid w:val="00117B15"/>
    <w:rsid w:val="00117F99"/>
    <w:rsid w:val="001206E2"/>
    <w:rsid w:val="00120D7D"/>
    <w:rsid w:val="00121F23"/>
    <w:rsid w:val="00122041"/>
    <w:rsid w:val="00122312"/>
    <w:rsid w:val="00122323"/>
    <w:rsid w:val="00122B28"/>
    <w:rsid w:val="001234BA"/>
    <w:rsid w:val="001265FF"/>
    <w:rsid w:val="00126ECD"/>
    <w:rsid w:val="00127376"/>
    <w:rsid w:val="0012759A"/>
    <w:rsid w:val="00127DA6"/>
    <w:rsid w:val="0013000D"/>
    <w:rsid w:val="00130034"/>
    <w:rsid w:val="00131231"/>
    <w:rsid w:val="00132E00"/>
    <w:rsid w:val="00132F86"/>
    <w:rsid w:val="00134AA5"/>
    <w:rsid w:val="00135676"/>
    <w:rsid w:val="00135DBD"/>
    <w:rsid w:val="001360C4"/>
    <w:rsid w:val="00136A25"/>
    <w:rsid w:val="0013700D"/>
    <w:rsid w:val="00137B4D"/>
    <w:rsid w:val="00140152"/>
    <w:rsid w:val="00140778"/>
    <w:rsid w:val="00141B46"/>
    <w:rsid w:val="00141E75"/>
    <w:rsid w:val="00142554"/>
    <w:rsid w:val="00142E48"/>
    <w:rsid w:val="0014408B"/>
    <w:rsid w:val="0014518B"/>
    <w:rsid w:val="00146DF8"/>
    <w:rsid w:val="0014731F"/>
    <w:rsid w:val="00147856"/>
    <w:rsid w:val="00147AFD"/>
    <w:rsid w:val="00147EFE"/>
    <w:rsid w:val="00150803"/>
    <w:rsid w:val="00150DB5"/>
    <w:rsid w:val="00151847"/>
    <w:rsid w:val="00152D05"/>
    <w:rsid w:val="00153088"/>
    <w:rsid w:val="001530F9"/>
    <w:rsid w:val="00153E1B"/>
    <w:rsid w:val="0015445D"/>
    <w:rsid w:val="00154838"/>
    <w:rsid w:val="00154D80"/>
    <w:rsid w:val="00154F54"/>
    <w:rsid w:val="00155499"/>
    <w:rsid w:val="0015575B"/>
    <w:rsid w:val="00156123"/>
    <w:rsid w:val="00156232"/>
    <w:rsid w:val="00157CAE"/>
    <w:rsid w:val="00157D77"/>
    <w:rsid w:val="0016002F"/>
    <w:rsid w:val="001608A6"/>
    <w:rsid w:val="00160B78"/>
    <w:rsid w:val="00161527"/>
    <w:rsid w:val="00161FD6"/>
    <w:rsid w:val="001621EA"/>
    <w:rsid w:val="0016244B"/>
    <w:rsid w:val="0016293C"/>
    <w:rsid w:val="00162EBE"/>
    <w:rsid w:val="0016420C"/>
    <w:rsid w:val="00164A6C"/>
    <w:rsid w:val="0016583D"/>
    <w:rsid w:val="00166A4C"/>
    <w:rsid w:val="00166F02"/>
    <w:rsid w:val="0017044E"/>
    <w:rsid w:val="00170C2F"/>
    <w:rsid w:val="00170C47"/>
    <w:rsid w:val="0017108C"/>
    <w:rsid w:val="00171915"/>
    <w:rsid w:val="00172A27"/>
    <w:rsid w:val="00172A78"/>
    <w:rsid w:val="00172E4B"/>
    <w:rsid w:val="00173725"/>
    <w:rsid w:val="00173D98"/>
    <w:rsid w:val="001745E3"/>
    <w:rsid w:val="001748C0"/>
    <w:rsid w:val="0017515B"/>
    <w:rsid w:val="00177903"/>
    <w:rsid w:val="00181A3B"/>
    <w:rsid w:val="0018201D"/>
    <w:rsid w:val="00182624"/>
    <w:rsid w:val="001833DD"/>
    <w:rsid w:val="0018346B"/>
    <w:rsid w:val="001857FD"/>
    <w:rsid w:val="00187C8A"/>
    <w:rsid w:val="00190431"/>
    <w:rsid w:val="00191565"/>
    <w:rsid w:val="00191950"/>
    <w:rsid w:val="001925FA"/>
    <w:rsid w:val="0019288F"/>
    <w:rsid w:val="00192AEE"/>
    <w:rsid w:val="00192BA7"/>
    <w:rsid w:val="00192DEC"/>
    <w:rsid w:val="00193408"/>
    <w:rsid w:val="00193804"/>
    <w:rsid w:val="00193993"/>
    <w:rsid w:val="00194A23"/>
    <w:rsid w:val="0019590C"/>
    <w:rsid w:val="00196181"/>
    <w:rsid w:val="001A014B"/>
    <w:rsid w:val="001A080C"/>
    <w:rsid w:val="001A0A47"/>
    <w:rsid w:val="001A0B3C"/>
    <w:rsid w:val="001A1305"/>
    <w:rsid w:val="001A1865"/>
    <w:rsid w:val="001A28A5"/>
    <w:rsid w:val="001A2B17"/>
    <w:rsid w:val="001A39EC"/>
    <w:rsid w:val="001A4434"/>
    <w:rsid w:val="001A599D"/>
    <w:rsid w:val="001A6682"/>
    <w:rsid w:val="001A6DCD"/>
    <w:rsid w:val="001A6F3F"/>
    <w:rsid w:val="001A731C"/>
    <w:rsid w:val="001B0231"/>
    <w:rsid w:val="001B190F"/>
    <w:rsid w:val="001B3AD2"/>
    <w:rsid w:val="001B3FE8"/>
    <w:rsid w:val="001B4370"/>
    <w:rsid w:val="001B6474"/>
    <w:rsid w:val="001B6D92"/>
    <w:rsid w:val="001B74E7"/>
    <w:rsid w:val="001B7B54"/>
    <w:rsid w:val="001C0656"/>
    <w:rsid w:val="001C0878"/>
    <w:rsid w:val="001C1245"/>
    <w:rsid w:val="001C1767"/>
    <w:rsid w:val="001C261F"/>
    <w:rsid w:val="001C29A8"/>
    <w:rsid w:val="001C2D82"/>
    <w:rsid w:val="001C36C3"/>
    <w:rsid w:val="001C43BF"/>
    <w:rsid w:val="001C474C"/>
    <w:rsid w:val="001C4881"/>
    <w:rsid w:val="001C543F"/>
    <w:rsid w:val="001C62B9"/>
    <w:rsid w:val="001C69E1"/>
    <w:rsid w:val="001C7518"/>
    <w:rsid w:val="001C7529"/>
    <w:rsid w:val="001C7629"/>
    <w:rsid w:val="001D04E4"/>
    <w:rsid w:val="001D2022"/>
    <w:rsid w:val="001D2043"/>
    <w:rsid w:val="001D23F4"/>
    <w:rsid w:val="001D3A2F"/>
    <w:rsid w:val="001D4080"/>
    <w:rsid w:val="001D4142"/>
    <w:rsid w:val="001D4EF6"/>
    <w:rsid w:val="001D5B9F"/>
    <w:rsid w:val="001D6690"/>
    <w:rsid w:val="001D6921"/>
    <w:rsid w:val="001D6B7C"/>
    <w:rsid w:val="001D6CF5"/>
    <w:rsid w:val="001D7E86"/>
    <w:rsid w:val="001E0075"/>
    <w:rsid w:val="001E0826"/>
    <w:rsid w:val="001E09F7"/>
    <w:rsid w:val="001E0B2C"/>
    <w:rsid w:val="001E11E4"/>
    <w:rsid w:val="001E20C8"/>
    <w:rsid w:val="001E2EE2"/>
    <w:rsid w:val="001E2FD4"/>
    <w:rsid w:val="001E3D3D"/>
    <w:rsid w:val="001E3F60"/>
    <w:rsid w:val="001E412A"/>
    <w:rsid w:val="001E43E6"/>
    <w:rsid w:val="001E4AD5"/>
    <w:rsid w:val="001E50C2"/>
    <w:rsid w:val="001E5C9D"/>
    <w:rsid w:val="001E7052"/>
    <w:rsid w:val="001E71CA"/>
    <w:rsid w:val="001E793C"/>
    <w:rsid w:val="001F0BF8"/>
    <w:rsid w:val="001F1D91"/>
    <w:rsid w:val="001F3B41"/>
    <w:rsid w:val="001F3D49"/>
    <w:rsid w:val="001F4111"/>
    <w:rsid w:val="001F4540"/>
    <w:rsid w:val="001F461C"/>
    <w:rsid w:val="001F47D7"/>
    <w:rsid w:val="001F6E14"/>
    <w:rsid w:val="0020076C"/>
    <w:rsid w:val="00201375"/>
    <w:rsid w:val="00202386"/>
    <w:rsid w:val="00203150"/>
    <w:rsid w:val="002035B3"/>
    <w:rsid w:val="00203D87"/>
    <w:rsid w:val="00203F1B"/>
    <w:rsid w:val="002043CC"/>
    <w:rsid w:val="00204E39"/>
    <w:rsid w:val="00205046"/>
    <w:rsid w:val="00205206"/>
    <w:rsid w:val="00205CB2"/>
    <w:rsid w:val="00205CF6"/>
    <w:rsid w:val="0020666B"/>
    <w:rsid w:val="0020758A"/>
    <w:rsid w:val="00210337"/>
    <w:rsid w:val="0021038B"/>
    <w:rsid w:val="0021221B"/>
    <w:rsid w:val="00213389"/>
    <w:rsid w:val="0021436D"/>
    <w:rsid w:val="002148FB"/>
    <w:rsid w:val="00214F27"/>
    <w:rsid w:val="002151DC"/>
    <w:rsid w:val="002155CF"/>
    <w:rsid w:val="00215CA8"/>
    <w:rsid w:val="00216272"/>
    <w:rsid w:val="00217044"/>
    <w:rsid w:val="002171AB"/>
    <w:rsid w:val="00217BE7"/>
    <w:rsid w:val="00217E17"/>
    <w:rsid w:val="00217F22"/>
    <w:rsid w:val="002200EC"/>
    <w:rsid w:val="002201BE"/>
    <w:rsid w:val="002204C5"/>
    <w:rsid w:val="00220ABC"/>
    <w:rsid w:val="00220FD1"/>
    <w:rsid w:val="0022110C"/>
    <w:rsid w:val="002212A3"/>
    <w:rsid w:val="00221D10"/>
    <w:rsid w:val="00222E74"/>
    <w:rsid w:val="002231B4"/>
    <w:rsid w:val="00223660"/>
    <w:rsid w:val="002243D0"/>
    <w:rsid w:val="0022471B"/>
    <w:rsid w:val="0022493E"/>
    <w:rsid w:val="00225A56"/>
    <w:rsid w:val="00225FC2"/>
    <w:rsid w:val="00226705"/>
    <w:rsid w:val="00226AA1"/>
    <w:rsid w:val="00226EAB"/>
    <w:rsid w:val="002271B4"/>
    <w:rsid w:val="00230484"/>
    <w:rsid w:val="00230626"/>
    <w:rsid w:val="0023240A"/>
    <w:rsid w:val="0023250D"/>
    <w:rsid w:val="002330A1"/>
    <w:rsid w:val="00233804"/>
    <w:rsid w:val="002341EB"/>
    <w:rsid w:val="00234218"/>
    <w:rsid w:val="00234684"/>
    <w:rsid w:val="00234E22"/>
    <w:rsid w:val="002357B1"/>
    <w:rsid w:val="002364CC"/>
    <w:rsid w:val="00237B89"/>
    <w:rsid w:val="0024036B"/>
    <w:rsid w:val="00241291"/>
    <w:rsid w:val="00241F04"/>
    <w:rsid w:val="002423D6"/>
    <w:rsid w:val="002429F5"/>
    <w:rsid w:val="002429FC"/>
    <w:rsid w:val="00242A9A"/>
    <w:rsid w:val="002432FF"/>
    <w:rsid w:val="00244A1D"/>
    <w:rsid w:val="00244FBF"/>
    <w:rsid w:val="00245657"/>
    <w:rsid w:val="00245F9D"/>
    <w:rsid w:val="00246223"/>
    <w:rsid w:val="00246353"/>
    <w:rsid w:val="00246A7D"/>
    <w:rsid w:val="00246C6F"/>
    <w:rsid w:val="00247579"/>
    <w:rsid w:val="00247A8E"/>
    <w:rsid w:val="00247CD7"/>
    <w:rsid w:val="00247DC2"/>
    <w:rsid w:val="00250600"/>
    <w:rsid w:val="002508C7"/>
    <w:rsid w:val="00250D94"/>
    <w:rsid w:val="00250F62"/>
    <w:rsid w:val="00250F7E"/>
    <w:rsid w:val="0025139C"/>
    <w:rsid w:val="002513D0"/>
    <w:rsid w:val="00251645"/>
    <w:rsid w:val="00252356"/>
    <w:rsid w:val="00252B61"/>
    <w:rsid w:val="00253E4D"/>
    <w:rsid w:val="00255585"/>
    <w:rsid w:val="002558C2"/>
    <w:rsid w:val="0025628C"/>
    <w:rsid w:val="00257B42"/>
    <w:rsid w:val="00260055"/>
    <w:rsid w:val="00260AB7"/>
    <w:rsid w:val="00262F3C"/>
    <w:rsid w:val="00263029"/>
    <w:rsid w:val="00263049"/>
    <w:rsid w:val="00263F0F"/>
    <w:rsid w:val="00264D6C"/>
    <w:rsid w:val="0026505A"/>
    <w:rsid w:val="002655F8"/>
    <w:rsid w:val="0026617E"/>
    <w:rsid w:val="002663D4"/>
    <w:rsid w:val="002663FF"/>
    <w:rsid w:val="00266460"/>
    <w:rsid w:val="00266988"/>
    <w:rsid w:val="00266C95"/>
    <w:rsid w:val="00267E0E"/>
    <w:rsid w:val="0027066F"/>
    <w:rsid w:val="00271180"/>
    <w:rsid w:val="002711A0"/>
    <w:rsid w:val="002711B3"/>
    <w:rsid w:val="00271B6D"/>
    <w:rsid w:val="00271CD6"/>
    <w:rsid w:val="00271F50"/>
    <w:rsid w:val="002734B3"/>
    <w:rsid w:val="00273718"/>
    <w:rsid w:val="00273E40"/>
    <w:rsid w:val="00273ED2"/>
    <w:rsid w:val="00274A8B"/>
    <w:rsid w:val="00276FEE"/>
    <w:rsid w:val="00277D20"/>
    <w:rsid w:val="00281B4D"/>
    <w:rsid w:val="002832CC"/>
    <w:rsid w:val="00284FA1"/>
    <w:rsid w:val="002852EF"/>
    <w:rsid w:val="002857ED"/>
    <w:rsid w:val="00285842"/>
    <w:rsid w:val="00285989"/>
    <w:rsid w:val="00285B27"/>
    <w:rsid w:val="00285E2D"/>
    <w:rsid w:val="0028677A"/>
    <w:rsid w:val="00286D11"/>
    <w:rsid w:val="00287682"/>
    <w:rsid w:val="0029156A"/>
    <w:rsid w:val="002917FF"/>
    <w:rsid w:val="00291F12"/>
    <w:rsid w:val="00292402"/>
    <w:rsid w:val="002929FC"/>
    <w:rsid w:val="00292B7D"/>
    <w:rsid w:val="00292DEE"/>
    <w:rsid w:val="00292F5C"/>
    <w:rsid w:val="00293DA7"/>
    <w:rsid w:val="00295779"/>
    <w:rsid w:val="00295AA0"/>
    <w:rsid w:val="00296C8D"/>
    <w:rsid w:val="00296E9C"/>
    <w:rsid w:val="0029711A"/>
    <w:rsid w:val="00297FE5"/>
    <w:rsid w:val="002A07A4"/>
    <w:rsid w:val="002A2941"/>
    <w:rsid w:val="002A2C53"/>
    <w:rsid w:val="002A34BC"/>
    <w:rsid w:val="002A3902"/>
    <w:rsid w:val="002A3D21"/>
    <w:rsid w:val="002A46F9"/>
    <w:rsid w:val="002A51DF"/>
    <w:rsid w:val="002A53E9"/>
    <w:rsid w:val="002A7383"/>
    <w:rsid w:val="002A7CBA"/>
    <w:rsid w:val="002A7D5F"/>
    <w:rsid w:val="002B0243"/>
    <w:rsid w:val="002B08E6"/>
    <w:rsid w:val="002B196F"/>
    <w:rsid w:val="002B37E7"/>
    <w:rsid w:val="002B3F8B"/>
    <w:rsid w:val="002B5D89"/>
    <w:rsid w:val="002B617C"/>
    <w:rsid w:val="002B6C5E"/>
    <w:rsid w:val="002B6E92"/>
    <w:rsid w:val="002C0134"/>
    <w:rsid w:val="002C0435"/>
    <w:rsid w:val="002C16B4"/>
    <w:rsid w:val="002C175D"/>
    <w:rsid w:val="002C1F5B"/>
    <w:rsid w:val="002C2CAF"/>
    <w:rsid w:val="002C443F"/>
    <w:rsid w:val="002C4897"/>
    <w:rsid w:val="002C4F4E"/>
    <w:rsid w:val="002C5695"/>
    <w:rsid w:val="002C67F5"/>
    <w:rsid w:val="002C6C65"/>
    <w:rsid w:val="002C74F2"/>
    <w:rsid w:val="002C7EF8"/>
    <w:rsid w:val="002D169F"/>
    <w:rsid w:val="002D17EE"/>
    <w:rsid w:val="002D1989"/>
    <w:rsid w:val="002D2C85"/>
    <w:rsid w:val="002D3547"/>
    <w:rsid w:val="002D3C3B"/>
    <w:rsid w:val="002D462E"/>
    <w:rsid w:val="002D4849"/>
    <w:rsid w:val="002D57F2"/>
    <w:rsid w:val="002D5ABE"/>
    <w:rsid w:val="002D5C38"/>
    <w:rsid w:val="002D61EE"/>
    <w:rsid w:val="002D6607"/>
    <w:rsid w:val="002D68E6"/>
    <w:rsid w:val="002D7D68"/>
    <w:rsid w:val="002E01F5"/>
    <w:rsid w:val="002E111A"/>
    <w:rsid w:val="002E14E6"/>
    <w:rsid w:val="002E17C8"/>
    <w:rsid w:val="002E2250"/>
    <w:rsid w:val="002E2A36"/>
    <w:rsid w:val="002E2F48"/>
    <w:rsid w:val="002E4DEA"/>
    <w:rsid w:val="002E51C7"/>
    <w:rsid w:val="002E5B85"/>
    <w:rsid w:val="002E5C25"/>
    <w:rsid w:val="002E69D7"/>
    <w:rsid w:val="002E7D1E"/>
    <w:rsid w:val="002F0115"/>
    <w:rsid w:val="002F06E5"/>
    <w:rsid w:val="002F08A2"/>
    <w:rsid w:val="002F0994"/>
    <w:rsid w:val="002F0E7E"/>
    <w:rsid w:val="002F11C8"/>
    <w:rsid w:val="002F2BB9"/>
    <w:rsid w:val="002F4434"/>
    <w:rsid w:val="002F58F2"/>
    <w:rsid w:val="002F62AC"/>
    <w:rsid w:val="002F69FC"/>
    <w:rsid w:val="002F6E31"/>
    <w:rsid w:val="002F6FE4"/>
    <w:rsid w:val="002F715A"/>
    <w:rsid w:val="002F7D7C"/>
    <w:rsid w:val="003011B1"/>
    <w:rsid w:val="00301B66"/>
    <w:rsid w:val="00302185"/>
    <w:rsid w:val="00302F1B"/>
    <w:rsid w:val="0030306A"/>
    <w:rsid w:val="00303375"/>
    <w:rsid w:val="00303B15"/>
    <w:rsid w:val="00303CEC"/>
    <w:rsid w:val="00304152"/>
    <w:rsid w:val="00305122"/>
    <w:rsid w:val="003067C3"/>
    <w:rsid w:val="00306886"/>
    <w:rsid w:val="00306A21"/>
    <w:rsid w:val="00307523"/>
    <w:rsid w:val="00310A58"/>
    <w:rsid w:val="00311857"/>
    <w:rsid w:val="00312259"/>
    <w:rsid w:val="003123B1"/>
    <w:rsid w:val="00313726"/>
    <w:rsid w:val="00313AD6"/>
    <w:rsid w:val="003154EF"/>
    <w:rsid w:val="0031557C"/>
    <w:rsid w:val="00315653"/>
    <w:rsid w:val="00315AF8"/>
    <w:rsid w:val="00315BFC"/>
    <w:rsid w:val="003177FB"/>
    <w:rsid w:val="00317D03"/>
    <w:rsid w:val="00317E87"/>
    <w:rsid w:val="00317E9B"/>
    <w:rsid w:val="003205B7"/>
    <w:rsid w:val="00320867"/>
    <w:rsid w:val="00320BCF"/>
    <w:rsid w:val="003216C7"/>
    <w:rsid w:val="003229F3"/>
    <w:rsid w:val="00322C7A"/>
    <w:rsid w:val="00322F48"/>
    <w:rsid w:val="003231E3"/>
    <w:rsid w:val="00323CF3"/>
    <w:rsid w:val="003247B2"/>
    <w:rsid w:val="00324A53"/>
    <w:rsid w:val="0032624D"/>
    <w:rsid w:val="003263BA"/>
    <w:rsid w:val="003268C9"/>
    <w:rsid w:val="00326EA0"/>
    <w:rsid w:val="00330669"/>
    <w:rsid w:val="00330900"/>
    <w:rsid w:val="00330BB9"/>
    <w:rsid w:val="003320D7"/>
    <w:rsid w:val="003352DD"/>
    <w:rsid w:val="003359A5"/>
    <w:rsid w:val="00335D62"/>
    <w:rsid w:val="00336058"/>
    <w:rsid w:val="0033610F"/>
    <w:rsid w:val="003403AD"/>
    <w:rsid w:val="00340BBF"/>
    <w:rsid w:val="00341846"/>
    <w:rsid w:val="003418CA"/>
    <w:rsid w:val="00341ABA"/>
    <w:rsid w:val="003425FE"/>
    <w:rsid w:val="00343714"/>
    <w:rsid w:val="00343A74"/>
    <w:rsid w:val="00344815"/>
    <w:rsid w:val="0034489B"/>
    <w:rsid w:val="00346170"/>
    <w:rsid w:val="00346484"/>
    <w:rsid w:val="003470E6"/>
    <w:rsid w:val="00347926"/>
    <w:rsid w:val="00347B26"/>
    <w:rsid w:val="00350297"/>
    <w:rsid w:val="00350F50"/>
    <w:rsid w:val="00351221"/>
    <w:rsid w:val="003517F2"/>
    <w:rsid w:val="003518C2"/>
    <w:rsid w:val="003541E3"/>
    <w:rsid w:val="003543F3"/>
    <w:rsid w:val="0035444A"/>
    <w:rsid w:val="003549E2"/>
    <w:rsid w:val="00354B8D"/>
    <w:rsid w:val="00355D22"/>
    <w:rsid w:val="00355D97"/>
    <w:rsid w:val="0035653B"/>
    <w:rsid w:val="003607EA"/>
    <w:rsid w:val="00360E72"/>
    <w:rsid w:val="00361521"/>
    <w:rsid w:val="00362482"/>
    <w:rsid w:val="00364713"/>
    <w:rsid w:val="00364B00"/>
    <w:rsid w:val="00365114"/>
    <w:rsid w:val="00365650"/>
    <w:rsid w:val="00366179"/>
    <w:rsid w:val="003667D2"/>
    <w:rsid w:val="00366DD2"/>
    <w:rsid w:val="00366E5C"/>
    <w:rsid w:val="00367E0F"/>
    <w:rsid w:val="00370039"/>
    <w:rsid w:val="00370B29"/>
    <w:rsid w:val="00370CAB"/>
    <w:rsid w:val="00371041"/>
    <w:rsid w:val="0037193F"/>
    <w:rsid w:val="003733EC"/>
    <w:rsid w:val="00373656"/>
    <w:rsid w:val="003737C1"/>
    <w:rsid w:val="00373995"/>
    <w:rsid w:val="00373B1D"/>
    <w:rsid w:val="00373B99"/>
    <w:rsid w:val="00373D22"/>
    <w:rsid w:val="00373F88"/>
    <w:rsid w:val="0037439B"/>
    <w:rsid w:val="003759BC"/>
    <w:rsid w:val="00375BA8"/>
    <w:rsid w:val="0037631E"/>
    <w:rsid w:val="00376350"/>
    <w:rsid w:val="003768D8"/>
    <w:rsid w:val="00377ECC"/>
    <w:rsid w:val="00380A79"/>
    <w:rsid w:val="00380F4A"/>
    <w:rsid w:val="0038257F"/>
    <w:rsid w:val="00382F11"/>
    <w:rsid w:val="00383BCB"/>
    <w:rsid w:val="00384182"/>
    <w:rsid w:val="0038472F"/>
    <w:rsid w:val="003849A5"/>
    <w:rsid w:val="00385BA5"/>
    <w:rsid w:val="00385F38"/>
    <w:rsid w:val="003867BA"/>
    <w:rsid w:val="00386B4F"/>
    <w:rsid w:val="00386CE0"/>
    <w:rsid w:val="0038762F"/>
    <w:rsid w:val="00387C26"/>
    <w:rsid w:val="00387C8A"/>
    <w:rsid w:val="0039011D"/>
    <w:rsid w:val="0039053E"/>
    <w:rsid w:val="00391A77"/>
    <w:rsid w:val="00392FF0"/>
    <w:rsid w:val="00393227"/>
    <w:rsid w:val="003937B9"/>
    <w:rsid w:val="00393FC5"/>
    <w:rsid w:val="003945AB"/>
    <w:rsid w:val="00395F0A"/>
    <w:rsid w:val="0039653E"/>
    <w:rsid w:val="00396878"/>
    <w:rsid w:val="003A00AF"/>
    <w:rsid w:val="003A2D4A"/>
    <w:rsid w:val="003A2FD8"/>
    <w:rsid w:val="003A32B8"/>
    <w:rsid w:val="003A3631"/>
    <w:rsid w:val="003A4A76"/>
    <w:rsid w:val="003A55D0"/>
    <w:rsid w:val="003A7CF2"/>
    <w:rsid w:val="003B19C2"/>
    <w:rsid w:val="003B24B5"/>
    <w:rsid w:val="003B4954"/>
    <w:rsid w:val="003B5697"/>
    <w:rsid w:val="003B5929"/>
    <w:rsid w:val="003B5D63"/>
    <w:rsid w:val="003B5FE3"/>
    <w:rsid w:val="003B68EC"/>
    <w:rsid w:val="003B6D8D"/>
    <w:rsid w:val="003B7146"/>
    <w:rsid w:val="003C0124"/>
    <w:rsid w:val="003C238F"/>
    <w:rsid w:val="003C2A8A"/>
    <w:rsid w:val="003C33B6"/>
    <w:rsid w:val="003C45CE"/>
    <w:rsid w:val="003C46ED"/>
    <w:rsid w:val="003C488D"/>
    <w:rsid w:val="003C57BB"/>
    <w:rsid w:val="003C69E0"/>
    <w:rsid w:val="003C75E8"/>
    <w:rsid w:val="003C7B00"/>
    <w:rsid w:val="003C7D1A"/>
    <w:rsid w:val="003D0A49"/>
    <w:rsid w:val="003D1136"/>
    <w:rsid w:val="003D1AE6"/>
    <w:rsid w:val="003D270E"/>
    <w:rsid w:val="003D29FD"/>
    <w:rsid w:val="003D44EF"/>
    <w:rsid w:val="003D4B4D"/>
    <w:rsid w:val="003D4C06"/>
    <w:rsid w:val="003D5BEC"/>
    <w:rsid w:val="003D6311"/>
    <w:rsid w:val="003D75A9"/>
    <w:rsid w:val="003D7787"/>
    <w:rsid w:val="003D7EAE"/>
    <w:rsid w:val="003E0572"/>
    <w:rsid w:val="003E0587"/>
    <w:rsid w:val="003E09AA"/>
    <w:rsid w:val="003E1E14"/>
    <w:rsid w:val="003E203C"/>
    <w:rsid w:val="003E2081"/>
    <w:rsid w:val="003E222F"/>
    <w:rsid w:val="003E2841"/>
    <w:rsid w:val="003E2944"/>
    <w:rsid w:val="003E2E7D"/>
    <w:rsid w:val="003E3F73"/>
    <w:rsid w:val="003E4777"/>
    <w:rsid w:val="003E48FC"/>
    <w:rsid w:val="003E4A19"/>
    <w:rsid w:val="003E4D61"/>
    <w:rsid w:val="003E56B3"/>
    <w:rsid w:val="003E675F"/>
    <w:rsid w:val="003E6BF2"/>
    <w:rsid w:val="003E7555"/>
    <w:rsid w:val="003E7741"/>
    <w:rsid w:val="003F005F"/>
    <w:rsid w:val="003F037A"/>
    <w:rsid w:val="003F22FC"/>
    <w:rsid w:val="003F2448"/>
    <w:rsid w:val="003F4B05"/>
    <w:rsid w:val="003F5982"/>
    <w:rsid w:val="003F6635"/>
    <w:rsid w:val="003F70A9"/>
    <w:rsid w:val="003F73BB"/>
    <w:rsid w:val="003F7E03"/>
    <w:rsid w:val="003F7FC3"/>
    <w:rsid w:val="0040026D"/>
    <w:rsid w:val="00400984"/>
    <w:rsid w:val="00400DCB"/>
    <w:rsid w:val="00401999"/>
    <w:rsid w:val="0040199A"/>
    <w:rsid w:val="00401BCC"/>
    <w:rsid w:val="004021B3"/>
    <w:rsid w:val="0040241E"/>
    <w:rsid w:val="00402898"/>
    <w:rsid w:val="00402C8B"/>
    <w:rsid w:val="0040388E"/>
    <w:rsid w:val="004043B7"/>
    <w:rsid w:val="00404897"/>
    <w:rsid w:val="00404DA5"/>
    <w:rsid w:val="00405822"/>
    <w:rsid w:val="004069CF"/>
    <w:rsid w:val="00406BC7"/>
    <w:rsid w:val="0040745D"/>
    <w:rsid w:val="0040755E"/>
    <w:rsid w:val="00407CC7"/>
    <w:rsid w:val="00410A9C"/>
    <w:rsid w:val="00413F72"/>
    <w:rsid w:val="004145D3"/>
    <w:rsid w:val="00414EC4"/>
    <w:rsid w:val="00415C1D"/>
    <w:rsid w:val="00415F69"/>
    <w:rsid w:val="00416345"/>
    <w:rsid w:val="00416E76"/>
    <w:rsid w:val="00417213"/>
    <w:rsid w:val="004173CE"/>
    <w:rsid w:val="004177AB"/>
    <w:rsid w:val="00421AE2"/>
    <w:rsid w:val="00421CBB"/>
    <w:rsid w:val="00423517"/>
    <w:rsid w:val="004242CF"/>
    <w:rsid w:val="00424568"/>
    <w:rsid w:val="00424B24"/>
    <w:rsid w:val="00426241"/>
    <w:rsid w:val="00427CE5"/>
    <w:rsid w:val="00430C35"/>
    <w:rsid w:val="00431470"/>
    <w:rsid w:val="00431531"/>
    <w:rsid w:val="00431BE6"/>
    <w:rsid w:val="00431F14"/>
    <w:rsid w:val="004325BB"/>
    <w:rsid w:val="00432C38"/>
    <w:rsid w:val="0043329D"/>
    <w:rsid w:val="00433366"/>
    <w:rsid w:val="00433FF3"/>
    <w:rsid w:val="00434A06"/>
    <w:rsid w:val="00434D88"/>
    <w:rsid w:val="00436ADA"/>
    <w:rsid w:val="00436B5F"/>
    <w:rsid w:val="00436FAA"/>
    <w:rsid w:val="004370BB"/>
    <w:rsid w:val="00437315"/>
    <w:rsid w:val="00437563"/>
    <w:rsid w:val="00437723"/>
    <w:rsid w:val="00437889"/>
    <w:rsid w:val="004378C6"/>
    <w:rsid w:val="004401E2"/>
    <w:rsid w:val="00440497"/>
    <w:rsid w:val="0044051A"/>
    <w:rsid w:val="00441BE5"/>
    <w:rsid w:val="00441FDF"/>
    <w:rsid w:val="00443A9C"/>
    <w:rsid w:val="0044553F"/>
    <w:rsid w:val="004464DF"/>
    <w:rsid w:val="004465A6"/>
    <w:rsid w:val="004467F2"/>
    <w:rsid w:val="0044680D"/>
    <w:rsid w:val="0044699D"/>
    <w:rsid w:val="00447778"/>
    <w:rsid w:val="00450680"/>
    <w:rsid w:val="0045113F"/>
    <w:rsid w:val="004513A5"/>
    <w:rsid w:val="004517E2"/>
    <w:rsid w:val="00452167"/>
    <w:rsid w:val="00453761"/>
    <w:rsid w:val="00453A66"/>
    <w:rsid w:val="00453C46"/>
    <w:rsid w:val="00453E2A"/>
    <w:rsid w:val="004541B6"/>
    <w:rsid w:val="00454950"/>
    <w:rsid w:val="00455248"/>
    <w:rsid w:val="00455452"/>
    <w:rsid w:val="00455B9C"/>
    <w:rsid w:val="00456EE7"/>
    <w:rsid w:val="00457BE7"/>
    <w:rsid w:val="00460575"/>
    <w:rsid w:val="00460BE4"/>
    <w:rsid w:val="0046182F"/>
    <w:rsid w:val="00461B52"/>
    <w:rsid w:val="00462253"/>
    <w:rsid w:val="0046287A"/>
    <w:rsid w:val="004635BE"/>
    <w:rsid w:val="00463980"/>
    <w:rsid w:val="004648AD"/>
    <w:rsid w:val="00465315"/>
    <w:rsid w:val="00465557"/>
    <w:rsid w:val="00465AC8"/>
    <w:rsid w:val="00466B68"/>
    <w:rsid w:val="00466F1F"/>
    <w:rsid w:val="00467051"/>
    <w:rsid w:val="00467807"/>
    <w:rsid w:val="0047026C"/>
    <w:rsid w:val="00470C22"/>
    <w:rsid w:val="00470C5D"/>
    <w:rsid w:val="00471D5D"/>
    <w:rsid w:val="00472DD7"/>
    <w:rsid w:val="0047343F"/>
    <w:rsid w:val="004738DE"/>
    <w:rsid w:val="0047518C"/>
    <w:rsid w:val="00475CC4"/>
    <w:rsid w:val="00477AE6"/>
    <w:rsid w:val="004800F8"/>
    <w:rsid w:val="0048198E"/>
    <w:rsid w:val="00481EF4"/>
    <w:rsid w:val="00481F15"/>
    <w:rsid w:val="00482300"/>
    <w:rsid w:val="004823AE"/>
    <w:rsid w:val="00482A19"/>
    <w:rsid w:val="00482ED0"/>
    <w:rsid w:val="0048351A"/>
    <w:rsid w:val="00483B09"/>
    <w:rsid w:val="0048456A"/>
    <w:rsid w:val="004845A7"/>
    <w:rsid w:val="004853B1"/>
    <w:rsid w:val="00485710"/>
    <w:rsid w:val="004865EF"/>
    <w:rsid w:val="004902CE"/>
    <w:rsid w:val="004904D1"/>
    <w:rsid w:val="004904E9"/>
    <w:rsid w:val="004919ED"/>
    <w:rsid w:val="00491CF8"/>
    <w:rsid w:val="00492005"/>
    <w:rsid w:val="0049203C"/>
    <w:rsid w:val="004923E3"/>
    <w:rsid w:val="00492F57"/>
    <w:rsid w:val="00494634"/>
    <w:rsid w:val="00495D75"/>
    <w:rsid w:val="00495D76"/>
    <w:rsid w:val="004978E3"/>
    <w:rsid w:val="00497C4C"/>
    <w:rsid w:val="00497F81"/>
    <w:rsid w:val="004A08D3"/>
    <w:rsid w:val="004A0C42"/>
    <w:rsid w:val="004A134F"/>
    <w:rsid w:val="004A1C1C"/>
    <w:rsid w:val="004A2044"/>
    <w:rsid w:val="004A2308"/>
    <w:rsid w:val="004A2317"/>
    <w:rsid w:val="004A2376"/>
    <w:rsid w:val="004A293D"/>
    <w:rsid w:val="004A3962"/>
    <w:rsid w:val="004A49E2"/>
    <w:rsid w:val="004A52BF"/>
    <w:rsid w:val="004A591A"/>
    <w:rsid w:val="004A62F9"/>
    <w:rsid w:val="004A65B9"/>
    <w:rsid w:val="004A70B6"/>
    <w:rsid w:val="004A7834"/>
    <w:rsid w:val="004B093C"/>
    <w:rsid w:val="004B1550"/>
    <w:rsid w:val="004B1751"/>
    <w:rsid w:val="004B2707"/>
    <w:rsid w:val="004B27FB"/>
    <w:rsid w:val="004B35B0"/>
    <w:rsid w:val="004B455F"/>
    <w:rsid w:val="004B467B"/>
    <w:rsid w:val="004B4F0D"/>
    <w:rsid w:val="004B67E0"/>
    <w:rsid w:val="004B6D32"/>
    <w:rsid w:val="004B6EF4"/>
    <w:rsid w:val="004B7464"/>
    <w:rsid w:val="004B75BE"/>
    <w:rsid w:val="004B77CB"/>
    <w:rsid w:val="004C004A"/>
    <w:rsid w:val="004C0E0E"/>
    <w:rsid w:val="004C271E"/>
    <w:rsid w:val="004C2951"/>
    <w:rsid w:val="004C5015"/>
    <w:rsid w:val="004C570C"/>
    <w:rsid w:val="004C5728"/>
    <w:rsid w:val="004C5986"/>
    <w:rsid w:val="004C5D95"/>
    <w:rsid w:val="004C6662"/>
    <w:rsid w:val="004C70DB"/>
    <w:rsid w:val="004C734F"/>
    <w:rsid w:val="004C769F"/>
    <w:rsid w:val="004C7ED4"/>
    <w:rsid w:val="004D010B"/>
    <w:rsid w:val="004D056F"/>
    <w:rsid w:val="004D0B1B"/>
    <w:rsid w:val="004D0CD3"/>
    <w:rsid w:val="004D1073"/>
    <w:rsid w:val="004D1D09"/>
    <w:rsid w:val="004D2658"/>
    <w:rsid w:val="004D2972"/>
    <w:rsid w:val="004D2D3B"/>
    <w:rsid w:val="004D347A"/>
    <w:rsid w:val="004D4EE4"/>
    <w:rsid w:val="004D7732"/>
    <w:rsid w:val="004D7F1C"/>
    <w:rsid w:val="004E0376"/>
    <w:rsid w:val="004E0C4B"/>
    <w:rsid w:val="004E14F4"/>
    <w:rsid w:val="004E26D9"/>
    <w:rsid w:val="004E2ECE"/>
    <w:rsid w:val="004E2FE2"/>
    <w:rsid w:val="004E3120"/>
    <w:rsid w:val="004E3C55"/>
    <w:rsid w:val="004E3DAB"/>
    <w:rsid w:val="004E4827"/>
    <w:rsid w:val="004E4AA9"/>
    <w:rsid w:val="004E4FCA"/>
    <w:rsid w:val="004E506D"/>
    <w:rsid w:val="004E6034"/>
    <w:rsid w:val="004E6056"/>
    <w:rsid w:val="004E67D9"/>
    <w:rsid w:val="004E7441"/>
    <w:rsid w:val="004F0EC0"/>
    <w:rsid w:val="004F1018"/>
    <w:rsid w:val="004F23E9"/>
    <w:rsid w:val="004F2503"/>
    <w:rsid w:val="004F2819"/>
    <w:rsid w:val="004F288F"/>
    <w:rsid w:val="004F2C1C"/>
    <w:rsid w:val="004F2DF7"/>
    <w:rsid w:val="004F3077"/>
    <w:rsid w:val="004F3273"/>
    <w:rsid w:val="004F3E74"/>
    <w:rsid w:val="004F4401"/>
    <w:rsid w:val="004F45B5"/>
    <w:rsid w:val="004F5222"/>
    <w:rsid w:val="004F601F"/>
    <w:rsid w:val="004F6525"/>
    <w:rsid w:val="004F7129"/>
    <w:rsid w:val="004F7470"/>
    <w:rsid w:val="00500024"/>
    <w:rsid w:val="00500555"/>
    <w:rsid w:val="00501A6B"/>
    <w:rsid w:val="00501C56"/>
    <w:rsid w:val="00502014"/>
    <w:rsid w:val="0050273D"/>
    <w:rsid w:val="005029D8"/>
    <w:rsid w:val="00502B3D"/>
    <w:rsid w:val="005039D5"/>
    <w:rsid w:val="00505807"/>
    <w:rsid w:val="00505858"/>
    <w:rsid w:val="0050592D"/>
    <w:rsid w:val="00506133"/>
    <w:rsid w:val="0050652C"/>
    <w:rsid w:val="00507072"/>
    <w:rsid w:val="0050796A"/>
    <w:rsid w:val="0051138A"/>
    <w:rsid w:val="0051180A"/>
    <w:rsid w:val="00511D7F"/>
    <w:rsid w:val="0051271E"/>
    <w:rsid w:val="005133F8"/>
    <w:rsid w:val="00513D31"/>
    <w:rsid w:val="00516357"/>
    <w:rsid w:val="00516B47"/>
    <w:rsid w:val="00517933"/>
    <w:rsid w:val="0052036C"/>
    <w:rsid w:val="005205DA"/>
    <w:rsid w:val="005214BD"/>
    <w:rsid w:val="00521947"/>
    <w:rsid w:val="00521A04"/>
    <w:rsid w:val="00522D83"/>
    <w:rsid w:val="00522EEB"/>
    <w:rsid w:val="00523816"/>
    <w:rsid w:val="0052384B"/>
    <w:rsid w:val="0052391F"/>
    <w:rsid w:val="00523F50"/>
    <w:rsid w:val="00524E0B"/>
    <w:rsid w:val="00525DA2"/>
    <w:rsid w:val="00527E98"/>
    <w:rsid w:val="00527FE7"/>
    <w:rsid w:val="00530642"/>
    <w:rsid w:val="00530A62"/>
    <w:rsid w:val="00530C5F"/>
    <w:rsid w:val="00530CE5"/>
    <w:rsid w:val="00530FDA"/>
    <w:rsid w:val="0053159F"/>
    <w:rsid w:val="00532751"/>
    <w:rsid w:val="00532AE5"/>
    <w:rsid w:val="00532D9D"/>
    <w:rsid w:val="00532E3E"/>
    <w:rsid w:val="00534C16"/>
    <w:rsid w:val="00534E93"/>
    <w:rsid w:val="005350AA"/>
    <w:rsid w:val="005351E1"/>
    <w:rsid w:val="00535217"/>
    <w:rsid w:val="00535BFE"/>
    <w:rsid w:val="00536588"/>
    <w:rsid w:val="00536C8A"/>
    <w:rsid w:val="00536F54"/>
    <w:rsid w:val="0053722A"/>
    <w:rsid w:val="00541526"/>
    <w:rsid w:val="00542B06"/>
    <w:rsid w:val="00544155"/>
    <w:rsid w:val="005474ED"/>
    <w:rsid w:val="00547C58"/>
    <w:rsid w:val="00547D95"/>
    <w:rsid w:val="005501D5"/>
    <w:rsid w:val="00551A07"/>
    <w:rsid w:val="00551EA7"/>
    <w:rsid w:val="0055225F"/>
    <w:rsid w:val="00552BCF"/>
    <w:rsid w:val="00552C58"/>
    <w:rsid w:val="00552D07"/>
    <w:rsid w:val="00552E97"/>
    <w:rsid w:val="00553986"/>
    <w:rsid w:val="00553ED7"/>
    <w:rsid w:val="00555D77"/>
    <w:rsid w:val="00555E29"/>
    <w:rsid w:val="005566AC"/>
    <w:rsid w:val="00556CD8"/>
    <w:rsid w:val="0055740D"/>
    <w:rsid w:val="00557473"/>
    <w:rsid w:val="0055758A"/>
    <w:rsid w:val="00557C17"/>
    <w:rsid w:val="00557DB4"/>
    <w:rsid w:val="005602EB"/>
    <w:rsid w:val="005612EB"/>
    <w:rsid w:val="005617ED"/>
    <w:rsid w:val="00562BF1"/>
    <w:rsid w:val="00562F57"/>
    <w:rsid w:val="005638EF"/>
    <w:rsid w:val="0056404D"/>
    <w:rsid w:val="005668FB"/>
    <w:rsid w:val="00566FAB"/>
    <w:rsid w:val="00567753"/>
    <w:rsid w:val="00570294"/>
    <w:rsid w:val="005709AD"/>
    <w:rsid w:val="0057186D"/>
    <w:rsid w:val="00571BBD"/>
    <w:rsid w:val="00572986"/>
    <w:rsid w:val="005733EF"/>
    <w:rsid w:val="00575218"/>
    <w:rsid w:val="00575657"/>
    <w:rsid w:val="00576109"/>
    <w:rsid w:val="005761B8"/>
    <w:rsid w:val="00576CC3"/>
    <w:rsid w:val="00577302"/>
    <w:rsid w:val="005773C8"/>
    <w:rsid w:val="00577C05"/>
    <w:rsid w:val="005800CA"/>
    <w:rsid w:val="00580195"/>
    <w:rsid w:val="0058023E"/>
    <w:rsid w:val="00580293"/>
    <w:rsid w:val="00580895"/>
    <w:rsid w:val="00582D65"/>
    <w:rsid w:val="005830EE"/>
    <w:rsid w:val="00583768"/>
    <w:rsid w:val="005846B1"/>
    <w:rsid w:val="005851C3"/>
    <w:rsid w:val="00585832"/>
    <w:rsid w:val="00585E07"/>
    <w:rsid w:val="005867E7"/>
    <w:rsid w:val="005876C1"/>
    <w:rsid w:val="00590585"/>
    <w:rsid w:val="00591414"/>
    <w:rsid w:val="00591DFD"/>
    <w:rsid w:val="0059282A"/>
    <w:rsid w:val="00592BD0"/>
    <w:rsid w:val="0059409A"/>
    <w:rsid w:val="005956F3"/>
    <w:rsid w:val="005957EF"/>
    <w:rsid w:val="00596CD8"/>
    <w:rsid w:val="00597346"/>
    <w:rsid w:val="005973DC"/>
    <w:rsid w:val="00597707"/>
    <w:rsid w:val="005A10F1"/>
    <w:rsid w:val="005A1F23"/>
    <w:rsid w:val="005A387E"/>
    <w:rsid w:val="005A48E0"/>
    <w:rsid w:val="005A4B00"/>
    <w:rsid w:val="005A4FC4"/>
    <w:rsid w:val="005A581A"/>
    <w:rsid w:val="005A6E58"/>
    <w:rsid w:val="005A7CCF"/>
    <w:rsid w:val="005B1C91"/>
    <w:rsid w:val="005B1D83"/>
    <w:rsid w:val="005B2067"/>
    <w:rsid w:val="005B27C8"/>
    <w:rsid w:val="005B295D"/>
    <w:rsid w:val="005B373D"/>
    <w:rsid w:val="005B425E"/>
    <w:rsid w:val="005B4CFE"/>
    <w:rsid w:val="005B4F70"/>
    <w:rsid w:val="005B57F2"/>
    <w:rsid w:val="005B5AF7"/>
    <w:rsid w:val="005B5ED1"/>
    <w:rsid w:val="005B6FA7"/>
    <w:rsid w:val="005B72FA"/>
    <w:rsid w:val="005B7CFE"/>
    <w:rsid w:val="005C0381"/>
    <w:rsid w:val="005C1B62"/>
    <w:rsid w:val="005C1CB6"/>
    <w:rsid w:val="005C27FF"/>
    <w:rsid w:val="005C28B9"/>
    <w:rsid w:val="005C2E14"/>
    <w:rsid w:val="005C541E"/>
    <w:rsid w:val="005C5E8D"/>
    <w:rsid w:val="005C62A4"/>
    <w:rsid w:val="005C62F2"/>
    <w:rsid w:val="005C64EE"/>
    <w:rsid w:val="005C73D7"/>
    <w:rsid w:val="005D05E1"/>
    <w:rsid w:val="005D13F8"/>
    <w:rsid w:val="005D1625"/>
    <w:rsid w:val="005D31E1"/>
    <w:rsid w:val="005D40FB"/>
    <w:rsid w:val="005D585A"/>
    <w:rsid w:val="005D699C"/>
    <w:rsid w:val="005D78F6"/>
    <w:rsid w:val="005E0652"/>
    <w:rsid w:val="005E065F"/>
    <w:rsid w:val="005E12D8"/>
    <w:rsid w:val="005E3C57"/>
    <w:rsid w:val="005E3C70"/>
    <w:rsid w:val="005E609F"/>
    <w:rsid w:val="005E6737"/>
    <w:rsid w:val="005E68E0"/>
    <w:rsid w:val="005E7716"/>
    <w:rsid w:val="005F04D6"/>
    <w:rsid w:val="005F0CAB"/>
    <w:rsid w:val="005F0D96"/>
    <w:rsid w:val="005F157B"/>
    <w:rsid w:val="005F1E06"/>
    <w:rsid w:val="005F2225"/>
    <w:rsid w:val="005F27F8"/>
    <w:rsid w:val="005F2905"/>
    <w:rsid w:val="005F2AA4"/>
    <w:rsid w:val="005F2D6A"/>
    <w:rsid w:val="005F57B1"/>
    <w:rsid w:val="005F77BE"/>
    <w:rsid w:val="006014F2"/>
    <w:rsid w:val="00601E5C"/>
    <w:rsid w:val="0060239F"/>
    <w:rsid w:val="00602913"/>
    <w:rsid w:val="0060403E"/>
    <w:rsid w:val="0060413C"/>
    <w:rsid w:val="006043B2"/>
    <w:rsid w:val="00606484"/>
    <w:rsid w:val="00607254"/>
    <w:rsid w:val="00607777"/>
    <w:rsid w:val="00607DFE"/>
    <w:rsid w:val="0061074A"/>
    <w:rsid w:val="00611070"/>
    <w:rsid w:val="0061142E"/>
    <w:rsid w:val="0061158E"/>
    <w:rsid w:val="0061186E"/>
    <w:rsid w:val="00614BCD"/>
    <w:rsid w:val="0061574C"/>
    <w:rsid w:val="00615E10"/>
    <w:rsid w:val="006165E3"/>
    <w:rsid w:val="00616674"/>
    <w:rsid w:val="00616BDA"/>
    <w:rsid w:val="00616E66"/>
    <w:rsid w:val="00617B0F"/>
    <w:rsid w:val="006200D4"/>
    <w:rsid w:val="006203EA"/>
    <w:rsid w:val="006206D7"/>
    <w:rsid w:val="006209F5"/>
    <w:rsid w:val="00621BFB"/>
    <w:rsid w:val="00621C4E"/>
    <w:rsid w:val="00621DE8"/>
    <w:rsid w:val="006237C3"/>
    <w:rsid w:val="00623C4B"/>
    <w:rsid w:val="0062413E"/>
    <w:rsid w:val="00624F68"/>
    <w:rsid w:val="00625F2B"/>
    <w:rsid w:val="006264F9"/>
    <w:rsid w:val="00626576"/>
    <w:rsid w:val="00626892"/>
    <w:rsid w:val="006268B8"/>
    <w:rsid w:val="00626A1F"/>
    <w:rsid w:val="0062703F"/>
    <w:rsid w:val="00627470"/>
    <w:rsid w:val="006278B7"/>
    <w:rsid w:val="00630559"/>
    <w:rsid w:val="00630F08"/>
    <w:rsid w:val="00631766"/>
    <w:rsid w:val="00631BB0"/>
    <w:rsid w:val="00632735"/>
    <w:rsid w:val="006328C4"/>
    <w:rsid w:val="00633016"/>
    <w:rsid w:val="006345F1"/>
    <w:rsid w:val="00635F84"/>
    <w:rsid w:val="00636A13"/>
    <w:rsid w:val="0063786E"/>
    <w:rsid w:val="00640A5F"/>
    <w:rsid w:val="00641F2A"/>
    <w:rsid w:val="006423FA"/>
    <w:rsid w:val="00643054"/>
    <w:rsid w:val="0064340E"/>
    <w:rsid w:val="00643BD2"/>
    <w:rsid w:val="00646641"/>
    <w:rsid w:val="006470FD"/>
    <w:rsid w:val="006477C5"/>
    <w:rsid w:val="00650E32"/>
    <w:rsid w:val="00650F16"/>
    <w:rsid w:val="00651049"/>
    <w:rsid w:val="006510EA"/>
    <w:rsid w:val="00651414"/>
    <w:rsid w:val="00652470"/>
    <w:rsid w:val="0065266D"/>
    <w:rsid w:val="0065294E"/>
    <w:rsid w:val="00652B6E"/>
    <w:rsid w:val="00653F60"/>
    <w:rsid w:val="006543A8"/>
    <w:rsid w:val="006547B1"/>
    <w:rsid w:val="00654F62"/>
    <w:rsid w:val="006555D7"/>
    <w:rsid w:val="00655E24"/>
    <w:rsid w:val="006565E0"/>
    <w:rsid w:val="006567E9"/>
    <w:rsid w:val="00656B0D"/>
    <w:rsid w:val="006613F3"/>
    <w:rsid w:val="0066150C"/>
    <w:rsid w:val="0066223D"/>
    <w:rsid w:val="00662F8C"/>
    <w:rsid w:val="0066328F"/>
    <w:rsid w:val="006641BB"/>
    <w:rsid w:val="00664A07"/>
    <w:rsid w:val="00665727"/>
    <w:rsid w:val="00666C30"/>
    <w:rsid w:val="006674FC"/>
    <w:rsid w:val="006675D3"/>
    <w:rsid w:val="00670CC7"/>
    <w:rsid w:val="006715CF"/>
    <w:rsid w:val="0067188A"/>
    <w:rsid w:val="00672078"/>
    <w:rsid w:val="00672E2C"/>
    <w:rsid w:val="006739FE"/>
    <w:rsid w:val="00674A49"/>
    <w:rsid w:val="0067501C"/>
    <w:rsid w:val="00676A80"/>
    <w:rsid w:val="0067756C"/>
    <w:rsid w:val="006804C8"/>
    <w:rsid w:val="006805B8"/>
    <w:rsid w:val="00682149"/>
    <w:rsid w:val="00682A7A"/>
    <w:rsid w:val="0068349C"/>
    <w:rsid w:val="0068359B"/>
    <w:rsid w:val="0068464B"/>
    <w:rsid w:val="00684D40"/>
    <w:rsid w:val="006850C1"/>
    <w:rsid w:val="00685E67"/>
    <w:rsid w:val="00685FAE"/>
    <w:rsid w:val="00687BD6"/>
    <w:rsid w:val="0069129E"/>
    <w:rsid w:val="00691905"/>
    <w:rsid w:val="00691D54"/>
    <w:rsid w:val="0069342A"/>
    <w:rsid w:val="00693612"/>
    <w:rsid w:val="00693E3F"/>
    <w:rsid w:val="0069474B"/>
    <w:rsid w:val="00694B9A"/>
    <w:rsid w:val="00694FE3"/>
    <w:rsid w:val="00695856"/>
    <w:rsid w:val="00696DEB"/>
    <w:rsid w:val="006A09F9"/>
    <w:rsid w:val="006A300B"/>
    <w:rsid w:val="006A49BB"/>
    <w:rsid w:val="006A4DCD"/>
    <w:rsid w:val="006A4F55"/>
    <w:rsid w:val="006A5BB7"/>
    <w:rsid w:val="006A5C47"/>
    <w:rsid w:val="006A5EE1"/>
    <w:rsid w:val="006A6224"/>
    <w:rsid w:val="006A6443"/>
    <w:rsid w:val="006A65A4"/>
    <w:rsid w:val="006A6630"/>
    <w:rsid w:val="006A6BDB"/>
    <w:rsid w:val="006A6F3E"/>
    <w:rsid w:val="006A70C2"/>
    <w:rsid w:val="006A753F"/>
    <w:rsid w:val="006B0095"/>
    <w:rsid w:val="006B08C4"/>
    <w:rsid w:val="006B0BBA"/>
    <w:rsid w:val="006B1233"/>
    <w:rsid w:val="006B1F54"/>
    <w:rsid w:val="006B2A0C"/>
    <w:rsid w:val="006B36C5"/>
    <w:rsid w:val="006B3A86"/>
    <w:rsid w:val="006B3F57"/>
    <w:rsid w:val="006B5D84"/>
    <w:rsid w:val="006B6256"/>
    <w:rsid w:val="006B679B"/>
    <w:rsid w:val="006B72D6"/>
    <w:rsid w:val="006C04C4"/>
    <w:rsid w:val="006C0551"/>
    <w:rsid w:val="006C09FD"/>
    <w:rsid w:val="006C0D07"/>
    <w:rsid w:val="006C152B"/>
    <w:rsid w:val="006C1A00"/>
    <w:rsid w:val="006C2EA5"/>
    <w:rsid w:val="006C43F9"/>
    <w:rsid w:val="006C53C2"/>
    <w:rsid w:val="006C56A6"/>
    <w:rsid w:val="006C59B1"/>
    <w:rsid w:val="006C6E9C"/>
    <w:rsid w:val="006C70E8"/>
    <w:rsid w:val="006D0B1F"/>
    <w:rsid w:val="006D0D90"/>
    <w:rsid w:val="006D0FB7"/>
    <w:rsid w:val="006D31E7"/>
    <w:rsid w:val="006D36AB"/>
    <w:rsid w:val="006D3D5C"/>
    <w:rsid w:val="006D475C"/>
    <w:rsid w:val="006D530B"/>
    <w:rsid w:val="006D628D"/>
    <w:rsid w:val="006D706D"/>
    <w:rsid w:val="006D74FF"/>
    <w:rsid w:val="006D77CC"/>
    <w:rsid w:val="006D795E"/>
    <w:rsid w:val="006D7BA5"/>
    <w:rsid w:val="006E02F9"/>
    <w:rsid w:val="006E1382"/>
    <w:rsid w:val="006E1FA5"/>
    <w:rsid w:val="006E230D"/>
    <w:rsid w:val="006E24A4"/>
    <w:rsid w:val="006E26D1"/>
    <w:rsid w:val="006E3F9B"/>
    <w:rsid w:val="006E463C"/>
    <w:rsid w:val="006E5B12"/>
    <w:rsid w:val="006E6D62"/>
    <w:rsid w:val="006E74B9"/>
    <w:rsid w:val="006E7B54"/>
    <w:rsid w:val="006F1BFB"/>
    <w:rsid w:val="006F1D97"/>
    <w:rsid w:val="006F230C"/>
    <w:rsid w:val="006F29F1"/>
    <w:rsid w:val="006F4883"/>
    <w:rsid w:val="006F4C29"/>
    <w:rsid w:val="006F54DC"/>
    <w:rsid w:val="006F5654"/>
    <w:rsid w:val="006F6307"/>
    <w:rsid w:val="006F79B7"/>
    <w:rsid w:val="006F7EE2"/>
    <w:rsid w:val="007006B6"/>
    <w:rsid w:val="00702982"/>
    <w:rsid w:val="00702983"/>
    <w:rsid w:val="00702D77"/>
    <w:rsid w:val="00702F41"/>
    <w:rsid w:val="00703904"/>
    <w:rsid w:val="007041C0"/>
    <w:rsid w:val="0070492B"/>
    <w:rsid w:val="00704E79"/>
    <w:rsid w:val="00705E39"/>
    <w:rsid w:val="007061AD"/>
    <w:rsid w:val="0070708A"/>
    <w:rsid w:val="0070729D"/>
    <w:rsid w:val="00707E7A"/>
    <w:rsid w:val="00707F4D"/>
    <w:rsid w:val="00710004"/>
    <w:rsid w:val="007103E8"/>
    <w:rsid w:val="007108A8"/>
    <w:rsid w:val="00711AB9"/>
    <w:rsid w:val="00712972"/>
    <w:rsid w:val="007129F3"/>
    <w:rsid w:val="00712A59"/>
    <w:rsid w:val="00712FEA"/>
    <w:rsid w:val="00714B42"/>
    <w:rsid w:val="00714DD6"/>
    <w:rsid w:val="007168A2"/>
    <w:rsid w:val="00716951"/>
    <w:rsid w:val="00716A93"/>
    <w:rsid w:val="00716E48"/>
    <w:rsid w:val="0071712F"/>
    <w:rsid w:val="0071782F"/>
    <w:rsid w:val="007216A8"/>
    <w:rsid w:val="00721E6E"/>
    <w:rsid w:val="00721EAB"/>
    <w:rsid w:val="00722B92"/>
    <w:rsid w:val="00723948"/>
    <w:rsid w:val="007239A3"/>
    <w:rsid w:val="00724186"/>
    <w:rsid w:val="00724436"/>
    <w:rsid w:val="00724F55"/>
    <w:rsid w:val="0072614F"/>
    <w:rsid w:val="00726539"/>
    <w:rsid w:val="00726C9D"/>
    <w:rsid w:val="007308B9"/>
    <w:rsid w:val="00730A71"/>
    <w:rsid w:val="00731BAE"/>
    <w:rsid w:val="00731D5D"/>
    <w:rsid w:val="00731FF2"/>
    <w:rsid w:val="0073249C"/>
    <w:rsid w:val="00732C4B"/>
    <w:rsid w:val="00732C79"/>
    <w:rsid w:val="00734CA4"/>
    <w:rsid w:val="00734D06"/>
    <w:rsid w:val="00734D9F"/>
    <w:rsid w:val="00735E40"/>
    <w:rsid w:val="007365C5"/>
    <w:rsid w:val="00736ECA"/>
    <w:rsid w:val="00737901"/>
    <w:rsid w:val="00737A12"/>
    <w:rsid w:val="00737AB7"/>
    <w:rsid w:val="007402D4"/>
    <w:rsid w:val="00740C58"/>
    <w:rsid w:val="007410E5"/>
    <w:rsid w:val="00741238"/>
    <w:rsid w:val="00741414"/>
    <w:rsid w:val="00741C08"/>
    <w:rsid w:val="00742E0B"/>
    <w:rsid w:val="007430A3"/>
    <w:rsid w:val="007435DE"/>
    <w:rsid w:val="00743CC0"/>
    <w:rsid w:val="007442D8"/>
    <w:rsid w:val="007449E7"/>
    <w:rsid w:val="00744A16"/>
    <w:rsid w:val="00744CC3"/>
    <w:rsid w:val="00745163"/>
    <w:rsid w:val="0074596E"/>
    <w:rsid w:val="00746A85"/>
    <w:rsid w:val="00750690"/>
    <w:rsid w:val="00750959"/>
    <w:rsid w:val="00750977"/>
    <w:rsid w:val="00751C78"/>
    <w:rsid w:val="00751EE4"/>
    <w:rsid w:val="00754384"/>
    <w:rsid w:val="00756332"/>
    <w:rsid w:val="00760285"/>
    <w:rsid w:val="00760419"/>
    <w:rsid w:val="007604F7"/>
    <w:rsid w:val="0076122F"/>
    <w:rsid w:val="00761BF3"/>
    <w:rsid w:val="0076260F"/>
    <w:rsid w:val="00763585"/>
    <w:rsid w:val="00763821"/>
    <w:rsid w:val="00763AD6"/>
    <w:rsid w:val="00763CBA"/>
    <w:rsid w:val="00763FBB"/>
    <w:rsid w:val="007647C5"/>
    <w:rsid w:val="00764F2F"/>
    <w:rsid w:val="00765BC6"/>
    <w:rsid w:val="007675FD"/>
    <w:rsid w:val="00770C29"/>
    <w:rsid w:val="00772C3F"/>
    <w:rsid w:val="00772CFC"/>
    <w:rsid w:val="00774109"/>
    <w:rsid w:val="0077418B"/>
    <w:rsid w:val="00774A56"/>
    <w:rsid w:val="007761E9"/>
    <w:rsid w:val="00776D33"/>
    <w:rsid w:val="007779C7"/>
    <w:rsid w:val="00777C32"/>
    <w:rsid w:val="007800A3"/>
    <w:rsid w:val="0078025E"/>
    <w:rsid w:val="007808ED"/>
    <w:rsid w:val="00780AE9"/>
    <w:rsid w:val="00780BA1"/>
    <w:rsid w:val="00780CD9"/>
    <w:rsid w:val="00780CFE"/>
    <w:rsid w:val="00780EEE"/>
    <w:rsid w:val="00781484"/>
    <w:rsid w:val="00781912"/>
    <w:rsid w:val="0078215E"/>
    <w:rsid w:val="00782F4D"/>
    <w:rsid w:val="00783254"/>
    <w:rsid w:val="007851A0"/>
    <w:rsid w:val="00785647"/>
    <w:rsid w:val="007874F3"/>
    <w:rsid w:val="00791D12"/>
    <w:rsid w:val="00792296"/>
    <w:rsid w:val="0079325F"/>
    <w:rsid w:val="007947A5"/>
    <w:rsid w:val="00795AAD"/>
    <w:rsid w:val="00795DBE"/>
    <w:rsid w:val="00795DCE"/>
    <w:rsid w:val="007966B9"/>
    <w:rsid w:val="007972BE"/>
    <w:rsid w:val="007972E5"/>
    <w:rsid w:val="00797B70"/>
    <w:rsid w:val="007A0028"/>
    <w:rsid w:val="007A0AC1"/>
    <w:rsid w:val="007A37C6"/>
    <w:rsid w:val="007A3D35"/>
    <w:rsid w:val="007A4FDE"/>
    <w:rsid w:val="007A54BD"/>
    <w:rsid w:val="007A5A2A"/>
    <w:rsid w:val="007A65EB"/>
    <w:rsid w:val="007A668B"/>
    <w:rsid w:val="007A6719"/>
    <w:rsid w:val="007A6CCE"/>
    <w:rsid w:val="007B0BE5"/>
    <w:rsid w:val="007B150E"/>
    <w:rsid w:val="007B1611"/>
    <w:rsid w:val="007B1D46"/>
    <w:rsid w:val="007B2580"/>
    <w:rsid w:val="007B2F0D"/>
    <w:rsid w:val="007B35E7"/>
    <w:rsid w:val="007B39B1"/>
    <w:rsid w:val="007B401A"/>
    <w:rsid w:val="007B43BD"/>
    <w:rsid w:val="007B4623"/>
    <w:rsid w:val="007B4D20"/>
    <w:rsid w:val="007B4DCD"/>
    <w:rsid w:val="007B5720"/>
    <w:rsid w:val="007B581C"/>
    <w:rsid w:val="007B73CD"/>
    <w:rsid w:val="007B7C36"/>
    <w:rsid w:val="007C1C11"/>
    <w:rsid w:val="007C1EB3"/>
    <w:rsid w:val="007C2006"/>
    <w:rsid w:val="007C2EDE"/>
    <w:rsid w:val="007C3B5D"/>
    <w:rsid w:val="007C3DF7"/>
    <w:rsid w:val="007C3EAD"/>
    <w:rsid w:val="007C43BF"/>
    <w:rsid w:val="007C464D"/>
    <w:rsid w:val="007C4A68"/>
    <w:rsid w:val="007C587D"/>
    <w:rsid w:val="007C58D6"/>
    <w:rsid w:val="007C6B6F"/>
    <w:rsid w:val="007C6E53"/>
    <w:rsid w:val="007D07AE"/>
    <w:rsid w:val="007D0D84"/>
    <w:rsid w:val="007D0EFC"/>
    <w:rsid w:val="007D0F1F"/>
    <w:rsid w:val="007D0F2B"/>
    <w:rsid w:val="007D1F3F"/>
    <w:rsid w:val="007D30DF"/>
    <w:rsid w:val="007D3851"/>
    <w:rsid w:val="007D4983"/>
    <w:rsid w:val="007D5774"/>
    <w:rsid w:val="007D6E06"/>
    <w:rsid w:val="007D6FED"/>
    <w:rsid w:val="007D72A6"/>
    <w:rsid w:val="007D784E"/>
    <w:rsid w:val="007D7FA3"/>
    <w:rsid w:val="007E00DD"/>
    <w:rsid w:val="007E0377"/>
    <w:rsid w:val="007E08FA"/>
    <w:rsid w:val="007E0A40"/>
    <w:rsid w:val="007E0CFB"/>
    <w:rsid w:val="007E242D"/>
    <w:rsid w:val="007E28D7"/>
    <w:rsid w:val="007E3356"/>
    <w:rsid w:val="007E3426"/>
    <w:rsid w:val="007E3E20"/>
    <w:rsid w:val="007E4705"/>
    <w:rsid w:val="007E4F8F"/>
    <w:rsid w:val="007E52BB"/>
    <w:rsid w:val="007E5F96"/>
    <w:rsid w:val="007E6332"/>
    <w:rsid w:val="007E6426"/>
    <w:rsid w:val="007E6C83"/>
    <w:rsid w:val="007F0059"/>
    <w:rsid w:val="007F0692"/>
    <w:rsid w:val="007F134A"/>
    <w:rsid w:val="007F150C"/>
    <w:rsid w:val="007F26FB"/>
    <w:rsid w:val="007F3484"/>
    <w:rsid w:val="007F34D2"/>
    <w:rsid w:val="007F3F49"/>
    <w:rsid w:val="007F54D8"/>
    <w:rsid w:val="007F6D56"/>
    <w:rsid w:val="007F71C7"/>
    <w:rsid w:val="007F7877"/>
    <w:rsid w:val="007F7CCE"/>
    <w:rsid w:val="00800771"/>
    <w:rsid w:val="008011FB"/>
    <w:rsid w:val="00801920"/>
    <w:rsid w:val="00801A6C"/>
    <w:rsid w:val="00802547"/>
    <w:rsid w:val="00804904"/>
    <w:rsid w:val="0080533F"/>
    <w:rsid w:val="00805CE6"/>
    <w:rsid w:val="00806D99"/>
    <w:rsid w:val="0081008C"/>
    <w:rsid w:val="00810C66"/>
    <w:rsid w:val="00810EAE"/>
    <w:rsid w:val="008110B7"/>
    <w:rsid w:val="00811469"/>
    <w:rsid w:val="00812AE0"/>
    <w:rsid w:val="00812E6C"/>
    <w:rsid w:val="00813356"/>
    <w:rsid w:val="00813D81"/>
    <w:rsid w:val="0081407F"/>
    <w:rsid w:val="00814319"/>
    <w:rsid w:val="00814A47"/>
    <w:rsid w:val="00814D81"/>
    <w:rsid w:val="00814FEA"/>
    <w:rsid w:val="00816984"/>
    <w:rsid w:val="008169B5"/>
    <w:rsid w:val="00816FB7"/>
    <w:rsid w:val="008171E7"/>
    <w:rsid w:val="00817DFC"/>
    <w:rsid w:val="00817F56"/>
    <w:rsid w:val="008206DD"/>
    <w:rsid w:val="0082072F"/>
    <w:rsid w:val="00820DD6"/>
    <w:rsid w:val="00820E68"/>
    <w:rsid w:val="008221AD"/>
    <w:rsid w:val="008237E3"/>
    <w:rsid w:val="00823E8A"/>
    <w:rsid w:val="0082411F"/>
    <w:rsid w:val="00824F58"/>
    <w:rsid w:val="00825643"/>
    <w:rsid w:val="00830AB8"/>
    <w:rsid w:val="00833109"/>
    <w:rsid w:val="008331DF"/>
    <w:rsid w:val="008341A1"/>
    <w:rsid w:val="0083431C"/>
    <w:rsid w:val="00835277"/>
    <w:rsid w:val="00835678"/>
    <w:rsid w:val="008358D1"/>
    <w:rsid w:val="00835D8E"/>
    <w:rsid w:val="0083686B"/>
    <w:rsid w:val="0083700E"/>
    <w:rsid w:val="008378F0"/>
    <w:rsid w:val="00837926"/>
    <w:rsid w:val="00837E03"/>
    <w:rsid w:val="0084124A"/>
    <w:rsid w:val="00841458"/>
    <w:rsid w:val="00841C6B"/>
    <w:rsid w:val="00842879"/>
    <w:rsid w:val="008440B3"/>
    <w:rsid w:val="008449BE"/>
    <w:rsid w:val="00844BD3"/>
    <w:rsid w:val="00846BAB"/>
    <w:rsid w:val="008513D7"/>
    <w:rsid w:val="0085140E"/>
    <w:rsid w:val="00851425"/>
    <w:rsid w:val="00851632"/>
    <w:rsid w:val="00851B67"/>
    <w:rsid w:val="008520BD"/>
    <w:rsid w:val="00852125"/>
    <w:rsid w:val="008529C4"/>
    <w:rsid w:val="00852DE7"/>
    <w:rsid w:val="00853224"/>
    <w:rsid w:val="0085362D"/>
    <w:rsid w:val="00853CB9"/>
    <w:rsid w:val="008541D0"/>
    <w:rsid w:val="00855997"/>
    <w:rsid w:val="00855AA7"/>
    <w:rsid w:val="00855EAC"/>
    <w:rsid w:val="00856228"/>
    <w:rsid w:val="00856E2B"/>
    <w:rsid w:val="0085778F"/>
    <w:rsid w:val="00857F56"/>
    <w:rsid w:val="008601E0"/>
    <w:rsid w:val="00860255"/>
    <w:rsid w:val="008605ED"/>
    <w:rsid w:val="0086108E"/>
    <w:rsid w:val="00861287"/>
    <w:rsid w:val="0086188E"/>
    <w:rsid w:val="00861AF9"/>
    <w:rsid w:val="00862939"/>
    <w:rsid w:val="00862B7F"/>
    <w:rsid w:val="00863304"/>
    <w:rsid w:val="0086337A"/>
    <w:rsid w:val="00863483"/>
    <w:rsid w:val="0086358D"/>
    <w:rsid w:val="008637E6"/>
    <w:rsid w:val="00863DB7"/>
    <w:rsid w:val="00863F41"/>
    <w:rsid w:val="00864076"/>
    <w:rsid w:val="00864874"/>
    <w:rsid w:val="008651C6"/>
    <w:rsid w:val="008654F9"/>
    <w:rsid w:val="00865D42"/>
    <w:rsid w:val="00865E4F"/>
    <w:rsid w:val="00865F93"/>
    <w:rsid w:val="00865FAD"/>
    <w:rsid w:val="008665C8"/>
    <w:rsid w:val="00870749"/>
    <w:rsid w:val="00870A52"/>
    <w:rsid w:val="00870FE3"/>
    <w:rsid w:val="00872C39"/>
    <w:rsid w:val="00872E42"/>
    <w:rsid w:val="00873091"/>
    <w:rsid w:val="0087318D"/>
    <w:rsid w:val="008742FB"/>
    <w:rsid w:val="00874CA6"/>
    <w:rsid w:val="00874DED"/>
    <w:rsid w:val="00875052"/>
    <w:rsid w:val="00875B9D"/>
    <w:rsid w:val="00875DFB"/>
    <w:rsid w:val="00875F51"/>
    <w:rsid w:val="00875FCF"/>
    <w:rsid w:val="008766BF"/>
    <w:rsid w:val="0087677D"/>
    <w:rsid w:val="00876D6F"/>
    <w:rsid w:val="00877BB6"/>
    <w:rsid w:val="00877C4A"/>
    <w:rsid w:val="00877EB7"/>
    <w:rsid w:val="0088082D"/>
    <w:rsid w:val="00880F21"/>
    <w:rsid w:val="008810F1"/>
    <w:rsid w:val="00881169"/>
    <w:rsid w:val="00881AAB"/>
    <w:rsid w:val="00881F97"/>
    <w:rsid w:val="00882851"/>
    <w:rsid w:val="00882D1D"/>
    <w:rsid w:val="0088335E"/>
    <w:rsid w:val="00884119"/>
    <w:rsid w:val="00884459"/>
    <w:rsid w:val="00885502"/>
    <w:rsid w:val="008859F5"/>
    <w:rsid w:val="00887724"/>
    <w:rsid w:val="0089003F"/>
    <w:rsid w:val="00891267"/>
    <w:rsid w:val="0089129B"/>
    <w:rsid w:val="0089178A"/>
    <w:rsid w:val="008918D0"/>
    <w:rsid w:val="008931B7"/>
    <w:rsid w:val="00893E87"/>
    <w:rsid w:val="00894A29"/>
    <w:rsid w:val="00895A51"/>
    <w:rsid w:val="0089678A"/>
    <w:rsid w:val="00896A72"/>
    <w:rsid w:val="00896E9B"/>
    <w:rsid w:val="008A193A"/>
    <w:rsid w:val="008A1F1F"/>
    <w:rsid w:val="008A1F2A"/>
    <w:rsid w:val="008A3295"/>
    <w:rsid w:val="008A32E8"/>
    <w:rsid w:val="008A3684"/>
    <w:rsid w:val="008A381B"/>
    <w:rsid w:val="008A3AD3"/>
    <w:rsid w:val="008A3AE5"/>
    <w:rsid w:val="008A3BAD"/>
    <w:rsid w:val="008A3F30"/>
    <w:rsid w:val="008A470A"/>
    <w:rsid w:val="008A4FC4"/>
    <w:rsid w:val="008A5622"/>
    <w:rsid w:val="008A572C"/>
    <w:rsid w:val="008A5EDB"/>
    <w:rsid w:val="008A630C"/>
    <w:rsid w:val="008A72EF"/>
    <w:rsid w:val="008B1390"/>
    <w:rsid w:val="008B1B55"/>
    <w:rsid w:val="008B1E63"/>
    <w:rsid w:val="008B1FD5"/>
    <w:rsid w:val="008B21D4"/>
    <w:rsid w:val="008B386F"/>
    <w:rsid w:val="008B3918"/>
    <w:rsid w:val="008B4B41"/>
    <w:rsid w:val="008B5B66"/>
    <w:rsid w:val="008B5E2F"/>
    <w:rsid w:val="008B74F8"/>
    <w:rsid w:val="008C039C"/>
    <w:rsid w:val="008C060C"/>
    <w:rsid w:val="008C1A49"/>
    <w:rsid w:val="008C2C06"/>
    <w:rsid w:val="008C2D0C"/>
    <w:rsid w:val="008C3D85"/>
    <w:rsid w:val="008C60B6"/>
    <w:rsid w:val="008C67CB"/>
    <w:rsid w:val="008C6E66"/>
    <w:rsid w:val="008C7089"/>
    <w:rsid w:val="008C7C39"/>
    <w:rsid w:val="008D024D"/>
    <w:rsid w:val="008D0517"/>
    <w:rsid w:val="008D05E2"/>
    <w:rsid w:val="008D08B4"/>
    <w:rsid w:val="008D0AC7"/>
    <w:rsid w:val="008D0EE1"/>
    <w:rsid w:val="008D15D9"/>
    <w:rsid w:val="008D1BCB"/>
    <w:rsid w:val="008D272E"/>
    <w:rsid w:val="008D3199"/>
    <w:rsid w:val="008D31FA"/>
    <w:rsid w:val="008D3778"/>
    <w:rsid w:val="008D6038"/>
    <w:rsid w:val="008D6654"/>
    <w:rsid w:val="008D79E3"/>
    <w:rsid w:val="008D7FC8"/>
    <w:rsid w:val="008E0D53"/>
    <w:rsid w:val="008E1187"/>
    <w:rsid w:val="008E12ED"/>
    <w:rsid w:val="008E2DE0"/>
    <w:rsid w:val="008E3864"/>
    <w:rsid w:val="008E3D82"/>
    <w:rsid w:val="008E3F92"/>
    <w:rsid w:val="008E62DF"/>
    <w:rsid w:val="008E6AD1"/>
    <w:rsid w:val="008E723B"/>
    <w:rsid w:val="008F003A"/>
    <w:rsid w:val="008F1BDE"/>
    <w:rsid w:val="008F2261"/>
    <w:rsid w:val="008F2559"/>
    <w:rsid w:val="008F49B7"/>
    <w:rsid w:val="0090007E"/>
    <w:rsid w:val="00900C85"/>
    <w:rsid w:val="00901A45"/>
    <w:rsid w:val="00901D70"/>
    <w:rsid w:val="00901F64"/>
    <w:rsid w:val="0090242A"/>
    <w:rsid w:val="0090424A"/>
    <w:rsid w:val="00904F56"/>
    <w:rsid w:val="009054BE"/>
    <w:rsid w:val="0090580C"/>
    <w:rsid w:val="00906742"/>
    <w:rsid w:val="009104F4"/>
    <w:rsid w:val="00911013"/>
    <w:rsid w:val="00911D21"/>
    <w:rsid w:val="00911F45"/>
    <w:rsid w:val="00912E65"/>
    <w:rsid w:val="0091368C"/>
    <w:rsid w:val="00913C1D"/>
    <w:rsid w:val="00914D0C"/>
    <w:rsid w:val="00917424"/>
    <w:rsid w:val="00917EAE"/>
    <w:rsid w:val="009202F7"/>
    <w:rsid w:val="009203C9"/>
    <w:rsid w:val="009209F6"/>
    <w:rsid w:val="0092145F"/>
    <w:rsid w:val="009226B2"/>
    <w:rsid w:val="00922D77"/>
    <w:rsid w:val="009231AB"/>
    <w:rsid w:val="009245DD"/>
    <w:rsid w:val="009259BE"/>
    <w:rsid w:val="00925E45"/>
    <w:rsid w:val="0092628E"/>
    <w:rsid w:val="009264C5"/>
    <w:rsid w:val="009268DA"/>
    <w:rsid w:val="009269DB"/>
    <w:rsid w:val="00926AE0"/>
    <w:rsid w:val="009306B6"/>
    <w:rsid w:val="00930FE0"/>
    <w:rsid w:val="00931664"/>
    <w:rsid w:val="009317B2"/>
    <w:rsid w:val="00932516"/>
    <w:rsid w:val="00932710"/>
    <w:rsid w:val="00933709"/>
    <w:rsid w:val="00933886"/>
    <w:rsid w:val="00934AF4"/>
    <w:rsid w:val="00935467"/>
    <w:rsid w:val="009357F5"/>
    <w:rsid w:val="009368C8"/>
    <w:rsid w:val="00937DF4"/>
    <w:rsid w:val="009405F9"/>
    <w:rsid w:val="0094065F"/>
    <w:rsid w:val="00940950"/>
    <w:rsid w:val="00940A26"/>
    <w:rsid w:val="0094107F"/>
    <w:rsid w:val="00941E46"/>
    <w:rsid w:val="009421F5"/>
    <w:rsid w:val="009430F5"/>
    <w:rsid w:val="00943198"/>
    <w:rsid w:val="009432A0"/>
    <w:rsid w:val="00943A61"/>
    <w:rsid w:val="009451C0"/>
    <w:rsid w:val="00946013"/>
    <w:rsid w:val="0094690A"/>
    <w:rsid w:val="00946A3A"/>
    <w:rsid w:val="00946A74"/>
    <w:rsid w:val="00946F13"/>
    <w:rsid w:val="00947566"/>
    <w:rsid w:val="00947CC0"/>
    <w:rsid w:val="009509A1"/>
    <w:rsid w:val="00950DC9"/>
    <w:rsid w:val="0095251A"/>
    <w:rsid w:val="00952956"/>
    <w:rsid w:val="00952CB4"/>
    <w:rsid w:val="00952D02"/>
    <w:rsid w:val="009534EE"/>
    <w:rsid w:val="00953CE9"/>
    <w:rsid w:val="00953ED4"/>
    <w:rsid w:val="00955D14"/>
    <w:rsid w:val="00955E3B"/>
    <w:rsid w:val="009560C4"/>
    <w:rsid w:val="009571D5"/>
    <w:rsid w:val="00961089"/>
    <w:rsid w:val="00961768"/>
    <w:rsid w:val="009631D7"/>
    <w:rsid w:val="009638A7"/>
    <w:rsid w:val="00963BE7"/>
    <w:rsid w:val="009642CB"/>
    <w:rsid w:val="00964831"/>
    <w:rsid w:val="009652B1"/>
    <w:rsid w:val="00965804"/>
    <w:rsid w:val="00965A0A"/>
    <w:rsid w:val="009670B5"/>
    <w:rsid w:val="00967454"/>
    <w:rsid w:val="009700FC"/>
    <w:rsid w:val="00970164"/>
    <w:rsid w:val="00970F0E"/>
    <w:rsid w:val="0097255D"/>
    <w:rsid w:val="009735FC"/>
    <w:rsid w:val="00974B75"/>
    <w:rsid w:val="0097513C"/>
    <w:rsid w:val="00975314"/>
    <w:rsid w:val="00975CFF"/>
    <w:rsid w:val="00975FD6"/>
    <w:rsid w:val="00976372"/>
    <w:rsid w:val="00977F1E"/>
    <w:rsid w:val="009803A2"/>
    <w:rsid w:val="00981DD5"/>
    <w:rsid w:val="00982F17"/>
    <w:rsid w:val="009846B2"/>
    <w:rsid w:val="0098476A"/>
    <w:rsid w:val="009849C9"/>
    <w:rsid w:val="009856CA"/>
    <w:rsid w:val="00986663"/>
    <w:rsid w:val="0099059A"/>
    <w:rsid w:val="009906BA"/>
    <w:rsid w:val="0099095E"/>
    <w:rsid w:val="00990A85"/>
    <w:rsid w:val="00990F33"/>
    <w:rsid w:val="00991C45"/>
    <w:rsid w:val="00991C49"/>
    <w:rsid w:val="009921C7"/>
    <w:rsid w:val="00993BE8"/>
    <w:rsid w:val="009946FC"/>
    <w:rsid w:val="009947D7"/>
    <w:rsid w:val="009A09B6"/>
    <w:rsid w:val="009A171E"/>
    <w:rsid w:val="009A1BD2"/>
    <w:rsid w:val="009A233A"/>
    <w:rsid w:val="009A368E"/>
    <w:rsid w:val="009A3752"/>
    <w:rsid w:val="009A3953"/>
    <w:rsid w:val="009A3A0B"/>
    <w:rsid w:val="009A574D"/>
    <w:rsid w:val="009A59A0"/>
    <w:rsid w:val="009A59C5"/>
    <w:rsid w:val="009A71D1"/>
    <w:rsid w:val="009A7557"/>
    <w:rsid w:val="009B0E64"/>
    <w:rsid w:val="009B198F"/>
    <w:rsid w:val="009B239B"/>
    <w:rsid w:val="009B268F"/>
    <w:rsid w:val="009B2C56"/>
    <w:rsid w:val="009B311C"/>
    <w:rsid w:val="009B32D4"/>
    <w:rsid w:val="009B3561"/>
    <w:rsid w:val="009B3A2D"/>
    <w:rsid w:val="009B4645"/>
    <w:rsid w:val="009B4A32"/>
    <w:rsid w:val="009B4F48"/>
    <w:rsid w:val="009B5392"/>
    <w:rsid w:val="009B5D3F"/>
    <w:rsid w:val="009B6412"/>
    <w:rsid w:val="009B69A8"/>
    <w:rsid w:val="009B6CA5"/>
    <w:rsid w:val="009B7385"/>
    <w:rsid w:val="009B7BE8"/>
    <w:rsid w:val="009C1598"/>
    <w:rsid w:val="009C21A8"/>
    <w:rsid w:val="009C2883"/>
    <w:rsid w:val="009C532F"/>
    <w:rsid w:val="009C66A9"/>
    <w:rsid w:val="009D0B32"/>
    <w:rsid w:val="009D16C2"/>
    <w:rsid w:val="009D1B0F"/>
    <w:rsid w:val="009D2140"/>
    <w:rsid w:val="009D305B"/>
    <w:rsid w:val="009D3D4D"/>
    <w:rsid w:val="009D46B7"/>
    <w:rsid w:val="009D7543"/>
    <w:rsid w:val="009D7B83"/>
    <w:rsid w:val="009E0115"/>
    <w:rsid w:val="009E181B"/>
    <w:rsid w:val="009E1A47"/>
    <w:rsid w:val="009E29E6"/>
    <w:rsid w:val="009E2BB8"/>
    <w:rsid w:val="009E3388"/>
    <w:rsid w:val="009E3899"/>
    <w:rsid w:val="009E4CFF"/>
    <w:rsid w:val="009E6581"/>
    <w:rsid w:val="009E6657"/>
    <w:rsid w:val="009E69E3"/>
    <w:rsid w:val="009E7670"/>
    <w:rsid w:val="009F02C4"/>
    <w:rsid w:val="009F130C"/>
    <w:rsid w:val="009F1F8A"/>
    <w:rsid w:val="009F2068"/>
    <w:rsid w:val="009F2E81"/>
    <w:rsid w:val="009F3A0C"/>
    <w:rsid w:val="009F3C8C"/>
    <w:rsid w:val="009F3FF8"/>
    <w:rsid w:val="009F4522"/>
    <w:rsid w:val="009F49D1"/>
    <w:rsid w:val="009F4BC1"/>
    <w:rsid w:val="009F4C53"/>
    <w:rsid w:val="009F506A"/>
    <w:rsid w:val="009F579A"/>
    <w:rsid w:val="009F5869"/>
    <w:rsid w:val="009F5EAE"/>
    <w:rsid w:val="009F65F1"/>
    <w:rsid w:val="009F7358"/>
    <w:rsid w:val="009F78EB"/>
    <w:rsid w:val="00A0030A"/>
    <w:rsid w:val="00A004C3"/>
    <w:rsid w:val="00A0285D"/>
    <w:rsid w:val="00A02C5D"/>
    <w:rsid w:val="00A03901"/>
    <w:rsid w:val="00A03C98"/>
    <w:rsid w:val="00A0441D"/>
    <w:rsid w:val="00A04ABF"/>
    <w:rsid w:val="00A04AE5"/>
    <w:rsid w:val="00A04BFA"/>
    <w:rsid w:val="00A063A3"/>
    <w:rsid w:val="00A06EC6"/>
    <w:rsid w:val="00A07971"/>
    <w:rsid w:val="00A105BF"/>
    <w:rsid w:val="00A1072E"/>
    <w:rsid w:val="00A10742"/>
    <w:rsid w:val="00A10D04"/>
    <w:rsid w:val="00A11185"/>
    <w:rsid w:val="00A11964"/>
    <w:rsid w:val="00A13C4A"/>
    <w:rsid w:val="00A13E44"/>
    <w:rsid w:val="00A14C78"/>
    <w:rsid w:val="00A1563D"/>
    <w:rsid w:val="00A15E4F"/>
    <w:rsid w:val="00A163DF"/>
    <w:rsid w:val="00A165AE"/>
    <w:rsid w:val="00A17666"/>
    <w:rsid w:val="00A17B64"/>
    <w:rsid w:val="00A200E5"/>
    <w:rsid w:val="00A2025B"/>
    <w:rsid w:val="00A202CB"/>
    <w:rsid w:val="00A202CC"/>
    <w:rsid w:val="00A207C3"/>
    <w:rsid w:val="00A207EC"/>
    <w:rsid w:val="00A21025"/>
    <w:rsid w:val="00A21B55"/>
    <w:rsid w:val="00A22146"/>
    <w:rsid w:val="00A223E2"/>
    <w:rsid w:val="00A2250E"/>
    <w:rsid w:val="00A237C4"/>
    <w:rsid w:val="00A24590"/>
    <w:rsid w:val="00A24853"/>
    <w:rsid w:val="00A26132"/>
    <w:rsid w:val="00A262A9"/>
    <w:rsid w:val="00A26AE0"/>
    <w:rsid w:val="00A273C9"/>
    <w:rsid w:val="00A274F8"/>
    <w:rsid w:val="00A3011C"/>
    <w:rsid w:val="00A30F81"/>
    <w:rsid w:val="00A31505"/>
    <w:rsid w:val="00A3214E"/>
    <w:rsid w:val="00A33E8C"/>
    <w:rsid w:val="00A3422B"/>
    <w:rsid w:val="00A348D4"/>
    <w:rsid w:val="00A356F3"/>
    <w:rsid w:val="00A35B92"/>
    <w:rsid w:val="00A35C3A"/>
    <w:rsid w:val="00A35D94"/>
    <w:rsid w:val="00A35EF0"/>
    <w:rsid w:val="00A3625C"/>
    <w:rsid w:val="00A36502"/>
    <w:rsid w:val="00A365EA"/>
    <w:rsid w:val="00A40C62"/>
    <w:rsid w:val="00A40E4D"/>
    <w:rsid w:val="00A40ED2"/>
    <w:rsid w:val="00A4128B"/>
    <w:rsid w:val="00A4151E"/>
    <w:rsid w:val="00A41EA7"/>
    <w:rsid w:val="00A4208B"/>
    <w:rsid w:val="00A42586"/>
    <w:rsid w:val="00A43683"/>
    <w:rsid w:val="00A43BCB"/>
    <w:rsid w:val="00A43DCE"/>
    <w:rsid w:val="00A44B98"/>
    <w:rsid w:val="00A44CAC"/>
    <w:rsid w:val="00A4568B"/>
    <w:rsid w:val="00A45CE1"/>
    <w:rsid w:val="00A46A50"/>
    <w:rsid w:val="00A46E86"/>
    <w:rsid w:val="00A508ED"/>
    <w:rsid w:val="00A50CC4"/>
    <w:rsid w:val="00A51601"/>
    <w:rsid w:val="00A51DD8"/>
    <w:rsid w:val="00A52121"/>
    <w:rsid w:val="00A5292D"/>
    <w:rsid w:val="00A5432C"/>
    <w:rsid w:val="00A54989"/>
    <w:rsid w:val="00A5729D"/>
    <w:rsid w:val="00A6044D"/>
    <w:rsid w:val="00A605D3"/>
    <w:rsid w:val="00A60BC6"/>
    <w:rsid w:val="00A610EF"/>
    <w:rsid w:val="00A6113C"/>
    <w:rsid w:val="00A61835"/>
    <w:rsid w:val="00A61CCC"/>
    <w:rsid w:val="00A61DFF"/>
    <w:rsid w:val="00A62B63"/>
    <w:rsid w:val="00A63A3B"/>
    <w:rsid w:val="00A63ADD"/>
    <w:rsid w:val="00A63D4D"/>
    <w:rsid w:val="00A640C6"/>
    <w:rsid w:val="00A64C1F"/>
    <w:rsid w:val="00A65055"/>
    <w:rsid w:val="00A65A09"/>
    <w:rsid w:val="00A67345"/>
    <w:rsid w:val="00A67372"/>
    <w:rsid w:val="00A67CDC"/>
    <w:rsid w:val="00A7039E"/>
    <w:rsid w:val="00A70E7C"/>
    <w:rsid w:val="00A7106B"/>
    <w:rsid w:val="00A71A34"/>
    <w:rsid w:val="00A71A73"/>
    <w:rsid w:val="00A72784"/>
    <w:rsid w:val="00A73B53"/>
    <w:rsid w:val="00A73D79"/>
    <w:rsid w:val="00A73F9E"/>
    <w:rsid w:val="00A740C6"/>
    <w:rsid w:val="00A748E8"/>
    <w:rsid w:val="00A7585D"/>
    <w:rsid w:val="00A75E3B"/>
    <w:rsid w:val="00A75E81"/>
    <w:rsid w:val="00A76093"/>
    <w:rsid w:val="00A76696"/>
    <w:rsid w:val="00A76933"/>
    <w:rsid w:val="00A770FD"/>
    <w:rsid w:val="00A800BC"/>
    <w:rsid w:val="00A80145"/>
    <w:rsid w:val="00A80186"/>
    <w:rsid w:val="00A80F22"/>
    <w:rsid w:val="00A81BFD"/>
    <w:rsid w:val="00A8204B"/>
    <w:rsid w:val="00A820E4"/>
    <w:rsid w:val="00A82BC0"/>
    <w:rsid w:val="00A83832"/>
    <w:rsid w:val="00A83A28"/>
    <w:rsid w:val="00A83FDE"/>
    <w:rsid w:val="00A8496A"/>
    <w:rsid w:val="00A84FCE"/>
    <w:rsid w:val="00A85245"/>
    <w:rsid w:val="00A8638B"/>
    <w:rsid w:val="00A90360"/>
    <w:rsid w:val="00A90A3C"/>
    <w:rsid w:val="00A90DD4"/>
    <w:rsid w:val="00A913CD"/>
    <w:rsid w:val="00A914AD"/>
    <w:rsid w:val="00A9156B"/>
    <w:rsid w:val="00A92542"/>
    <w:rsid w:val="00A927D4"/>
    <w:rsid w:val="00A92C86"/>
    <w:rsid w:val="00A92D0A"/>
    <w:rsid w:val="00A9336C"/>
    <w:rsid w:val="00A93FDC"/>
    <w:rsid w:val="00A94403"/>
    <w:rsid w:val="00A96565"/>
    <w:rsid w:val="00A96759"/>
    <w:rsid w:val="00A969F3"/>
    <w:rsid w:val="00A96AF0"/>
    <w:rsid w:val="00A96F39"/>
    <w:rsid w:val="00A97096"/>
    <w:rsid w:val="00A973E1"/>
    <w:rsid w:val="00A976EB"/>
    <w:rsid w:val="00AA0612"/>
    <w:rsid w:val="00AA0BC8"/>
    <w:rsid w:val="00AA0F59"/>
    <w:rsid w:val="00AA2A79"/>
    <w:rsid w:val="00AA428B"/>
    <w:rsid w:val="00AA4AD1"/>
    <w:rsid w:val="00AA6281"/>
    <w:rsid w:val="00AA6B48"/>
    <w:rsid w:val="00AA6F52"/>
    <w:rsid w:val="00AA729E"/>
    <w:rsid w:val="00AA75A9"/>
    <w:rsid w:val="00AA7646"/>
    <w:rsid w:val="00AA77DA"/>
    <w:rsid w:val="00AB0253"/>
    <w:rsid w:val="00AB02C8"/>
    <w:rsid w:val="00AB0440"/>
    <w:rsid w:val="00AB098E"/>
    <w:rsid w:val="00AB0FA3"/>
    <w:rsid w:val="00AB3356"/>
    <w:rsid w:val="00AB343F"/>
    <w:rsid w:val="00AB3F5A"/>
    <w:rsid w:val="00AB40AE"/>
    <w:rsid w:val="00AB4285"/>
    <w:rsid w:val="00AB4700"/>
    <w:rsid w:val="00AB6204"/>
    <w:rsid w:val="00AB695C"/>
    <w:rsid w:val="00AB6E31"/>
    <w:rsid w:val="00AB7755"/>
    <w:rsid w:val="00AB777E"/>
    <w:rsid w:val="00AC0657"/>
    <w:rsid w:val="00AC2E50"/>
    <w:rsid w:val="00AC3BA2"/>
    <w:rsid w:val="00AC4C43"/>
    <w:rsid w:val="00AC4ECF"/>
    <w:rsid w:val="00AC4F53"/>
    <w:rsid w:val="00AC5AC4"/>
    <w:rsid w:val="00AC60F3"/>
    <w:rsid w:val="00AC7EAF"/>
    <w:rsid w:val="00AD19DA"/>
    <w:rsid w:val="00AD3FD9"/>
    <w:rsid w:val="00AD51B4"/>
    <w:rsid w:val="00AD5A72"/>
    <w:rsid w:val="00AD608B"/>
    <w:rsid w:val="00AE0004"/>
    <w:rsid w:val="00AE039F"/>
    <w:rsid w:val="00AE1AD0"/>
    <w:rsid w:val="00AE1E05"/>
    <w:rsid w:val="00AE1E24"/>
    <w:rsid w:val="00AE37AC"/>
    <w:rsid w:val="00AE3CBC"/>
    <w:rsid w:val="00AE3D32"/>
    <w:rsid w:val="00AE3E84"/>
    <w:rsid w:val="00AE4998"/>
    <w:rsid w:val="00AE5EA9"/>
    <w:rsid w:val="00AE6A02"/>
    <w:rsid w:val="00AE6DB8"/>
    <w:rsid w:val="00AE7998"/>
    <w:rsid w:val="00AF05B4"/>
    <w:rsid w:val="00AF0C8F"/>
    <w:rsid w:val="00AF284F"/>
    <w:rsid w:val="00AF3B79"/>
    <w:rsid w:val="00AF5DDF"/>
    <w:rsid w:val="00AF667A"/>
    <w:rsid w:val="00B00056"/>
    <w:rsid w:val="00B00079"/>
    <w:rsid w:val="00B00883"/>
    <w:rsid w:val="00B0094F"/>
    <w:rsid w:val="00B014C9"/>
    <w:rsid w:val="00B024B4"/>
    <w:rsid w:val="00B02D4C"/>
    <w:rsid w:val="00B03630"/>
    <w:rsid w:val="00B0375C"/>
    <w:rsid w:val="00B04145"/>
    <w:rsid w:val="00B04748"/>
    <w:rsid w:val="00B05607"/>
    <w:rsid w:val="00B06AD6"/>
    <w:rsid w:val="00B073FA"/>
    <w:rsid w:val="00B07A35"/>
    <w:rsid w:val="00B07BBF"/>
    <w:rsid w:val="00B106EC"/>
    <w:rsid w:val="00B107B9"/>
    <w:rsid w:val="00B109A6"/>
    <w:rsid w:val="00B115E1"/>
    <w:rsid w:val="00B12012"/>
    <w:rsid w:val="00B12899"/>
    <w:rsid w:val="00B128F1"/>
    <w:rsid w:val="00B133E7"/>
    <w:rsid w:val="00B13C0C"/>
    <w:rsid w:val="00B14190"/>
    <w:rsid w:val="00B14B30"/>
    <w:rsid w:val="00B14E2E"/>
    <w:rsid w:val="00B151B9"/>
    <w:rsid w:val="00B15E6C"/>
    <w:rsid w:val="00B16BBA"/>
    <w:rsid w:val="00B16BF6"/>
    <w:rsid w:val="00B16F26"/>
    <w:rsid w:val="00B17B26"/>
    <w:rsid w:val="00B17DFA"/>
    <w:rsid w:val="00B204D0"/>
    <w:rsid w:val="00B2081D"/>
    <w:rsid w:val="00B209EE"/>
    <w:rsid w:val="00B21C98"/>
    <w:rsid w:val="00B22198"/>
    <w:rsid w:val="00B2228C"/>
    <w:rsid w:val="00B22427"/>
    <w:rsid w:val="00B23927"/>
    <w:rsid w:val="00B25AE2"/>
    <w:rsid w:val="00B27EEF"/>
    <w:rsid w:val="00B305B8"/>
    <w:rsid w:val="00B307AB"/>
    <w:rsid w:val="00B30D30"/>
    <w:rsid w:val="00B31288"/>
    <w:rsid w:val="00B31DAD"/>
    <w:rsid w:val="00B32554"/>
    <w:rsid w:val="00B3267A"/>
    <w:rsid w:val="00B32A5D"/>
    <w:rsid w:val="00B33B60"/>
    <w:rsid w:val="00B33C8C"/>
    <w:rsid w:val="00B345BB"/>
    <w:rsid w:val="00B369FB"/>
    <w:rsid w:val="00B36F1F"/>
    <w:rsid w:val="00B40100"/>
    <w:rsid w:val="00B4045B"/>
    <w:rsid w:val="00B41B3E"/>
    <w:rsid w:val="00B42018"/>
    <w:rsid w:val="00B42E49"/>
    <w:rsid w:val="00B446B1"/>
    <w:rsid w:val="00B44BB7"/>
    <w:rsid w:val="00B46918"/>
    <w:rsid w:val="00B46EAB"/>
    <w:rsid w:val="00B470F9"/>
    <w:rsid w:val="00B47923"/>
    <w:rsid w:val="00B5028A"/>
    <w:rsid w:val="00B507F5"/>
    <w:rsid w:val="00B50A33"/>
    <w:rsid w:val="00B51258"/>
    <w:rsid w:val="00B5166C"/>
    <w:rsid w:val="00B522FA"/>
    <w:rsid w:val="00B52D8C"/>
    <w:rsid w:val="00B52FEB"/>
    <w:rsid w:val="00B53175"/>
    <w:rsid w:val="00B53DAB"/>
    <w:rsid w:val="00B543B7"/>
    <w:rsid w:val="00B55576"/>
    <w:rsid w:val="00B573AA"/>
    <w:rsid w:val="00B60EC8"/>
    <w:rsid w:val="00B611EE"/>
    <w:rsid w:val="00B6176D"/>
    <w:rsid w:val="00B61BC4"/>
    <w:rsid w:val="00B6224D"/>
    <w:rsid w:val="00B6225F"/>
    <w:rsid w:val="00B62A10"/>
    <w:rsid w:val="00B634F9"/>
    <w:rsid w:val="00B635CC"/>
    <w:rsid w:val="00B63F4D"/>
    <w:rsid w:val="00B64562"/>
    <w:rsid w:val="00B645D2"/>
    <w:rsid w:val="00B66E3D"/>
    <w:rsid w:val="00B672BD"/>
    <w:rsid w:val="00B67A21"/>
    <w:rsid w:val="00B67AB3"/>
    <w:rsid w:val="00B67AD8"/>
    <w:rsid w:val="00B70E40"/>
    <w:rsid w:val="00B711F9"/>
    <w:rsid w:val="00B715A0"/>
    <w:rsid w:val="00B72C20"/>
    <w:rsid w:val="00B73C8D"/>
    <w:rsid w:val="00B73F1F"/>
    <w:rsid w:val="00B76E2E"/>
    <w:rsid w:val="00B770E2"/>
    <w:rsid w:val="00B772C1"/>
    <w:rsid w:val="00B779CF"/>
    <w:rsid w:val="00B77FE3"/>
    <w:rsid w:val="00B8052A"/>
    <w:rsid w:val="00B8070B"/>
    <w:rsid w:val="00B81609"/>
    <w:rsid w:val="00B8255E"/>
    <w:rsid w:val="00B82F91"/>
    <w:rsid w:val="00B83BA9"/>
    <w:rsid w:val="00B84AB3"/>
    <w:rsid w:val="00B84DF4"/>
    <w:rsid w:val="00B85487"/>
    <w:rsid w:val="00B86933"/>
    <w:rsid w:val="00B86EF8"/>
    <w:rsid w:val="00B87360"/>
    <w:rsid w:val="00B877AA"/>
    <w:rsid w:val="00B87D37"/>
    <w:rsid w:val="00B90CCA"/>
    <w:rsid w:val="00B913ED"/>
    <w:rsid w:val="00B91519"/>
    <w:rsid w:val="00B91D79"/>
    <w:rsid w:val="00B91F76"/>
    <w:rsid w:val="00B91FAB"/>
    <w:rsid w:val="00B92E6A"/>
    <w:rsid w:val="00B930BC"/>
    <w:rsid w:val="00B934C2"/>
    <w:rsid w:val="00B93B4C"/>
    <w:rsid w:val="00B94769"/>
    <w:rsid w:val="00B9547C"/>
    <w:rsid w:val="00B962A9"/>
    <w:rsid w:val="00B97BB9"/>
    <w:rsid w:val="00BA0490"/>
    <w:rsid w:val="00BA06F0"/>
    <w:rsid w:val="00BA1490"/>
    <w:rsid w:val="00BA2B0E"/>
    <w:rsid w:val="00BA2B6A"/>
    <w:rsid w:val="00BA4117"/>
    <w:rsid w:val="00BA4C85"/>
    <w:rsid w:val="00BA4CD5"/>
    <w:rsid w:val="00BA611B"/>
    <w:rsid w:val="00BA6939"/>
    <w:rsid w:val="00BA7DB9"/>
    <w:rsid w:val="00BB0CEB"/>
    <w:rsid w:val="00BB14EC"/>
    <w:rsid w:val="00BB16B6"/>
    <w:rsid w:val="00BB1CB8"/>
    <w:rsid w:val="00BB2E46"/>
    <w:rsid w:val="00BB2EE8"/>
    <w:rsid w:val="00BB3106"/>
    <w:rsid w:val="00BB3F1A"/>
    <w:rsid w:val="00BB5785"/>
    <w:rsid w:val="00BB5A41"/>
    <w:rsid w:val="00BB62C3"/>
    <w:rsid w:val="00BB6EBB"/>
    <w:rsid w:val="00BB72C6"/>
    <w:rsid w:val="00BB7529"/>
    <w:rsid w:val="00BC0043"/>
    <w:rsid w:val="00BC0096"/>
    <w:rsid w:val="00BC1248"/>
    <w:rsid w:val="00BC13DD"/>
    <w:rsid w:val="00BC166E"/>
    <w:rsid w:val="00BC1FE1"/>
    <w:rsid w:val="00BC345A"/>
    <w:rsid w:val="00BC4537"/>
    <w:rsid w:val="00BC4E46"/>
    <w:rsid w:val="00BC624B"/>
    <w:rsid w:val="00BC636A"/>
    <w:rsid w:val="00BC650A"/>
    <w:rsid w:val="00BC6C7C"/>
    <w:rsid w:val="00BC7097"/>
    <w:rsid w:val="00BC775D"/>
    <w:rsid w:val="00BC7A90"/>
    <w:rsid w:val="00BD082A"/>
    <w:rsid w:val="00BD0F2D"/>
    <w:rsid w:val="00BD12B3"/>
    <w:rsid w:val="00BD16A9"/>
    <w:rsid w:val="00BD1787"/>
    <w:rsid w:val="00BD19EB"/>
    <w:rsid w:val="00BD1FBB"/>
    <w:rsid w:val="00BD2382"/>
    <w:rsid w:val="00BD28F6"/>
    <w:rsid w:val="00BD2943"/>
    <w:rsid w:val="00BD30CC"/>
    <w:rsid w:val="00BD374C"/>
    <w:rsid w:val="00BD3D0E"/>
    <w:rsid w:val="00BD42C0"/>
    <w:rsid w:val="00BD431E"/>
    <w:rsid w:val="00BD5287"/>
    <w:rsid w:val="00BD5C5F"/>
    <w:rsid w:val="00BD727F"/>
    <w:rsid w:val="00BD7A80"/>
    <w:rsid w:val="00BD7CD2"/>
    <w:rsid w:val="00BE0860"/>
    <w:rsid w:val="00BE09A5"/>
    <w:rsid w:val="00BE09AD"/>
    <w:rsid w:val="00BE117C"/>
    <w:rsid w:val="00BE130C"/>
    <w:rsid w:val="00BE15D9"/>
    <w:rsid w:val="00BE171A"/>
    <w:rsid w:val="00BE1AFE"/>
    <w:rsid w:val="00BE265E"/>
    <w:rsid w:val="00BE28AE"/>
    <w:rsid w:val="00BE2A29"/>
    <w:rsid w:val="00BE2DFB"/>
    <w:rsid w:val="00BE36F0"/>
    <w:rsid w:val="00BE3AB5"/>
    <w:rsid w:val="00BE65EC"/>
    <w:rsid w:val="00BE6F49"/>
    <w:rsid w:val="00BE73A6"/>
    <w:rsid w:val="00BF09EA"/>
    <w:rsid w:val="00BF0A72"/>
    <w:rsid w:val="00BF0E81"/>
    <w:rsid w:val="00BF0FCC"/>
    <w:rsid w:val="00BF17DA"/>
    <w:rsid w:val="00BF1D9B"/>
    <w:rsid w:val="00BF1DC6"/>
    <w:rsid w:val="00BF2CD3"/>
    <w:rsid w:val="00BF2D0F"/>
    <w:rsid w:val="00BF49F8"/>
    <w:rsid w:val="00BF5E6D"/>
    <w:rsid w:val="00BF6290"/>
    <w:rsid w:val="00BF73CA"/>
    <w:rsid w:val="00BF75CB"/>
    <w:rsid w:val="00C008C5"/>
    <w:rsid w:val="00C01109"/>
    <w:rsid w:val="00C019B1"/>
    <w:rsid w:val="00C01AD2"/>
    <w:rsid w:val="00C024C2"/>
    <w:rsid w:val="00C03065"/>
    <w:rsid w:val="00C032F5"/>
    <w:rsid w:val="00C034FA"/>
    <w:rsid w:val="00C03C08"/>
    <w:rsid w:val="00C0430D"/>
    <w:rsid w:val="00C048B0"/>
    <w:rsid w:val="00C050D5"/>
    <w:rsid w:val="00C0552E"/>
    <w:rsid w:val="00C05606"/>
    <w:rsid w:val="00C05938"/>
    <w:rsid w:val="00C05BE5"/>
    <w:rsid w:val="00C05CB9"/>
    <w:rsid w:val="00C0742C"/>
    <w:rsid w:val="00C076C4"/>
    <w:rsid w:val="00C11121"/>
    <w:rsid w:val="00C112A9"/>
    <w:rsid w:val="00C112B4"/>
    <w:rsid w:val="00C1145D"/>
    <w:rsid w:val="00C11810"/>
    <w:rsid w:val="00C11BB4"/>
    <w:rsid w:val="00C12893"/>
    <w:rsid w:val="00C12AF9"/>
    <w:rsid w:val="00C1575A"/>
    <w:rsid w:val="00C1578C"/>
    <w:rsid w:val="00C16AC1"/>
    <w:rsid w:val="00C174DF"/>
    <w:rsid w:val="00C176E2"/>
    <w:rsid w:val="00C20A89"/>
    <w:rsid w:val="00C20EA0"/>
    <w:rsid w:val="00C21ABD"/>
    <w:rsid w:val="00C21C03"/>
    <w:rsid w:val="00C226D4"/>
    <w:rsid w:val="00C23A6D"/>
    <w:rsid w:val="00C24639"/>
    <w:rsid w:val="00C24853"/>
    <w:rsid w:val="00C2613F"/>
    <w:rsid w:val="00C27F96"/>
    <w:rsid w:val="00C3047E"/>
    <w:rsid w:val="00C305C1"/>
    <w:rsid w:val="00C3118C"/>
    <w:rsid w:val="00C317AA"/>
    <w:rsid w:val="00C32614"/>
    <w:rsid w:val="00C32F0C"/>
    <w:rsid w:val="00C35265"/>
    <w:rsid w:val="00C367F8"/>
    <w:rsid w:val="00C37688"/>
    <w:rsid w:val="00C4065C"/>
    <w:rsid w:val="00C4087C"/>
    <w:rsid w:val="00C40E62"/>
    <w:rsid w:val="00C41897"/>
    <w:rsid w:val="00C42771"/>
    <w:rsid w:val="00C438CD"/>
    <w:rsid w:val="00C440A9"/>
    <w:rsid w:val="00C44753"/>
    <w:rsid w:val="00C44EF1"/>
    <w:rsid w:val="00C45B6D"/>
    <w:rsid w:val="00C45FB9"/>
    <w:rsid w:val="00C46274"/>
    <w:rsid w:val="00C46852"/>
    <w:rsid w:val="00C46D7B"/>
    <w:rsid w:val="00C473EF"/>
    <w:rsid w:val="00C47A04"/>
    <w:rsid w:val="00C47D41"/>
    <w:rsid w:val="00C50751"/>
    <w:rsid w:val="00C51046"/>
    <w:rsid w:val="00C51487"/>
    <w:rsid w:val="00C5195B"/>
    <w:rsid w:val="00C53EBA"/>
    <w:rsid w:val="00C5580F"/>
    <w:rsid w:val="00C55AA4"/>
    <w:rsid w:val="00C601A3"/>
    <w:rsid w:val="00C60A33"/>
    <w:rsid w:val="00C60FAF"/>
    <w:rsid w:val="00C610F6"/>
    <w:rsid w:val="00C61D74"/>
    <w:rsid w:val="00C6373B"/>
    <w:rsid w:val="00C63BDE"/>
    <w:rsid w:val="00C63D69"/>
    <w:rsid w:val="00C63DFF"/>
    <w:rsid w:val="00C65479"/>
    <w:rsid w:val="00C654D0"/>
    <w:rsid w:val="00C6581F"/>
    <w:rsid w:val="00C65AB5"/>
    <w:rsid w:val="00C71190"/>
    <w:rsid w:val="00C71838"/>
    <w:rsid w:val="00C71961"/>
    <w:rsid w:val="00C71DF8"/>
    <w:rsid w:val="00C7276E"/>
    <w:rsid w:val="00C72F82"/>
    <w:rsid w:val="00C73713"/>
    <w:rsid w:val="00C73D75"/>
    <w:rsid w:val="00C73E54"/>
    <w:rsid w:val="00C753B4"/>
    <w:rsid w:val="00C7601F"/>
    <w:rsid w:val="00C76560"/>
    <w:rsid w:val="00C765CE"/>
    <w:rsid w:val="00C772C0"/>
    <w:rsid w:val="00C773CA"/>
    <w:rsid w:val="00C8253D"/>
    <w:rsid w:val="00C82729"/>
    <w:rsid w:val="00C82A1F"/>
    <w:rsid w:val="00C8366A"/>
    <w:rsid w:val="00C83849"/>
    <w:rsid w:val="00C84025"/>
    <w:rsid w:val="00C840A9"/>
    <w:rsid w:val="00C843B8"/>
    <w:rsid w:val="00C84C66"/>
    <w:rsid w:val="00C8557A"/>
    <w:rsid w:val="00C860D7"/>
    <w:rsid w:val="00C8747C"/>
    <w:rsid w:val="00C903C7"/>
    <w:rsid w:val="00C90D55"/>
    <w:rsid w:val="00C910ED"/>
    <w:rsid w:val="00C9167D"/>
    <w:rsid w:val="00C92084"/>
    <w:rsid w:val="00C923B6"/>
    <w:rsid w:val="00C92E14"/>
    <w:rsid w:val="00C92E15"/>
    <w:rsid w:val="00C9358F"/>
    <w:rsid w:val="00C946AF"/>
    <w:rsid w:val="00C95548"/>
    <w:rsid w:val="00C95AA4"/>
    <w:rsid w:val="00C95AAB"/>
    <w:rsid w:val="00C95B39"/>
    <w:rsid w:val="00C9621A"/>
    <w:rsid w:val="00C9781C"/>
    <w:rsid w:val="00C97B0B"/>
    <w:rsid w:val="00C97DDD"/>
    <w:rsid w:val="00C97E42"/>
    <w:rsid w:val="00CA179F"/>
    <w:rsid w:val="00CA1DE1"/>
    <w:rsid w:val="00CA3F2F"/>
    <w:rsid w:val="00CA4C26"/>
    <w:rsid w:val="00CA604D"/>
    <w:rsid w:val="00CA642C"/>
    <w:rsid w:val="00CA64C1"/>
    <w:rsid w:val="00CA6BEF"/>
    <w:rsid w:val="00CA710C"/>
    <w:rsid w:val="00CA738E"/>
    <w:rsid w:val="00CA740B"/>
    <w:rsid w:val="00CA78E0"/>
    <w:rsid w:val="00CA79F8"/>
    <w:rsid w:val="00CB0D6B"/>
    <w:rsid w:val="00CB18AF"/>
    <w:rsid w:val="00CB1D7B"/>
    <w:rsid w:val="00CB23E1"/>
    <w:rsid w:val="00CB2491"/>
    <w:rsid w:val="00CB288D"/>
    <w:rsid w:val="00CB3FF0"/>
    <w:rsid w:val="00CB4CFC"/>
    <w:rsid w:val="00CB4DD8"/>
    <w:rsid w:val="00CB6CE3"/>
    <w:rsid w:val="00CB6F52"/>
    <w:rsid w:val="00CB7642"/>
    <w:rsid w:val="00CC1406"/>
    <w:rsid w:val="00CC1CBE"/>
    <w:rsid w:val="00CC24FC"/>
    <w:rsid w:val="00CC3C44"/>
    <w:rsid w:val="00CC3EC7"/>
    <w:rsid w:val="00CC4D2B"/>
    <w:rsid w:val="00CC5478"/>
    <w:rsid w:val="00CC5EF7"/>
    <w:rsid w:val="00CC68C7"/>
    <w:rsid w:val="00CC738C"/>
    <w:rsid w:val="00CC7912"/>
    <w:rsid w:val="00CC7FFE"/>
    <w:rsid w:val="00CD0F25"/>
    <w:rsid w:val="00CD1C80"/>
    <w:rsid w:val="00CD1F51"/>
    <w:rsid w:val="00CD27AB"/>
    <w:rsid w:val="00CD2D13"/>
    <w:rsid w:val="00CD2E99"/>
    <w:rsid w:val="00CD38B0"/>
    <w:rsid w:val="00CD428F"/>
    <w:rsid w:val="00CD4DA0"/>
    <w:rsid w:val="00CD5D02"/>
    <w:rsid w:val="00CD757C"/>
    <w:rsid w:val="00CD7F4E"/>
    <w:rsid w:val="00CE1306"/>
    <w:rsid w:val="00CE1C5C"/>
    <w:rsid w:val="00CE24F0"/>
    <w:rsid w:val="00CE2CC0"/>
    <w:rsid w:val="00CE3320"/>
    <w:rsid w:val="00CE3B86"/>
    <w:rsid w:val="00CE3CD6"/>
    <w:rsid w:val="00CE4110"/>
    <w:rsid w:val="00CE4EFA"/>
    <w:rsid w:val="00CE6624"/>
    <w:rsid w:val="00CE68AE"/>
    <w:rsid w:val="00CE6DC4"/>
    <w:rsid w:val="00CE726E"/>
    <w:rsid w:val="00CF0E41"/>
    <w:rsid w:val="00CF1884"/>
    <w:rsid w:val="00CF30CD"/>
    <w:rsid w:val="00CF4028"/>
    <w:rsid w:val="00CF66C0"/>
    <w:rsid w:val="00D00938"/>
    <w:rsid w:val="00D01B05"/>
    <w:rsid w:val="00D02DC6"/>
    <w:rsid w:val="00D03126"/>
    <w:rsid w:val="00D044A9"/>
    <w:rsid w:val="00D05302"/>
    <w:rsid w:val="00D06CF8"/>
    <w:rsid w:val="00D072D2"/>
    <w:rsid w:val="00D078C5"/>
    <w:rsid w:val="00D10C2D"/>
    <w:rsid w:val="00D11334"/>
    <w:rsid w:val="00D11602"/>
    <w:rsid w:val="00D1165C"/>
    <w:rsid w:val="00D12C96"/>
    <w:rsid w:val="00D12C9B"/>
    <w:rsid w:val="00D136D4"/>
    <w:rsid w:val="00D14301"/>
    <w:rsid w:val="00D15A38"/>
    <w:rsid w:val="00D16610"/>
    <w:rsid w:val="00D16BED"/>
    <w:rsid w:val="00D17792"/>
    <w:rsid w:val="00D2087F"/>
    <w:rsid w:val="00D20C08"/>
    <w:rsid w:val="00D21C73"/>
    <w:rsid w:val="00D22499"/>
    <w:rsid w:val="00D225B0"/>
    <w:rsid w:val="00D23041"/>
    <w:rsid w:val="00D23786"/>
    <w:rsid w:val="00D237A1"/>
    <w:rsid w:val="00D23EC3"/>
    <w:rsid w:val="00D245C6"/>
    <w:rsid w:val="00D249CB"/>
    <w:rsid w:val="00D24F81"/>
    <w:rsid w:val="00D25429"/>
    <w:rsid w:val="00D256D9"/>
    <w:rsid w:val="00D25E28"/>
    <w:rsid w:val="00D267AD"/>
    <w:rsid w:val="00D30E94"/>
    <w:rsid w:val="00D31167"/>
    <w:rsid w:val="00D3121C"/>
    <w:rsid w:val="00D31804"/>
    <w:rsid w:val="00D322D0"/>
    <w:rsid w:val="00D327EC"/>
    <w:rsid w:val="00D34266"/>
    <w:rsid w:val="00D36E96"/>
    <w:rsid w:val="00D37B70"/>
    <w:rsid w:val="00D37E05"/>
    <w:rsid w:val="00D40021"/>
    <w:rsid w:val="00D4101B"/>
    <w:rsid w:val="00D41A74"/>
    <w:rsid w:val="00D41CAD"/>
    <w:rsid w:val="00D4467D"/>
    <w:rsid w:val="00D44907"/>
    <w:rsid w:val="00D453F7"/>
    <w:rsid w:val="00D45440"/>
    <w:rsid w:val="00D45DAB"/>
    <w:rsid w:val="00D46B7D"/>
    <w:rsid w:val="00D47772"/>
    <w:rsid w:val="00D4794A"/>
    <w:rsid w:val="00D50037"/>
    <w:rsid w:val="00D507CE"/>
    <w:rsid w:val="00D5089F"/>
    <w:rsid w:val="00D50AA6"/>
    <w:rsid w:val="00D52EC3"/>
    <w:rsid w:val="00D53069"/>
    <w:rsid w:val="00D53272"/>
    <w:rsid w:val="00D5348E"/>
    <w:rsid w:val="00D537F1"/>
    <w:rsid w:val="00D53A82"/>
    <w:rsid w:val="00D53E98"/>
    <w:rsid w:val="00D54F3B"/>
    <w:rsid w:val="00D55E1B"/>
    <w:rsid w:val="00D55FF8"/>
    <w:rsid w:val="00D56320"/>
    <w:rsid w:val="00D56A14"/>
    <w:rsid w:val="00D56ABB"/>
    <w:rsid w:val="00D60B7B"/>
    <w:rsid w:val="00D60DA2"/>
    <w:rsid w:val="00D614E0"/>
    <w:rsid w:val="00D61EAE"/>
    <w:rsid w:val="00D62172"/>
    <w:rsid w:val="00D6257B"/>
    <w:rsid w:val="00D63544"/>
    <w:rsid w:val="00D637C6"/>
    <w:rsid w:val="00D647F5"/>
    <w:rsid w:val="00D65E1D"/>
    <w:rsid w:val="00D669B8"/>
    <w:rsid w:val="00D66D2C"/>
    <w:rsid w:val="00D675E9"/>
    <w:rsid w:val="00D67E1D"/>
    <w:rsid w:val="00D707EC"/>
    <w:rsid w:val="00D70BFC"/>
    <w:rsid w:val="00D70CF5"/>
    <w:rsid w:val="00D72159"/>
    <w:rsid w:val="00D72436"/>
    <w:rsid w:val="00D7361D"/>
    <w:rsid w:val="00D74101"/>
    <w:rsid w:val="00D74188"/>
    <w:rsid w:val="00D74A5A"/>
    <w:rsid w:val="00D757D8"/>
    <w:rsid w:val="00D76688"/>
    <w:rsid w:val="00D77455"/>
    <w:rsid w:val="00D77A76"/>
    <w:rsid w:val="00D80972"/>
    <w:rsid w:val="00D8168D"/>
    <w:rsid w:val="00D8280C"/>
    <w:rsid w:val="00D82AE1"/>
    <w:rsid w:val="00D83A63"/>
    <w:rsid w:val="00D83D05"/>
    <w:rsid w:val="00D85C77"/>
    <w:rsid w:val="00D85EFA"/>
    <w:rsid w:val="00D87556"/>
    <w:rsid w:val="00D87646"/>
    <w:rsid w:val="00D87A0C"/>
    <w:rsid w:val="00D87CF0"/>
    <w:rsid w:val="00D87DFC"/>
    <w:rsid w:val="00D90EFA"/>
    <w:rsid w:val="00D90F2D"/>
    <w:rsid w:val="00D912CA"/>
    <w:rsid w:val="00D91DC4"/>
    <w:rsid w:val="00D92928"/>
    <w:rsid w:val="00D9359B"/>
    <w:rsid w:val="00D93A32"/>
    <w:rsid w:val="00D93AA6"/>
    <w:rsid w:val="00D93BAE"/>
    <w:rsid w:val="00D93E43"/>
    <w:rsid w:val="00D93E4D"/>
    <w:rsid w:val="00D942EE"/>
    <w:rsid w:val="00D94A41"/>
    <w:rsid w:val="00D95752"/>
    <w:rsid w:val="00D95838"/>
    <w:rsid w:val="00D959ED"/>
    <w:rsid w:val="00D963F1"/>
    <w:rsid w:val="00D97653"/>
    <w:rsid w:val="00DA08BF"/>
    <w:rsid w:val="00DA1466"/>
    <w:rsid w:val="00DA1FA5"/>
    <w:rsid w:val="00DA3045"/>
    <w:rsid w:val="00DA3C8D"/>
    <w:rsid w:val="00DA4637"/>
    <w:rsid w:val="00DA4E43"/>
    <w:rsid w:val="00DA56B0"/>
    <w:rsid w:val="00DA5969"/>
    <w:rsid w:val="00DA6D4F"/>
    <w:rsid w:val="00DA71F0"/>
    <w:rsid w:val="00DA77DD"/>
    <w:rsid w:val="00DB1998"/>
    <w:rsid w:val="00DB2423"/>
    <w:rsid w:val="00DB26ED"/>
    <w:rsid w:val="00DB29D9"/>
    <w:rsid w:val="00DB2EC6"/>
    <w:rsid w:val="00DB48FF"/>
    <w:rsid w:val="00DB49F9"/>
    <w:rsid w:val="00DB60EB"/>
    <w:rsid w:val="00DB666A"/>
    <w:rsid w:val="00DB749F"/>
    <w:rsid w:val="00DC14CD"/>
    <w:rsid w:val="00DC24C5"/>
    <w:rsid w:val="00DC2FAA"/>
    <w:rsid w:val="00DC4699"/>
    <w:rsid w:val="00DC70EE"/>
    <w:rsid w:val="00DD06DF"/>
    <w:rsid w:val="00DD0738"/>
    <w:rsid w:val="00DD1F45"/>
    <w:rsid w:val="00DD23CB"/>
    <w:rsid w:val="00DD2631"/>
    <w:rsid w:val="00DD277A"/>
    <w:rsid w:val="00DD27B1"/>
    <w:rsid w:val="00DD4010"/>
    <w:rsid w:val="00DD412D"/>
    <w:rsid w:val="00DD4574"/>
    <w:rsid w:val="00DD4645"/>
    <w:rsid w:val="00DD5EA7"/>
    <w:rsid w:val="00DD67C3"/>
    <w:rsid w:val="00DD6AD6"/>
    <w:rsid w:val="00DD6B08"/>
    <w:rsid w:val="00DE0C71"/>
    <w:rsid w:val="00DE17E2"/>
    <w:rsid w:val="00DE30C1"/>
    <w:rsid w:val="00DE342C"/>
    <w:rsid w:val="00DE3F08"/>
    <w:rsid w:val="00DE3F94"/>
    <w:rsid w:val="00DE4375"/>
    <w:rsid w:val="00DE4EAA"/>
    <w:rsid w:val="00DE6275"/>
    <w:rsid w:val="00DE6F9A"/>
    <w:rsid w:val="00DE71FE"/>
    <w:rsid w:val="00DE7955"/>
    <w:rsid w:val="00DE79F4"/>
    <w:rsid w:val="00DE7C80"/>
    <w:rsid w:val="00DE7DE6"/>
    <w:rsid w:val="00DE7DFC"/>
    <w:rsid w:val="00DF10C7"/>
    <w:rsid w:val="00DF1670"/>
    <w:rsid w:val="00DF36E7"/>
    <w:rsid w:val="00DF50D8"/>
    <w:rsid w:val="00DF525B"/>
    <w:rsid w:val="00DF5935"/>
    <w:rsid w:val="00DF6661"/>
    <w:rsid w:val="00DF67BB"/>
    <w:rsid w:val="00DF6C08"/>
    <w:rsid w:val="00E00623"/>
    <w:rsid w:val="00E00692"/>
    <w:rsid w:val="00E00BBD"/>
    <w:rsid w:val="00E00CED"/>
    <w:rsid w:val="00E00FB3"/>
    <w:rsid w:val="00E013D0"/>
    <w:rsid w:val="00E01CB1"/>
    <w:rsid w:val="00E02666"/>
    <w:rsid w:val="00E02764"/>
    <w:rsid w:val="00E03433"/>
    <w:rsid w:val="00E039F0"/>
    <w:rsid w:val="00E03B5A"/>
    <w:rsid w:val="00E03E0E"/>
    <w:rsid w:val="00E04197"/>
    <w:rsid w:val="00E0431F"/>
    <w:rsid w:val="00E05609"/>
    <w:rsid w:val="00E05CEF"/>
    <w:rsid w:val="00E06EF4"/>
    <w:rsid w:val="00E0780B"/>
    <w:rsid w:val="00E105DE"/>
    <w:rsid w:val="00E11ADB"/>
    <w:rsid w:val="00E11CE1"/>
    <w:rsid w:val="00E1344F"/>
    <w:rsid w:val="00E14B2F"/>
    <w:rsid w:val="00E14E29"/>
    <w:rsid w:val="00E15DB9"/>
    <w:rsid w:val="00E16A5B"/>
    <w:rsid w:val="00E16BFE"/>
    <w:rsid w:val="00E1798A"/>
    <w:rsid w:val="00E17A97"/>
    <w:rsid w:val="00E2048E"/>
    <w:rsid w:val="00E20658"/>
    <w:rsid w:val="00E21688"/>
    <w:rsid w:val="00E21A51"/>
    <w:rsid w:val="00E21FB9"/>
    <w:rsid w:val="00E2303D"/>
    <w:rsid w:val="00E2351B"/>
    <w:rsid w:val="00E23C11"/>
    <w:rsid w:val="00E252F3"/>
    <w:rsid w:val="00E25D52"/>
    <w:rsid w:val="00E2701C"/>
    <w:rsid w:val="00E27268"/>
    <w:rsid w:val="00E274A5"/>
    <w:rsid w:val="00E300DF"/>
    <w:rsid w:val="00E3146C"/>
    <w:rsid w:val="00E31761"/>
    <w:rsid w:val="00E31FA6"/>
    <w:rsid w:val="00E326ED"/>
    <w:rsid w:val="00E32714"/>
    <w:rsid w:val="00E32721"/>
    <w:rsid w:val="00E335AE"/>
    <w:rsid w:val="00E35AE5"/>
    <w:rsid w:val="00E35BDC"/>
    <w:rsid w:val="00E36FE8"/>
    <w:rsid w:val="00E37D58"/>
    <w:rsid w:val="00E37E29"/>
    <w:rsid w:val="00E400BC"/>
    <w:rsid w:val="00E40DA2"/>
    <w:rsid w:val="00E41807"/>
    <w:rsid w:val="00E42685"/>
    <w:rsid w:val="00E4319A"/>
    <w:rsid w:val="00E43EF4"/>
    <w:rsid w:val="00E440B2"/>
    <w:rsid w:val="00E46A74"/>
    <w:rsid w:val="00E46C60"/>
    <w:rsid w:val="00E473C2"/>
    <w:rsid w:val="00E47608"/>
    <w:rsid w:val="00E47A83"/>
    <w:rsid w:val="00E511AB"/>
    <w:rsid w:val="00E51A9A"/>
    <w:rsid w:val="00E521C5"/>
    <w:rsid w:val="00E52438"/>
    <w:rsid w:val="00E53664"/>
    <w:rsid w:val="00E53E7D"/>
    <w:rsid w:val="00E54B42"/>
    <w:rsid w:val="00E5510E"/>
    <w:rsid w:val="00E55499"/>
    <w:rsid w:val="00E5575B"/>
    <w:rsid w:val="00E55BA8"/>
    <w:rsid w:val="00E570DC"/>
    <w:rsid w:val="00E5720A"/>
    <w:rsid w:val="00E574B9"/>
    <w:rsid w:val="00E57A39"/>
    <w:rsid w:val="00E57BA4"/>
    <w:rsid w:val="00E60F61"/>
    <w:rsid w:val="00E61169"/>
    <w:rsid w:val="00E61582"/>
    <w:rsid w:val="00E61F36"/>
    <w:rsid w:val="00E626D4"/>
    <w:rsid w:val="00E62852"/>
    <w:rsid w:val="00E628CF"/>
    <w:rsid w:val="00E62EB7"/>
    <w:rsid w:val="00E62F7E"/>
    <w:rsid w:val="00E6382E"/>
    <w:rsid w:val="00E65D22"/>
    <w:rsid w:val="00E674C5"/>
    <w:rsid w:val="00E7059A"/>
    <w:rsid w:val="00E70883"/>
    <w:rsid w:val="00E70951"/>
    <w:rsid w:val="00E70EAC"/>
    <w:rsid w:val="00E719FE"/>
    <w:rsid w:val="00E71A51"/>
    <w:rsid w:val="00E72375"/>
    <w:rsid w:val="00E7264B"/>
    <w:rsid w:val="00E72CEC"/>
    <w:rsid w:val="00E72E46"/>
    <w:rsid w:val="00E730DB"/>
    <w:rsid w:val="00E73212"/>
    <w:rsid w:val="00E73FD5"/>
    <w:rsid w:val="00E75605"/>
    <w:rsid w:val="00E759AD"/>
    <w:rsid w:val="00E75A92"/>
    <w:rsid w:val="00E76356"/>
    <w:rsid w:val="00E76440"/>
    <w:rsid w:val="00E76A77"/>
    <w:rsid w:val="00E7726D"/>
    <w:rsid w:val="00E7765E"/>
    <w:rsid w:val="00E77877"/>
    <w:rsid w:val="00E77E0D"/>
    <w:rsid w:val="00E80D15"/>
    <w:rsid w:val="00E80D9F"/>
    <w:rsid w:val="00E8157D"/>
    <w:rsid w:val="00E81583"/>
    <w:rsid w:val="00E8162F"/>
    <w:rsid w:val="00E82BF5"/>
    <w:rsid w:val="00E82DC2"/>
    <w:rsid w:val="00E8313A"/>
    <w:rsid w:val="00E844E4"/>
    <w:rsid w:val="00E84DD9"/>
    <w:rsid w:val="00E85723"/>
    <w:rsid w:val="00E85C04"/>
    <w:rsid w:val="00E8743F"/>
    <w:rsid w:val="00E8754B"/>
    <w:rsid w:val="00E87794"/>
    <w:rsid w:val="00E87F06"/>
    <w:rsid w:val="00E90499"/>
    <w:rsid w:val="00E9080D"/>
    <w:rsid w:val="00E90B81"/>
    <w:rsid w:val="00E90B95"/>
    <w:rsid w:val="00E919C4"/>
    <w:rsid w:val="00E92DF4"/>
    <w:rsid w:val="00E93959"/>
    <w:rsid w:val="00E93964"/>
    <w:rsid w:val="00E9456A"/>
    <w:rsid w:val="00E9459D"/>
    <w:rsid w:val="00E9702E"/>
    <w:rsid w:val="00E97B72"/>
    <w:rsid w:val="00EA00D3"/>
    <w:rsid w:val="00EA0849"/>
    <w:rsid w:val="00EA0E31"/>
    <w:rsid w:val="00EA0F2A"/>
    <w:rsid w:val="00EA16B0"/>
    <w:rsid w:val="00EA1E69"/>
    <w:rsid w:val="00EA255D"/>
    <w:rsid w:val="00EA291C"/>
    <w:rsid w:val="00EA4043"/>
    <w:rsid w:val="00EA49F2"/>
    <w:rsid w:val="00EA54EE"/>
    <w:rsid w:val="00EA57CB"/>
    <w:rsid w:val="00EA582E"/>
    <w:rsid w:val="00EA5C6D"/>
    <w:rsid w:val="00EA733D"/>
    <w:rsid w:val="00EA7A3E"/>
    <w:rsid w:val="00EB0753"/>
    <w:rsid w:val="00EB14EF"/>
    <w:rsid w:val="00EB1821"/>
    <w:rsid w:val="00EB2598"/>
    <w:rsid w:val="00EB3AC7"/>
    <w:rsid w:val="00EB4570"/>
    <w:rsid w:val="00EB4AA3"/>
    <w:rsid w:val="00EB5B06"/>
    <w:rsid w:val="00EB5FAD"/>
    <w:rsid w:val="00EB6344"/>
    <w:rsid w:val="00EB6408"/>
    <w:rsid w:val="00EB68FB"/>
    <w:rsid w:val="00EB7A04"/>
    <w:rsid w:val="00EC038B"/>
    <w:rsid w:val="00EC0BD3"/>
    <w:rsid w:val="00EC117A"/>
    <w:rsid w:val="00EC195E"/>
    <w:rsid w:val="00EC1FE5"/>
    <w:rsid w:val="00EC2552"/>
    <w:rsid w:val="00EC27BA"/>
    <w:rsid w:val="00EC2E3A"/>
    <w:rsid w:val="00EC3508"/>
    <w:rsid w:val="00EC4849"/>
    <w:rsid w:val="00EC4F50"/>
    <w:rsid w:val="00EC5608"/>
    <w:rsid w:val="00EC58F8"/>
    <w:rsid w:val="00EC63A2"/>
    <w:rsid w:val="00EC67FC"/>
    <w:rsid w:val="00ED0998"/>
    <w:rsid w:val="00ED0AC9"/>
    <w:rsid w:val="00ED13D7"/>
    <w:rsid w:val="00ED14EA"/>
    <w:rsid w:val="00ED2BBE"/>
    <w:rsid w:val="00ED30DF"/>
    <w:rsid w:val="00ED321A"/>
    <w:rsid w:val="00ED3684"/>
    <w:rsid w:val="00ED3C66"/>
    <w:rsid w:val="00ED443E"/>
    <w:rsid w:val="00ED4515"/>
    <w:rsid w:val="00ED451C"/>
    <w:rsid w:val="00ED4E57"/>
    <w:rsid w:val="00ED550C"/>
    <w:rsid w:val="00ED5E58"/>
    <w:rsid w:val="00ED6788"/>
    <w:rsid w:val="00ED6FDA"/>
    <w:rsid w:val="00ED7A28"/>
    <w:rsid w:val="00EE041E"/>
    <w:rsid w:val="00EE0A25"/>
    <w:rsid w:val="00EE1456"/>
    <w:rsid w:val="00EE1E69"/>
    <w:rsid w:val="00EE21AA"/>
    <w:rsid w:val="00EE21E2"/>
    <w:rsid w:val="00EE2B2C"/>
    <w:rsid w:val="00EE2DA4"/>
    <w:rsid w:val="00EE2ED6"/>
    <w:rsid w:val="00EE3519"/>
    <w:rsid w:val="00EE3D11"/>
    <w:rsid w:val="00EE43E0"/>
    <w:rsid w:val="00EE5464"/>
    <w:rsid w:val="00EE5A3D"/>
    <w:rsid w:val="00EE666E"/>
    <w:rsid w:val="00EE7224"/>
    <w:rsid w:val="00EE79CC"/>
    <w:rsid w:val="00EE7EDA"/>
    <w:rsid w:val="00EF0033"/>
    <w:rsid w:val="00EF0491"/>
    <w:rsid w:val="00EF1730"/>
    <w:rsid w:val="00EF1B3D"/>
    <w:rsid w:val="00EF1F0C"/>
    <w:rsid w:val="00EF3422"/>
    <w:rsid w:val="00EF49DB"/>
    <w:rsid w:val="00EF52AA"/>
    <w:rsid w:val="00EF5FA7"/>
    <w:rsid w:val="00EF5FC8"/>
    <w:rsid w:val="00F00518"/>
    <w:rsid w:val="00F00B03"/>
    <w:rsid w:val="00F01917"/>
    <w:rsid w:val="00F01CEF"/>
    <w:rsid w:val="00F021AF"/>
    <w:rsid w:val="00F027CE"/>
    <w:rsid w:val="00F02BA6"/>
    <w:rsid w:val="00F04063"/>
    <w:rsid w:val="00F0458E"/>
    <w:rsid w:val="00F045DC"/>
    <w:rsid w:val="00F04669"/>
    <w:rsid w:val="00F049BB"/>
    <w:rsid w:val="00F049CE"/>
    <w:rsid w:val="00F04D53"/>
    <w:rsid w:val="00F05BAB"/>
    <w:rsid w:val="00F061EA"/>
    <w:rsid w:val="00F06267"/>
    <w:rsid w:val="00F062D0"/>
    <w:rsid w:val="00F06872"/>
    <w:rsid w:val="00F068D9"/>
    <w:rsid w:val="00F06933"/>
    <w:rsid w:val="00F07CB6"/>
    <w:rsid w:val="00F07D47"/>
    <w:rsid w:val="00F1005D"/>
    <w:rsid w:val="00F1083C"/>
    <w:rsid w:val="00F11454"/>
    <w:rsid w:val="00F11C5E"/>
    <w:rsid w:val="00F12F27"/>
    <w:rsid w:val="00F131DC"/>
    <w:rsid w:val="00F13EC3"/>
    <w:rsid w:val="00F15324"/>
    <w:rsid w:val="00F162D6"/>
    <w:rsid w:val="00F16D76"/>
    <w:rsid w:val="00F170AD"/>
    <w:rsid w:val="00F17232"/>
    <w:rsid w:val="00F174BC"/>
    <w:rsid w:val="00F177DF"/>
    <w:rsid w:val="00F210F3"/>
    <w:rsid w:val="00F214D3"/>
    <w:rsid w:val="00F2290F"/>
    <w:rsid w:val="00F243FF"/>
    <w:rsid w:val="00F2490F"/>
    <w:rsid w:val="00F25661"/>
    <w:rsid w:val="00F2574D"/>
    <w:rsid w:val="00F25DEC"/>
    <w:rsid w:val="00F25FEA"/>
    <w:rsid w:val="00F2659F"/>
    <w:rsid w:val="00F26833"/>
    <w:rsid w:val="00F26A94"/>
    <w:rsid w:val="00F26B75"/>
    <w:rsid w:val="00F26BFA"/>
    <w:rsid w:val="00F30A61"/>
    <w:rsid w:val="00F3117C"/>
    <w:rsid w:val="00F319C2"/>
    <w:rsid w:val="00F321AA"/>
    <w:rsid w:val="00F322EE"/>
    <w:rsid w:val="00F32349"/>
    <w:rsid w:val="00F3250D"/>
    <w:rsid w:val="00F328E6"/>
    <w:rsid w:val="00F32B90"/>
    <w:rsid w:val="00F32CE9"/>
    <w:rsid w:val="00F33604"/>
    <w:rsid w:val="00F33BF4"/>
    <w:rsid w:val="00F33CB8"/>
    <w:rsid w:val="00F342A3"/>
    <w:rsid w:val="00F352F9"/>
    <w:rsid w:val="00F35531"/>
    <w:rsid w:val="00F35EBA"/>
    <w:rsid w:val="00F35FEF"/>
    <w:rsid w:val="00F3755D"/>
    <w:rsid w:val="00F377B3"/>
    <w:rsid w:val="00F40C5D"/>
    <w:rsid w:val="00F419E5"/>
    <w:rsid w:val="00F41FC1"/>
    <w:rsid w:val="00F42103"/>
    <w:rsid w:val="00F423D3"/>
    <w:rsid w:val="00F42EA5"/>
    <w:rsid w:val="00F430BC"/>
    <w:rsid w:val="00F43189"/>
    <w:rsid w:val="00F43595"/>
    <w:rsid w:val="00F4428E"/>
    <w:rsid w:val="00F44593"/>
    <w:rsid w:val="00F4495D"/>
    <w:rsid w:val="00F44DE3"/>
    <w:rsid w:val="00F47511"/>
    <w:rsid w:val="00F5025D"/>
    <w:rsid w:val="00F50D6F"/>
    <w:rsid w:val="00F51D24"/>
    <w:rsid w:val="00F53727"/>
    <w:rsid w:val="00F53A33"/>
    <w:rsid w:val="00F53DD0"/>
    <w:rsid w:val="00F54576"/>
    <w:rsid w:val="00F545FA"/>
    <w:rsid w:val="00F54CC8"/>
    <w:rsid w:val="00F55028"/>
    <w:rsid w:val="00F551F7"/>
    <w:rsid w:val="00F556C5"/>
    <w:rsid w:val="00F56295"/>
    <w:rsid w:val="00F5651E"/>
    <w:rsid w:val="00F579B7"/>
    <w:rsid w:val="00F579F5"/>
    <w:rsid w:val="00F60CBC"/>
    <w:rsid w:val="00F619B6"/>
    <w:rsid w:val="00F62E2D"/>
    <w:rsid w:val="00F63976"/>
    <w:rsid w:val="00F6519F"/>
    <w:rsid w:val="00F65BD6"/>
    <w:rsid w:val="00F66258"/>
    <w:rsid w:val="00F66330"/>
    <w:rsid w:val="00F663ED"/>
    <w:rsid w:val="00F66D3A"/>
    <w:rsid w:val="00F67D80"/>
    <w:rsid w:val="00F67DB6"/>
    <w:rsid w:val="00F7001C"/>
    <w:rsid w:val="00F705E8"/>
    <w:rsid w:val="00F70C57"/>
    <w:rsid w:val="00F70CDF"/>
    <w:rsid w:val="00F71FE8"/>
    <w:rsid w:val="00F72246"/>
    <w:rsid w:val="00F73091"/>
    <w:rsid w:val="00F733BC"/>
    <w:rsid w:val="00F7368D"/>
    <w:rsid w:val="00F73A72"/>
    <w:rsid w:val="00F73BDD"/>
    <w:rsid w:val="00F73F64"/>
    <w:rsid w:val="00F74349"/>
    <w:rsid w:val="00F74C91"/>
    <w:rsid w:val="00F75A96"/>
    <w:rsid w:val="00F770C2"/>
    <w:rsid w:val="00F80592"/>
    <w:rsid w:val="00F814D5"/>
    <w:rsid w:val="00F81845"/>
    <w:rsid w:val="00F824CC"/>
    <w:rsid w:val="00F82BEB"/>
    <w:rsid w:val="00F82CC7"/>
    <w:rsid w:val="00F82FC3"/>
    <w:rsid w:val="00F832B1"/>
    <w:rsid w:val="00F83AB0"/>
    <w:rsid w:val="00F84999"/>
    <w:rsid w:val="00F85542"/>
    <w:rsid w:val="00F90649"/>
    <w:rsid w:val="00F90C04"/>
    <w:rsid w:val="00F913DD"/>
    <w:rsid w:val="00F91A0C"/>
    <w:rsid w:val="00F91FE6"/>
    <w:rsid w:val="00F92794"/>
    <w:rsid w:val="00F928BE"/>
    <w:rsid w:val="00F92C29"/>
    <w:rsid w:val="00F92E65"/>
    <w:rsid w:val="00F92F3A"/>
    <w:rsid w:val="00F930B8"/>
    <w:rsid w:val="00F93852"/>
    <w:rsid w:val="00F93BD2"/>
    <w:rsid w:val="00F948C6"/>
    <w:rsid w:val="00F954C8"/>
    <w:rsid w:val="00F9561C"/>
    <w:rsid w:val="00F9594B"/>
    <w:rsid w:val="00F96001"/>
    <w:rsid w:val="00F9601F"/>
    <w:rsid w:val="00F9678D"/>
    <w:rsid w:val="00F96FBA"/>
    <w:rsid w:val="00F97AAE"/>
    <w:rsid w:val="00FA0A41"/>
    <w:rsid w:val="00FA0DB1"/>
    <w:rsid w:val="00FA0E10"/>
    <w:rsid w:val="00FA17FC"/>
    <w:rsid w:val="00FA192E"/>
    <w:rsid w:val="00FA1CF5"/>
    <w:rsid w:val="00FA3CCE"/>
    <w:rsid w:val="00FA3CE2"/>
    <w:rsid w:val="00FA458D"/>
    <w:rsid w:val="00FA4C9C"/>
    <w:rsid w:val="00FA5615"/>
    <w:rsid w:val="00FA5F63"/>
    <w:rsid w:val="00FA620C"/>
    <w:rsid w:val="00FA6795"/>
    <w:rsid w:val="00FA789B"/>
    <w:rsid w:val="00FA7A21"/>
    <w:rsid w:val="00FB0C5E"/>
    <w:rsid w:val="00FB1E46"/>
    <w:rsid w:val="00FB2168"/>
    <w:rsid w:val="00FB318D"/>
    <w:rsid w:val="00FB52A7"/>
    <w:rsid w:val="00FB57E3"/>
    <w:rsid w:val="00FB58B0"/>
    <w:rsid w:val="00FB669E"/>
    <w:rsid w:val="00FB67D8"/>
    <w:rsid w:val="00FB70A6"/>
    <w:rsid w:val="00FB71BE"/>
    <w:rsid w:val="00FB765B"/>
    <w:rsid w:val="00FC00D6"/>
    <w:rsid w:val="00FC03C0"/>
    <w:rsid w:val="00FC08C9"/>
    <w:rsid w:val="00FC0C0C"/>
    <w:rsid w:val="00FC122F"/>
    <w:rsid w:val="00FC12E8"/>
    <w:rsid w:val="00FC1D02"/>
    <w:rsid w:val="00FC2738"/>
    <w:rsid w:val="00FC3347"/>
    <w:rsid w:val="00FC3939"/>
    <w:rsid w:val="00FC3B85"/>
    <w:rsid w:val="00FC4F8F"/>
    <w:rsid w:val="00FC6D4B"/>
    <w:rsid w:val="00FC77C4"/>
    <w:rsid w:val="00FC7F25"/>
    <w:rsid w:val="00FD0150"/>
    <w:rsid w:val="00FD0954"/>
    <w:rsid w:val="00FD1062"/>
    <w:rsid w:val="00FD13F4"/>
    <w:rsid w:val="00FD1415"/>
    <w:rsid w:val="00FD1835"/>
    <w:rsid w:val="00FD1FD9"/>
    <w:rsid w:val="00FD2915"/>
    <w:rsid w:val="00FD382A"/>
    <w:rsid w:val="00FD43EA"/>
    <w:rsid w:val="00FD4928"/>
    <w:rsid w:val="00FD50E5"/>
    <w:rsid w:val="00FD52A3"/>
    <w:rsid w:val="00FD5B6D"/>
    <w:rsid w:val="00FD716A"/>
    <w:rsid w:val="00FD731C"/>
    <w:rsid w:val="00FD774B"/>
    <w:rsid w:val="00FD77F5"/>
    <w:rsid w:val="00FD79DE"/>
    <w:rsid w:val="00FE05AC"/>
    <w:rsid w:val="00FE0ED1"/>
    <w:rsid w:val="00FE1806"/>
    <w:rsid w:val="00FE1931"/>
    <w:rsid w:val="00FE3B67"/>
    <w:rsid w:val="00FE3EA6"/>
    <w:rsid w:val="00FE451B"/>
    <w:rsid w:val="00FE45DF"/>
    <w:rsid w:val="00FE4DE2"/>
    <w:rsid w:val="00FE4FA5"/>
    <w:rsid w:val="00FE51EF"/>
    <w:rsid w:val="00FE5541"/>
    <w:rsid w:val="00FE5B5E"/>
    <w:rsid w:val="00FE628C"/>
    <w:rsid w:val="00FE6675"/>
    <w:rsid w:val="00FE67B5"/>
    <w:rsid w:val="00FE6D15"/>
    <w:rsid w:val="00FE6F9B"/>
    <w:rsid w:val="00FF0290"/>
    <w:rsid w:val="00FF11A7"/>
    <w:rsid w:val="00FF1C64"/>
    <w:rsid w:val="00FF1D60"/>
    <w:rsid w:val="00FF285A"/>
    <w:rsid w:val="00FF33BD"/>
    <w:rsid w:val="00FF3899"/>
    <w:rsid w:val="00FF43A4"/>
    <w:rsid w:val="00FF59DD"/>
    <w:rsid w:val="00FF5EB5"/>
    <w:rsid w:val="00FF6798"/>
    <w:rsid w:val="00FF6A3C"/>
    <w:rsid w:val="00FF7103"/>
    <w:rsid w:val="00FF7C57"/>
    <w:rsid w:val="010252F1"/>
    <w:rsid w:val="017B61EF"/>
    <w:rsid w:val="01A23D87"/>
    <w:rsid w:val="01E542E7"/>
    <w:rsid w:val="02076CF4"/>
    <w:rsid w:val="02083805"/>
    <w:rsid w:val="021646DF"/>
    <w:rsid w:val="021E6DF8"/>
    <w:rsid w:val="02311636"/>
    <w:rsid w:val="02367383"/>
    <w:rsid w:val="02443EF8"/>
    <w:rsid w:val="02682200"/>
    <w:rsid w:val="026C349C"/>
    <w:rsid w:val="0272267F"/>
    <w:rsid w:val="02936A01"/>
    <w:rsid w:val="02D0666A"/>
    <w:rsid w:val="033B5897"/>
    <w:rsid w:val="036D4B44"/>
    <w:rsid w:val="03AF4BF6"/>
    <w:rsid w:val="03B768CB"/>
    <w:rsid w:val="03FC0A42"/>
    <w:rsid w:val="04384E7C"/>
    <w:rsid w:val="04546E7E"/>
    <w:rsid w:val="04B9051E"/>
    <w:rsid w:val="04D15B70"/>
    <w:rsid w:val="04DF46C8"/>
    <w:rsid w:val="050C726C"/>
    <w:rsid w:val="053022E6"/>
    <w:rsid w:val="054644B1"/>
    <w:rsid w:val="055360E5"/>
    <w:rsid w:val="06075142"/>
    <w:rsid w:val="063630D6"/>
    <w:rsid w:val="063B3638"/>
    <w:rsid w:val="063D4055"/>
    <w:rsid w:val="065A2626"/>
    <w:rsid w:val="068B1084"/>
    <w:rsid w:val="06AD4581"/>
    <w:rsid w:val="06EC7FC1"/>
    <w:rsid w:val="07076AD1"/>
    <w:rsid w:val="07182E92"/>
    <w:rsid w:val="07394586"/>
    <w:rsid w:val="075C5640"/>
    <w:rsid w:val="077B5E33"/>
    <w:rsid w:val="078F7797"/>
    <w:rsid w:val="079E1FAD"/>
    <w:rsid w:val="07B04D1A"/>
    <w:rsid w:val="07D357F7"/>
    <w:rsid w:val="08257CF3"/>
    <w:rsid w:val="08346591"/>
    <w:rsid w:val="08485B98"/>
    <w:rsid w:val="088260AD"/>
    <w:rsid w:val="088F37C7"/>
    <w:rsid w:val="08990786"/>
    <w:rsid w:val="08DD3217"/>
    <w:rsid w:val="09662FA3"/>
    <w:rsid w:val="096C62F3"/>
    <w:rsid w:val="099152CC"/>
    <w:rsid w:val="09EA6D73"/>
    <w:rsid w:val="0A066970"/>
    <w:rsid w:val="0A516862"/>
    <w:rsid w:val="0A6E1A2E"/>
    <w:rsid w:val="0A8045BA"/>
    <w:rsid w:val="0A9150DF"/>
    <w:rsid w:val="0A9468B7"/>
    <w:rsid w:val="0AAF0151"/>
    <w:rsid w:val="0AB90073"/>
    <w:rsid w:val="0AE60A67"/>
    <w:rsid w:val="0B0009AC"/>
    <w:rsid w:val="0B0170B0"/>
    <w:rsid w:val="0B1E6DA1"/>
    <w:rsid w:val="0B2D4C26"/>
    <w:rsid w:val="0B5605CC"/>
    <w:rsid w:val="0B8E1E11"/>
    <w:rsid w:val="0BAB5EDC"/>
    <w:rsid w:val="0BBD15A9"/>
    <w:rsid w:val="0BF52573"/>
    <w:rsid w:val="0C012C2E"/>
    <w:rsid w:val="0C460284"/>
    <w:rsid w:val="0C6A5BE2"/>
    <w:rsid w:val="0C7646F6"/>
    <w:rsid w:val="0C8A3AF3"/>
    <w:rsid w:val="0CCF3232"/>
    <w:rsid w:val="0D006D19"/>
    <w:rsid w:val="0D2B56A9"/>
    <w:rsid w:val="0D9403D7"/>
    <w:rsid w:val="0DA74C8B"/>
    <w:rsid w:val="0DC12675"/>
    <w:rsid w:val="0DDD0AFB"/>
    <w:rsid w:val="0DE851E0"/>
    <w:rsid w:val="0DFD0446"/>
    <w:rsid w:val="0E9731FF"/>
    <w:rsid w:val="0EBE0962"/>
    <w:rsid w:val="0EF71B93"/>
    <w:rsid w:val="0F20786F"/>
    <w:rsid w:val="0F344D4E"/>
    <w:rsid w:val="0F42433C"/>
    <w:rsid w:val="0F656BCB"/>
    <w:rsid w:val="0F722819"/>
    <w:rsid w:val="0FBA7927"/>
    <w:rsid w:val="0FDD306A"/>
    <w:rsid w:val="1030763E"/>
    <w:rsid w:val="104E3D90"/>
    <w:rsid w:val="10A64742"/>
    <w:rsid w:val="10E40B72"/>
    <w:rsid w:val="10ED00FF"/>
    <w:rsid w:val="117C710E"/>
    <w:rsid w:val="11D010D8"/>
    <w:rsid w:val="11EB1D02"/>
    <w:rsid w:val="11F8062F"/>
    <w:rsid w:val="12C21877"/>
    <w:rsid w:val="12C447EF"/>
    <w:rsid w:val="12E50015"/>
    <w:rsid w:val="131D659F"/>
    <w:rsid w:val="133631BD"/>
    <w:rsid w:val="13CE33F5"/>
    <w:rsid w:val="13D457DF"/>
    <w:rsid w:val="13D94AED"/>
    <w:rsid w:val="1444633F"/>
    <w:rsid w:val="14566C51"/>
    <w:rsid w:val="14627FE2"/>
    <w:rsid w:val="15065316"/>
    <w:rsid w:val="152F75DF"/>
    <w:rsid w:val="153E5F69"/>
    <w:rsid w:val="15455D50"/>
    <w:rsid w:val="156C1118"/>
    <w:rsid w:val="15701C8A"/>
    <w:rsid w:val="15A20FDE"/>
    <w:rsid w:val="15B85453"/>
    <w:rsid w:val="15BA6585"/>
    <w:rsid w:val="15CF09E8"/>
    <w:rsid w:val="15E53773"/>
    <w:rsid w:val="15EB4733"/>
    <w:rsid w:val="1647748F"/>
    <w:rsid w:val="169D22F9"/>
    <w:rsid w:val="16B95555"/>
    <w:rsid w:val="16CB4232"/>
    <w:rsid w:val="17283764"/>
    <w:rsid w:val="173D1022"/>
    <w:rsid w:val="173E11A0"/>
    <w:rsid w:val="174920DB"/>
    <w:rsid w:val="174F5D45"/>
    <w:rsid w:val="175C434E"/>
    <w:rsid w:val="177B2109"/>
    <w:rsid w:val="17837148"/>
    <w:rsid w:val="18021930"/>
    <w:rsid w:val="18123387"/>
    <w:rsid w:val="18131A3E"/>
    <w:rsid w:val="186D3A8A"/>
    <w:rsid w:val="18727E74"/>
    <w:rsid w:val="18963BDD"/>
    <w:rsid w:val="189D1BA5"/>
    <w:rsid w:val="18A3718E"/>
    <w:rsid w:val="18CB656C"/>
    <w:rsid w:val="18D9227C"/>
    <w:rsid w:val="195A59D4"/>
    <w:rsid w:val="196713CA"/>
    <w:rsid w:val="196A0064"/>
    <w:rsid w:val="19CB62FD"/>
    <w:rsid w:val="19DD25E4"/>
    <w:rsid w:val="19E226C1"/>
    <w:rsid w:val="19FC25AF"/>
    <w:rsid w:val="1A055C30"/>
    <w:rsid w:val="1A2F6BB8"/>
    <w:rsid w:val="1A3876A5"/>
    <w:rsid w:val="1A39077E"/>
    <w:rsid w:val="1A5308F3"/>
    <w:rsid w:val="1AB05F4B"/>
    <w:rsid w:val="1B1E22F3"/>
    <w:rsid w:val="1B275D87"/>
    <w:rsid w:val="1B6535D3"/>
    <w:rsid w:val="1B764745"/>
    <w:rsid w:val="1B7931F6"/>
    <w:rsid w:val="1B8D4363"/>
    <w:rsid w:val="1B974A15"/>
    <w:rsid w:val="1BCA303C"/>
    <w:rsid w:val="1BD417C5"/>
    <w:rsid w:val="1BF5598D"/>
    <w:rsid w:val="1C532EB7"/>
    <w:rsid w:val="1C5A73B6"/>
    <w:rsid w:val="1C6D22B3"/>
    <w:rsid w:val="1C8D4400"/>
    <w:rsid w:val="1C974979"/>
    <w:rsid w:val="1D087611"/>
    <w:rsid w:val="1D0A6CE0"/>
    <w:rsid w:val="1D37200B"/>
    <w:rsid w:val="1D481582"/>
    <w:rsid w:val="1D5B0607"/>
    <w:rsid w:val="1DA11C1E"/>
    <w:rsid w:val="1DB4365C"/>
    <w:rsid w:val="1DD94135"/>
    <w:rsid w:val="1DF95A64"/>
    <w:rsid w:val="1DFC3255"/>
    <w:rsid w:val="1E111BED"/>
    <w:rsid w:val="1E2C43AB"/>
    <w:rsid w:val="1E6A2CB3"/>
    <w:rsid w:val="1E6E393B"/>
    <w:rsid w:val="1E6F1C79"/>
    <w:rsid w:val="1EAC6868"/>
    <w:rsid w:val="1EDA68CA"/>
    <w:rsid w:val="1EDC6AF8"/>
    <w:rsid w:val="1F6D2CE6"/>
    <w:rsid w:val="1F6E6866"/>
    <w:rsid w:val="1F982177"/>
    <w:rsid w:val="1FA36C46"/>
    <w:rsid w:val="1FC42E37"/>
    <w:rsid w:val="1FE54962"/>
    <w:rsid w:val="1FE77225"/>
    <w:rsid w:val="1FE84DF0"/>
    <w:rsid w:val="200F1190"/>
    <w:rsid w:val="204333BD"/>
    <w:rsid w:val="205D5FA8"/>
    <w:rsid w:val="20992FDD"/>
    <w:rsid w:val="209C059A"/>
    <w:rsid w:val="20D50792"/>
    <w:rsid w:val="20E33558"/>
    <w:rsid w:val="211511F2"/>
    <w:rsid w:val="21182134"/>
    <w:rsid w:val="21466CC1"/>
    <w:rsid w:val="21813145"/>
    <w:rsid w:val="21EA3EB5"/>
    <w:rsid w:val="220D3C83"/>
    <w:rsid w:val="221074A4"/>
    <w:rsid w:val="221D1382"/>
    <w:rsid w:val="2228208E"/>
    <w:rsid w:val="22A86A68"/>
    <w:rsid w:val="22A91EF0"/>
    <w:rsid w:val="22BD2B48"/>
    <w:rsid w:val="22CE1EC0"/>
    <w:rsid w:val="23021A8B"/>
    <w:rsid w:val="23151041"/>
    <w:rsid w:val="2351194D"/>
    <w:rsid w:val="235C138F"/>
    <w:rsid w:val="238F4674"/>
    <w:rsid w:val="23CD5F1F"/>
    <w:rsid w:val="2432269A"/>
    <w:rsid w:val="24F41775"/>
    <w:rsid w:val="25144BD8"/>
    <w:rsid w:val="252325D5"/>
    <w:rsid w:val="254A4736"/>
    <w:rsid w:val="25537BFE"/>
    <w:rsid w:val="25AE211A"/>
    <w:rsid w:val="25B06DFF"/>
    <w:rsid w:val="25C52C22"/>
    <w:rsid w:val="26163F51"/>
    <w:rsid w:val="2649655F"/>
    <w:rsid w:val="26551754"/>
    <w:rsid w:val="26837B4D"/>
    <w:rsid w:val="269B556C"/>
    <w:rsid w:val="269D439B"/>
    <w:rsid w:val="26BE269F"/>
    <w:rsid w:val="26F31699"/>
    <w:rsid w:val="26F71427"/>
    <w:rsid w:val="26FB6573"/>
    <w:rsid w:val="270C052C"/>
    <w:rsid w:val="27630BB4"/>
    <w:rsid w:val="277A5916"/>
    <w:rsid w:val="27822A1D"/>
    <w:rsid w:val="27B32BD6"/>
    <w:rsid w:val="27B4665D"/>
    <w:rsid w:val="27EC60E8"/>
    <w:rsid w:val="27EF7742"/>
    <w:rsid w:val="28773C04"/>
    <w:rsid w:val="28C36E49"/>
    <w:rsid w:val="28CA14AA"/>
    <w:rsid w:val="29031040"/>
    <w:rsid w:val="293B3B94"/>
    <w:rsid w:val="29824F56"/>
    <w:rsid w:val="29A529F3"/>
    <w:rsid w:val="29ED27BF"/>
    <w:rsid w:val="2A007C29"/>
    <w:rsid w:val="2A034098"/>
    <w:rsid w:val="2A070FB7"/>
    <w:rsid w:val="2A1F09F7"/>
    <w:rsid w:val="2A256F51"/>
    <w:rsid w:val="2A550F10"/>
    <w:rsid w:val="2A602CEB"/>
    <w:rsid w:val="2A8314DC"/>
    <w:rsid w:val="2AA273CE"/>
    <w:rsid w:val="2AB42E28"/>
    <w:rsid w:val="2AB658CF"/>
    <w:rsid w:val="2AC04B31"/>
    <w:rsid w:val="2AD33150"/>
    <w:rsid w:val="2AD950A6"/>
    <w:rsid w:val="2B163BA8"/>
    <w:rsid w:val="2B2D0E36"/>
    <w:rsid w:val="2B432F9E"/>
    <w:rsid w:val="2B5327A4"/>
    <w:rsid w:val="2B7D3C27"/>
    <w:rsid w:val="2B7E21C2"/>
    <w:rsid w:val="2BEA293F"/>
    <w:rsid w:val="2C1339D0"/>
    <w:rsid w:val="2C205406"/>
    <w:rsid w:val="2C4E6BA6"/>
    <w:rsid w:val="2C5D1363"/>
    <w:rsid w:val="2C815E97"/>
    <w:rsid w:val="2CC80C71"/>
    <w:rsid w:val="2CC87124"/>
    <w:rsid w:val="2CF471A3"/>
    <w:rsid w:val="2D0F07B8"/>
    <w:rsid w:val="2D312158"/>
    <w:rsid w:val="2D340E8A"/>
    <w:rsid w:val="2D4B38B1"/>
    <w:rsid w:val="2D5E3F1B"/>
    <w:rsid w:val="2D865769"/>
    <w:rsid w:val="2D8B3E9F"/>
    <w:rsid w:val="2D8D3046"/>
    <w:rsid w:val="2DAF3E40"/>
    <w:rsid w:val="2DD76263"/>
    <w:rsid w:val="2DF81343"/>
    <w:rsid w:val="2DF86CA2"/>
    <w:rsid w:val="2E492C55"/>
    <w:rsid w:val="2E4E36DF"/>
    <w:rsid w:val="2E646D5B"/>
    <w:rsid w:val="2E6D0DE7"/>
    <w:rsid w:val="2E8F27D5"/>
    <w:rsid w:val="2E951288"/>
    <w:rsid w:val="2EAA3725"/>
    <w:rsid w:val="2EB37960"/>
    <w:rsid w:val="2EF11677"/>
    <w:rsid w:val="2F471347"/>
    <w:rsid w:val="2F4D2226"/>
    <w:rsid w:val="2F6A5EEE"/>
    <w:rsid w:val="2F8512FC"/>
    <w:rsid w:val="3004447C"/>
    <w:rsid w:val="30124054"/>
    <w:rsid w:val="301C0893"/>
    <w:rsid w:val="30497155"/>
    <w:rsid w:val="306C426A"/>
    <w:rsid w:val="311F74EF"/>
    <w:rsid w:val="31347E6C"/>
    <w:rsid w:val="313E669D"/>
    <w:rsid w:val="3148438F"/>
    <w:rsid w:val="315346CB"/>
    <w:rsid w:val="31BE1181"/>
    <w:rsid w:val="321006B4"/>
    <w:rsid w:val="32110C25"/>
    <w:rsid w:val="322D6BF6"/>
    <w:rsid w:val="322F2868"/>
    <w:rsid w:val="32326DEE"/>
    <w:rsid w:val="323B6377"/>
    <w:rsid w:val="32465725"/>
    <w:rsid w:val="325A54D6"/>
    <w:rsid w:val="326A47D9"/>
    <w:rsid w:val="326F1BCF"/>
    <w:rsid w:val="330253ED"/>
    <w:rsid w:val="33AB6E58"/>
    <w:rsid w:val="33C624E6"/>
    <w:rsid w:val="33CE105B"/>
    <w:rsid w:val="33D75676"/>
    <w:rsid w:val="3445105A"/>
    <w:rsid w:val="34B1049E"/>
    <w:rsid w:val="34B12349"/>
    <w:rsid w:val="3504480F"/>
    <w:rsid w:val="350A0614"/>
    <w:rsid w:val="358E71DB"/>
    <w:rsid w:val="36321AB2"/>
    <w:rsid w:val="366A124C"/>
    <w:rsid w:val="36927D93"/>
    <w:rsid w:val="36C50230"/>
    <w:rsid w:val="36DB1DC5"/>
    <w:rsid w:val="37723797"/>
    <w:rsid w:val="383275BB"/>
    <w:rsid w:val="38373F3D"/>
    <w:rsid w:val="3837515E"/>
    <w:rsid w:val="383E473E"/>
    <w:rsid w:val="38FE7A29"/>
    <w:rsid w:val="39231149"/>
    <w:rsid w:val="395E48BA"/>
    <w:rsid w:val="395F7F8F"/>
    <w:rsid w:val="3968653F"/>
    <w:rsid w:val="397220CE"/>
    <w:rsid w:val="39921F91"/>
    <w:rsid w:val="39AD23E7"/>
    <w:rsid w:val="39E032BD"/>
    <w:rsid w:val="3A5B316A"/>
    <w:rsid w:val="3A68271C"/>
    <w:rsid w:val="3A772862"/>
    <w:rsid w:val="3AF116FF"/>
    <w:rsid w:val="3AF86A86"/>
    <w:rsid w:val="3AFE1F63"/>
    <w:rsid w:val="3B0C0B24"/>
    <w:rsid w:val="3B5233F8"/>
    <w:rsid w:val="3B591601"/>
    <w:rsid w:val="3B606E65"/>
    <w:rsid w:val="3B6716F1"/>
    <w:rsid w:val="3B6B584A"/>
    <w:rsid w:val="3B732951"/>
    <w:rsid w:val="3BBE3C57"/>
    <w:rsid w:val="3BC82DB6"/>
    <w:rsid w:val="3BCD700A"/>
    <w:rsid w:val="3C1F3929"/>
    <w:rsid w:val="3C2D4BF2"/>
    <w:rsid w:val="3C44609B"/>
    <w:rsid w:val="3C5479F0"/>
    <w:rsid w:val="3C7F7A11"/>
    <w:rsid w:val="3C9812D8"/>
    <w:rsid w:val="3D0F77D2"/>
    <w:rsid w:val="3D346474"/>
    <w:rsid w:val="3D525AB7"/>
    <w:rsid w:val="3DCD6C0E"/>
    <w:rsid w:val="3DDA2813"/>
    <w:rsid w:val="3DEA430D"/>
    <w:rsid w:val="3DF80EEB"/>
    <w:rsid w:val="3E240530"/>
    <w:rsid w:val="3E946FAE"/>
    <w:rsid w:val="3EDC4A77"/>
    <w:rsid w:val="3F0D09C6"/>
    <w:rsid w:val="3F125FDD"/>
    <w:rsid w:val="3F4E17A1"/>
    <w:rsid w:val="3F732F1F"/>
    <w:rsid w:val="3F7A3E2D"/>
    <w:rsid w:val="3FA62633"/>
    <w:rsid w:val="3FA86624"/>
    <w:rsid w:val="3FB35B31"/>
    <w:rsid w:val="3FC92B3F"/>
    <w:rsid w:val="3FFB6821"/>
    <w:rsid w:val="40141036"/>
    <w:rsid w:val="403F7286"/>
    <w:rsid w:val="407961F5"/>
    <w:rsid w:val="40995FC1"/>
    <w:rsid w:val="41250249"/>
    <w:rsid w:val="4130417C"/>
    <w:rsid w:val="41407EC0"/>
    <w:rsid w:val="41C9151C"/>
    <w:rsid w:val="41F83BB0"/>
    <w:rsid w:val="422642B7"/>
    <w:rsid w:val="422E1AC1"/>
    <w:rsid w:val="430622FC"/>
    <w:rsid w:val="431D0041"/>
    <w:rsid w:val="43223930"/>
    <w:rsid w:val="43454BD3"/>
    <w:rsid w:val="43474BF5"/>
    <w:rsid w:val="43A96B98"/>
    <w:rsid w:val="43AC21B1"/>
    <w:rsid w:val="43DB230D"/>
    <w:rsid w:val="44064E88"/>
    <w:rsid w:val="449D7C3D"/>
    <w:rsid w:val="44C5059A"/>
    <w:rsid w:val="44E62577"/>
    <w:rsid w:val="44F245BB"/>
    <w:rsid w:val="45096343"/>
    <w:rsid w:val="450A60D4"/>
    <w:rsid w:val="451900C5"/>
    <w:rsid w:val="451F40DB"/>
    <w:rsid w:val="45394396"/>
    <w:rsid w:val="455C26A8"/>
    <w:rsid w:val="45941E41"/>
    <w:rsid w:val="45A2210C"/>
    <w:rsid w:val="45F138A6"/>
    <w:rsid w:val="45F66658"/>
    <w:rsid w:val="462540D9"/>
    <w:rsid w:val="463F1DAD"/>
    <w:rsid w:val="46425A44"/>
    <w:rsid w:val="46582C0C"/>
    <w:rsid w:val="46804131"/>
    <w:rsid w:val="46A240EA"/>
    <w:rsid w:val="46E961D2"/>
    <w:rsid w:val="46F81F5C"/>
    <w:rsid w:val="470E5B90"/>
    <w:rsid w:val="473E2065"/>
    <w:rsid w:val="475278BE"/>
    <w:rsid w:val="476A2E5A"/>
    <w:rsid w:val="478D6B48"/>
    <w:rsid w:val="47C051E6"/>
    <w:rsid w:val="481964C7"/>
    <w:rsid w:val="482B293D"/>
    <w:rsid w:val="48BA396D"/>
    <w:rsid w:val="48E02DD2"/>
    <w:rsid w:val="49111098"/>
    <w:rsid w:val="49500EB0"/>
    <w:rsid w:val="495A4490"/>
    <w:rsid w:val="49E27FBB"/>
    <w:rsid w:val="4A00387D"/>
    <w:rsid w:val="4A144952"/>
    <w:rsid w:val="4A2D5E79"/>
    <w:rsid w:val="4A5A28E0"/>
    <w:rsid w:val="4A5D06D3"/>
    <w:rsid w:val="4A7337AA"/>
    <w:rsid w:val="4A956A48"/>
    <w:rsid w:val="4A9D3546"/>
    <w:rsid w:val="4AA345EA"/>
    <w:rsid w:val="4ACC708A"/>
    <w:rsid w:val="4B004A02"/>
    <w:rsid w:val="4B671EC4"/>
    <w:rsid w:val="4B763189"/>
    <w:rsid w:val="4B854F29"/>
    <w:rsid w:val="4B895879"/>
    <w:rsid w:val="4BE83244"/>
    <w:rsid w:val="4BF47196"/>
    <w:rsid w:val="4BFC4545"/>
    <w:rsid w:val="4C594FEC"/>
    <w:rsid w:val="4C7933C9"/>
    <w:rsid w:val="4CFA3F39"/>
    <w:rsid w:val="4D1148EF"/>
    <w:rsid w:val="4D1473C4"/>
    <w:rsid w:val="4D2D0CA2"/>
    <w:rsid w:val="4D383CAF"/>
    <w:rsid w:val="4D4F4131"/>
    <w:rsid w:val="4D572F42"/>
    <w:rsid w:val="4D665BC0"/>
    <w:rsid w:val="4D834E69"/>
    <w:rsid w:val="4DA63725"/>
    <w:rsid w:val="4DE76563"/>
    <w:rsid w:val="4E094A4F"/>
    <w:rsid w:val="4E253663"/>
    <w:rsid w:val="4E2B4851"/>
    <w:rsid w:val="4E5008D0"/>
    <w:rsid w:val="4EDC0533"/>
    <w:rsid w:val="4F151481"/>
    <w:rsid w:val="4F804625"/>
    <w:rsid w:val="50151F84"/>
    <w:rsid w:val="503C3D81"/>
    <w:rsid w:val="50473098"/>
    <w:rsid w:val="504A1CFF"/>
    <w:rsid w:val="50965859"/>
    <w:rsid w:val="50B77BF2"/>
    <w:rsid w:val="513B52C9"/>
    <w:rsid w:val="515C1A30"/>
    <w:rsid w:val="52117353"/>
    <w:rsid w:val="52494A02"/>
    <w:rsid w:val="52865879"/>
    <w:rsid w:val="5295586B"/>
    <w:rsid w:val="52D57AC8"/>
    <w:rsid w:val="52D96A05"/>
    <w:rsid w:val="52FE07BE"/>
    <w:rsid w:val="53373E0C"/>
    <w:rsid w:val="53405EC0"/>
    <w:rsid w:val="5345144F"/>
    <w:rsid w:val="538751C0"/>
    <w:rsid w:val="53B6228C"/>
    <w:rsid w:val="53E962A8"/>
    <w:rsid w:val="53F24668"/>
    <w:rsid w:val="541F40C5"/>
    <w:rsid w:val="54305066"/>
    <w:rsid w:val="544A09CE"/>
    <w:rsid w:val="545D3EE8"/>
    <w:rsid w:val="549A28A4"/>
    <w:rsid w:val="54D264E2"/>
    <w:rsid w:val="557C66F9"/>
    <w:rsid w:val="557D0B41"/>
    <w:rsid w:val="55D02A22"/>
    <w:rsid w:val="56371627"/>
    <w:rsid w:val="5674302A"/>
    <w:rsid w:val="571F20C0"/>
    <w:rsid w:val="57A50A53"/>
    <w:rsid w:val="57AE0494"/>
    <w:rsid w:val="57BD5228"/>
    <w:rsid w:val="57D032AB"/>
    <w:rsid w:val="582B2191"/>
    <w:rsid w:val="58DE7204"/>
    <w:rsid w:val="58E42340"/>
    <w:rsid w:val="59123351"/>
    <w:rsid w:val="59700AB8"/>
    <w:rsid w:val="59BF16A6"/>
    <w:rsid w:val="59C26B25"/>
    <w:rsid w:val="59FC6244"/>
    <w:rsid w:val="5A2B586E"/>
    <w:rsid w:val="5A3F23A2"/>
    <w:rsid w:val="5ADF316A"/>
    <w:rsid w:val="5AE900E2"/>
    <w:rsid w:val="5AEE501D"/>
    <w:rsid w:val="5B070988"/>
    <w:rsid w:val="5B1E687A"/>
    <w:rsid w:val="5B394D7A"/>
    <w:rsid w:val="5B457908"/>
    <w:rsid w:val="5B5E63DA"/>
    <w:rsid w:val="5B724E0C"/>
    <w:rsid w:val="5BB22BCA"/>
    <w:rsid w:val="5BDC5FFE"/>
    <w:rsid w:val="5BDD3BC6"/>
    <w:rsid w:val="5BE70A71"/>
    <w:rsid w:val="5BEA5EBF"/>
    <w:rsid w:val="5BEF1799"/>
    <w:rsid w:val="5C096F94"/>
    <w:rsid w:val="5C0A6562"/>
    <w:rsid w:val="5C0C4088"/>
    <w:rsid w:val="5C92009A"/>
    <w:rsid w:val="5CCA451B"/>
    <w:rsid w:val="5CF615B6"/>
    <w:rsid w:val="5D065436"/>
    <w:rsid w:val="5D704AEA"/>
    <w:rsid w:val="5D7A35BA"/>
    <w:rsid w:val="5D8D464B"/>
    <w:rsid w:val="5D92222A"/>
    <w:rsid w:val="5D9F1D8F"/>
    <w:rsid w:val="5DCD3EA9"/>
    <w:rsid w:val="5DFB4C7D"/>
    <w:rsid w:val="5E27164D"/>
    <w:rsid w:val="5E2C174B"/>
    <w:rsid w:val="5E306A25"/>
    <w:rsid w:val="5E433256"/>
    <w:rsid w:val="5E6677EE"/>
    <w:rsid w:val="5E9C0C3E"/>
    <w:rsid w:val="5ECA6CBC"/>
    <w:rsid w:val="5EE56057"/>
    <w:rsid w:val="5F243219"/>
    <w:rsid w:val="5F3C3A4D"/>
    <w:rsid w:val="5F9A3692"/>
    <w:rsid w:val="5FA8692E"/>
    <w:rsid w:val="60204A29"/>
    <w:rsid w:val="602F2A3B"/>
    <w:rsid w:val="60815CCC"/>
    <w:rsid w:val="608332BF"/>
    <w:rsid w:val="60C949C4"/>
    <w:rsid w:val="60E12AC3"/>
    <w:rsid w:val="612E1DF9"/>
    <w:rsid w:val="613F280A"/>
    <w:rsid w:val="614B4949"/>
    <w:rsid w:val="618D5C6B"/>
    <w:rsid w:val="61B227FB"/>
    <w:rsid w:val="61BC20AC"/>
    <w:rsid w:val="61C3168D"/>
    <w:rsid w:val="61E0223F"/>
    <w:rsid w:val="623C7045"/>
    <w:rsid w:val="62417061"/>
    <w:rsid w:val="627819D5"/>
    <w:rsid w:val="62D96C8E"/>
    <w:rsid w:val="62F97BBA"/>
    <w:rsid w:val="63225184"/>
    <w:rsid w:val="63911317"/>
    <w:rsid w:val="63D92950"/>
    <w:rsid w:val="63EC71C5"/>
    <w:rsid w:val="646D28A2"/>
    <w:rsid w:val="64E060B2"/>
    <w:rsid w:val="64EC12CA"/>
    <w:rsid w:val="65051FBC"/>
    <w:rsid w:val="652C579B"/>
    <w:rsid w:val="65323ACD"/>
    <w:rsid w:val="654A79CF"/>
    <w:rsid w:val="657A4758"/>
    <w:rsid w:val="65920F76"/>
    <w:rsid w:val="65D42AD7"/>
    <w:rsid w:val="660C17FF"/>
    <w:rsid w:val="6639016F"/>
    <w:rsid w:val="6687372F"/>
    <w:rsid w:val="66FB15D9"/>
    <w:rsid w:val="679F4002"/>
    <w:rsid w:val="686C45DD"/>
    <w:rsid w:val="68863414"/>
    <w:rsid w:val="688D6792"/>
    <w:rsid w:val="68B06C88"/>
    <w:rsid w:val="691F2A27"/>
    <w:rsid w:val="693E3CEF"/>
    <w:rsid w:val="69787200"/>
    <w:rsid w:val="69921E77"/>
    <w:rsid w:val="69D361E5"/>
    <w:rsid w:val="6A371FDC"/>
    <w:rsid w:val="6A3824EC"/>
    <w:rsid w:val="6A606F1F"/>
    <w:rsid w:val="6AAF1D0A"/>
    <w:rsid w:val="6AEB5D91"/>
    <w:rsid w:val="6AF26B3F"/>
    <w:rsid w:val="6B057B25"/>
    <w:rsid w:val="6B382261"/>
    <w:rsid w:val="6B680032"/>
    <w:rsid w:val="6B781BDB"/>
    <w:rsid w:val="6BAD1792"/>
    <w:rsid w:val="6BDA5F51"/>
    <w:rsid w:val="6BED480A"/>
    <w:rsid w:val="6BEF39AA"/>
    <w:rsid w:val="6C14448C"/>
    <w:rsid w:val="6C1B3547"/>
    <w:rsid w:val="6C270EF5"/>
    <w:rsid w:val="6C271156"/>
    <w:rsid w:val="6C4369B9"/>
    <w:rsid w:val="6C672563"/>
    <w:rsid w:val="6C864015"/>
    <w:rsid w:val="6C891725"/>
    <w:rsid w:val="6D1572C2"/>
    <w:rsid w:val="6D5910F7"/>
    <w:rsid w:val="6D7F0FEA"/>
    <w:rsid w:val="6D810225"/>
    <w:rsid w:val="6DA07D03"/>
    <w:rsid w:val="6DB81974"/>
    <w:rsid w:val="6E0C70D8"/>
    <w:rsid w:val="6E245261"/>
    <w:rsid w:val="6E26547D"/>
    <w:rsid w:val="6E375C7F"/>
    <w:rsid w:val="6E53482F"/>
    <w:rsid w:val="6E6F7117"/>
    <w:rsid w:val="6E777DD9"/>
    <w:rsid w:val="6E7E1614"/>
    <w:rsid w:val="6E877687"/>
    <w:rsid w:val="6E922B12"/>
    <w:rsid w:val="6F0137F4"/>
    <w:rsid w:val="6F2B261F"/>
    <w:rsid w:val="6FC058D2"/>
    <w:rsid w:val="6FE978C3"/>
    <w:rsid w:val="6FEF751F"/>
    <w:rsid w:val="6FF375E1"/>
    <w:rsid w:val="70455E72"/>
    <w:rsid w:val="70590E1E"/>
    <w:rsid w:val="70741DA4"/>
    <w:rsid w:val="708366A1"/>
    <w:rsid w:val="709541F4"/>
    <w:rsid w:val="70D07922"/>
    <w:rsid w:val="70D518B9"/>
    <w:rsid w:val="70E92792"/>
    <w:rsid w:val="71053F3B"/>
    <w:rsid w:val="710D46D2"/>
    <w:rsid w:val="711D41EA"/>
    <w:rsid w:val="711F1E21"/>
    <w:rsid w:val="717A1D8A"/>
    <w:rsid w:val="71856985"/>
    <w:rsid w:val="71B26913"/>
    <w:rsid w:val="720D3A76"/>
    <w:rsid w:val="721158D4"/>
    <w:rsid w:val="72362091"/>
    <w:rsid w:val="723C2BA7"/>
    <w:rsid w:val="7251239D"/>
    <w:rsid w:val="72606D56"/>
    <w:rsid w:val="72631751"/>
    <w:rsid w:val="726A68C4"/>
    <w:rsid w:val="727D343E"/>
    <w:rsid w:val="729A0270"/>
    <w:rsid w:val="729A3D44"/>
    <w:rsid w:val="72FE5054"/>
    <w:rsid w:val="731135B3"/>
    <w:rsid w:val="73212A30"/>
    <w:rsid w:val="734E2296"/>
    <w:rsid w:val="73536FA7"/>
    <w:rsid w:val="73557EAE"/>
    <w:rsid w:val="735E1C21"/>
    <w:rsid w:val="73657A55"/>
    <w:rsid w:val="737264BF"/>
    <w:rsid w:val="73C801DD"/>
    <w:rsid w:val="73EC3468"/>
    <w:rsid w:val="73F41B79"/>
    <w:rsid w:val="73FB2F08"/>
    <w:rsid w:val="7443040B"/>
    <w:rsid w:val="747A4CF9"/>
    <w:rsid w:val="74BC2C75"/>
    <w:rsid w:val="74CC1C95"/>
    <w:rsid w:val="74D32FD0"/>
    <w:rsid w:val="75063ED2"/>
    <w:rsid w:val="753A7A60"/>
    <w:rsid w:val="753D12FE"/>
    <w:rsid w:val="75492D16"/>
    <w:rsid w:val="75B01AD0"/>
    <w:rsid w:val="75BD6B5D"/>
    <w:rsid w:val="75D139FE"/>
    <w:rsid w:val="75E505AC"/>
    <w:rsid w:val="76EB3A6F"/>
    <w:rsid w:val="770245AD"/>
    <w:rsid w:val="77176CC8"/>
    <w:rsid w:val="771A36A5"/>
    <w:rsid w:val="77394113"/>
    <w:rsid w:val="77423BF9"/>
    <w:rsid w:val="775070C7"/>
    <w:rsid w:val="7766512B"/>
    <w:rsid w:val="78320EC2"/>
    <w:rsid w:val="78547BE1"/>
    <w:rsid w:val="78697F83"/>
    <w:rsid w:val="78736A27"/>
    <w:rsid w:val="789906AE"/>
    <w:rsid w:val="78BE1E6C"/>
    <w:rsid w:val="78CD2D94"/>
    <w:rsid w:val="78F341AE"/>
    <w:rsid w:val="790939DA"/>
    <w:rsid w:val="791A280E"/>
    <w:rsid w:val="793A1DDD"/>
    <w:rsid w:val="79416952"/>
    <w:rsid w:val="794A0071"/>
    <w:rsid w:val="798D2BB6"/>
    <w:rsid w:val="79A15072"/>
    <w:rsid w:val="79CC5BB7"/>
    <w:rsid w:val="79CE69C9"/>
    <w:rsid w:val="7A116598"/>
    <w:rsid w:val="7A6733C8"/>
    <w:rsid w:val="7A813A3B"/>
    <w:rsid w:val="7A8A28F0"/>
    <w:rsid w:val="7A9D2E9E"/>
    <w:rsid w:val="7AD96A57"/>
    <w:rsid w:val="7AF77DF6"/>
    <w:rsid w:val="7B0F0D14"/>
    <w:rsid w:val="7B2E5BFA"/>
    <w:rsid w:val="7B816BA7"/>
    <w:rsid w:val="7BA11262"/>
    <w:rsid w:val="7BC97448"/>
    <w:rsid w:val="7BCB3124"/>
    <w:rsid w:val="7C142DB9"/>
    <w:rsid w:val="7C6A3700"/>
    <w:rsid w:val="7C99506C"/>
    <w:rsid w:val="7CC23F58"/>
    <w:rsid w:val="7CF3191D"/>
    <w:rsid w:val="7D056BA5"/>
    <w:rsid w:val="7D0C548C"/>
    <w:rsid w:val="7D0C7645"/>
    <w:rsid w:val="7D1B67E2"/>
    <w:rsid w:val="7D1E3249"/>
    <w:rsid w:val="7D293B0E"/>
    <w:rsid w:val="7D3E2AB5"/>
    <w:rsid w:val="7D4704DD"/>
    <w:rsid w:val="7D532B46"/>
    <w:rsid w:val="7D7004C3"/>
    <w:rsid w:val="7D9D6DDE"/>
    <w:rsid w:val="7DA939D5"/>
    <w:rsid w:val="7DC223A1"/>
    <w:rsid w:val="7DC66335"/>
    <w:rsid w:val="7DEF696A"/>
    <w:rsid w:val="7E045857"/>
    <w:rsid w:val="7E1150D6"/>
    <w:rsid w:val="7E181F1E"/>
    <w:rsid w:val="7E6F38EB"/>
    <w:rsid w:val="7EB17B65"/>
    <w:rsid w:val="7ECA59B1"/>
    <w:rsid w:val="7ED260AE"/>
    <w:rsid w:val="7EFF627C"/>
    <w:rsid w:val="7F046D4F"/>
    <w:rsid w:val="7F2354E4"/>
    <w:rsid w:val="7F844559"/>
    <w:rsid w:val="7F8A3D51"/>
    <w:rsid w:val="7F994EE9"/>
    <w:rsid w:val="7FA52759"/>
    <w:rsid w:val="7FD00D3D"/>
    <w:rsid w:val="7FD12D6F"/>
    <w:rsid w:val="7FEE3C4E"/>
    <w:rsid w:val="7FFB7DE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iPriority="0" w:semiHidden="0" w:name="index 2"/>
    <w:lsdException w:qFormat="1" w:uiPriority="0" w:semiHidden="0" w:name="index 3"/>
    <w:lsdException w:qFormat="1" w:uiPriority="0" w:semiHidden="0" w:name="index 4"/>
    <w:lsdException w:qFormat="1" w:uiPriority="0" w:semiHidden="0" w:name="index 5"/>
    <w:lsdException w:qFormat="1" w:uiPriority="0" w:semiHidden="0" w:name="index 6"/>
    <w:lsdException w:qFormat="1" w:uiPriority="0" w:semiHidden="0" w:name="index 7"/>
    <w:lsdException w:qFormat="1" w:uiPriority="0" w:semiHidden="0" w:name="index 8"/>
    <w:lsdException w:qFormat="1" w:uiPriority="0" w:semiHidden="0" w:name="index 9"/>
    <w:lsdException w:qFormat="1" w:unhideWhenUsed="0" w:uiPriority="39" w:semiHidden="0" w:name="toc 1"/>
    <w:lsdException w:qFormat="1" w:uiPriority="0"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nhideWhenUsed="0" w:uiPriority="0" w:semiHidden="0" w:name="footer"/>
    <w:lsdException w:qFormat="1" w:uiPriority="0" w:semiHidden="0" w:name="index heading"/>
    <w:lsdException w:qFormat="1" w:unhideWhenUsed="0" w:uiPriority="0" w:semiHidden="0" w:name="caption"/>
    <w:lsdException w:qFormat="1" w:uiPriority="0" w:semiHidden="0" w:name="table of figures"/>
    <w:lsdException w:qFormat="1" w:uiPriority="0" w:semiHidden="0" w:name="envelope address"/>
    <w:lsdException w:qFormat="1" w:uiPriority="0" w:semiHidden="0" w:name="envelope return"/>
    <w:lsdException w:qFormat="1" w:unhideWhenUsed="0" w:uiPriority="0" w:semiHidden="0" w:name="footnote reference"/>
    <w:lsdException w:qFormat="1" w:unhideWhenUsed="0" w:uiPriority="0" w:semiHidden="0" w:name="annotation reference"/>
    <w:lsdException w:qFormat="1" w:uiPriority="0" w:name="line number"/>
    <w:lsdException w:qFormat="1" w:unhideWhenUsed="0" w:uiPriority="0" w:semiHidden="0" w:name="page number"/>
    <w:lsdException w:uiPriority="99" w:name="endnote reference"/>
    <w:lsdException w:qFormat="1" w:uiPriority="99" w:semiHidden="0" w:name="endnote text"/>
    <w:lsdException w:qFormat="1" w:uiPriority="0" w:semiHidden="0" w:name="table of authorities"/>
    <w:lsdException w:qFormat="1" w:uiPriority="99" w:semiHidden="0" w:name="macro"/>
    <w:lsdException w:qFormat="1" w:uiPriority="0" w:semiHidden="0" w:name="toa heading"/>
    <w:lsdException w:qFormat="1" w:uiPriority="0" w:semiHidden="0" w:name="List"/>
    <w:lsdException w:qFormat="1" w:uiPriority="0" w:semiHidden="0" w:name="List Bullet"/>
    <w:lsdException w:qFormat="1" w:unhideWhenUsed="0" w:uiPriority="0" w:semiHidden="0" w:name="List Number"/>
    <w:lsdException w:qFormat="1" w:uiPriority="0" w:semiHidden="0" w:name="List 2"/>
    <w:lsdException w:qFormat="1" w:uiPriority="0" w:semiHidden="0" w:name="List 3"/>
    <w:lsdException w:qFormat="1" w:uiPriority="0" w:semiHidden="0" w:name="List 4"/>
    <w:lsdException w:qFormat="1" w:uiPriority="0" w:semiHidden="0" w:name="List 5"/>
    <w:lsdException w:qFormat="1" w:uiPriority="0" w:semiHidden="0" w:name="List Bullet 2"/>
    <w:lsdException w:qFormat="1" w:unhideWhenUsed="0" w:uiPriority="0" w:semiHidden="0" w:name="List Bullet 3"/>
    <w:lsdException w:qFormat="1" w:uiPriority="0" w:semiHidden="0" w:name="List Bullet 4"/>
    <w:lsdException w:qFormat="1" w:uiPriority="0" w:semiHidden="0" w:name="List Bullet 5"/>
    <w:lsdException w:qFormat="1" w:uiPriority="0" w:semiHidden="0" w:name="List Number 2"/>
    <w:lsdException w:qFormat="1" w:uiPriority="0" w:semiHidden="0" w:name="List Number 3"/>
    <w:lsdException w:qFormat="1" w:uiPriority="0" w:semiHidden="0" w:name="List Number 4"/>
    <w:lsdException w:qFormat="1" w:uiPriority="0" w:semiHidden="0" w:name="List Number 5"/>
    <w:lsdException w:qFormat="1" w:unhideWhenUsed="0" w:uiPriority="0" w:semiHidden="0" w:name="Title"/>
    <w:lsdException w:qFormat="1" w:uiPriority="0" w:semiHidden="0" w:name="Closing"/>
    <w:lsdException w:qFormat="1" w:uiPriority="0" w:semiHidden="0" w:name="Signature"/>
    <w:lsdException w:qFormat="1" w:uiPriority="1" w:name="Default Paragraph Font"/>
    <w:lsdException w:qFormat="1" w:uiPriority="0" w:semiHidden="0" w:name="Body Text"/>
    <w:lsdException w:qFormat="1" w:uiPriority="0" w:semiHidden="0" w:name="Body Text Indent"/>
    <w:lsdException w:qFormat="1" w:uiPriority="0" w:semiHidden="0" w:name="List Continue"/>
    <w:lsdException w:qFormat="1" w:uiPriority="0" w:semiHidden="0" w:name="List Continue 2"/>
    <w:lsdException w:qFormat="1" w:uiPriority="0" w:semiHidden="0" w:name="List Continue 3"/>
    <w:lsdException w:qFormat="1" w:uiPriority="0" w:semiHidden="0" w:name="List Continue 4"/>
    <w:lsdException w:qFormat="1" w:uiPriority="0" w:semiHidden="0" w:name="List Continue 5"/>
    <w:lsdException w:qFormat="1" w:uiPriority="0" w:semiHidden="0" w:name="Message Header"/>
    <w:lsdException w:qFormat="1" w:unhideWhenUsed="0" w:uiPriority="0" w:semiHidden="0" w:name="Subtitle"/>
    <w:lsdException w:qFormat="1" w:uiPriority="0" w:semiHidden="0" w:name="Salutation"/>
    <w:lsdException w:qFormat="1" w:uiPriority="0" w:semiHidden="0" w:name="Date"/>
    <w:lsdException w:qFormat="1" w:uiPriority="0" w:semiHidden="0" w:name="Body Text First Indent"/>
    <w:lsdException w:qFormat="1" w:uiPriority="0" w:semiHidden="0" w:name="Body Text First Indent 2"/>
    <w:lsdException w:qFormat="1" w:uiPriority="0" w:semiHidden="0"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qFormat="1" w:uiPriority="0" w:semiHidden="0" w:name="E-mail Signature"/>
    <w:lsdException w:qFormat="1" w:unhideWhenUsed="0" w:uiPriority="0" w:semiHidden="0" w:name="Normal (Web)"/>
    <w:lsdException w:qFormat="1" w:uiPriority="0" w:name="HTML Acronym"/>
    <w:lsdException w:qFormat="1" w:uiPriority="0" w:semiHidden="0" w:name="HTML Address"/>
    <w:lsdException w:qFormat="1" w:uiPriority="0" w:name="HTML Cite"/>
    <w:lsdException w:qFormat="1" w:uiPriority="0" w:name="HTML Code"/>
    <w:lsdException w:qFormat="1" w:uiPriority="0" w:name="HTML Definition"/>
    <w:lsdException w:qFormat="1" w:uiPriority="0" w:name="HTML Keyboard"/>
    <w:lsdException w:qFormat="1" w:unhideWhenUsed="0" w:uiPriority="0" w:semiHidden="0" w:name="HTML Preformatted"/>
    <w:lsdException w:qFormat="1" w:uiPriority="0" w:name="HTML Sample"/>
    <w:lsdException w:qFormat="1" w:unhideWhenUsed="0" w:uiPriority="0" w:semiHidden="0" w:name="HTML Typewriter"/>
    <w:lsdException w:qFormat="1" w:uiPriority="0" w:name="HTML Variable"/>
    <w:lsdException w:qFormat="1" w:uiPriority="99" w:name="Normal Table"/>
    <w:lsdException w:qFormat="1" w:uiPriority="0" w:semiHidden="0" w:name="annotation subject"/>
    <w:lsdException w:qFormat="1" w:uiPriority="0" w:name="Table Simple 1"/>
    <w:lsdException w:qFormat="1" w:uiPriority="0" w:name="Table Simple 2"/>
    <w:lsdException w:qFormat="1" w:uiPriority="0" w:name="Table Simple 3"/>
    <w:lsdException w:qFormat="1" w:uiPriority="0" w:name="Table Classic 1"/>
    <w:lsdException w:qFormat="1" w:uiPriority="0" w:name="Table Classic 2"/>
    <w:lsdException w:qFormat="1" w:uiPriority="0" w:name="Table Classic 3"/>
    <w:lsdException w:qFormat="1" w:uiPriority="0" w:name="Table Classic 4"/>
    <w:lsdException w:qFormat="1" w:uiPriority="0" w:name="Table Colorful 1"/>
    <w:lsdException w:qFormat="1" w:uiPriority="0" w:name="Table Colorful 2"/>
    <w:lsdException w:qFormat="1" w:uiPriority="0" w:name="Table Colorful 3"/>
    <w:lsdException w:qFormat="1" w:uiPriority="0" w:name="Table Columns 1"/>
    <w:lsdException w:qFormat="1" w:uiPriority="0" w:name="Table Columns 2"/>
    <w:lsdException w:qFormat="1" w:uiPriority="0" w:name="Table Columns 3"/>
    <w:lsdException w:qFormat="1" w:uiPriority="0" w:name="Table Columns 4"/>
    <w:lsdException w:qFormat="1" w:uiPriority="0" w:name="Table Columns 5"/>
    <w:lsdException w:qFormat="1" w:uiPriority="0" w:name="Table Grid 1"/>
    <w:lsdException w:qFormat="1" w:uiPriority="0" w:name="Table Grid 2"/>
    <w:lsdException w:qFormat="1" w:uiPriority="0" w:name="Table Grid 3"/>
    <w:lsdException w:qFormat="1" w:uiPriority="0" w:name="Table Grid 4"/>
    <w:lsdException w:qFormat="1" w:uiPriority="0" w:name="Table Grid 5"/>
    <w:lsdException w:qFormat="1" w:uiPriority="0" w:name="Table Grid 6"/>
    <w:lsdException w:qFormat="1" w:uiPriority="0" w:name="Table Grid 7"/>
    <w:lsdException w:qFormat="1" w:uiPriority="0" w:name="Table Grid 8"/>
    <w:lsdException w:qFormat="1" w:uiPriority="0" w:name="Table List 1"/>
    <w:lsdException w:qFormat="1" w:uiPriority="0" w:name="Table List 2"/>
    <w:lsdException w:qFormat="1" w:uiPriority="0" w:name="Table List 3"/>
    <w:lsdException w:qFormat="1" w:uiPriority="0" w:name="Table List 4"/>
    <w:lsdException w:qFormat="1" w:uiPriority="0" w:name="Table List 5"/>
    <w:lsdException w:qFormat="1" w:uiPriority="0" w:name="Table List 6"/>
    <w:lsdException w:qFormat="1" w:uiPriority="0" w:name="Table List 7"/>
    <w:lsdException w:qFormat="1" w:uiPriority="0" w:name="Table List 8"/>
    <w:lsdException w:qFormat="1" w:uiPriority="0" w:name="Table 3D effects 1"/>
    <w:lsdException w:qFormat="1" w:uiPriority="0" w:name="Table 3D effects 2"/>
    <w:lsdException w:qFormat="1" w:uiPriority="0" w:name="Table 3D effects 3"/>
    <w:lsdException w:qFormat="1" w:uiPriority="0" w:name="Table Contemporary"/>
    <w:lsdException w:qFormat="1" w:uiPriority="0" w:name="Table Elegant"/>
    <w:lsdException w:qFormat="1" w:uiPriority="0" w:name="Table Professional"/>
    <w:lsdException w:qFormat="1" w:uiPriority="0" w:name="Table Subtle 1"/>
    <w:lsdException w:qFormat="1" w:uiPriority="0" w:name="Table Subtle 2"/>
    <w:lsdException w:qFormat="1" w:uiPriority="0" w:name="Table Web 1"/>
    <w:lsdException w:qFormat="1" w:uiPriority="0" w:name="Table Web 2"/>
    <w:lsdException w:qFormat="1" w:uiPriority="0" w:name="Table Web 3"/>
    <w:lsdException w:qFormat="1" w:uiPriority="0" w:semiHidden="0" w:name="Balloon Text"/>
    <w:lsdException w:qFormat="1" w:unhideWhenUsed="0" w:uiPriority="59"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02"/>
    <w:qFormat/>
    <w:uiPriority w:val="0"/>
    <w:pPr>
      <w:keepNext/>
      <w:widowControl/>
      <w:numPr>
        <w:ilvl w:val="0"/>
        <w:numId w:val="1"/>
      </w:numPr>
      <w:spacing w:line="360" w:lineRule="auto"/>
      <w:jc w:val="left"/>
      <w:outlineLvl w:val="0"/>
    </w:pPr>
    <w:rPr>
      <w:rFonts w:ascii="宋体" w:hAnsi="宋体" w:cs="宋体"/>
      <w:kern w:val="0"/>
      <w:sz w:val="32"/>
      <w:szCs w:val="30"/>
    </w:rPr>
  </w:style>
  <w:style w:type="paragraph" w:styleId="5">
    <w:name w:val="heading 2"/>
    <w:basedOn w:val="1"/>
    <w:next w:val="6"/>
    <w:link w:val="143"/>
    <w:qFormat/>
    <w:uiPriority w:val="0"/>
    <w:pPr>
      <w:keepNext/>
      <w:keepLines/>
      <w:widowControl/>
      <w:tabs>
        <w:tab w:val="left" w:pos="1276"/>
      </w:tabs>
      <w:spacing w:line="360" w:lineRule="auto"/>
      <w:ind w:left="567" w:hanging="567"/>
      <w:jc w:val="left"/>
      <w:outlineLvl w:val="1"/>
    </w:pPr>
    <w:rPr>
      <w:rFonts w:ascii="仿宋_GB2312" w:hAnsi="Arial"/>
      <w:kern w:val="0"/>
      <w:sz w:val="30"/>
      <w:szCs w:val="20"/>
    </w:rPr>
  </w:style>
  <w:style w:type="paragraph" w:styleId="7">
    <w:name w:val="heading 3"/>
    <w:basedOn w:val="1"/>
    <w:next w:val="1"/>
    <w:link w:val="105"/>
    <w:qFormat/>
    <w:uiPriority w:val="0"/>
    <w:pPr>
      <w:keepNext/>
      <w:keepLines/>
      <w:spacing w:before="260" w:after="260" w:line="416" w:lineRule="auto"/>
      <w:outlineLvl w:val="2"/>
    </w:pPr>
    <w:rPr>
      <w:b/>
      <w:bCs/>
      <w:sz w:val="32"/>
      <w:szCs w:val="32"/>
    </w:rPr>
  </w:style>
  <w:style w:type="paragraph" w:styleId="8">
    <w:name w:val="heading 4"/>
    <w:basedOn w:val="1"/>
    <w:next w:val="1"/>
    <w:link w:val="144"/>
    <w:qFormat/>
    <w:uiPriority w:val="0"/>
    <w:pPr>
      <w:keepNext/>
      <w:keepLines/>
      <w:widowControl/>
      <w:tabs>
        <w:tab w:val="left" w:pos="1276"/>
      </w:tabs>
      <w:spacing w:line="360" w:lineRule="auto"/>
      <w:ind w:left="709" w:hanging="709"/>
      <w:jc w:val="left"/>
      <w:outlineLvl w:val="3"/>
    </w:pPr>
    <w:rPr>
      <w:rFonts w:ascii="Arial" w:hAnsi="Arial" w:cs="宋体"/>
      <w:b/>
      <w:bCs/>
      <w:kern w:val="0"/>
      <w:sz w:val="24"/>
      <w:szCs w:val="28"/>
    </w:rPr>
  </w:style>
  <w:style w:type="paragraph" w:styleId="9">
    <w:name w:val="heading 5"/>
    <w:basedOn w:val="1"/>
    <w:next w:val="1"/>
    <w:link w:val="107"/>
    <w:unhideWhenUsed/>
    <w:qFormat/>
    <w:uiPriority w:val="0"/>
    <w:pPr>
      <w:keepNext/>
      <w:keepLines/>
      <w:spacing w:before="280" w:after="290" w:line="376" w:lineRule="auto"/>
      <w:outlineLvl w:val="4"/>
    </w:pPr>
    <w:rPr>
      <w:b/>
      <w:bCs/>
      <w:sz w:val="28"/>
      <w:szCs w:val="28"/>
    </w:rPr>
  </w:style>
  <w:style w:type="paragraph" w:styleId="10">
    <w:name w:val="heading 6"/>
    <w:basedOn w:val="1"/>
    <w:next w:val="6"/>
    <w:link w:val="108"/>
    <w:qFormat/>
    <w:uiPriority w:val="0"/>
    <w:pPr>
      <w:tabs>
        <w:tab w:val="left" w:pos="1152"/>
      </w:tabs>
      <w:spacing w:line="500" w:lineRule="atLeast"/>
      <w:ind w:left="1152" w:hanging="1152"/>
      <w:outlineLvl w:val="5"/>
    </w:pPr>
    <w:rPr>
      <w:rFonts w:ascii="Calibri" w:hAnsi="Calibri" w:cs="宋体"/>
      <w:sz w:val="28"/>
    </w:rPr>
  </w:style>
  <w:style w:type="paragraph" w:styleId="11">
    <w:name w:val="heading 7"/>
    <w:basedOn w:val="1"/>
    <w:next w:val="1"/>
    <w:link w:val="109"/>
    <w:qFormat/>
    <w:uiPriority w:val="0"/>
    <w:pPr>
      <w:keepNext/>
      <w:keepLines/>
      <w:tabs>
        <w:tab w:val="left" w:pos="1296"/>
      </w:tabs>
      <w:spacing w:before="240" w:after="64" w:line="320" w:lineRule="auto"/>
      <w:ind w:left="1296" w:hanging="1296"/>
      <w:outlineLvl w:val="6"/>
    </w:pPr>
    <w:rPr>
      <w:rFonts w:ascii="Calibri" w:hAnsi="Calibri" w:cs="宋体"/>
      <w:b/>
      <w:bCs/>
      <w:sz w:val="24"/>
    </w:rPr>
  </w:style>
  <w:style w:type="paragraph" w:styleId="12">
    <w:name w:val="heading 8"/>
    <w:basedOn w:val="1"/>
    <w:next w:val="1"/>
    <w:link w:val="110"/>
    <w:qFormat/>
    <w:uiPriority w:val="0"/>
    <w:pPr>
      <w:keepNext/>
      <w:keepLines/>
      <w:tabs>
        <w:tab w:val="left" w:pos="1440"/>
      </w:tabs>
      <w:spacing w:before="240" w:after="64" w:line="320" w:lineRule="auto"/>
      <w:ind w:left="1440" w:hanging="1440"/>
      <w:outlineLvl w:val="7"/>
    </w:pPr>
    <w:rPr>
      <w:rFonts w:ascii="Arial" w:hAnsi="Arial" w:eastAsia="黑体" w:cs="宋体"/>
      <w:sz w:val="24"/>
    </w:rPr>
  </w:style>
  <w:style w:type="paragraph" w:styleId="13">
    <w:name w:val="heading 9"/>
    <w:basedOn w:val="1"/>
    <w:next w:val="1"/>
    <w:link w:val="111"/>
    <w:qFormat/>
    <w:uiPriority w:val="0"/>
    <w:pPr>
      <w:keepNext/>
      <w:keepLines/>
      <w:tabs>
        <w:tab w:val="left" w:pos="1584"/>
      </w:tabs>
      <w:spacing w:before="240" w:after="64" w:line="320" w:lineRule="auto"/>
      <w:ind w:left="1584" w:hanging="1584"/>
      <w:outlineLvl w:val="8"/>
    </w:pPr>
    <w:rPr>
      <w:rFonts w:ascii="Arial" w:hAnsi="Arial" w:eastAsia="黑体" w:cs="宋体"/>
      <w:szCs w:val="21"/>
    </w:rPr>
  </w:style>
  <w:style w:type="character" w:default="1" w:styleId="91">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145"/>
    <w:qFormat/>
    <w:uiPriority w:val="0"/>
    <w:pPr>
      <w:tabs>
        <w:tab w:val="center" w:pos="4153"/>
        <w:tab w:val="right" w:pos="8306"/>
      </w:tabs>
      <w:snapToGrid w:val="0"/>
      <w:jc w:val="left"/>
    </w:pPr>
    <w:rPr>
      <w:rFonts w:asciiTheme="minorHAnsi" w:hAnsiTheme="minorHAnsi" w:eastAsiaTheme="minorEastAsia" w:cstheme="minorBidi"/>
      <w:sz w:val="18"/>
      <w:szCs w:val="22"/>
    </w:rPr>
  </w:style>
  <w:style w:type="paragraph" w:styleId="3">
    <w:name w:val="macro"/>
    <w:link w:val="112"/>
    <w:unhideWhenUsed/>
    <w:qFormat/>
    <w:uiPriority w:val="99"/>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sz w:val="24"/>
      <w:szCs w:val="24"/>
      <w:lang w:val="en-US" w:eastAsia="zh-CN" w:bidi="ar-SA"/>
    </w:rPr>
  </w:style>
  <w:style w:type="paragraph" w:styleId="6">
    <w:name w:val="Normal Indent"/>
    <w:basedOn w:val="1"/>
    <w:link w:val="103"/>
    <w:qFormat/>
    <w:uiPriority w:val="0"/>
    <w:pPr>
      <w:adjustRightInd w:val="0"/>
      <w:snapToGrid w:val="0"/>
      <w:spacing w:line="300" w:lineRule="auto"/>
      <w:ind w:firstLine="200" w:firstLineChars="200"/>
    </w:pPr>
    <w:rPr>
      <w:rFonts w:ascii="仿宋_GB2312" w:eastAsia="仿宋_GB2312"/>
      <w:color w:val="000000"/>
      <w:sz w:val="28"/>
    </w:rPr>
  </w:style>
  <w:style w:type="paragraph" w:styleId="14">
    <w:name w:val="List 3"/>
    <w:basedOn w:val="1"/>
    <w:unhideWhenUsed/>
    <w:qFormat/>
    <w:uiPriority w:val="0"/>
    <w:pPr>
      <w:widowControl/>
      <w:ind w:left="100" w:leftChars="400" w:hanging="200" w:hangingChars="200"/>
      <w:contextualSpacing/>
      <w:jc w:val="left"/>
    </w:pPr>
    <w:rPr>
      <w:rFonts w:ascii="宋体" w:hAnsi="宋体" w:cs="宋体"/>
      <w:kern w:val="0"/>
      <w:sz w:val="24"/>
    </w:rPr>
  </w:style>
  <w:style w:type="paragraph" w:styleId="15">
    <w:name w:val="toc 7"/>
    <w:basedOn w:val="1"/>
    <w:next w:val="1"/>
    <w:unhideWhenUsed/>
    <w:qFormat/>
    <w:uiPriority w:val="39"/>
    <w:pPr>
      <w:widowControl/>
      <w:ind w:left="2520" w:leftChars="1200"/>
      <w:jc w:val="left"/>
    </w:pPr>
    <w:rPr>
      <w:rFonts w:ascii="宋体" w:hAnsi="宋体" w:cs="宋体"/>
      <w:kern w:val="0"/>
      <w:sz w:val="24"/>
    </w:rPr>
  </w:style>
  <w:style w:type="paragraph" w:styleId="16">
    <w:name w:val="List Number 2"/>
    <w:basedOn w:val="1"/>
    <w:unhideWhenUsed/>
    <w:qFormat/>
    <w:uiPriority w:val="0"/>
    <w:pPr>
      <w:widowControl/>
      <w:tabs>
        <w:tab w:val="left" w:pos="780"/>
      </w:tabs>
      <w:ind w:left="780" w:hanging="360"/>
      <w:contextualSpacing/>
      <w:jc w:val="left"/>
    </w:pPr>
    <w:rPr>
      <w:rFonts w:ascii="宋体" w:hAnsi="宋体" w:cs="宋体"/>
      <w:kern w:val="0"/>
      <w:sz w:val="24"/>
    </w:rPr>
  </w:style>
  <w:style w:type="paragraph" w:styleId="17">
    <w:name w:val="table of authorities"/>
    <w:basedOn w:val="1"/>
    <w:next w:val="1"/>
    <w:unhideWhenUsed/>
    <w:qFormat/>
    <w:uiPriority w:val="0"/>
    <w:pPr>
      <w:widowControl/>
      <w:ind w:left="420" w:leftChars="200"/>
      <w:jc w:val="left"/>
    </w:pPr>
    <w:rPr>
      <w:rFonts w:ascii="宋体" w:hAnsi="宋体" w:cs="宋体"/>
      <w:kern w:val="0"/>
      <w:sz w:val="24"/>
    </w:rPr>
  </w:style>
  <w:style w:type="paragraph" w:styleId="18">
    <w:name w:val="Note Heading"/>
    <w:basedOn w:val="1"/>
    <w:next w:val="1"/>
    <w:link w:val="113"/>
    <w:unhideWhenUsed/>
    <w:qFormat/>
    <w:uiPriority w:val="0"/>
    <w:pPr>
      <w:widowControl/>
      <w:jc w:val="center"/>
    </w:pPr>
    <w:rPr>
      <w:rFonts w:ascii="宋体" w:hAnsi="宋体" w:cs="宋体"/>
      <w:kern w:val="0"/>
      <w:sz w:val="24"/>
    </w:rPr>
  </w:style>
  <w:style w:type="paragraph" w:styleId="19">
    <w:name w:val="List Bullet 4"/>
    <w:basedOn w:val="1"/>
    <w:unhideWhenUsed/>
    <w:qFormat/>
    <w:uiPriority w:val="0"/>
    <w:pPr>
      <w:widowControl/>
      <w:tabs>
        <w:tab w:val="left" w:pos="1620"/>
      </w:tabs>
      <w:ind w:left="1620" w:hanging="360"/>
      <w:contextualSpacing/>
      <w:jc w:val="left"/>
    </w:pPr>
    <w:rPr>
      <w:rFonts w:ascii="宋体" w:hAnsi="宋体" w:cs="宋体"/>
      <w:kern w:val="0"/>
      <w:sz w:val="24"/>
    </w:rPr>
  </w:style>
  <w:style w:type="paragraph" w:styleId="20">
    <w:name w:val="index 8"/>
    <w:basedOn w:val="1"/>
    <w:next w:val="1"/>
    <w:unhideWhenUsed/>
    <w:qFormat/>
    <w:uiPriority w:val="0"/>
    <w:pPr>
      <w:widowControl/>
      <w:ind w:left="1400" w:leftChars="1400"/>
      <w:jc w:val="left"/>
    </w:pPr>
    <w:rPr>
      <w:rFonts w:ascii="宋体" w:hAnsi="宋体" w:cs="宋体"/>
      <w:kern w:val="0"/>
      <w:sz w:val="24"/>
    </w:rPr>
  </w:style>
  <w:style w:type="paragraph" w:styleId="21">
    <w:name w:val="E-mail Signature"/>
    <w:basedOn w:val="1"/>
    <w:link w:val="114"/>
    <w:unhideWhenUsed/>
    <w:qFormat/>
    <w:uiPriority w:val="0"/>
    <w:pPr>
      <w:widowControl/>
      <w:jc w:val="left"/>
    </w:pPr>
    <w:rPr>
      <w:rFonts w:ascii="宋体" w:hAnsi="宋体" w:cs="宋体"/>
      <w:kern w:val="0"/>
      <w:sz w:val="24"/>
    </w:rPr>
  </w:style>
  <w:style w:type="paragraph" w:styleId="22">
    <w:name w:val="List Number"/>
    <w:basedOn w:val="1"/>
    <w:qFormat/>
    <w:uiPriority w:val="0"/>
    <w:pPr>
      <w:tabs>
        <w:tab w:val="left" w:pos="360"/>
      </w:tabs>
      <w:spacing w:line="500" w:lineRule="atLeast"/>
      <w:ind w:left="360" w:hanging="360"/>
    </w:pPr>
    <w:rPr>
      <w:rFonts w:ascii="宋体" w:hAnsi="宋体" w:cs="宋体"/>
      <w:sz w:val="28"/>
    </w:rPr>
  </w:style>
  <w:style w:type="paragraph" w:styleId="23">
    <w:name w:val="caption"/>
    <w:basedOn w:val="1"/>
    <w:next w:val="1"/>
    <w:link w:val="115"/>
    <w:qFormat/>
    <w:uiPriority w:val="0"/>
    <w:pPr>
      <w:widowControl/>
      <w:jc w:val="left"/>
    </w:pPr>
    <w:rPr>
      <w:rFonts w:ascii="Cambria" w:hAnsi="Cambria" w:eastAsia="黑体" w:cs="宋体"/>
      <w:kern w:val="0"/>
      <w:sz w:val="24"/>
    </w:rPr>
  </w:style>
  <w:style w:type="paragraph" w:styleId="24">
    <w:name w:val="index 5"/>
    <w:basedOn w:val="1"/>
    <w:next w:val="1"/>
    <w:unhideWhenUsed/>
    <w:qFormat/>
    <w:uiPriority w:val="0"/>
    <w:pPr>
      <w:widowControl/>
      <w:ind w:left="800" w:leftChars="800"/>
      <w:jc w:val="left"/>
    </w:pPr>
    <w:rPr>
      <w:rFonts w:ascii="宋体" w:hAnsi="宋体" w:cs="宋体"/>
      <w:kern w:val="0"/>
      <w:sz w:val="24"/>
    </w:rPr>
  </w:style>
  <w:style w:type="paragraph" w:styleId="25">
    <w:name w:val="List Bullet"/>
    <w:basedOn w:val="1"/>
    <w:unhideWhenUsed/>
    <w:qFormat/>
    <w:uiPriority w:val="0"/>
    <w:pPr>
      <w:widowControl/>
      <w:tabs>
        <w:tab w:val="left" w:pos="360"/>
      </w:tabs>
      <w:ind w:left="360" w:hanging="360"/>
      <w:contextualSpacing/>
      <w:jc w:val="left"/>
    </w:pPr>
    <w:rPr>
      <w:rFonts w:ascii="宋体" w:hAnsi="宋体" w:cs="宋体"/>
      <w:kern w:val="0"/>
      <w:sz w:val="24"/>
    </w:rPr>
  </w:style>
  <w:style w:type="paragraph" w:styleId="26">
    <w:name w:val="envelope address"/>
    <w:basedOn w:val="1"/>
    <w:unhideWhenUsed/>
    <w:qFormat/>
    <w:uiPriority w:val="0"/>
    <w:pPr>
      <w:framePr w:w="7920" w:h="1980" w:hRule="exact" w:hSpace="180" w:wrap="around" w:vAnchor="margin" w:hAnchor="page" w:xAlign="center" w:yAlign="bottom"/>
      <w:widowControl/>
      <w:snapToGrid w:val="0"/>
      <w:ind w:left="100" w:leftChars="1400"/>
      <w:jc w:val="left"/>
    </w:pPr>
    <w:rPr>
      <w:rFonts w:ascii="Cambria" w:hAnsi="Cambria" w:cs="宋体"/>
      <w:kern w:val="0"/>
      <w:sz w:val="24"/>
    </w:rPr>
  </w:style>
  <w:style w:type="paragraph" w:styleId="27">
    <w:name w:val="Document Map"/>
    <w:basedOn w:val="1"/>
    <w:link w:val="116"/>
    <w:unhideWhenUsed/>
    <w:qFormat/>
    <w:uiPriority w:val="0"/>
    <w:rPr>
      <w:rFonts w:ascii="宋体"/>
      <w:sz w:val="18"/>
      <w:szCs w:val="18"/>
    </w:rPr>
  </w:style>
  <w:style w:type="paragraph" w:styleId="28">
    <w:name w:val="toa heading"/>
    <w:basedOn w:val="1"/>
    <w:next w:val="1"/>
    <w:unhideWhenUsed/>
    <w:qFormat/>
    <w:uiPriority w:val="0"/>
    <w:pPr>
      <w:widowControl/>
      <w:spacing w:before="120"/>
      <w:jc w:val="left"/>
    </w:pPr>
    <w:rPr>
      <w:rFonts w:ascii="Cambria" w:hAnsi="Cambria" w:cs="宋体"/>
      <w:kern w:val="0"/>
      <w:sz w:val="24"/>
    </w:rPr>
  </w:style>
  <w:style w:type="paragraph" w:styleId="29">
    <w:name w:val="annotation text"/>
    <w:basedOn w:val="1"/>
    <w:link w:val="117"/>
    <w:qFormat/>
    <w:uiPriority w:val="0"/>
    <w:pPr>
      <w:jc w:val="left"/>
    </w:pPr>
    <w:rPr>
      <w:rFonts w:asciiTheme="minorHAnsi" w:hAnsiTheme="minorHAnsi" w:eastAsiaTheme="minorEastAsia" w:cstheme="minorBidi"/>
    </w:rPr>
  </w:style>
  <w:style w:type="paragraph" w:styleId="30">
    <w:name w:val="index 6"/>
    <w:basedOn w:val="1"/>
    <w:next w:val="1"/>
    <w:unhideWhenUsed/>
    <w:qFormat/>
    <w:uiPriority w:val="0"/>
    <w:pPr>
      <w:widowControl/>
      <w:ind w:left="1000" w:leftChars="1000"/>
      <w:jc w:val="left"/>
    </w:pPr>
    <w:rPr>
      <w:rFonts w:ascii="宋体" w:hAnsi="宋体" w:cs="宋体"/>
      <w:kern w:val="0"/>
      <w:sz w:val="24"/>
    </w:rPr>
  </w:style>
  <w:style w:type="paragraph" w:styleId="31">
    <w:name w:val="Salutation"/>
    <w:basedOn w:val="1"/>
    <w:next w:val="1"/>
    <w:link w:val="118"/>
    <w:unhideWhenUsed/>
    <w:qFormat/>
    <w:uiPriority w:val="0"/>
    <w:pPr>
      <w:widowControl/>
      <w:jc w:val="left"/>
    </w:pPr>
    <w:rPr>
      <w:rFonts w:ascii="宋体" w:hAnsi="宋体" w:cs="宋体"/>
      <w:kern w:val="0"/>
      <w:sz w:val="24"/>
    </w:rPr>
  </w:style>
  <w:style w:type="paragraph" w:styleId="32">
    <w:name w:val="Body Text 3"/>
    <w:basedOn w:val="1"/>
    <w:link w:val="119"/>
    <w:qFormat/>
    <w:uiPriority w:val="0"/>
    <w:pPr>
      <w:widowControl/>
      <w:jc w:val="center"/>
    </w:pPr>
    <w:rPr>
      <w:rFonts w:ascii="宋体" w:hAnsi="宋体" w:cs="宋体"/>
      <w:color w:val="0000FF"/>
      <w:kern w:val="0"/>
      <w:sz w:val="24"/>
    </w:rPr>
  </w:style>
  <w:style w:type="paragraph" w:styleId="33">
    <w:name w:val="Closing"/>
    <w:basedOn w:val="1"/>
    <w:link w:val="120"/>
    <w:unhideWhenUsed/>
    <w:qFormat/>
    <w:uiPriority w:val="0"/>
    <w:pPr>
      <w:widowControl/>
      <w:ind w:left="100" w:leftChars="2100"/>
      <w:jc w:val="left"/>
    </w:pPr>
    <w:rPr>
      <w:rFonts w:ascii="宋体" w:hAnsi="宋体" w:cs="宋体"/>
      <w:kern w:val="0"/>
      <w:sz w:val="24"/>
    </w:rPr>
  </w:style>
  <w:style w:type="paragraph" w:styleId="34">
    <w:name w:val="List Bullet 3"/>
    <w:basedOn w:val="1"/>
    <w:qFormat/>
    <w:uiPriority w:val="0"/>
    <w:pPr>
      <w:tabs>
        <w:tab w:val="left" w:pos="1440"/>
      </w:tabs>
      <w:adjustRightInd w:val="0"/>
      <w:snapToGrid w:val="0"/>
      <w:ind w:left="1200" w:hanging="360"/>
    </w:pPr>
    <w:rPr>
      <w:rFonts w:ascii="宋体" w:hAnsi="宋体" w:cs="宋体"/>
      <w:sz w:val="24"/>
    </w:rPr>
  </w:style>
  <w:style w:type="paragraph" w:styleId="35">
    <w:name w:val="Body Text"/>
    <w:basedOn w:val="1"/>
    <w:link w:val="121"/>
    <w:unhideWhenUsed/>
    <w:qFormat/>
    <w:uiPriority w:val="0"/>
    <w:pPr>
      <w:spacing w:after="120"/>
    </w:pPr>
  </w:style>
  <w:style w:type="paragraph" w:styleId="36">
    <w:name w:val="Body Text Indent"/>
    <w:basedOn w:val="1"/>
    <w:link w:val="122"/>
    <w:unhideWhenUsed/>
    <w:qFormat/>
    <w:uiPriority w:val="0"/>
    <w:pPr>
      <w:spacing w:after="120"/>
      <w:ind w:left="420" w:leftChars="200"/>
    </w:pPr>
  </w:style>
  <w:style w:type="paragraph" w:styleId="37">
    <w:name w:val="List Number 3"/>
    <w:basedOn w:val="1"/>
    <w:unhideWhenUsed/>
    <w:qFormat/>
    <w:uiPriority w:val="0"/>
    <w:pPr>
      <w:widowControl/>
      <w:tabs>
        <w:tab w:val="left" w:pos="1200"/>
      </w:tabs>
      <w:ind w:left="1200" w:hanging="360"/>
      <w:contextualSpacing/>
      <w:jc w:val="left"/>
    </w:pPr>
    <w:rPr>
      <w:rFonts w:ascii="宋体" w:hAnsi="宋体" w:cs="宋体"/>
      <w:kern w:val="0"/>
      <w:sz w:val="24"/>
    </w:rPr>
  </w:style>
  <w:style w:type="paragraph" w:styleId="38">
    <w:name w:val="List 2"/>
    <w:basedOn w:val="1"/>
    <w:unhideWhenUsed/>
    <w:qFormat/>
    <w:uiPriority w:val="0"/>
    <w:pPr>
      <w:widowControl/>
      <w:spacing w:line="240" w:lineRule="exact"/>
      <w:ind w:left="100" w:leftChars="200" w:hanging="200" w:hangingChars="200"/>
      <w:contextualSpacing/>
      <w:jc w:val="left"/>
    </w:pPr>
    <w:rPr>
      <w:kern w:val="0"/>
      <w:sz w:val="20"/>
      <w:szCs w:val="20"/>
    </w:rPr>
  </w:style>
  <w:style w:type="paragraph" w:styleId="39">
    <w:name w:val="List Continue"/>
    <w:basedOn w:val="1"/>
    <w:unhideWhenUsed/>
    <w:qFormat/>
    <w:uiPriority w:val="0"/>
    <w:pPr>
      <w:widowControl/>
      <w:spacing w:after="120"/>
      <w:ind w:left="420" w:leftChars="200"/>
      <w:contextualSpacing/>
      <w:jc w:val="left"/>
    </w:pPr>
    <w:rPr>
      <w:rFonts w:ascii="宋体" w:hAnsi="宋体" w:cs="宋体"/>
      <w:kern w:val="0"/>
      <w:sz w:val="24"/>
    </w:rPr>
  </w:style>
  <w:style w:type="paragraph" w:styleId="40">
    <w:name w:val="Block Text"/>
    <w:basedOn w:val="1"/>
    <w:unhideWhenUsed/>
    <w:qFormat/>
    <w:uiPriority w:val="0"/>
    <w:pPr>
      <w:widowControl/>
      <w:spacing w:after="120"/>
      <w:ind w:left="1440" w:leftChars="700" w:right="1440" w:rightChars="700"/>
      <w:jc w:val="left"/>
    </w:pPr>
    <w:rPr>
      <w:rFonts w:ascii="宋体" w:hAnsi="宋体" w:cs="宋体"/>
      <w:kern w:val="0"/>
      <w:sz w:val="24"/>
    </w:rPr>
  </w:style>
  <w:style w:type="paragraph" w:styleId="41">
    <w:name w:val="List Bullet 2"/>
    <w:basedOn w:val="1"/>
    <w:unhideWhenUsed/>
    <w:qFormat/>
    <w:uiPriority w:val="0"/>
    <w:pPr>
      <w:widowControl/>
      <w:tabs>
        <w:tab w:val="left" w:pos="780"/>
      </w:tabs>
      <w:ind w:left="780" w:hanging="360"/>
      <w:contextualSpacing/>
      <w:jc w:val="left"/>
    </w:pPr>
    <w:rPr>
      <w:rFonts w:ascii="宋体" w:hAnsi="宋体" w:cs="宋体"/>
      <w:kern w:val="0"/>
      <w:sz w:val="24"/>
    </w:rPr>
  </w:style>
  <w:style w:type="paragraph" w:styleId="42">
    <w:name w:val="HTML Address"/>
    <w:basedOn w:val="1"/>
    <w:link w:val="123"/>
    <w:unhideWhenUsed/>
    <w:qFormat/>
    <w:uiPriority w:val="0"/>
    <w:pPr>
      <w:widowControl/>
      <w:jc w:val="left"/>
    </w:pPr>
    <w:rPr>
      <w:rFonts w:ascii="宋体" w:hAnsi="宋体" w:cs="宋体"/>
      <w:i/>
      <w:iCs/>
      <w:kern w:val="0"/>
      <w:sz w:val="24"/>
    </w:rPr>
  </w:style>
  <w:style w:type="paragraph" w:styleId="43">
    <w:name w:val="index 4"/>
    <w:basedOn w:val="1"/>
    <w:next w:val="1"/>
    <w:unhideWhenUsed/>
    <w:qFormat/>
    <w:uiPriority w:val="0"/>
    <w:pPr>
      <w:widowControl/>
      <w:ind w:left="600" w:leftChars="600"/>
      <w:jc w:val="left"/>
    </w:pPr>
    <w:rPr>
      <w:rFonts w:ascii="宋体" w:hAnsi="宋体" w:cs="宋体"/>
      <w:kern w:val="0"/>
      <w:sz w:val="24"/>
    </w:rPr>
  </w:style>
  <w:style w:type="paragraph" w:styleId="44">
    <w:name w:val="toc 5"/>
    <w:basedOn w:val="1"/>
    <w:next w:val="1"/>
    <w:unhideWhenUsed/>
    <w:qFormat/>
    <w:uiPriority w:val="39"/>
    <w:pPr>
      <w:widowControl/>
      <w:ind w:left="1680" w:leftChars="800"/>
      <w:jc w:val="left"/>
    </w:pPr>
    <w:rPr>
      <w:rFonts w:ascii="宋体" w:hAnsi="宋体" w:cs="宋体"/>
      <w:kern w:val="0"/>
      <w:sz w:val="24"/>
    </w:rPr>
  </w:style>
  <w:style w:type="paragraph" w:styleId="45">
    <w:name w:val="toc 3"/>
    <w:basedOn w:val="1"/>
    <w:next w:val="1"/>
    <w:unhideWhenUsed/>
    <w:qFormat/>
    <w:uiPriority w:val="39"/>
    <w:pPr>
      <w:widowControl/>
      <w:ind w:left="840" w:leftChars="400"/>
      <w:jc w:val="left"/>
    </w:pPr>
    <w:rPr>
      <w:rFonts w:ascii="宋体" w:hAnsi="宋体" w:cs="宋体"/>
      <w:kern w:val="0"/>
      <w:sz w:val="24"/>
    </w:rPr>
  </w:style>
  <w:style w:type="paragraph" w:styleId="46">
    <w:name w:val="Plain Text"/>
    <w:basedOn w:val="1"/>
    <w:link w:val="124"/>
    <w:qFormat/>
    <w:uiPriority w:val="0"/>
    <w:pPr>
      <w:widowControl/>
      <w:jc w:val="left"/>
    </w:pPr>
    <w:rPr>
      <w:rFonts w:ascii="宋体" w:hAnsi="Courier New" w:cs="Courier New"/>
      <w:kern w:val="0"/>
      <w:sz w:val="24"/>
      <w:szCs w:val="21"/>
    </w:rPr>
  </w:style>
  <w:style w:type="paragraph" w:styleId="47">
    <w:name w:val="List Bullet 5"/>
    <w:basedOn w:val="1"/>
    <w:unhideWhenUsed/>
    <w:qFormat/>
    <w:uiPriority w:val="0"/>
    <w:pPr>
      <w:widowControl/>
      <w:tabs>
        <w:tab w:val="left" w:pos="2040"/>
      </w:tabs>
      <w:ind w:left="2040" w:hanging="360"/>
      <w:contextualSpacing/>
      <w:jc w:val="left"/>
    </w:pPr>
    <w:rPr>
      <w:rFonts w:ascii="宋体" w:hAnsi="宋体" w:cs="宋体"/>
      <w:kern w:val="0"/>
      <w:sz w:val="24"/>
    </w:rPr>
  </w:style>
  <w:style w:type="paragraph" w:styleId="48">
    <w:name w:val="List Number 4"/>
    <w:basedOn w:val="1"/>
    <w:unhideWhenUsed/>
    <w:qFormat/>
    <w:uiPriority w:val="0"/>
    <w:pPr>
      <w:widowControl/>
      <w:tabs>
        <w:tab w:val="left" w:pos="1620"/>
      </w:tabs>
      <w:ind w:left="1620" w:hanging="360"/>
      <w:contextualSpacing/>
      <w:jc w:val="left"/>
    </w:pPr>
    <w:rPr>
      <w:rFonts w:ascii="宋体" w:hAnsi="宋体" w:cs="宋体"/>
      <w:kern w:val="0"/>
      <w:sz w:val="24"/>
    </w:rPr>
  </w:style>
  <w:style w:type="paragraph" w:styleId="49">
    <w:name w:val="toc 8"/>
    <w:basedOn w:val="1"/>
    <w:next w:val="1"/>
    <w:unhideWhenUsed/>
    <w:qFormat/>
    <w:uiPriority w:val="39"/>
    <w:pPr>
      <w:widowControl/>
      <w:ind w:left="2940" w:leftChars="1400"/>
      <w:jc w:val="left"/>
    </w:pPr>
    <w:rPr>
      <w:rFonts w:ascii="宋体" w:hAnsi="宋体" w:cs="宋体"/>
      <w:kern w:val="0"/>
      <w:sz w:val="24"/>
    </w:rPr>
  </w:style>
  <w:style w:type="paragraph" w:styleId="50">
    <w:name w:val="index 3"/>
    <w:basedOn w:val="1"/>
    <w:next w:val="1"/>
    <w:unhideWhenUsed/>
    <w:qFormat/>
    <w:uiPriority w:val="0"/>
    <w:pPr>
      <w:widowControl/>
      <w:ind w:left="400" w:leftChars="400"/>
      <w:jc w:val="left"/>
    </w:pPr>
    <w:rPr>
      <w:rFonts w:ascii="宋体" w:hAnsi="宋体" w:cs="宋体"/>
      <w:kern w:val="0"/>
      <w:sz w:val="24"/>
    </w:rPr>
  </w:style>
  <w:style w:type="paragraph" w:styleId="51">
    <w:name w:val="Date"/>
    <w:basedOn w:val="1"/>
    <w:next w:val="1"/>
    <w:link w:val="125"/>
    <w:unhideWhenUsed/>
    <w:qFormat/>
    <w:uiPriority w:val="0"/>
    <w:pPr>
      <w:widowControl/>
      <w:ind w:left="100" w:leftChars="2500"/>
      <w:jc w:val="left"/>
    </w:pPr>
    <w:rPr>
      <w:rFonts w:ascii="宋体" w:hAnsi="宋体" w:cs="宋体"/>
      <w:kern w:val="0"/>
      <w:sz w:val="24"/>
    </w:rPr>
  </w:style>
  <w:style w:type="paragraph" w:styleId="52">
    <w:name w:val="Body Text Indent 2"/>
    <w:basedOn w:val="1"/>
    <w:link w:val="126"/>
    <w:unhideWhenUsed/>
    <w:qFormat/>
    <w:uiPriority w:val="0"/>
    <w:pPr>
      <w:spacing w:after="120" w:line="480" w:lineRule="auto"/>
      <w:ind w:left="420" w:leftChars="200"/>
    </w:pPr>
  </w:style>
  <w:style w:type="paragraph" w:styleId="53">
    <w:name w:val="endnote text"/>
    <w:basedOn w:val="1"/>
    <w:link w:val="127"/>
    <w:unhideWhenUsed/>
    <w:qFormat/>
    <w:uiPriority w:val="99"/>
    <w:pPr>
      <w:widowControl/>
      <w:snapToGrid w:val="0"/>
      <w:jc w:val="left"/>
    </w:pPr>
    <w:rPr>
      <w:rFonts w:ascii="宋体" w:hAnsi="宋体" w:cs="宋体"/>
      <w:kern w:val="0"/>
      <w:sz w:val="24"/>
    </w:rPr>
  </w:style>
  <w:style w:type="paragraph" w:styleId="54">
    <w:name w:val="List Continue 5"/>
    <w:basedOn w:val="1"/>
    <w:unhideWhenUsed/>
    <w:qFormat/>
    <w:uiPriority w:val="0"/>
    <w:pPr>
      <w:widowControl/>
      <w:spacing w:after="120"/>
      <w:ind w:left="2100" w:leftChars="1000"/>
      <w:contextualSpacing/>
      <w:jc w:val="left"/>
    </w:pPr>
    <w:rPr>
      <w:rFonts w:ascii="宋体" w:hAnsi="宋体" w:cs="宋体"/>
      <w:kern w:val="0"/>
      <w:sz w:val="24"/>
    </w:rPr>
  </w:style>
  <w:style w:type="paragraph" w:styleId="55">
    <w:name w:val="Balloon Text"/>
    <w:basedOn w:val="1"/>
    <w:link w:val="128"/>
    <w:unhideWhenUsed/>
    <w:qFormat/>
    <w:uiPriority w:val="0"/>
    <w:rPr>
      <w:sz w:val="18"/>
      <w:szCs w:val="18"/>
    </w:rPr>
  </w:style>
  <w:style w:type="paragraph" w:styleId="56">
    <w:name w:val="envelope return"/>
    <w:basedOn w:val="1"/>
    <w:unhideWhenUsed/>
    <w:qFormat/>
    <w:uiPriority w:val="0"/>
    <w:pPr>
      <w:widowControl/>
      <w:snapToGrid w:val="0"/>
      <w:jc w:val="left"/>
    </w:pPr>
    <w:rPr>
      <w:rFonts w:ascii="Cambria" w:hAnsi="Cambria" w:cs="宋体"/>
      <w:kern w:val="0"/>
      <w:sz w:val="24"/>
    </w:rPr>
  </w:style>
  <w:style w:type="paragraph" w:styleId="57">
    <w:name w:val="header"/>
    <w:basedOn w:val="1"/>
    <w:link w:val="146"/>
    <w:unhideWhenUsed/>
    <w:qFormat/>
    <w:uiPriority w:val="0"/>
    <w:pPr>
      <w:pBdr>
        <w:bottom w:val="single" w:color="auto" w:sz="6" w:space="1"/>
      </w:pBdr>
      <w:tabs>
        <w:tab w:val="center" w:pos="4153"/>
        <w:tab w:val="right" w:pos="8306"/>
      </w:tabs>
      <w:snapToGrid w:val="0"/>
      <w:jc w:val="center"/>
    </w:pPr>
    <w:rPr>
      <w:sz w:val="18"/>
      <w:szCs w:val="18"/>
    </w:rPr>
  </w:style>
  <w:style w:type="paragraph" w:styleId="58">
    <w:name w:val="Signature"/>
    <w:basedOn w:val="1"/>
    <w:link w:val="131"/>
    <w:unhideWhenUsed/>
    <w:qFormat/>
    <w:uiPriority w:val="0"/>
    <w:pPr>
      <w:widowControl/>
      <w:ind w:left="100" w:leftChars="2100"/>
      <w:jc w:val="left"/>
    </w:pPr>
    <w:rPr>
      <w:rFonts w:ascii="宋体" w:hAnsi="宋体" w:cs="宋体"/>
      <w:kern w:val="0"/>
      <w:sz w:val="24"/>
    </w:rPr>
  </w:style>
  <w:style w:type="paragraph" w:styleId="59">
    <w:name w:val="toc 1"/>
    <w:basedOn w:val="1"/>
    <w:next w:val="1"/>
    <w:qFormat/>
    <w:uiPriority w:val="39"/>
    <w:pPr>
      <w:widowControl/>
      <w:jc w:val="left"/>
    </w:pPr>
    <w:rPr>
      <w:rFonts w:ascii="宋体" w:hAnsi="宋体" w:eastAsia="黑体" w:cs="宋体"/>
      <w:b/>
      <w:kern w:val="0"/>
      <w:sz w:val="24"/>
    </w:rPr>
  </w:style>
  <w:style w:type="paragraph" w:styleId="60">
    <w:name w:val="List Continue 4"/>
    <w:basedOn w:val="1"/>
    <w:unhideWhenUsed/>
    <w:qFormat/>
    <w:uiPriority w:val="0"/>
    <w:pPr>
      <w:widowControl/>
      <w:spacing w:after="120"/>
      <w:ind w:left="1680" w:leftChars="800"/>
      <w:contextualSpacing/>
      <w:jc w:val="left"/>
    </w:pPr>
    <w:rPr>
      <w:rFonts w:ascii="宋体" w:hAnsi="宋体" w:cs="宋体"/>
      <w:kern w:val="0"/>
      <w:sz w:val="24"/>
    </w:rPr>
  </w:style>
  <w:style w:type="paragraph" w:styleId="61">
    <w:name w:val="toc 4"/>
    <w:basedOn w:val="1"/>
    <w:next w:val="1"/>
    <w:unhideWhenUsed/>
    <w:qFormat/>
    <w:uiPriority w:val="39"/>
    <w:pPr>
      <w:widowControl/>
      <w:ind w:left="1260" w:leftChars="600"/>
      <w:jc w:val="left"/>
    </w:pPr>
    <w:rPr>
      <w:rFonts w:ascii="宋体" w:hAnsi="宋体" w:cs="宋体"/>
      <w:kern w:val="0"/>
      <w:sz w:val="24"/>
    </w:rPr>
  </w:style>
  <w:style w:type="paragraph" w:styleId="62">
    <w:name w:val="index heading"/>
    <w:basedOn w:val="1"/>
    <w:next w:val="63"/>
    <w:unhideWhenUsed/>
    <w:qFormat/>
    <w:uiPriority w:val="0"/>
    <w:rPr>
      <w:rFonts w:asciiTheme="majorHAnsi" w:hAnsiTheme="majorHAnsi" w:eastAsiaTheme="majorEastAsia" w:cstheme="majorBidi"/>
      <w:b/>
      <w:bCs/>
    </w:rPr>
  </w:style>
  <w:style w:type="paragraph" w:styleId="63">
    <w:name w:val="index 1"/>
    <w:basedOn w:val="1"/>
    <w:next w:val="1"/>
    <w:unhideWhenUsed/>
    <w:qFormat/>
    <w:uiPriority w:val="0"/>
  </w:style>
  <w:style w:type="paragraph" w:styleId="64">
    <w:name w:val="Subtitle"/>
    <w:basedOn w:val="1"/>
    <w:next w:val="1"/>
    <w:link w:val="132"/>
    <w:qFormat/>
    <w:uiPriority w:val="0"/>
    <w:pPr>
      <w:widowControl/>
      <w:spacing w:before="240" w:after="60" w:line="312" w:lineRule="atLeast"/>
      <w:jc w:val="center"/>
      <w:outlineLvl w:val="1"/>
    </w:pPr>
    <w:rPr>
      <w:rFonts w:ascii="Cambria" w:hAnsi="Cambria" w:cs="宋体"/>
      <w:b/>
      <w:bCs/>
      <w:kern w:val="28"/>
      <w:sz w:val="32"/>
      <w:szCs w:val="32"/>
    </w:rPr>
  </w:style>
  <w:style w:type="paragraph" w:styleId="65">
    <w:name w:val="List Number 5"/>
    <w:basedOn w:val="1"/>
    <w:unhideWhenUsed/>
    <w:qFormat/>
    <w:uiPriority w:val="0"/>
    <w:pPr>
      <w:widowControl/>
      <w:tabs>
        <w:tab w:val="left" w:pos="2040"/>
      </w:tabs>
      <w:ind w:left="2040" w:hanging="360"/>
      <w:contextualSpacing/>
      <w:jc w:val="left"/>
    </w:pPr>
    <w:rPr>
      <w:rFonts w:ascii="宋体" w:hAnsi="宋体" w:cs="宋体"/>
      <w:kern w:val="0"/>
      <w:sz w:val="24"/>
    </w:rPr>
  </w:style>
  <w:style w:type="paragraph" w:styleId="66">
    <w:name w:val="List"/>
    <w:basedOn w:val="1"/>
    <w:unhideWhenUsed/>
    <w:qFormat/>
    <w:uiPriority w:val="0"/>
    <w:pPr>
      <w:ind w:left="200" w:hanging="200" w:hangingChars="200"/>
      <w:contextualSpacing/>
    </w:pPr>
  </w:style>
  <w:style w:type="paragraph" w:styleId="67">
    <w:name w:val="footnote text"/>
    <w:basedOn w:val="1"/>
    <w:link w:val="133"/>
    <w:qFormat/>
    <w:uiPriority w:val="0"/>
    <w:pPr>
      <w:widowControl/>
      <w:snapToGrid w:val="0"/>
      <w:jc w:val="left"/>
    </w:pPr>
    <w:rPr>
      <w:rFonts w:ascii="宋体" w:hAnsi="宋体" w:cs="宋体"/>
      <w:kern w:val="0"/>
      <w:sz w:val="18"/>
      <w:szCs w:val="18"/>
    </w:rPr>
  </w:style>
  <w:style w:type="paragraph" w:styleId="68">
    <w:name w:val="toc 6"/>
    <w:basedOn w:val="1"/>
    <w:next w:val="1"/>
    <w:unhideWhenUsed/>
    <w:qFormat/>
    <w:uiPriority w:val="39"/>
    <w:pPr>
      <w:widowControl/>
      <w:ind w:left="2100" w:leftChars="1000"/>
      <w:jc w:val="left"/>
    </w:pPr>
    <w:rPr>
      <w:rFonts w:ascii="宋体" w:hAnsi="宋体" w:cs="宋体"/>
      <w:kern w:val="0"/>
      <w:sz w:val="24"/>
    </w:rPr>
  </w:style>
  <w:style w:type="paragraph" w:styleId="69">
    <w:name w:val="List 5"/>
    <w:basedOn w:val="1"/>
    <w:unhideWhenUsed/>
    <w:qFormat/>
    <w:uiPriority w:val="0"/>
    <w:pPr>
      <w:widowControl/>
      <w:ind w:left="100" w:leftChars="800" w:hanging="200" w:hangingChars="200"/>
      <w:contextualSpacing/>
      <w:jc w:val="left"/>
    </w:pPr>
    <w:rPr>
      <w:rFonts w:ascii="宋体" w:hAnsi="宋体" w:cs="宋体"/>
      <w:kern w:val="0"/>
      <w:sz w:val="24"/>
    </w:rPr>
  </w:style>
  <w:style w:type="paragraph" w:styleId="70">
    <w:name w:val="Body Text Indent 3"/>
    <w:basedOn w:val="1"/>
    <w:link w:val="134"/>
    <w:qFormat/>
    <w:uiPriority w:val="0"/>
    <w:pPr>
      <w:widowControl/>
      <w:spacing w:after="120"/>
      <w:ind w:left="420" w:leftChars="200"/>
      <w:jc w:val="left"/>
    </w:pPr>
    <w:rPr>
      <w:rFonts w:eastAsia="仿宋_GB2312"/>
      <w:kern w:val="0"/>
      <w:sz w:val="16"/>
      <w:szCs w:val="16"/>
    </w:rPr>
  </w:style>
  <w:style w:type="paragraph" w:styleId="71">
    <w:name w:val="index 7"/>
    <w:basedOn w:val="1"/>
    <w:next w:val="1"/>
    <w:unhideWhenUsed/>
    <w:qFormat/>
    <w:uiPriority w:val="0"/>
    <w:pPr>
      <w:widowControl/>
      <w:ind w:left="1200" w:leftChars="1200"/>
      <w:jc w:val="left"/>
    </w:pPr>
    <w:rPr>
      <w:rFonts w:ascii="宋体" w:hAnsi="宋体" w:cs="宋体"/>
      <w:kern w:val="0"/>
      <w:sz w:val="24"/>
    </w:rPr>
  </w:style>
  <w:style w:type="paragraph" w:styleId="72">
    <w:name w:val="index 9"/>
    <w:basedOn w:val="1"/>
    <w:next w:val="1"/>
    <w:unhideWhenUsed/>
    <w:qFormat/>
    <w:uiPriority w:val="0"/>
    <w:pPr>
      <w:widowControl/>
      <w:ind w:left="1600" w:leftChars="1600"/>
      <w:jc w:val="left"/>
    </w:pPr>
    <w:rPr>
      <w:rFonts w:ascii="宋体" w:hAnsi="宋体" w:cs="宋体"/>
      <w:kern w:val="0"/>
      <w:sz w:val="24"/>
    </w:rPr>
  </w:style>
  <w:style w:type="paragraph" w:styleId="73">
    <w:name w:val="table of figures"/>
    <w:basedOn w:val="1"/>
    <w:next w:val="1"/>
    <w:unhideWhenUsed/>
    <w:qFormat/>
    <w:uiPriority w:val="0"/>
    <w:pPr>
      <w:widowControl/>
      <w:ind w:left="200" w:leftChars="200" w:hanging="200" w:hangingChars="200"/>
      <w:jc w:val="left"/>
    </w:pPr>
    <w:rPr>
      <w:rFonts w:ascii="宋体" w:hAnsi="宋体" w:cs="宋体"/>
      <w:kern w:val="0"/>
      <w:sz w:val="24"/>
    </w:rPr>
  </w:style>
  <w:style w:type="paragraph" w:styleId="74">
    <w:name w:val="toc 2"/>
    <w:basedOn w:val="1"/>
    <w:next w:val="1"/>
    <w:unhideWhenUsed/>
    <w:qFormat/>
    <w:uiPriority w:val="0"/>
    <w:pPr>
      <w:widowControl/>
      <w:ind w:left="420" w:leftChars="200"/>
      <w:jc w:val="left"/>
    </w:pPr>
    <w:rPr>
      <w:rFonts w:ascii="宋体" w:hAnsi="宋体" w:cs="宋体"/>
      <w:kern w:val="0"/>
      <w:sz w:val="24"/>
    </w:rPr>
  </w:style>
  <w:style w:type="paragraph" w:styleId="75">
    <w:name w:val="toc 9"/>
    <w:basedOn w:val="1"/>
    <w:next w:val="1"/>
    <w:unhideWhenUsed/>
    <w:qFormat/>
    <w:uiPriority w:val="39"/>
    <w:pPr>
      <w:widowControl/>
      <w:ind w:left="3360" w:leftChars="1600"/>
      <w:jc w:val="left"/>
    </w:pPr>
    <w:rPr>
      <w:rFonts w:ascii="宋体" w:hAnsi="宋体" w:cs="宋体"/>
      <w:kern w:val="0"/>
      <w:sz w:val="24"/>
    </w:rPr>
  </w:style>
  <w:style w:type="paragraph" w:styleId="76">
    <w:name w:val="Body Text 2"/>
    <w:basedOn w:val="1"/>
    <w:link w:val="135"/>
    <w:qFormat/>
    <w:uiPriority w:val="0"/>
    <w:pPr>
      <w:widowControl/>
      <w:jc w:val="center"/>
    </w:pPr>
    <w:rPr>
      <w:rFonts w:ascii="宋体" w:hAnsi="宋体" w:cs="宋体"/>
      <w:kern w:val="0"/>
      <w:sz w:val="24"/>
    </w:rPr>
  </w:style>
  <w:style w:type="paragraph" w:styleId="77">
    <w:name w:val="List 4"/>
    <w:basedOn w:val="1"/>
    <w:unhideWhenUsed/>
    <w:qFormat/>
    <w:uiPriority w:val="0"/>
    <w:pPr>
      <w:widowControl/>
      <w:ind w:left="100" w:leftChars="600" w:hanging="200" w:hangingChars="200"/>
      <w:contextualSpacing/>
      <w:jc w:val="left"/>
    </w:pPr>
    <w:rPr>
      <w:rFonts w:ascii="宋体" w:hAnsi="宋体" w:cs="宋体"/>
      <w:kern w:val="0"/>
      <w:sz w:val="24"/>
    </w:rPr>
  </w:style>
  <w:style w:type="paragraph" w:styleId="78">
    <w:name w:val="List Continue 2"/>
    <w:basedOn w:val="1"/>
    <w:unhideWhenUsed/>
    <w:qFormat/>
    <w:uiPriority w:val="0"/>
    <w:pPr>
      <w:widowControl/>
      <w:spacing w:after="120"/>
      <w:ind w:left="840" w:leftChars="400"/>
      <w:contextualSpacing/>
      <w:jc w:val="left"/>
    </w:pPr>
    <w:rPr>
      <w:rFonts w:ascii="宋体" w:hAnsi="宋体" w:cs="宋体"/>
      <w:kern w:val="0"/>
      <w:sz w:val="24"/>
    </w:rPr>
  </w:style>
  <w:style w:type="paragraph" w:styleId="79">
    <w:name w:val="Message Header"/>
    <w:basedOn w:val="1"/>
    <w:link w:val="136"/>
    <w:unhideWhenUsed/>
    <w:qFormat/>
    <w:uiPriority w:val="0"/>
    <w:pPr>
      <w:widowControl/>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left"/>
    </w:pPr>
    <w:rPr>
      <w:rFonts w:ascii="Cambria" w:hAnsi="Cambria" w:cs="宋体"/>
      <w:kern w:val="0"/>
      <w:sz w:val="24"/>
    </w:rPr>
  </w:style>
  <w:style w:type="paragraph" w:styleId="80">
    <w:name w:val="HTML Preformatted"/>
    <w:basedOn w:val="1"/>
    <w:link w:val="13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1">
    <w:name w:val="Normal (Web)"/>
    <w:basedOn w:val="1"/>
    <w:link w:val="138"/>
    <w:qFormat/>
    <w:uiPriority w:val="0"/>
    <w:pPr>
      <w:widowControl/>
      <w:spacing w:before="100" w:beforeAutospacing="1" w:after="100" w:afterAutospacing="1"/>
      <w:jc w:val="left"/>
    </w:pPr>
    <w:rPr>
      <w:rFonts w:ascii="宋体" w:hAnsi="宋体" w:cstheme="minorBidi"/>
      <w:sz w:val="24"/>
      <w:szCs w:val="22"/>
    </w:rPr>
  </w:style>
  <w:style w:type="paragraph" w:styleId="82">
    <w:name w:val="List Continue 3"/>
    <w:basedOn w:val="1"/>
    <w:unhideWhenUsed/>
    <w:qFormat/>
    <w:uiPriority w:val="0"/>
    <w:pPr>
      <w:widowControl/>
      <w:spacing w:after="120"/>
      <w:ind w:left="1260" w:leftChars="600"/>
      <w:contextualSpacing/>
      <w:jc w:val="left"/>
    </w:pPr>
    <w:rPr>
      <w:rFonts w:ascii="宋体" w:hAnsi="宋体" w:cs="宋体"/>
      <w:kern w:val="0"/>
      <w:sz w:val="24"/>
    </w:rPr>
  </w:style>
  <w:style w:type="paragraph" w:styleId="83">
    <w:name w:val="index 2"/>
    <w:basedOn w:val="1"/>
    <w:next w:val="1"/>
    <w:unhideWhenUsed/>
    <w:qFormat/>
    <w:uiPriority w:val="0"/>
    <w:pPr>
      <w:widowControl/>
      <w:ind w:left="200" w:leftChars="200"/>
      <w:jc w:val="left"/>
    </w:pPr>
    <w:rPr>
      <w:rFonts w:ascii="宋体" w:hAnsi="宋体" w:cs="宋体"/>
      <w:kern w:val="0"/>
      <w:sz w:val="24"/>
    </w:rPr>
  </w:style>
  <w:style w:type="paragraph" w:styleId="84">
    <w:name w:val="Title"/>
    <w:basedOn w:val="1"/>
    <w:next w:val="1"/>
    <w:link w:val="139"/>
    <w:qFormat/>
    <w:uiPriority w:val="0"/>
    <w:pPr>
      <w:widowControl/>
      <w:spacing w:before="240" w:after="60"/>
      <w:jc w:val="center"/>
      <w:outlineLvl w:val="0"/>
    </w:pPr>
    <w:rPr>
      <w:rFonts w:ascii="Cambria" w:hAnsi="Cambria" w:cs="宋体"/>
      <w:b/>
      <w:bCs/>
      <w:kern w:val="0"/>
      <w:sz w:val="32"/>
      <w:szCs w:val="32"/>
    </w:rPr>
  </w:style>
  <w:style w:type="paragraph" w:styleId="85">
    <w:name w:val="annotation subject"/>
    <w:basedOn w:val="29"/>
    <w:next w:val="29"/>
    <w:link w:val="140"/>
    <w:unhideWhenUsed/>
    <w:qFormat/>
    <w:uiPriority w:val="0"/>
    <w:rPr>
      <w:rFonts w:ascii="Times New Roman" w:hAnsi="Times New Roman" w:eastAsia="宋体" w:cs="Times New Roman"/>
      <w:b/>
      <w:bCs/>
    </w:rPr>
  </w:style>
  <w:style w:type="paragraph" w:styleId="86">
    <w:name w:val="Body Text First Indent"/>
    <w:basedOn w:val="35"/>
    <w:link w:val="141"/>
    <w:unhideWhenUsed/>
    <w:qFormat/>
    <w:uiPriority w:val="0"/>
    <w:pPr>
      <w:widowControl/>
      <w:ind w:firstLine="420" w:firstLineChars="100"/>
      <w:jc w:val="left"/>
    </w:pPr>
    <w:rPr>
      <w:rFonts w:ascii="宋体" w:hAnsi="宋体" w:cs="宋体"/>
      <w:kern w:val="0"/>
      <w:sz w:val="20"/>
    </w:rPr>
  </w:style>
  <w:style w:type="paragraph" w:styleId="87">
    <w:name w:val="Body Text First Indent 2"/>
    <w:basedOn w:val="36"/>
    <w:link w:val="142"/>
    <w:unhideWhenUsed/>
    <w:qFormat/>
    <w:uiPriority w:val="0"/>
    <w:pPr>
      <w:ind w:firstLine="420" w:firstLineChars="200"/>
    </w:pPr>
    <w:rPr>
      <w:rFonts w:ascii="仿宋_GB2312" w:hAnsi="宋体" w:eastAsia="仿宋_GB2312" w:cstheme="minorBidi"/>
    </w:rPr>
  </w:style>
  <w:style w:type="table" w:styleId="89">
    <w:name w:val="Table Grid"/>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Table Theme"/>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2">
    <w:name w:val="Strong"/>
    <w:qFormat/>
    <w:uiPriority w:val="0"/>
    <w:rPr>
      <w:b/>
      <w:bCs/>
    </w:rPr>
  </w:style>
  <w:style w:type="character" w:styleId="93">
    <w:name w:val="page number"/>
    <w:basedOn w:val="91"/>
    <w:qFormat/>
    <w:uiPriority w:val="0"/>
  </w:style>
  <w:style w:type="character" w:styleId="94">
    <w:name w:val="FollowedHyperlink"/>
    <w:qFormat/>
    <w:uiPriority w:val="99"/>
    <w:rPr>
      <w:color w:val="800080"/>
      <w:u w:val="single"/>
    </w:rPr>
  </w:style>
  <w:style w:type="character" w:styleId="95">
    <w:name w:val="Emphasis"/>
    <w:qFormat/>
    <w:uiPriority w:val="20"/>
    <w:rPr>
      <w:rFonts w:ascii="Times New Roman" w:hAnsi="Times New Roman" w:eastAsia="宋体" w:cs="Times New Roman"/>
      <w:color w:val="DD4B39"/>
    </w:rPr>
  </w:style>
  <w:style w:type="character" w:styleId="96">
    <w:name w:val="HTML Typewriter"/>
    <w:qFormat/>
    <w:uiPriority w:val="0"/>
    <w:rPr>
      <w:rFonts w:ascii="宋体" w:hAnsi="宋体" w:eastAsia="宋体" w:cs="宋体"/>
      <w:b/>
      <w:spacing w:val="10"/>
      <w:kern w:val="2"/>
      <w:sz w:val="24"/>
      <w:szCs w:val="24"/>
      <w:lang w:val="en-US" w:eastAsia="zh-CN" w:bidi="ar-SA"/>
    </w:rPr>
  </w:style>
  <w:style w:type="character" w:styleId="97">
    <w:name w:val="Hyperlink"/>
    <w:basedOn w:val="91"/>
    <w:unhideWhenUsed/>
    <w:qFormat/>
    <w:uiPriority w:val="99"/>
    <w:rPr>
      <w:color w:val="0000FF" w:themeColor="hyperlink"/>
      <w:u w:val="single"/>
      <w14:textFill>
        <w14:solidFill>
          <w14:schemeClr w14:val="hlink"/>
        </w14:solidFill>
      </w14:textFill>
    </w:rPr>
  </w:style>
  <w:style w:type="character" w:styleId="98">
    <w:name w:val="annotation reference"/>
    <w:qFormat/>
    <w:uiPriority w:val="0"/>
    <w:rPr>
      <w:sz w:val="21"/>
      <w:szCs w:val="21"/>
    </w:rPr>
  </w:style>
  <w:style w:type="character" w:styleId="99">
    <w:name w:val="footnote reference"/>
    <w:basedOn w:val="91"/>
    <w:qFormat/>
    <w:uiPriority w:val="0"/>
    <w:rPr>
      <w:rFonts w:ascii="Times New Roman" w:hAnsi="Times New Roman" w:eastAsia="宋体" w:cs="Times New Roman"/>
      <w:vertAlign w:val="superscript"/>
    </w:rPr>
  </w:style>
  <w:style w:type="paragraph" w:customStyle="1" w:styleId="100">
    <w:name w:val="Default"/>
    <w:basedOn w:val="101"/>
    <w:qFormat/>
    <w:uiPriority w:val="0"/>
    <w:pPr>
      <w:autoSpaceDE w:val="0"/>
      <w:autoSpaceDN w:val="0"/>
      <w:adjustRightInd w:val="0"/>
    </w:pPr>
    <w:rPr>
      <w:rFonts w:hAnsi="Times New Roman" w:cs="宋体"/>
      <w:color w:val="000000"/>
      <w:sz w:val="24"/>
      <w:szCs w:val="24"/>
    </w:rPr>
  </w:style>
  <w:style w:type="paragraph" w:customStyle="1" w:styleId="101">
    <w:name w:val="纯文本1"/>
    <w:basedOn w:val="1"/>
    <w:qFormat/>
    <w:uiPriority w:val="0"/>
    <w:rPr>
      <w:rFonts w:ascii="宋体" w:hAnsi="Courier New" w:cs="Courier New"/>
      <w:szCs w:val="21"/>
    </w:rPr>
  </w:style>
  <w:style w:type="character" w:customStyle="1" w:styleId="102">
    <w:name w:val="标题 1 Char"/>
    <w:basedOn w:val="91"/>
    <w:link w:val="4"/>
    <w:qFormat/>
    <w:uiPriority w:val="0"/>
    <w:rPr>
      <w:rFonts w:ascii="宋体" w:hAnsi="宋体" w:cs="宋体"/>
      <w:sz w:val="32"/>
      <w:szCs w:val="30"/>
    </w:rPr>
  </w:style>
  <w:style w:type="character" w:customStyle="1" w:styleId="103">
    <w:name w:val="正文缩进 Char"/>
    <w:link w:val="6"/>
    <w:qFormat/>
    <w:uiPriority w:val="0"/>
    <w:rPr>
      <w:rFonts w:ascii="仿宋_GB2312" w:hAnsi="Times New Roman" w:eastAsia="仿宋_GB2312" w:cs="Times New Roman"/>
      <w:color w:val="000000"/>
      <w:sz w:val="28"/>
      <w:szCs w:val="24"/>
    </w:rPr>
  </w:style>
  <w:style w:type="character" w:customStyle="1" w:styleId="104">
    <w:name w:val="标题 2 Char"/>
    <w:basedOn w:val="91"/>
    <w:link w:val="5"/>
    <w:qFormat/>
    <w:uiPriority w:val="0"/>
    <w:rPr>
      <w:rFonts w:asciiTheme="majorHAnsi" w:hAnsiTheme="majorHAnsi" w:eastAsiaTheme="majorEastAsia" w:cstheme="majorBidi"/>
      <w:b/>
      <w:bCs/>
      <w:sz w:val="32"/>
      <w:szCs w:val="32"/>
    </w:rPr>
  </w:style>
  <w:style w:type="character" w:customStyle="1" w:styleId="105">
    <w:name w:val="标题 3 Char1"/>
    <w:link w:val="7"/>
    <w:qFormat/>
    <w:uiPriority w:val="0"/>
    <w:rPr>
      <w:rFonts w:ascii="Times New Roman" w:hAnsi="Times New Roman" w:eastAsia="宋体" w:cs="Times New Roman"/>
      <w:b/>
      <w:bCs/>
      <w:sz w:val="32"/>
      <w:szCs w:val="32"/>
    </w:rPr>
  </w:style>
  <w:style w:type="character" w:customStyle="1" w:styleId="106">
    <w:name w:val="标题 4 Char"/>
    <w:basedOn w:val="91"/>
    <w:link w:val="8"/>
    <w:qFormat/>
    <w:uiPriority w:val="9"/>
    <w:rPr>
      <w:rFonts w:asciiTheme="majorHAnsi" w:hAnsiTheme="majorHAnsi" w:eastAsiaTheme="majorEastAsia" w:cstheme="majorBidi"/>
      <w:b/>
      <w:bCs/>
      <w:kern w:val="2"/>
      <w:sz w:val="28"/>
      <w:szCs w:val="28"/>
    </w:rPr>
  </w:style>
  <w:style w:type="character" w:customStyle="1" w:styleId="107">
    <w:name w:val="标题 5 Char"/>
    <w:basedOn w:val="91"/>
    <w:link w:val="9"/>
    <w:qFormat/>
    <w:uiPriority w:val="0"/>
    <w:rPr>
      <w:rFonts w:ascii="Times New Roman" w:hAnsi="Times New Roman" w:eastAsia="宋体" w:cs="Times New Roman"/>
      <w:b/>
      <w:bCs/>
      <w:sz w:val="28"/>
      <w:szCs w:val="28"/>
    </w:rPr>
  </w:style>
  <w:style w:type="character" w:customStyle="1" w:styleId="108">
    <w:name w:val="标题 6 Char"/>
    <w:basedOn w:val="91"/>
    <w:link w:val="10"/>
    <w:qFormat/>
    <w:uiPriority w:val="0"/>
    <w:rPr>
      <w:rFonts w:ascii="Calibri" w:hAnsi="Calibri" w:cs="宋体"/>
      <w:kern w:val="2"/>
      <w:sz w:val="28"/>
      <w:szCs w:val="24"/>
    </w:rPr>
  </w:style>
  <w:style w:type="character" w:customStyle="1" w:styleId="109">
    <w:name w:val="标题 7 Char"/>
    <w:basedOn w:val="91"/>
    <w:link w:val="11"/>
    <w:qFormat/>
    <w:uiPriority w:val="0"/>
    <w:rPr>
      <w:rFonts w:ascii="Calibri" w:hAnsi="Calibri" w:cs="宋体"/>
      <w:b/>
      <w:bCs/>
      <w:kern w:val="2"/>
      <w:sz w:val="24"/>
      <w:szCs w:val="24"/>
    </w:rPr>
  </w:style>
  <w:style w:type="character" w:customStyle="1" w:styleId="110">
    <w:name w:val="标题 8 Char"/>
    <w:basedOn w:val="91"/>
    <w:link w:val="12"/>
    <w:qFormat/>
    <w:uiPriority w:val="0"/>
    <w:rPr>
      <w:rFonts w:ascii="Arial" w:hAnsi="Arial" w:eastAsia="黑体" w:cs="宋体"/>
      <w:kern w:val="2"/>
      <w:sz w:val="24"/>
      <w:szCs w:val="24"/>
    </w:rPr>
  </w:style>
  <w:style w:type="character" w:customStyle="1" w:styleId="111">
    <w:name w:val="标题 9 Char"/>
    <w:basedOn w:val="91"/>
    <w:link w:val="13"/>
    <w:qFormat/>
    <w:uiPriority w:val="0"/>
    <w:rPr>
      <w:rFonts w:ascii="Arial" w:hAnsi="Arial" w:eastAsia="黑体" w:cs="宋体"/>
      <w:kern w:val="2"/>
      <w:sz w:val="21"/>
      <w:szCs w:val="21"/>
    </w:rPr>
  </w:style>
  <w:style w:type="character" w:customStyle="1" w:styleId="112">
    <w:name w:val="宏文本 Char"/>
    <w:basedOn w:val="91"/>
    <w:link w:val="3"/>
    <w:qFormat/>
    <w:uiPriority w:val="99"/>
    <w:rPr>
      <w:rFonts w:ascii="Courier New" w:hAnsi="Courier New" w:cs="Courier New"/>
      <w:sz w:val="24"/>
      <w:szCs w:val="24"/>
    </w:rPr>
  </w:style>
  <w:style w:type="character" w:customStyle="1" w:styleId="113">
    <w:name w:val="注释标题 Char"/>
    <w:basedOn w:val="91"/>
    <w:link w:val="18"/>
    <w:qFormat/>
    <w:uiPriority w:val="0"/>
    <w:rPr>
      <w:rFonts w:ascii="宋体" w:hAnsi="宋体" w:cs="宋体"/>
      <w:sz w:val="24"/>
      <w:szCs w:val="24"/>
    </w:rPr>
  </w:style>
  <w:style w:type="character" w:customStyle="1" w:styleId="114">
    <w:name w:val="电子邮件签名 Char"/>
    <w:basedOn w:val="91"/>
    <w:link w:val="21"/>
    <w:qFormat/>
    <w:uiPriority w:val="0"/>
    <w:rPr>
      <w:rFonts w:ascii="宋体" w:hAnsi="宋体" w:cs="宋体"/>
      <w:sz w:val="24"/>
      <w:szCs w:val="24"/>
    </w:rPr>
  </w:style>
  <w:style w:type="character" w:customStyle="1" w:styleId="115">
    <w:name w:val="题注 Char"/>
    <w:link w:val="23"/>
    <w:qFormat/>
    <w:uiPriority w:val="0"/>
    <w:rPr>
      <w:rFonts w:ascii="Cambria" w:hAnsi="Cambria" w:eastAsia="黑体" w:cs="宋体"/>
      <w:sz w:val="24"/>
      <w:szCs w:val="24"/>
    </w:rPr>
  </w:style>
  <w:style w:type="character" w:customStyle="1" w:styleId="116">
    <w:name w:val="文档结构图 Char"/>
    <w:basedOn w:val="91"/>
    <w:link w:val="27"/>
    <w:qFormat/>
    <w:uiPriority w:val="99"/>
    <w:rPr>
      <w:rFonts w:ascii="宋体" w:hAnsi="Times New Roman" w:eastAsia="宋体" w:cs="Times New Roman"/>
      <w:sz w:val="18"/>
      <w:szCs w:val="18"/>
    </w:rPr>
  </w:style>
  <w:style w:type="character" w:customStyle="1" w:styleId="117">
    <w:name w:val="批注文字 Char1"/>
    <w:link w:val="29"/>
    <w:qFormat/>
    <w:uiPriority w:val="0"/>
    <w:rPr>
      <w:szCs w:val="24"/>
    </w:rPr>
  </w:style>
  <w:style w:type="character" w:customStyle="1" w:styleId="118">
    <w:name w:val="称呼 Char"/>
    <w:basedOn w:val="91"/>
    <w:link w:val="31"/>
    <w:qFormat/>
    <w:uiPriority w:val="0"/>
    <w:rPr>
      <w:rFonts w:ascii="宋体" w:hAnsi="宋体" w:cs="宋体"/>
      <w:sz w:val="24"/>
      <w:szCs w:val="24"/>
    </w:rPr>
  </w:style>
  <w:style w:type="character" w:customStyle="1" w:styleId="119">
    <w:name w:val="正文文本 3 Char"/>
    <w:basedOn w:val="91"/>
    <w:link w:val="32"/>
    <w:qFormat/>
    <w:uiPriority w:val="0"/>
    <w:rPr>
      <w:rFonts w:ascii="宋体" w:hAnsi="宋体" w:cs="宋体"/>
      <w:color w:val="0000FF"/>
      <w:sz w:val="24"/>
      <w:szCs w:val="24"/>
    </w:rPr>
  </w:style>
  <w:style w:type="character" w:customStyle="1" w:styleId="120">
    <w:name w:val="结束语 Char"/>
    <w:basedOn w:val="91"/>
    <w:link w:val="33"/>
    <w:qFormat/>
    <w:uiPriority w:val="0"/>
    <w:rPr>
      <w:rFonts w:ascii="宋体" w:hAnsi="宋体" w:cs="宋体"/>
      <w:sz w:val="24"/>
      <w:szCs w:val="24"/>
    </w:rPr>
  </w:style>
  <w:style w:type="character" w:customStyle="1" w:styleId="121">
    <w:name w:val="正文文本 Char"/>
    <w:basedOn w:val="91"/>
    <w:link w:val="35"/>
    <w:qFormat/>
    <w:uiPriority w:val="0"/>
    <w:rPr>
      <w:rFonts w:ascii="Times New Roman" w:hAnsi="Times New Roman" w:eastAsia="宋体" w:cs="Times New Roman"/>
      <w:szCs w:val="24"/>
    </w:rPr>
  </w:style>
  <w:style w:type="character" w:customStyle="1" w:styleId="122">
    <w:name w:val="正文文本缩进 Char"/>
    <w:basedOn w:val="91"/>
    <w:link w:val="36"/>
    <w:qFormat/>
    <w:uiPriority w:val="0"/>
    <w:rPr>
      <w:rFonts w:ascii="Times New Roman" w:hAnsi="Times New Roman" w:eastAsia="宋体" w:cs="Times New Roman"/>
      <w:szCs w:val="24"/>
    </w:rPr>
  </w:style>
  <w:style w:type="character" w:customStyle="1" w:styleId="123">
    <w:name w:val="HTML 地址 Char"/>
    <w:basedOn w:val="91"/>
    <w:link w:val="42"/>
    <w:qFormat/>
    <w:uiPriority w:val="0"/>
    <w:rPr>
      <w:rFonts w:ascii="宋体" w:hAnsi="宋体" w:cs="宋体"/>
      <w:i/>
      <w:iCs/>
      <w:sz w:val="24"/>
      <w:szCs w:val="24"/>
    </w:rPr>
  </w:style>
  <w:style w:type="character" w:customStyle="1" w:styleId="124">
    <w:name w:val="纯文本 Char"/>
    <w:basedOn w:val="91"/>
    <w:link w:val="46"/>
    <w:qFormat/>
    <w:uiPriority w:val="0"/>
    <w:rPr>
      <w:rFonts w:ascii="宋体" w:hAnsi="Courier New" w:cs="Courier New"/>
      <w:sz w:val="24"/>
      <w:szCs w:val="21"/>
    </w:rPr>
  </w:style>
  <w:style w:type="character" w:customStyle="1" w:styleId="125">
    <w:name w:val="日期 Char"/>
    <w:basedOn w:val="91"/>
    <w:link w:val="51"/>
    <w:qFormat/>
    <w:uiPriority w:val="0"/>
    <w:rPr>
      <w:rFonts w:ascii="宋体" w:hAnsi="宋体" w:cs="宋体"/>
      <w:sz w:val="24"/>
      <w:szCs w:val="24"/>
    </w:rPr>
  </w:style>
  <w:style w:type="character" w:customStyle="1" w:styleId="126">
    <w:name w:val="正文文本缩进 2 Char"/>
    <w:basedOn w:val="91"/>
    <w:link w:val="52"/>
    <w:qFormat/>
    <w:uiPriority w:val="0"/>
    <w:rPr>
      <w:kern w:val="2"/>
      <w:sz w:val="21"/>
      <w:szCs w:val="24"/>
    </w:rPr>
  </w:style>
  <w:style w:type="character" w:customStyle="1" w:styleId="127">
    <w:name w:val="尾注文本 Char"/>
    <w:basedOn w:val="91"/>
    <w:link w:val="53"/>
    <w:qFormat/>
    <w:uiPriority w:val="99"/>
    <w:rPr>
      <w:rFonts w:ascii="宋体" w:hAnsi="宋体" w:cs="宋体"/>
      <w:sz w:val="24"/>
      <w:szCs w:val="24"/>
    </w:rPr>
  </w:style>
  <w:style w:type="character" w:customStyle="1" w:styleId="128">
    <w:name w:val="批注框文本 Char"/>
    <w:basedOn w:val="91"/>
    <w:link w:val="55"/>
    <w:qFormat/>
    <w:uiPriority w:val="99"/>
    <w:rPr>
      <w:rFonts w:ascii="Times New Roman" w:hAnsi="Times New Roman" w:eastAsia="宋体" w:cs="Times New Roman"/>
      <w:sz w:val="18"/>
      <w:szCs w:val="18"/>
    </w:rPr>
  </w:style>
  <w:style w:type="character" w:customStyle="1" w:styleId="129">
    <w:name w:val="页脚 Char"/>
    <w:link w:val="2"/>
    <w:qFormat/>
    <w:locked/>
    <w:uiPriority w:val="0"/>
    <w:rPr>
      <w:sz w:val="18"/>
    </w:rPr>
  </w:style>
  <w:style w:type="character" w:customStyle="1" w:styleId="130">
    <w:name w:val="页眉 Char"/>
    <w:basedOn w:val="91"/>
    <w:link w:val="57"/>
    <w:qFormat/>
    <w:uiPriority w:val="0"/>
    <w:rPr>
      <w:rFonts w:ascii="Times New Roman" w:hAnsi="Times New Roman" w:eastAsia="宋体" w:cs="Times New Roman"/>
      <w:sz w:val="18"/>
      <w:szCs w:val="18"/>
    </w:rPr>
  </w:style>
  <w:style w:type="character" w:customStyle="1" w:styleId="131">
    <w:name w:val="签名 Char"/>
    <w:basedOn w:val="91"/>
    <w:link w:val="58"/>
    <w:qFormat/>
    <w:uiPriority w:val="0"/>
    <w:rPr>
      <w:rFonts w:ascii="宋体" w:hAnsi="宋体" w:cs="宋体"/>
      <w:sz w:val="24"/>
      <w:szCs w:val="24"/>
    </w:rPr>
  </w:style>
  <w:style w:type="character" w:customStyle="1" w:styleId="132">
    <w:name w:val="副标题 Char"/>
    <w:basedOn w:val="91"/>
    <w:link w:val="64"/>
    <w:qFormat/>
    <w:uiPriority w:val="0"/>
    <w:rPr>
      <w:rFonts w:ascii="Cambria" w:hAnsi="Cambria" w:cs="宋体"/>
      <w:b/>
      <w:bCs/>
      <w:kern w:val="28"/>
      <w:sz w:val="32"/>
      <w:szCs w:val="32"/>
    </w:rPr>
  </w:style>
  <w:style w:type="character" w:customStyle="1" w:styleId="133">
    <w:name w:val="脚注文本 Char"/>
    <w:basedOn w:val="91"/>
    <w:link w:val="67"/>
    <w:qFormat/>
    <w:uiPriority w:val="0"/>
    <w:rPr>
      <w:rFonts w:ascii="宋体" w:hAnsi="宋体" w:cs="宋体"/>
      <w:sz w:val="18"/>
      <w:szCs w:val="18"/>
    </w:rPr>
  </w:style>
  <w:style w:type="character" w:customStyle="1" w:styleId="134">
    <w:name w:val="正文文本缩进 3 Char"/>
    <w:basedOn w:val="91"/>
    <w:link w:val="70"/>
    <w:qFormat/>
    <w:uiPriority w:val="0"/>
    <w:rPr>
      <w:rFonts w:ascii="Times New Roman" w:hAnsi="Times New Roman" w:eastAsia="仿宋_GB2312" w:cs="Times New Roman"/>
      <w:kern w:val="0"/>
      <w:sz w:val="16"/>
      <w:szCs w:val="16"/>
    </w:rPr>
  </w:style>
  <w:style w:type="character" w:customStyle="1" w:styleId="135">
    <w:name w:val="正文文本 2 Char"/>
    <w:basedOn w:val="91"/>
    <w:link w:val="76"/>
    <w:qFormat/>
    <w:uiPriority w:val="0"/>
    <w:rPr>
      <w:rFonts w:ascii="宋体" w:hAnsi="宋体" w:cs="宋体"/>
      <w:sz w:val="24"/>
      <w:szCs w:val="24"/>
    </w:rPr>
  </w:style>
  <w:style w:type="character" w:customStyle="1" w:styleId="136">
    <w:name w:val="信息标题 Char"/>
    <w:basedOn w:val="91"/>
    <w:link w:val="79"/>
    <w:qFormat/>
    <w:uiPriority w:val="0"/>
    <w:rPr>
      <w:rFonts w:ascii="Cambria" w:hAnsi="Cambria" w:cs="宋体"/>
      <w:sz w:val="24"/>
      <w:szCs w:val="24"/>
      <w:shd w:val="pct20" w:color="auto" w:fill="auto"/>
    </w:rPr>
  </w:style>
  <w:style w:type="character" w:customStyle="1" w:styleId="137">
    <w:name w:val="HTML 预设格式 Char"/>
    <w:basedOn w:val="91"/>
    <w:link w:val="80"/>
    <w:qFormat/>
    <w:uiPriority w:val="99"/>
    <w:rPr>
      <w:rFonts w:ascii="宋体" w:hAnsi="宋体" w:cs="宋体"/>
      <w:sz w:val="24"/>
      <w:szCs w:val="24"/>
    </w:rPr>
  </w:style>
  <w:style w:type="character" w:customStyle="1" w:styleId="138">
    <w:name w:val="普通(网站) Char"/>
    <w:link w:val="81"/>
    <w:qFormat/>
    <w:locked/>
    <w:uiPriority w:val="0"/>
    <w:rPr>
      <w:rFonts w:ascii="宋体" w:hAnsi="宋体" w:eastAsia="宋体"/>
      <w:sz w:val="24"/>
    </w:rPr>
  </w:style>
  <w:style w:type="character" w:customStyle="1" w:styleId="139">
    <w:name w:val="标题 Char"/>
    <w:basedOn w:val="91"/>
    <w:link w:val="84"/>
    <w:qFormat/>
    <w:uiPriority w:val="0"/>
    <w:rPr>
      <w:rFonts w:ascii="Cambria" w:hAnsi="Cambria" w:cs="宋体"/>
      <w:b/>
      <w:bCs/>
      <w:sz w:val="32"/>
      <w:szCs w:val="32"/>
    </w:rPr>
  </w:style>
  <w:style w:type="character" w:customStyle="1" w:styleId="140">
    <w:name w:val="批注主题 Char"/>
    <w:basedOn w:val="117"/>
    <w:link w:val="85"/>
    <w:qFormat/>
    <w:uiPriority w:val="99"/>
    <w:rPr>
      <w:rFonts w:ascii="Times New Roman" w:hAnsi="Times New Roman" w:eastAsia="宋体" w:cs="Times New Roman"/>
      <w:b/>
      <w:bCs/>
    </w:rPr>
  </w:style>
  <w:style w:type="character" w:customStyle="1" w:styleId="141">
    <w:name w:val="正文首行缩进 Char"/>
    <w:basedOn w:val="121"/>
    <w:link w:val="86"/>
    <w:qFormat/>
    <w:uiPriority w:val="99"/>
    <w:rPr>
      <w:rFonts w:ascii="宋体" w:hAnsi="宋体" w:cs="宋体"/>
    </w:rPr>
  </w:style>
  <w:style w:type="character" w:customStyle="1" w:styleId="142">
    <w:name w:val="正文首行缩进 2 Char"/>
    <w:link w:val="87"/>
    <w:qFormat/>
    <w:uiPriority w:val="0"/>
    <w:rPr>
      <w:rFonts w:ascii="仿宋_GB2312" w:hAnsi="宋体" w:eastAsia="仿宋_GB2312"/>
      <w:szCs w:val="24"/>
    </w:rPr>
  </w:style>
  <w:style w:type="character" w:customStyle="1" w:styleId="143">
    <w:name w:val="标题 2 Char1"/>
    <w:link w:val="5"/>
    <w:qFormat/>
    <w:uiPriority w:val="0"/>
    <w:rPr>
      <w:rFonts w:ascii="仿宋_GB2312" w:hAnsi="Arial" w:eastAsia="宋体" w:cs="Times New Roman"/>
      <w:kern w:val="0"/>
      <w:sz w:val="30"/>
      <w:szCs w:val="20"/>
    </w:rPr>
  </w:style>
  <w:style w:type="character" w:customStyle="1" w:styleId="144">
    <w:name w:val="标题 4 Char1"/>
    <w:link w:val="8"/>
    <w:qFormat/>
    <w:uiPriority w:val="0"/>
    <w:rPr>
      <w:rFonts w:ascii="Arial" w:hAnsi="Arial" w:cs="宋体"/>
      <w:b/>
      <w:bCs/>
      <w:sz w:val="24"/>
      <w:szCs w:val="28"/>
    </w:rPr>
  </w:style>
  <w:style w:type="character" w:customStyle="1" w:styleId="145">
    <w:name w:val="页脚 Char2"/>
    <w:basedOn w:val="91"/>
    <w:link w:val="2"/>
    <w:qFormat/>
    <w:uiPriority w:val="0"/>
    <w:rPr>
      <w:rFonts w:hint="default" w:ascii="Calibri" w:hAnsi="Calibri" w:cs="Calibri"/>
    </w:rPr>
  </w:style>
  <w:style w:type="character" w:customStyle="1" w:styleId="146">
    <w:name w:val="页眉 Char2"/>
    <w:basedOn w:val="91"/>
    <w:link w:val="57"/>
    <w:qFormat/>
    <w:uiPriority w:val="0"/>
    <w:rPr>
      <w:rFonts w:hint="default" w:ascii="Calibri" w:hAnsi="Calibri" w:cs="Calibri"/>
    </w:rPr>
  </w:style>
  <w:style w:type="character" w:customStyle="1" w:styleId="147">
    <w:name w:val="表格 Char"/>
    <w:link w:val="148"/>
    <w:qFormat/>
    <w:locked/>
    <w:uiPriority w:val="0"/>
    <w:rPr>
      <w:rFonts w:ascii="宋体"/>
    </w:rPr>
  </w:style>
  <w:style w:type="paragraph" w:customStyle="1" w:styleId="148">
    <w:name w:val="表格"/>
    <w:basedOn w:val="149"/>
    <w:link w:val="147"/>
    <w:qFormat/>
    <w:uiPriority w:val="0"/>
    <w:pPr>
      <w:tabs>
        <w:tab w:val="left" w:pos="0"/>
      </w:tabs>
      <w:adjustRightInd w:val="0"/>
      <w:snapToGrid w:val="0"/>
      <w:spacing w:beforeLines="10" w:afterLines="10" w:line="259" w:lineRule="auto"/>
      <w:jc w:val="center"/>
    </w:pPr>
    <w:rPr>
      <w:rFonts w:ascii="宋体" w:hAnsiTheme="minorHAnsi" w:eastAsiaTheme="minorEastAsia" w:cstheme="minorBidi"/>
      <w:szCs w:val="22"/>
    </w:rPr>
  </w:style>
  <w:style w:type="paragraph" w:customStyle="1" w:styleId="149">
    <w:name w:val="表标题"/>
    <w:basedOn w:val="1"/>
    <w:next w:val="1"/>
    <w:qFormat/>
    <w:uiPriority w:val="0"/>
    <w:pPr>
      <w:widowControl/>
      <w:tabs>
        <w:tab w:val="left" w:pos="0"/>
      </w:tabs>
      <w:spacing w:before="240" w:after="120"/>
      <w:jc w:val="center"/>
    </w:pPr>
    <w:rPr>
      <w:rFonts w:ascii="宋体" w:hAnsi="宋体" w:cs="宋体"/>
      <w:b/>
      <w:kern w:val="0"/>
      <w:sz w:val="24"/>
    </w:rPr>
  </w:style>
  <w:style w:type="character" w:customStyle="1" w:styleId="150">
    <w:name w:val="页脚 Char1"/>
    <w:basedOn w:val="91"/>
    <w:qFormat/>
    <w:uiPriority w:val="0"/>
    <w:rPr>
      <w:rFonts w:ascii="Times New Roman" w:hAnsi="Times New Roman" w:eastAsia="宋体" w:cs="Times New Roman"/>
      <w:sz w:val="18"/>
      <w:szCs w:val="18"/>
    </w:rPr>
  </w:style>
  <w:style w:type="paragraph" w:customStyle="1" w:styleId="151">
    <w:name w:val="正文1"/>
    <w:qFormat/>
    <w:uiPriority w:val="0"/>
    <w:pPr>
      <w:jc w:val="both"/>
    </w:pPr>
    <w:rPr>
      <w:rFonts w:ascii="Calibri" w:hAnsi="Calibri" w:eastAsia="宋体" w:cs="Calibri"/>
      <w:kern w:val="2"/>
      <w:sz w:val="21"/>
      <w:szCs w:val="21"/>
      <w:lang w:val="en-US" w:eastAsia="zh-CN" w:bidi="ar-SA"/>
    </w:rPr>
  </w:style>
  <w:style w:type="character" w:customStyle="1" w:styleId="152">
    <w:name w:val="标题 3 Char"/>
    <w:basedOn w:val="91"/>
    <w:qFormat/>
    <w:uiPriority w:val="0"/>
    <w:rPr>
      <w:rFonts w:ascii="Times New Roman" w:hAnsi="Times New Roman" w:eastAsia="宋体" w:cs="Times New Roman"/>
      <w:b/>
      <w:bCs/>
      <w:sz w:val="32"/>
      <w:szCs w:val="32"/>
    </w:rPr>
  </w:style>
  <w:style w:type="paragraph" w:customStyle="1" w:styleId="153">
    <w:name w:val="Table Paragraph"/>
    <w:basedOn w:val="1"/>
    <w:qFormat/>
    <w:uiPriority w:val="1"/>
    <w:pPr>
      <w:jc w:val="left"/>
    </w:pPr>
    <w:rPr>
      <w:rFonts w:ascii="Calibri" w:hAnsi="Calibri"/>
      <w:kern w:val="0"/>
      <w:sz w:val="22"/>
      <w:szCs w:val="22"/>
      <w:lang w:eastAsia="en-US"/>
    </w:rPr>
  </w:style>
  <w:style w:type="character" w:customStyle="1" w:styleId="154">
    <w:name w:val="批注文字 Char"/>
    <w:basedOn w:val="91"/>
    <w:qFormat/>
    <w:uiPriority w:val="0"/>
    <w:rPr>
      <w:rFonts w:ascii="Times New Roman" w:hAnsi="Times New Roman" w:eastAsia="宋体" w:cs="Times New Roman"/>
      <w:szCs w:val="24"/>
    </w:rPr>
  </w:style>
  <w:style w:type="paragraph" w:styleId="155">
    <w:name w:val="List Paragraph"/>
    <w:basedOn w:val="1"/>
    <w:qFormat/>
    <w:uiPriority w:val="0"/>
    <w:pPr>
      <w:ind w:firstLine="420" w:firstLineChars="200"/>
    </w:pPr>
  </w:style>
  <w:style w:type="paragraph" w:customStyle="1" w:styleId="156">
    <w:name w:val="正文2"/>
    <w:qFormat/>
    <w:uiPriority w:val="0"/>
    <w:pPr>
      <w:jc w:val="both"/>
    </w:pPr>
    <w:rPr>
      <w:rFonts w:ascii="Calibri" w:hAnsi="Calibri" w:eastAsia="宋体" w:cs="Calibri"/>
      <w:kern w:val="2"/>
      <w:sz w:val="21"/>
      <w:szCs w:val="21"/>
      <w:lang w:val="en-US" w:eastAsia="zh-CN" w:bidi="ar-SA"/>
    </w:rPr>
  </w:style>
  <w:style w:type="paragraph" w:customStyle="1" w:styleId="157">
    <w:name w:val="xl24"/>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宋体" w:hAnsi="宋体"/>
      <w:kern w:val="0"/>
      <w:sz w:val="24"/>
    </w:rPr>
  </w:style>
  <w:style w:type="character" w:customStyle="1" w:styleId="158">
    <w:name w:val="页眉 Char1"/>
    <w:qFormat/>
    <w:uiPriority w:val="0"/>
    <w:rPr>
      <w:rFonts w:eastAsia="宋体"/>
      <w:kern w:val="2"/>
      <w:sz w:val="18"/>
      <w:szCs w:val="18"/>
      <w:lang w:val="en-US" w:eastAsia="zh-CN" w:bidi="ar-SA"/>
    </w:rPr>
  </w:style>
  <w:style w:type="paragraph" w:customStyle="1" w:styleId="159">
    <w:name w:val="xl25"/>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snapToGrid w:val="0"/>
      <w:kern w:val="0"/>
      <w:szCs w:val="21"/>
    </w:rPr>
  </w:style>
  <w:style w:type="character" w:customStyle="1" w:styleId="160">
    <w:name w:val="正文首行缩进 2 Char1"/>
    <w:basedOn w:val="122"/>
    <w:qFormat/>
    <w:uiPriority w:val="0"/>
    <w:rPr>
      <w:rFonts w:ascii="Times New Roman" w:hAnsi="Times New Roman" w:eastAsia="宋体" w:cs="Times New Roman"/>
      <w:szCs w:val="24"/>
    </w:rPr>
  </w:style>
  <w:style w:type="character" w:customStyle="1" w:styleId="161">
    <w:name w:val="表表文字 Char"/>
    <w:link w:val="162"/>
    <w:qFormat/>
    <w:uiPriority w:val="0"/>
    <w:rPr>
      <w:szCs w:val="21"/>
    </w:rPr>
  </w:style>
  <w:style w:type="paragraph" w:customStyle="1" w:styleId="162">
    <w:name w:val="表表文字"/>
    <w:basedOn w:val="1"/>
    <w:link w:val="161"/>
    <w:qFormat/>
    <w:uiPriority w:val="0"/>
    <w:pPr>
      <w:wordWrap w:val="0"/>
      <w:adjustRightInd w:val="0"/>
      <w:snapToGrid w:val="0"/>
      <w:jc w:val="center"/>
    </w:pPr>
    <w:rPr>
      <w:rFonts w:asciiTheme="minorHAnsi" w:hAnsiTheme="minorHAnsi" w:eastAsiaTheme="minorEastAsia" w:cstheme="minorBidi"/>
      <w:szCs w:val="21"/>
    </w:rPr>
  </w:style>
  <w:style w:type="character" w:customStyle="1" w:styleId="163">
    <w:name w:val="小表文字 字符"/>
    <w:link w:val="164"/>
    <w:qFormat/>
    <w:uiPriority w:val="0"/>
  </w:style>
  <w:style w:type="paragraph" w:customStyle="1" w:styleId="164">
    <w:name w:val="小表文字"/>
    <w:basedOn w:val="1"/>
    <w:link w:val="163"/>
    <w:qFormat/>
    <w:uiPriority w:val="0"/>
    <w:pPr>
      <w:jc w:val="center"/>
    </w:pPr>
    <w:rPr>
      <w:rFonts w:asciiTheme="minorHAnsi" w:hAnsiTheme="minorHAnsi" w:eastAsiaTheme="minorEastAsia" w:cstheme="minorBidi"/>
      <w:szCs w:val="22"/>
    </w:rPr>
  </w:style>
  <w:style w:type="paragraph" w:customStyle="1" w:styleId="165">
    <w:name w:val="简单回函地址"/>
    <w:basedOn w:val="1"/>
    <w:qFormat/>
    <w:uiPriority w:val="0"/>
    <w:rPr>
      <w:sz w:val="24"/>
      <w:szCs w:val="20"/>
    </w:rPr>
  </w:style>
  <w:style w:type="character" w:customStyle="1" w:styleId="166">
    <w:name w:val="正文 4 Char"/>
    <w:link w:val="167"/>
    <w:qFormat/>
    <w:locked/>
    <w:uiPriority w:val="0"/>
    <w:rPr>
      <w:rFonts w:ascii="宋体" w:hAnsi="宋体"/>
      <w:sz w:val="24"/>
      <w:szCs w:val="24"/>
    </w:rPr>
  </w:style>
  <w:style w:type="paragraph" w:customStyle="1" w:styleId="167">
    <w:name w:val="正文 4"/>
    <w:basedOn w:val="1"/>
    <w:link w:val="166"/>
    <w:qFormat/>
    <w:uiPriority w:val="0"/>
    <w:pPr>
      <w:autoSpaceDE w:val="0"/>
      <w:autoSpaceDN w:val="0"/>
      <w:adjustRightInd w:val="0"/>
      <w:snapToGrid w:val="0"/>
      <w:spacing w:line="480" w:lineRule="atLeast"/>
      <w:ind w:firstLine="480" w:firstLineChars="200"/>
    </w:pPr>
    <w:rPr>
      <w:rFonts w:ascii="宋体" w:hAnsi="宋体" w:eastAsiaTheme="minorEastAsia" w:cstheme="minorBidi"/>
      <w:sz w:val="24"/>
    </w:rPr>
  </w:style>
  <w:style w:type="character" w:customStyle="1" w:styleId="168">
    <w:name w:val="表头、图尾 Char"/>
    <w:basedOn w:val="91"/>
    <w:link w:val="169"/>
    <w:qFormat/>
    <w:uiPriority w:val="0"/>
    <w:rPr>
      <w:rFonts w:eastAsia="仿宋_GB2312"/>
      <w:b/>
      <w:sz w:val="24"/>
    </w:rPr>
  </w:style>
  <w:style w:type="paragraph" w:customStyle="1" w:styleId="169">
    <w:name w:val="表头、图尾"/>
    <w:next w:val="1"/>
    <w:link w:val="168"/>
    <w:qFormat/>
    <w:uiPriority w:val="0"/>
    <w:pPr>
      <w:spacing w:line="500" w:lineRule="exact"/>
      <w:jc w:val="center"/>
    </w:pPr>
    <w:rPr>
      <w:rFonts w:eastAsia="仿宋_GB2312" w:asciiTheme="minorHAnsi" w:hAnsiTheme="minorHAnsi" w:cstheme="minorBidi"/>
      <w:b/>
      <w:kern w:val="2"/>
      <w:sz w:val="24"/>
      <w:szCs w:val="22"/>
      <w:lang w:val="en-US" w:eastAsia="zh-CN" w:bidi="ar-SA"/>
    </w:rPr>
  </w:style>
  <w:style w:type="character" w:customStyle="1" w:styleId="170">
    <w:name w:val="表格内文字 Char"/>
    <w:link w:val="171"/>
    <w:qFormat/>
    <w:uiPriority w:val="0"/>
    <w:rPr>
      <w:rFonts w:eastAsia="宋体"/>
      <w:spacing w:val="10"/>
      <w:sz w:val="24"/>
    </w:rPr>
  </w:style>
  <w:style w:type="paragraph" w:customStyle="1" w:styleId="171">
    <w:name w:val="表格内文字"/>
    <w:basedOn w:val="1"/>
    <w:link w:val="170"/>
    <w:qFormat/>
    <w:uiPriority w:val="0"/>
    <w:pPr>
      <w:spacing w:before="100" w:after="100" w:line="320" w:lineRule="exact"/>
      <w:jc w:val="center"/>
    </w:pPr>
    <w:rPr>
      <w:rFonts w:asciiTheme="minorHAnsi" w:hAnsiTheme="minorHAnsi" w:cstheme="minorBidi"/>
      <w:spacing w:val="10"/>
      <w:sz w:val="24"/>
      <w:szCs w:val="22"/>
    </w:rPr>
  </w:style>
  <w:style w:type="character" w:customStyle="1" w:styleId="172">
    <w:name w:val="样式 表格 + 黑色 Char Char"/>
    <w:link w:val="173"/>
    <w:qFormat/>
    <w:uiPriority w:val="0"/>
    <w:rPr>
      <w:rFonts w:ascii="宋体" w:hAnsi="宋体"/>
      <w:color w:val="000000"/>
      <w:spacing w:val="-4"/>
      <w:szCs w:val="21"/>
    </w:rPr>
  </w:style>
  <w:style w:type="paragraph" w:customStyle="1" w:styleId="173">
    <w:name w:val="样式 表格 + 黑色"/>
    <w:basedOn w:val="1"/>
    <w:link w:val="172"/>
    <w:qFormat/>
    <w:uiPriority w:val="0"/>
    <w:pPr>
      <w:adjustRightInd w:val="0"/>
      <w:snapToGrid w:val="0"/>
      <w:jc w:val="center"/>
    </w:pPr>
    <w:rPr>
      <w:rFonts w:ascii="宋体" w:hAnsi="宋体" w:eastAsiaTheme="minorEastAsia" w:cstheme="minorBidi"/>
      <w:color w:val="000000"/>
      <w:spacing w:val="-4"/>
      <w:szCs w:val="21"/>
    </w:rPr>
  </w:style>
  <w:style w:type="character" w:customStyle="1" w:styleId="174">
    <w:name w:val="样式 左侧:  0.99 厘米 Char"/>
    <w:link w:val="175"/>
    <w:qFormat/>
    <w:locked/>
    <w:uiPriority w:val="0"/>
    <w:rPr>
      <w:rFonts w:ascii="宋体" w:hAnsi="宋体" w:eastAsia="宋体" w:cs="宋体"/>
      <w:sz w:val="28"/>
    </w:rPr>
  </w:style>
  <w:style w:type="paragraph" w:customStyle="1" w:styleId="175">
    <w:name w:val="样式 左侧:  0.99 厘米"/>
    <w:basedOn w:val="1"/>
    <w:link w:val="174"/>
    <w:qFormat/>
    <w:uiPriority w:val="0"/>
    <w:pPr>
      <w:adjustRightInd w:val="0"/>
      <w:spacing w:line="360" w:lineRule="auto"/>
      <w:jc w:val="left"/>
    </w:pPr>
    <w:rPr>
      <w:rFonts w:ascii="宋体" w:hAnsi="宋体" w:cs="宋体"/>
      <w:sz w:val="28"/>
      <w:szCs w:val="22"/>
    </w:rPr>
  </w:style>
  <w:style w:type="paragraph" w:customStyle="1" w:styleId="176">
    <w:name w:val="+正文"/>
    <w:basedOn w:val="1"/>
    <w:qFormat/>
    <w:uiPriority w:val="0"/>
    <w:pPr>
      <w:widowControl/>
      <w:spacing w:line="360" w:lineRule="auto"/>
      <w:ind w:firstLine="200" w:firstLineChars="200"/>
      <w:jc w:val="left"/>
    </w:pPr>
    <w:rPr>
      <w:kern w:val="0"/>
      <w:sz w:val="28"/>
      <w:szCs w:val="28"/>
    </w:rPr>
  </w:style>
  <w:style w:type="paragraph" w:customStyle="1" w:styleId="177">
    <w:name w:val="xl37"/>
    <w:basedOn w:val="1"/>
    <w:qFormat/>
    <w:uiPriority w:val="0"/>
    <w:pPr>
      <w:widowControl/>
      <w:spacing w:before="100" w:beforeAutospacing="1" w:after="100" w:afterAutospacing="1" w:line="240" w:lineRule="exact"/>
      <w:jc w:val="center"/>
    </w:pPr>
    <w:rPr>
      <w:rFonts w:ascii="宋体" w:hAnsi="宋体"/>
      <w:kern w:val="0"/>
      <w:sz w:val="24"/>
      <w:szCs w:val="20"/>
    </w:rPr>
  </w:style>
  <w:style w:type="character" w:customStyle="1" w:styleId="178">
    <w:name w:val="链接"/>
    <w:qFormat/>
    <w:uiPriority w:val="0"/>
    <w:rPr>
      <w:rFonts w:hint="eastAsia" w:ascii="黑体" w:hAnsi="黑体" w:eastAsia="宋体"/>
      <w:b/>
      <w:color w:val="0000FF"/>
      <w:spacing w:val="10"/>
      <w:kern w:val="2"/>
      <w:sz w:val="21"/>
      <w:szCs w:val="28"/>
      <w:u w:val="single" w:color="0000FF"/>
      <w:lang w:val="en-US" w:eastAsia="zh-CN" w:bidi="ar-SA"/>
    </w:rPr>
  </w:style>
  <w:style w:type="character" w:customStyle="1" w:styleId="179">
    <w:name w:val="font01"/>
    <w:basedOn w:val="91"/>
    <w:qFormat/>
    <w:uiPriority w:val="0"/>
    <w:rPr>
      <w:rFonts w:hint="eastAsia" w:ascii="宋体" w:hAnsi="宋体" w:cs="宋体"/>
      <w:color w:val="000000"/>
      <w:sz w:val="22"/>
      <w:szCs w:val="22"/>
      <w:u w:val="none"/>
    </w:rPr>
  </w:style>
  <w:style w:type="character" w:customStyle="1" w:styleId="180">
    <w:name w:val="headline-content"/>
    <w:basedOn w:val="91"/>
    <w:qFormat/>
    <w:uiPriority w:val="0"/>
    <w:rPr>
      <w:rFonts w:ascii="Times New Roman" w:hAnsi="Times New Roman" w:eastAsia="宋体" w:cs="Times New Roman"/>
    </w:rPr>
  </w:style>
  <w:style w:type="character" w:customStyle="1" w:styleId="181">
    <w:name w:val="标题1"/>
    <w:basedOn w:val="91"/>
    <w:qFormat/>
    <w:uiPriority w:val="0"/>
    <w:rPr>
      <w:rFonts w:ascii="Times New Roman" w:hAnsi="Times New Roman" w:eastAsia="宋体" w:cs="Times New Roman"/>
    </w:rPr>
  </w:style>
  <w:style w:type="character" w:customStyle="1" w:styleId="182">
    <w:name w:val="正文缩进 Char3"/>
    <w:qFormat/>
    <w:uiPriority w:val="0"/>
    <w:rPr>
      <w:rFonts w:ascii="Times New Roman" w:hAnsi="Times New Roman" w:eastAsia="宋体" w:cs="Times New Roman"/>
      <w:kern w:val="2"/>
      <w:sz w:val="28"/>
      <w:lang w:val="en-US" w:eastAsia="zh-CN" w:bidi="ar-SA"/>
    </w:rPr>
  </w:style>
  <w:style w:type="character" w:customStyle="1" w:styleId="183">
    <w:name w:val="szh51"/>
    <w:qFormat/>
    <w:uiPriority w:val="0"/>
    <w:rPr>
      <w:rFonts w:ascii="Times New Roman" w:hAnsi="Times New Roman" w:eastAsia="宋体" w:cs="Times New Roman"/>
      <w:spacing w:val="330"/>
    </w:rPr>
  </w:style>
  <w:style w:type="character" w:customStyle="1" w:styleId="184">
    <w:name w:val="number"/>
    <w:basedOn w:val="91"/>
    <w:qFormat/>
    <w:uiPriority w:val="0"/>
    <w:rPr>
      <w:rFonts w:ascii="Times New Roman" w:hAnsi="Times New Roman" w:eastAsia="宋体" w:cs="Times New Roman"/>
    </w:rPr>
  </w:style>
  <w:style w:type="character" w:customStyle="1" w:styleId="185">
    <w:name w:val="样式 样式 首行缩进:  2 字符 行距: 固定值 24 磅 + 宋体 Char"/>
    <w:link w:val="186"/>
    <w:qFormat/>
    <w:uiPriority w:val="0"/>
    <w:rPr>
      <w:rFonts w:ascii="宋体" w:hAnsi="宋体" w:cs="宋体"/>
      <w:kern w:val="2"/>
      <w:sz w:val="24"/>
    </w:rPr>
  </w:style>
  <w:style w:type="paragraph" w:customStyle="1" w:styleId="186">
    <w:name w:val="样式 样式 首行缩进:  2 字符 行距: 固定值 24 磅 + 宋体"/>
    <w:basedOn w:val="1"/>
    <w:link w:val="185"/>
    <w:qFormat/>
    <w:uiPriority w:val="0"/>
    <w:pPr>
      <w:spacing w:line="480" w:lineRule="exact"/>
      <w:ind w:firstLine="480" w:firstLineChars="200"/>
    </w:pPr>
    <w:rPr>
      <w:rFonts w:ascii="宋体" w:hAnsi="宋体" w:cs="宋体"/>
      <w:sz w:val="24"/>
      <w:szCs w:val="20"/>
    </w:rPr>
  </w:style>
  <w:style w:type="character" w:customStyle="1" w:styleId="187">
    <w:name w:val="引用 Char"/>
    <w:basedOn w:val="91"/>
    <w:qFormat/>
    <w:uiPriority w:val="29"/>
    <w:rPr>
      <w:i/>
      <w:iCs/>
      <w:color w:val="000000"/>
    </w:rPr>
  </w:style>
  <w:style w:type="paragraph" w:styleId="188">
    <w:name w:val="Quote"/>
    <w:basedOn w:val="1"/>
    <w:next w:val="1"/>
    <w:link w:val="189"/>
    <w:qFormat/>
    <w:uiPriority w:val="29"/>
    <w:pPr>
      <w:widowControl/>
      <w:jc w:val="left"/>
    </w:pPr>
    <w:rPr>
      <w:i/>
      <w:iCs/>
      <w:color w:val="000000"/>
      <w:kern w:val="0"/>
      <w:sz w:val="20"/>
      <w:szCs w:val="20"/>
    </w:rPr>
  </w:style>
  <w:style w:type="character" w:customStyle="1" w:styleId="189">
    <w:name w:val="引用 Char1"/>
    <w:basedOn w:val="91"/>
    <w:link w:val="188"/>
    <w:semiHidden/>
    <w:qFormat/>
    <w:uiPriority w:val="99"/>
    <w:rPr>
      <w:i/>
      <w:iCs/>
      <w:color w:val="000000" w:themeColor="text1"/>
      <w:kern w:val="2"/>
      <w:sz w:val="21"/>
      <w:szCs w:val="24"/>
      <w14:textFill>
        <w14:solidFill>
          <w14:schemeClr w14:val="tx1"/>
        </w14:solidFill>
      </w14:textFill>
    </w:rPr>
  </w:style>
  <w:style w:type="character" w:customStyle="1" w:styleId="190">
    <w:name w:val="表题1 Char"/>
    <w:link w:val="191"/>
    <w:qFormat/>
    <w:uiPriority w:val="0"/>
    <w:rPr>
      <w:rFonts w:ascii="黑体" w:hAnsi="Arial" w:eastAsia="黑体" w:cs="Arial"/>
      <w:b/>
      <w:kern w:val="2"/>
      <w:sz w:val="28"/>
      <w:szCs w:val="24"/>
    </w:rPr>
  </w:style>
  <w:style w:type="paragraph" w:customStyle="1" w:styleId="191">
    <w:name w:val="表题1"/>
    <w:basedOn w:val="23"/>
    <w:link w:val="190"/>
    <w:qFormat/>
    <w:uiPriority w:val="0"/>
    <w:pPr>
      <w:widowControl w:val="0"/>
      <w:spacing w:line="360" w:lineRule="auto"/>
    </w:pPr>
    <w:rPr>
      <w:rFonts w:ascii="黑体" w:hAnsi="Arial" w:cs="Arial"/>
      <w:b/>
      <w:kern w:val="2"/>
      <w:sz w:val="28"/>
    </w:rPr>
  </w:style>
  <w:style w:type="character" w:customStyle="1" w:styleId="192">
    <w:name w:val="表头 Char"/>
    <w:link w:val="193"/>
    <w:qFormat/>
    <w:uiPriority w:val="0"/>
    <w:rPr>
      <w:rFonts w:eastAsia="黑体"/>
      <w:kern w:val="2"/>
      <w:sz w:val="21"/>
      <w:szCs w:val="24"/>
    </w:rPr>
  </w:style>
  <w:style w:type="paragraph" w:customStyle="1" w:styleId="193">
    <w:name w:val="表头"/>
    <w:basedOn w:val="194"/>
    <w:link w:val="192"/>
    <w:qFormat/>
    <w:uiPriority w:val="0"/>
    <w:pPr>
      <w:spacing w:line="320" w:lineRule="exact"/>
      <w:jc w:val="center"/>
    </w:pPr>
    <w:rPr>
      <w:rFonts w:eastAsia="黑体"/>
    </w:rPr>
  </w:style>
  <w:style w:type="paragraph" w:customStyle="1" w:styleId="194">
    <w:name w:val="图表"/>
    <w:basedOn w:val="1"/>
    <w:qFormat/>
    <w:uiPriority w:val="0"/>
    <w:pPr>
      <w:spacing w:line="240" w:lineRule="auto"/>
      <w:ind w:firstLine="0" w:firstLineChars="0"/>
      <w:jc w:val="center"/>
    </w:pPr>
    <w:rPr>
      <w:sz w:val="21"/>
    </w:rPr>
  </w:style>
  <w:style w:type="character" w:customStyle="1" w:styleId="195">
    <w:name w:val="环正文 Char5"/>
    <w:link w:val="196"/>
    <w:qFormat/>
    <w:uiPriority w:val="0"/>
    <w:rPr>
      <w:bCs/>
      <w:color w:val="000000"/>
      <w:sz w:val="24"/>
      <w:szCs w:val="24"/>
    </w:rPr>
  </w:style>
  <w:style w:type="paragraph" w:customStyle="1" w:styleId="196">
    <w:name w:val="环正文"/>
    <w:basedOn w:val="1"/>
    <w:link w:val="195"/>
    <w:qFormat/>
    <w:uiPriority w:val="0"/>
    <w:pPr>
      <w:widowControl/>
      <w:suppressAutoHyphens/>
      <w:adjustRightInd w:val="0"/>
      <w:snapToGrid w:val="0"/>
      <w:spacing w:line="360" w:lineRule="auto"/>
      <w:ind w:left="-24" w:right="6" w:firstLine="480" w:firstLineChars="200"/>
      <w:jc w:val="left"/>
      <w:textAlignment w:val="baseline"/>
    </w:pPr>
    <w:rPr>
      <w:bCs/>
      <w:color w:val="000000"/>
      <w:kern w:val="0"/>
      <w:sz w:val="24"/>
    </w:rPr>
  </w:style>
  <w:style w:type="character" w:customStyle="1" w:styleId="197">
    <w:name w:val="apple-converted-space"/>
    <w:basedOn w:val="91"/>
    <w:qFormat/>
    <w:uiPriority w:val="0"/>
    <w:rPr>
      <w:rFonts w:ascii="Times New Roman" w:hAnsi="Times New Roman" w:eastAsia="宋体" w:cs="Times New Roman"/>
    </w:rPr>
  </w:style>
  <w:style w:type="character" w:customStyle="1" w:styleId="198">
    <w:name w:val="表格文字 Char"/>
    <w:link w:val="199"/>
    <w:qFormat/>
    <w:uiPriority w:val="0"/>
    <w:rPr>
      <w:rFonts w:ascii="仿宋_GB2312" w:hAnsi="Arial Black" w:eastAsia="仿宋_GB2312"/>
      <w:kern w:val="44"/>
      <w:sz w:val="24"/>
    </w:rPr>
  </w:style>
  <w:style w:type="paragraph" w:customStyle="1" w:styleId="199">
    <w:name w:val="表格文字"/>
    <w:basedOn w:val="1"/>
    <w:link w:val="198"/>
    <w:qFormat/>
    <w:uiPriority w:val="0"/>
    <w:pPr>
      <w:widowControl/>
      <w:jc w:val="center"/>
    </w:pPr>
    <w:rPr>
      <w:rFonts w:ascii="仿宋_GB2312" w:hAnsi="Arial Black" w:eastAsia="仿宋_GB2312"/>
      <w:kern w:val="44"/>
      <w:sz w:val="24"/>
      <w:szCs w:val="20"/>
    </w:rPr>
  </w:style>
  <w:style w:type="character" w:customStyle="1" w:styleId="200">
    <w:name w:val="环科院正文 Char"/>
    <w:link w:val="201"/>
    <w:qFormat/>
    <w:uiPriority w:val="0"/>
    <w:rPr>
      <w:rFonts w:ascii="宋体"/>
      <w:bCs/>
      <w:color w:val="FF0000"/>
      <w:sz w:val="24"/>
      <w:szCs w:val="24"/>
      <w:u w:color="000000"/>
      <w:lang w:val="zh-CN"/>
    </w:rPr>
  </w:style>
  <w:style w:type="paragraph" w:customStyle="1" w:styleId="201">
    <w:name w:val="环科院正文"/>
    <w:basedOn w:val="1"/>
    <w:link w:val="200"/>
    <w:qFormat/>
    <w:uiPriority w:val="0"/>
    <w:pPr>
      <w:tabs>
        <w:tab w:val="left" w:pos="5760"/>
      </w:tabs>
      <w:adjustRightInd w:val="0"/>
      <w:snapToGrid w:val="0"/>
      <w:spacing w:line="360" w:lineRule="auto"/>
      <w:ind w:firstLine="480" w:firstLineChars="200"/>
    </w:pPr>
    <w:rPr>
      <w:rFonts w:ascii="宋体"/>
      <w:bCs/>
      <w:color w:val="FF0000"/>
      <w:kern w:val="0"/>
      <w:sz w:val="24"/>
      <w:u w:color="000000"/>
      <w:lang w:val="zh-CN"/>
    </w:rPr>
  </w:style>
  <w:style w:type="character" w:customStyle="1" w:styleId="202">
    <w:name w:val="明显引用 Char"/>
    <w:basedOn w:val="91"/>
    <w:qFormat/>
    <w:uiPriority w:val="30"/>
    <w:rPr>
      <w:b/>
      <w:bCs/>
      <w:i/>
      <w:iCs/>
      <w:color w:val="4F81BD"/>
    </w:rPr>
  </w:style>
  <w:style w:type="paragraph" w:styleId="203">
    <w:name w:val="Intense Quote"/>
    <w:basedOn w:val="1"/>
    <w:next w:val="1"/>
    <w:link w:val="204"/>
    <w:qFormat/>
    <w:uiPriority w:val="30"/>
    <w:pPr>
      <w:widowControl/>
      <w:pBdr>
        <w:bottom w:val="single" w:color="4F81BD" w:sz="4" w:space="4"/>
      </w:pBdr>
      <w:spacing w:before="200" w:after="280"/>
      <w:ind w:left="936" w:right="936"/>
      <w:jc w:val="left"/>
    </w:pPr>
    <w:rPr>
      <w:b/>
      <w:bCs/>
      <w:i/>
      <w:iCs/>
      <w:color w:val="4F81BD"/>
      <w:kern w:val="0"/>
      <w:sz w:val="20"/>
      <w:szCs w:val="20"/>
    </w:rPr>
  </w:style>
  <w:style w:type="character" w:customStyle="1" w:styleId="204">
    <w:name w:val="明显引用 Char1"/>
    <w:basedOn w:val="91"/>
    <w:link w:val="203"/>
    <w:semiHidden/>
    <w:qFormat/>
    <w:uiPriority w:val="99"/>
    <w:rPr>
      <w:b/>
      <w:bCs/>
      <w:i/>
      <w:iCs/>
      <w:color w:val="4F81BD" w:themeColor="accent1"/>
      <w:kern w:val="2"/>
      <w:sz w:val="21"/>
      <w:szCs w:val="24"/>
      <w14:textFill>
        <w14:solidFill>
          <w14:schemeClr w14:val="accent1"/>
        </w14:solidFill>
      </w14:textFill>
    </w:rPr>
  </w:style>
  <w:style w:type="character" w:customStyle="1" w:styleId="205">
    <w:name w:val="description"/>
    <w:basedOn w:val="91"/>
    <w:qFormat/>
    <w:uiPriority w:val="0"/>
    <w:rPr>
      <w:rFonts w:ascii="Times New Roman" w:hAnsi="Times New Roman" w:eastAsia="宋体" w:cs="Times New Roman"/>
    </w:rPr>
  </w:style>
  <w:style w:type="paragraph" w:customStyle="1" w:styleId="206">
    <w:name w:val="Body Text 21"/>
    <w:basedOn w:val="1"/>
    <w:qFormat/>
    <w:uiPriority w:val="0"/>
    <w:pPr>
      <w:widowControl/>
      <w:adjustRightInd w:val="0"/>
      <w:jc w:val="left"/>
      <w:textAlignment w:val="baseline"/>
    </w:pPr>
    <w:rPr>
      <w:rFonts w:ascii="仿宋_GB2312" w:hAnsi="宋体" w:eastAsia="仿宋体" w:cs="宋体"/>
      <w:kern w:val="0"/>
      <w:sz w:val="24"/>
    </w:rPr>
  </w:style>
  <w:style w:type="paragraph" w:customStyle="1" w:styleId="207">
    <w:name w:val="小四表文左齐"/>
    <w:basedOn w:val="1"/>
    <w:qFormat/>
    <w:uiPriority w:val="0"/>
    <w:pPr>
      <w:widowControl/>
      <w:tabs>
        <w:tab w:val="left" w:pos="1800"/>
      </w:tabs>
      <w:jc w:val="center"/>
    </w:pPr>
    <w:rPr>
      <w:rFonts w:ascii="宋体" w:hAnsi="宋体" w:cs="宋体"/>
      <w:kern w:val="0"/>
      <w:sz w:val="24"/>
      <w:szCs w:val="21"/>
    </w:rPr>
  </w:style>
  <w:style w:type="paragraph" w:customStyle="1" w:styleId="208">
    <w:name w:val="Plain Text1"/>
    <w:basedOn w:val="1"/>
    <w:qFormat/>
    <w:uiPriority w:val="0"/>
    <w:pPr>
      <w:adjustRightInd w:val="0"/>
    </w:pPr>
    <w:rPr>
      <w:rFonts w:hint="eastAsia" w:ascii="宋体" w:hAnsi="Courier New" w:cs="宋体"/>
    </w:rPr>
  </w:style>
  <w:style w:type="paragraph" w:customStyle="1" w:styleId="209">
    <w:name w:val="标题11"/>
    <w:basedOn w:val="1"/>
    <w:next w:val="1"/>
    <w:qFormat/>
    <w:uiPriority w:val="0"/>
    <w:pPr>
      <w:tabs>
        <w:tab w:val="left" w:pos="9193"/>
        <w:tab w:val="left" w:pos="9827"/>
      </w:tabs>
      <w:autoSpaceDE w:val="0"/>
      <w:autoSpaceDN w:val="0"/>
      <w:snapToGrid w:val="0"/>
      <w:spacing w:line="700" w:lineRule="atLeast"/>
      <w:jc w:val="center"/>
    </w:pPr>
    <w:rPr>
      <w:rFonts w:ascii="宋体" w:hAnsi="宋体" w:eastAsia="方正小标宋_GBK" w:cs="宋体"/>
      <w:snapToGrid w:val="0"/>
      <w:kern w:val="0"/>
      <w:sz w:val="44"/>
    </w:rPr>
  </w:style>
  <w:style w:type="paragraph" w:customStyle="1" w:styleId="210">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宋体"/>
      <w:kern w:val="0"/>
      <w:sz w:val="24"/>
      <w:szCs w:val="21"/>
    </w:rPr>
  </w:style>
  <w:style w:type="paragraph" w:customStyle="1" w:styleId="211">
    <w:name w:val="图文框"/>
    <w:basedOn w:val="1"/>
    <w:qFormat/>
    <w:uiPriority w:val="0"/>
    <w:pPr>
      <w:widowControl/>
      <w:ind w:right="-84" w:rightChars="-42"/>
      <w:jc w:val="center"/>
    </w:pPr>
    <w:rPr>
      <w:rFonts w:ascii="宋体" w:hAnsi="宋体" w:cs="宋体"/>
      <w:kern w:val="0"/>
      <w:sz w:val="24"/>
    </w:rPr>
  </w:style>
  <w:style w:type="paragraph" w:customStyle="1" w:styleId="212">
    <w:name w:val="reader-word-layer reader-word-s4-3"/>
    <w:basedOn w:val="1"/>
    <w:qFormat/>
    <w:uiPriority w:val="0"/>
    <w:pPr>
      <w:widowControl/>
      <w:spacing w:before="100" w:beforeAutospacing="1" w:after="100" w:afterAutospacing="1"/>
      <w:jc w:val="left"/>
    </w:pPr>
    <w:rPr>
      <w:rFonts w:ascii="宋体" w:hAnsi="宋体" w:cs="宋体"/>
      <w:kern w:val="0"/>
      <w:sz w:val="24"/>
    </w:rPr>
  </w:style>
  <w:style w:type="paragraph" w:customStyle="1" w:styleId="213">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14">
    <w:name w:val="列出段落1"/>
    <w:basedOn w:val="1"/>
    <w:qFormat/>
    <w:uiPriority w:val="34"/>
    <w:pPr>
      <w:widowControl/>
      <w:ind w:firstLine="420" w:firstLineChars="200"/>
      <w:jc w:val="left"/>
    </w:pPr>
    <w:rPr>
      <w:rFonts w:ascii="宋体" w:hAnsi="宋体" w:cs="宋体"/>
      <w:kern w:val="0"/>
      <w:sz w:val="24"/>
    </w:rPr>
  </w:style>
  <w:style w:type="paragraph" w:customStyle="1" w:styleId="215">
    <w:name w:val="reader-word-layer reader-word-s4-1"/>
    <w:basedOn w:val="1"/>
    <w:qFormat/>
    <w:uiPriority w:val="0"/>
    <w:pPr>
      <w:widowControl/>
      <w:spacing w:before="100" w:beforeAutospacing="1" w:after="100" w:afterAutospacing="1"/>
      <w:jc w:val="left"/>
    </w:pPr>
    <w:rPr>
      <w:rFonts w:ascii="宋体" w:hAnsi="宋体" w:cs="宋体"/>
      <w:kern w:val="0"/>
      <w:sz w:val="24"/>
    </w:rPr>
  </w:style>
  <w:style w:type="paragraph" w:customStyle="1" w:styleId="216">
    <w:name w:val="图表头"/>
    <w:basedOn w:val="1"/>
    <w:qFormat/>
    <w:uiPriority w:val="0"/>
    <w:pPr>
      <w:adjustRightInd w:val="0"/>
      <w:spacing w:line="360" w:lineRule="auto"/>
      <w:jc w:val="center"/>
      <w:textAlignment w:val="baseline"/>
    </w:pPr>
    <w:rPr>
      <w:rFonts w:ascii="黑体" w:hAnsi="宋体" w:eastAsia="黑体" w:cs="宋体"/>
      <w:spacing w:val="5"/>
      <w:kern w:val="0"/>
    </w:rPr>
  </w:style>
  <w:style w:type="paragraph" w:customStyle="1" w:styleId="217">
    <w:name w:val="Char1"/>
    <w:basedOn w:val="1"/>
    <w:qFormat/>
    <w:uiPriority w:val="0"/>
    <w:rPr>
      <w:rFonts w:ascii="宋体" w:hAnsi="宋体" w:cs="宋体"/>
    </w:rPr>
  </w:style>
  <w:style w:type="paragraph" w:customStyle="1" w:styleId="218">
    <w:name w:val="样式4"/>
    <w:basedOn w:val="35"/>
    <w:qFormat/>
    <w:uiPriority w:val="0"/>
    <w:pPr>
      <w:widowControl/>
      <w:spacing w:after="0"/>
      <w:ind w:right="-105" w:rightChars="-50"/>
      <w:jc w:val="left"/>
    </w:pPr>
    <w:rPr>
      <w:rFonts w:ascii="宋体" w:hAnsi="宋体" w:cs="宋体"/>
      <w:snapToGrid w:val="0"/>
      <w:color w:val="000000"/>
      <w:kern w:val="0"/>
      <w:sz w:val="15"/>
      <w:szCs w:val="15"/>
    </w:rPr>
  </w:style>
  <w:style w:type="paragraph" w:customStyle="1" w:styleId="219">
    <w:name w:val="表"/>
    <w:basedOn w:val="1"/>
    <w:qFormat/>
    <w:uiPriority w:val="0"/>
    <w:pPr>
      <w:widowControl/>
      <w:snapToGrid w:val="0"/>
      <w:jc w:val="center"/>
    </w:pPr>
    <w:rPr>
      <w:rFonts w:ascii="宋体" w:hAnsi="宋体" w:cs="宋体"/>
      <w:spacing w:val="2"/>
      <w:kern w:val="0"/>
      <w:sz w:val="24"/>
    </w:rPr>
  </w:style>
  <w:style w:type="paragraph" w:customStyle="1" w:styleId="220">
    <w:name w:val="修订1"/>
    <w:qFormat/>
    <w:uiPriority w:val="0"/>
    <w:rPr>
      <w:rFonts w:ascii="Times New Roman" w:hAnsi="Times New Roman" w:eastAsia="宋体" w:cs="Times New Roman"/>
      <w:lang w:val="en-US" w:eastAsia="zh-CN" w:bidi="ar-SA"/>
    </w:rPr>
  </w:style>
  <w:style w:type="paragraph" w:customStyle="1" w:styleId="221">
    <w:name w:val="三级条标题"/>
    <w:basedOn w:val="1"/>
    <w:next w:val="1"/>
    <w:qFormat/>
    <w:uiPriority w:val="0"/>
    <w:pPr>
      <w:widowControl/>
      <w:tabs>
        <w:tab w:val="left" w:pos="2520"/>
      </w:tabs>
      <w:outlineLvl w:val="4"/>
    </w:pPr>
    <w:rPr>
      <w:rFonts w:ascii="黑体" w:hAnsi="宋体" w:eastAsia="黑体" w:cs="宋体"/>
      <w:kern w:val="0"/>
    </w:rPr>
  </w:style>
  <w:style w:type="paragraph" w:customStyle="1" w:styleId="222">
    <w:name w:val="Char Char Char1"/>
    <w:basedOn w:val="1"/>
    <w:qFormat/>
    <w:uiPriority w:val="0"/>
    <w:pPr>
      <w:widowControl/>
      <w:jc w:val="left"/>
    </w:pPr>
    <w:rPr>
      <w:rFonts w:ascii="宋体" w:hAnsi="宋体" w:cs="宋体"/>
      <w:kern w:val="0"/>
      <w:sz w:val="24"/>
    </w:rPr>
  </w:style>
  <w:style w:type="paragraph" w:customStyle="1" w:styleId="223">
    <w:name w:val="Char Char Char"/>
    <w:basedOn w:val="1"/>
    <w:qFormat/>
    <w:uiPriority w:val="0"/>
    <w:pPr>
      <w:widowControl/>
      <w:jc w:val="left"/>
    </w:pPr>
    <w:rPr>
      <w:rFonts w:ascii="宋体" w:hAnsi="宋体" w:cs="宋体"/>
      <w:kern w:val="0"/>
      <w:sz w:val="24"/>
    </w:rPr>
  </w:style>
  <w:style w:type="paragraph" w:customStyle="1" w:styleId="224">
    <w:name w:val="样式1"/>
    <w:basedOn w:val="1"/>
    <w:link w:val="225"/>
    <w:qFormat/>
    <w:uiPriority w:val="0"/>
    <w:pPr>
      <w:widowControl/>
      <w:jc w:val="left"/>
    </w:pPr>
    <w:rPr>
      <w:rFonts w:ascii="宋体" w:hAnsi="宋体" w:cs="宋体"/>
      <w:kern w:val="0"/>
      <w:sz w:val="24"/>
    </w:rPr>
  </w:style>
  <w:style w:type="character" w:customStyle="1" w:styleId="225">
    <w:name w:val="样式1 Char"/>
    <w:link w:val="224"/>
    <w:qFormat/>
    <w:uiPriority w:val="0"/>
    <w:rPr>
      <w:rFonts w:ascii="宋体" w:hAnsi="宋体" w:cs="宋体"/>
      <w:sz w:val="24"/>
      <w:szCs w:val="24"/>
    </w:rPr>
  </w:style>
  <w:style w:type="paragraph" w:customStyle="1" w:styleId="226">
    <w:name w:val="默认段落字体 Para Char Char Char Char"/>
    <w:basedOn w:val="1"/>
    <w:qFormat/>
    <w:uiPriority w:val="0"/>
    <w:pPr>
      <w:widowControl/>
      <w:jc w:val="left"/>
    </w:pPr>
    <w:rPr>
      <w:rFonts w:ascii="宋体" w:hAnsi="宋体" w:cs="宋体"/>
      <w:kern w:val="0"/>
      <w:sz w:val="24"/>
    </w:rPr>
  </w:style>
  <w:style w:type="paragraph" w:customStyle="1" w:styleId="227">
    <w:name w:val="1"/>
    <w:basedOn w:val="1"/>
    <w:next w:val="36"/>
    <w:qFormat/>
    <w:uiPriority w:val="0"/>
    <w:pPr>
      <w:widowControl/>
      <w:spacing w:line="360" w:lineRule="auto"/>
      <w:ind w:firstLine="480" w:firstLineChars="200"/>
      <w:jc w:val="left"/>
    </w:pPr>
    <w:rPr>
      <w:rFonts w:ascii="仿宋_GB2312" w:hAnsi="宋体" w:eastAsia="仿宋_GB2312" w:cs="宋体"/>
      <w:kern w:val="0"/>
      <w:sz w:val="24"/>
    </w:rPr>
  </w:style>
  <w:style w:type="paragraph" w:customStyle="1" w:styleId="228">
    <w:name w:val="Char"/>
    <w:basedOn w:val="1"/>
    <w:qFormat/>
    <w:uiPriority w:val="0"/>
    <w:pPr>
      <w:widowControl/>
      <w:jc w:val="left"/>
    </w:pPr>
    <w:rPr>
      <w:rFonts w:ascii="宋体" w:hAnsi="宋体" w:cs="宋体"/>
      <w:kern w:val="0"/>
      <w:sz w:val="24"/>
    </w:rPr>
  </w:style>
  <w:style w:type="paragraph" w:customStyle="1" w:styleId="229">
    <w:name w:val="xl27"/>
    <w:basedOn w:val="1"/>
    <w:qFormat/>
    <w:uiPriority w:val="0"/>
    <w:pPr>
      <w:widowControl/>
      <w:pBdr>
        <w:bottom w:val="single" w:color="auto" w:sz="12" w:space="0"/>
      </w:pBdr>
      <w:spacing w:before="100" w:after="100"/>
      <w:jc w:val="center"/>
    </w:pPr>
    <w:rPr>
      <w:rFonts w:ascii="宋体" w:hAnsi="宋体" w:cs="宋体"/>
      <w:kern w:val="0"/>
      <w:sz w:val="24"/>
    </w:rPr>
  </w:style>
  <w:style w:type="paragraph" w:styleId="230">
    <w:name w:val="No Spacing"/>
    <w:qFormat/>
    <w:uiPriority w:val="1"/>
    <w:rPr>
      <w:rFonts w:ascii="Times New Roman" w:hAnsi="Times New Roman" w:eastAsia="宋体" w:cs="Times New Roman"/>
      <w:lang w:val="en-US" w:eastAsia="zh-CN" w:bidi="ar-SA"/>
    </w:rPr>
  </w:style>
  <w:style w:type="paragraph" w:customStyle="1" w:styleId="231">
    <w:name w:val="xl28"/>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Arial Unicode MS" w:cs="宋体"/>
      <w:color w:val="000000"/>
      <w:kern w:val="0"/>
      <w:sz w:val="24"/>
      <w:szCs w:val="21"/>
    </w:rPr>
  </w:style>
  <w:style w:type="paragraph" w:customStyle="1" w:styleId="232">
    <w:name w:val="Char Char Char Char Char Char Char"/>
    <w:basedOn w:val="1"/>
    <w:qFormat/>
    <w:uiPriority w:val="0"/>
    <w:pPr>
      <w:widowControl/>
      <w:spacing w:after="160"/>
      <w:jc w:val="left"/>
    </w:pPr>
    <w:rPr>
      <w:rFonts w:ascii="宋体" w:hAnsi="宋体" w:cs="宋体"/>
    </w:rPr>
  </w:style>
  <w:style w:type="paragraph" w:customStyle="1" w:styleId="233">
    <w:name w:val="Char Char Char Char Char Char Char1"/>
    <w:basedOn w:val="1"/>
    <w:qFormat/>
    <w:uiPriority w:val="0"/>
    <w:rPr>
      <w:rFonts w:ascii="宋体" w:hAnsi="宋体" w:cs="宋体"/>
      <w:szCs w:val="21"/>
    </w:rPr>
  </w:style>
  <w:style w:type="paragraph" w:customStyle="1" w:styleId="234">
    <w:name w:val="reader-word-layer reader-word-s1-7"/>
    <w:basedOn w:val="1"/>
    <w:qFormat/>
    <w:uiPriority w:val="0"/>
    <w:pPr>
      <w:widowControl/>
      <w:spacing w:before="100" w:beforeAutospacing="1" w:after="100" w:afterAutospacing="1"/>
      <w:jc w:val="left"/>
    </w:pPr>
    <w:rPr>
      <w:rFonts w:ascii="宋体" w:hAnsi="宋体" w:cs="宋体"/>
      <w:kern w:val="0"/>
      <w:sz w:val="24"/>
    </w:rPr>
  </w:style>
  <w:style w:type="paragraph" w:customStyle="1" w:styleId="235">
    <w:name w:val="reader-word-layer reader-word-s1-5"/>
    <w:basedOn w:val="1"/>
    <w:qFormat/>
    <w:uiPriority w:val="0"/>
    <w:pPr>
      <w:widowControl/>
      <w:spacing w:before="100" w:beforeAutospacing="1" w:after="100" w:afterAutospacing="1"/>
      <w:jc w:val="left"/>
    </w:pPr>
    <w:rPr>
      <w:rFonts w:ascii="宋体" w:hAnsi="宋体" w:cs="宋体"/>
      <w:kern w:val="0"/>
      <w:sz w:val="24"/>
    </w:rPr>
  </w:style>
  <w:style w:type="paragraph" w:customStyle="1" w:styleId="236">
    <w:name w:val="样式 小四 行距: 固定值 27 磅"/>
    <w:basedOn w:val="1"/>
    <w:qFormat/>
    <w:uiPriority w:val="0"/>
    <w:pPr>
      <w:spacing w:line="360" w:lineRule="auto"/>
      <w:ind w:firstLine="200" w:firstLineChars="200"/>
    </w:pPr>
    <w:rPr>
      <w:rFonts w:ascii="宋体" w:hAnsi="宋体" w:cs="宋体"/>
      <w:sz w:val="24"/>
    </w:rPr>
  </w:style>
  <w:style w:type="paragraph" w:customStyle="1" w:styleId="237">
    <w:name w:val="TOC 标题1"/>
    <w:basedOn w:val="4"/>
    <w:next w:val="1"/>
    <w:qFormat/>
    <w:uiPriority w:val="39"/>
    <w:pPr>
      <w:keepLines/>
      <w:numPr>
        <w:numId w:val="0"/>
      </w:numPr>
      <w:spacing w:before="340" w:after="330" w:line="578" w:lineRule="atLeast"/>
      <w:outlineLvl w:val="9"/>
    </w:pPr>
    <w:rPr>
      <w:rFonts w:ascii="Times New Roman"/>
      <w:b/>
      <w:bCs/>
      <w:kern w:val="44"/>
      <w:sz w:val="44"/>
      <w:szCs w:val="44"/>
    </w:rPr>
  </w:style>
  <w:style w:type="paragraph" w:customStyle="1" w:styleId="238">
    <w:name w:val="书目1"/>
    <w:basedOn w:val="1"/>
    <w:next w:val="1"/>
    <w:unhideWhenUsed/>
    <w:qFormat/>
    <w:uiPriority w:val="37"/>
    <w:pPr>
      <w:widowControl/>
      <w:jc w:val="left"/>
    </w:pPr>
    <w:rPr>
      <w:rFonts w:ascii="宋体" w:hAnsi="宋体" w:cs="宋体"/>
      <w:kern w:val="0"/>
      <w:sz w:val="24"/>
    </w:rPr>
  </w:style>
  <w:style w:type="character" w:customStyle="1" w:styleId="239">
    <w:name w:val="表格 Char Char"/>
    <w:qFormat/>
    <w:uiPriority w:val="0"/>
    <w:rPr>
      <w:rFonts w:eastAsia="宋体"/>
      <w:kern w:val="2"/>
      <w:sz w:val="24"/>
      <w:lang w:val="en-US" w:eastAsia="zh-CN" w:bidi="ar-SA"/>
    </w:rPr>
  </w:style>
  <w:style w:type="character" w:customStyle="1" w:styleId="240">
    <w:name w:val="font31"/>
    <w:basedOn w:val="91"/>
    <w:qFormat/>
    <w:uiPriority w:val="0"/>
    <w:rPr>
      <w:rFonts w:hint="default"/>
      <w:color w:val="000000"/>
      <w:sz w:val="22"/>
      <w:szCs w:val="22"/>
      <w:u w:val="none"/>
    </w:rPr>
  </w:style>
  <w:style w:type="character" w:customStyle="1" w:styleId="241">
    <w:name w:val="t_tag"/>
    <w:basedOn w:val="91"/>
    <w:qFormat/>
    <w:uiPriority w:val="0"/>
  </w:style>
  <w:style w:type="paragraph" w:customStyle="1" w:styleId="242">
    <w:name w:val="+列表1"/>
    <w:basedOn w:val="1"/>
    <w:qFormat/>
    <w:uiPriority w:val="0"/>
    <w:pPr>
      <w:widowControl/>
      <w:jc w:val="center"/>
    </w:pPr>
    <w:rPr>
      <w:rFonts w:ascii="宋体" w:hAnsi="宋体" w:cs="宋体"/>
      <w:kern w:val="0"/>
      <w:sz w:val="24"/>
      <w:lang w:eastAsia="en-US"/>
    </w:rPr>
  </w:style>
  <w:style w:type="character" w:customStyle="1" w:styleId="243">
    <w:name w:val="表格 首行文字 Char"/>
    <w:link w:val="244"/>
    <w:qFormat/>
    <w:uiPriority w:val="0"/>
    <w:rPr>
      <w:rFonts w:ascii="Arial" w:hAnsi="Arial" w:eastAsia="仿宋_GB2312"/>
      <w:b/>
      <w:kern w:val="2"/>
      <w:sz w:val="21"/>
      <w:szCs w:val="22"/>
    </w:rPr>
  </w:style>
  <w:style w:type="paragraph" w:customStyle="1" w:styleId="244">
    <w:name w:val="表格 首行文字"/>
    <w:basedOn w:val="1"/>
    <w:link w:val="243"/>
    <w:qFormat/>
    <w:uiPriority w:val="0"/>
    <w:pPr>
      <w:jc w:val="center"/>
    </w:pPr>
    <w:rPr>
      <w:rFonts w:ascii="Arial" w:hAnsi="Arial" w:eastAsia="仿宋_GB2312"/>
      <w:b/>
      <w:szCs w:val="22"/>
    </w:rPr>
  </w:style>
  <w:style w:type="paragraph" w:customStyle="1" w:styleId="245">
    <w:name w:val="文1"/>
    <w:basedOn w:val="1"/>
    <w:qFormat/>
    <w:uiPriority w:val="0"/>
    <w:pPr>
      <w:snapToGrid w:val="0"/>
      <w:spacing w:line="360" w:lineRule="auto"/>
      <w:ind w:firstLine="567"/>
    </w:pPr>
    <w:rPr>
      <w:rFonts w:ascii="Arial" w:hAnsi="Arial" w:eastAsia="幼圆" w:cs="宋体"/>
      <w:sz w:val="24"/>
    </w:rPr>
  </w:style>
  <w:style w:type="character" w:customStyle="1" w:styleId="246">
    <w:name w:val="页脚 Char5"/>
    <w:qFormat/>
    <w:locked/>
    <w:uiPriority w:val="0"/>
    <w:rPr>
      <w:rFonts w:cs="Times New Roman"/>
      <w:sz w:val="18"/>
      <w:szCs w:val="18"/>
    </w:rPr>
  </w:style>
  <w:style w:type="paragraph" w:customStyle="1" w:styleId="247">
    <w:name w:val="Char Char1 Char"/>
    <w:basedOn w:val="1"/>
    <w:qFormat/>
    <w:uiPriority w:val="0"/>
    <w:pPr>
      <w:widowControl/>
      <w:adjustRightInd w:val="0"/>
      <w:jc w:val="center"/>
    </w:pPr>
    <w:rPr>
      <w:rFonts w:ascii="宋体" w:hAnsi="宋体" w:cs="宋体"/>
      <w:kern w:val="0"/>
      <w:szCs w:val="21"/>
      <w:lang w:eastAsia="en-US"/>
    </w:rPr>
  </w:style>
  <w:style w:type="paragraph" w:customStyle="1" w:styleId="248">
    <w:name w:val="参加人员"/>
    <w:basedOn w:val="1"/>
    <w:qFormat/>
    <w:uiPriority w:val="0"/>
    <w:pPr>
      <w:spacing w:line="500" w:lineRule="atLeast"/>
    </w:pPr>
    <w:rPr>
      <w:rFonts w:ascii="宋体" w:hAnsi="宋体" w:cs="宋体"/>
      <w:sz w:val="24"/>
    </w:rPr>
  </w:style>
  <w:style w:type="paragraph" w:customStyle="1" w:styleId="249">
    <w:name w:val="文件册号"/>
    <w:basedOn w:val="1"/>
    <w:next w:val="1"/>
    <w:qFormat/>
    <w:uiPriority w:val="0"/>
    <w:pPr>
      <w:spacing w:line="800" w:lineRule="atLeast"/>
      <w:jc w:val="center"/>
    </w:pPr>
    <w:rPr>
      <w:rFonts w:ascii="宋体" w:hAnsi="宋体" w:cs="宋体"/>
      <w:sz w:val="52"/>
      <w:szCs w:val="52"/>
    </w:rPr>
  </w:style>
  <w:style w:type="paragraph" w:customStyle="1" w:styleId="250">
    <w:name w:val="文件名称"/>
    <w:basedOn w:val="1"/>
    <w:next w:val="1"/>
    <w:qFormat/>
    <w:uiPriority w:val="0"/>
    <w:pPr>
      <w:spacing w:beforeLines="100" w:line="500" w:lineRule="atLeast"/>
      <w:jc w:val="center"/>
    </w:pPr>
    <w:rPr>
      <w:rFonts w:ascii="黑体" w:hAnsi="宋体" w:eastAsia="黑体" w:cs="宋体"/>
      <w:sz w:val="84"/>
      <w:szCs w:val="84"/>
    </w:rPr>
  </w:style>
  <w:style w:type="paragraph" w:customStyle="1" w:styleId="251">
    <w:name w:val="6"/>
    <w:basedOn w:val="1"/>
    <w:next w:val="6"/>
    <w:qFormat/>
    <w:uiPriority w:val="0"/>
    <w:pPr>
      <w:snapToGrid w:val="0"/>
      <w:spacing w:line="480" w:lineRule="atLeast"/>
      <w:ind w:firstLine="420"/>
    </w:pPr>
    <w:rPr>
      <w:rFonts w:ascii="宋体" w:hAnsi="宋体" w:cs="宋体"/>
      <w:sz w:val="28"/>
    </w:rPr>
  </w:style>
  <w:style w:type="paragraph" w:customStyle="1" w:styleId="252">
    <w:name w:val="样式 标题 3 + 字距调整二号 行距: 最小值 25 磅"/>
    <w:basedOn w:val="7"/>
    <w:qFormat/>
    <w:uiPriority w:val="0"/>
    <w:pPr>
      <w:keepLines w:val="0"/>
      <w:tabs>
        <w:tab w:val="left" w:pos="0"/>
        <w:tab w:val="left" w:pos="720"/>
      </w:tabs>
      <w:spacing w:before="0" w:after="0" w:line="500" w:lineRule="atLeast"/>
      <w:ind w:left="720" w:hanging="720"/>
    </w:pPr>
    <w:rPr>
      <w:rFonts w:ascii="Calibri" w:hAnsi="Calibri" w:cs="宋体"/>
      <w:b w:val="0"/>
      <w:bCs w:val="0"/>
      <w:kern w:val="44"/>
      <w:sz w:val="28"/>
      <w:szCs w:val="20"/>
    </w:rPr>
  </w:style>
  <w:style w:type="paragraph" w:customStyle="1" w:styleId="253">
    <w:name w:val="样式 标题 3 + 左侧:  0 毫米 首行缩进:  0 毫米 行距: 最小值 25 磅"/>
    <w:basedOn w:val="7"/>
    <w:qFormat/>
    <w:uiPriority w:val="0"/>
    <w:pPr>
      <w:keepLines w:val="0"/>
      <w:tabs>
        <w:tab w:val="left" w:pos="720"/>
      </w:tabs>
      <w:spacing w:before="0" w:after="0" w:line="500" w:lineRule="atLeast"/>
      <w:ind w:left="720" w:hanging="720"/>
    </w:pPr>
    <w:rPr>
      <w:rFonts w:ascii="Calibri" w:hAnsi="Calibri" w:cs="宋体"/>
      <w:b w:val="0"/>
      <w:bCs w:val="0"/>
      <w:kern w:val="0"/>
      <w:sz w:val="28"/>
      <w:szCs w:val="20"/>
    </w:rPr>
  </w:style>
  <w:style w:type="paragraph" w:customStyle="1" w:styleId="254">
    <w:name w:val="样式2"/>
    <w:basedOn w:val="7"/>
    <w:qFormat/>
    <w:uiPriority w:val="0"/>
    <w:pPr>
      <w:keepLines w:val="0"/>
      <w:spacing w:before="0" w:after="0" w:line="500" w:lineRule="atLeast"/>
      <w:jc w:val="left"/>
    </w:pPr>
    <w:rPr>
      <w:rFonts w:ascii="Calibri" w:hAnsi="Calibri" w:cs="宋体"/>
      <w:b w:val="0"/>
      <w:bCs w:val="0"/>
      <w:color w:val="000000"/>
      <w:kern w:val="0"/>
      <w:sz w:val="28"/>
      <w:szCs w:val="20"/>
    </w:rPr>
  </w:style>
  <w:style w:type="paragraph" w:customStyle="1" w:styleId="255">
    <w:name w:val="样式 标题 3 + 黑色 行距: 最小值 25 磅"/>
    <w:basedOn w:val="7"/>
    <w:qFormat/>
    <w:uiPriority w:val="0"/>
    <w:pPr>
      <w:keepLines w:val="0"/>
      <w:tabs>
        <w:tab w:val="left" w:pos="720"/>
      </w:tabs>
      <w:spacing w:before="0" w:after="0" w:line="500" w:lineRule="atLeast"/>
      <w:ind w:left="720" w:hanging="720"/>
    </w:pPr>
    <w:rPr>
      <w:rFonts w:ascii="Calibri" w:hAnsi="Calibri" w:cs="宋体"/>
      <w:b w:val="0"/>
      <w:bCs w:val="0"/>
      <w:color w:val="000000"/>
      <w:kern w:val="0"/>
      <w:sz w:val="28"/>
      <w:szCs w:val="20"/>
    </w:rPr>
  </w:style>
  <w:style w:type="paragraph" w:customStyle="1" w:styleId="256">
    <w:name w:val="样式3"/>
    <w:basedOn w:val="7"/>
    <w:qFormat/>
    <w:uiPriority w:val="0"/>
    <w:pPr>
      <w:keepLines w:val="0"/>
      <w:tabs>
        <w:tab w:val="left" w:pos="720"/>
      </w:tabs>
      <w:spacing w:before="0" w:after="0" w:line="500" w:lineRule="atLeast"/>
      <w:ind w:left="720" w:hanging="720"/>
    </w:pPr>
    <w:rPr>
      <w:rFonts w:ascii="Calibri" w:hAnsi="Calibri" w:cs="宋体"/>
      <w:b w:val="0"/>
      <w:bCs w:val="0"/>
      <w:kern w:val="0"/>
      <w:sz w:val="28"/>
      <w:szCs w:val="20"/>
    </w:rPr>
  </w:style>
  <w:style w:type="paragraph" w:customStyle="1" w:styleId="257">
    <w:name w:val="样式 标题 3 + 行距: 最小值 25 磅"/>
    <w:basedOn w:val="7"/>
    <w:qFormat/>
    <w:uiPriority w:val="0"/>
    <w:pPr>
      <w:keepLines w:val="0"/>
      <w:tabs>
        <w:tab w:val="left" w:pos="720"/>
      </w:tabs>
      <w:spacing w:before="0" w:after="0" w:line="500" w:lineRule="atLeast"/>
      <w:ind w:left="720" w:hanging="720"/>
    </w:pPr>
    <w:rPr>
      <w:rFonts w:ascii="Calibri" w:hAnsi="Calibri" w:cs="宋体"/>
      <w:b w:val="0"/>
      <w:bCs w:val="0"/>
      <w:kern w:val="0"/>
      <w:sz w:val="28"/>
      <w:szCs w:val="20"/>
    </w:rPr>
  </w:style>
  <w:style w:type="paragraph" w:customStyle="1" w:styleId="258">
    <w:name w:val="样式 标题 3 + 左侧:  0 毫米 悬挂缩进: 7.09 字符 行距: 最小值 25 磅"/>
    <w:basedOn w:val="7"/>
    <w:qFormat/>
    <w:uiPriority w:val="0"/>
    <w:pPr>
      <w:keepLines w:val="0"/>
      <w:tabs>
        <w:tab w:val="left" w:pos="720"/>
      </w:tabs>
      <w:spacing w:before="0" w:after="0" w:line="500" w:lineRule="atLeast"/>
      <w:ind w:left="709" w:hanging="709"/>
    </w:pPr>
    <w:rPr>
      <w:rFonts w:ascii="Calibri" w:hAnsi="Calibri" w:cs="宋体"/>
      <w:b w:val="0"/>
      <w:bCs w:val="0"/>
      <w:kern w:val="0"/>
      <w:sz w:val="28"/>
      <w:szCs w:val="20"/>
    </w:rPr>
  </w:style>
  <w:style w:type="paragraph" w:customStyle="1" w:styleId="259">
    <w:name w:val="样式 标题 3 + 左侧:  0 毫米 首行缩进:  0 毫米 行距: 最小值 25 磅1"/>
    <w:basedOn w:val="7"/>
    <w:qFormat/>
    <w:uiPriority w:val="0"/>
    <w:pPr>
      <w:keepLines w:val="0"/>
      <w:tabs>
        <w:tab w:val="left" w:pos="720"/>
      </w:tabs>
      <w:spacing w:before="0" w:after="0" w:line="500" w:lineRule="atLeast"/>
      <w:ind w:left="720" w:hanging="720"/>
    </w:pPr>
    <w:rPr>
      <w:rFonts w:ascii="Calibri" w:hAnsi="Calibri" w:cs="宋体"/>
      <w:b w:val="0"/>
      <w:bCs w:val="0"/>
      <w:sz w:val="28"/>
      <w:szCs w:val="20"/>
    </w:rPr>
  </w:style>
  <w:style w:type="paragraph" w:customStyle="1" w:styleId="260">
    <w:name w:val="样式 标题 3 + 左侧:  0 毫米 首行缩进:  0 毫米 行距: 最小值 25 磅2"/>
    <w:basedOn w:val="7"/>
    <w:qFormat/>
    <w:uiPriority w:val="0"/>
    <w:pPr>
      <w:keepLines w:val="0"/>
      <w:tabs>
        <w:tab w:val="left" w:pos="720"/>
      </w:tabs>
      <w:spacing w:before="0" w:after="0" w:line="500" w:lineRule="atLeast"/>
      <w:ind w:left="720" w:hanging="720"/>
    </w:pPr>
    <w:rPr>
      <w:rFonts w:ascii="Calibri" w:hAnsi="Calibri" w:cs="宋体"/>
      <w:b w:val="0"/>
      <w:bCs w:val="0"/>
      <w:kern w:val="0"/>
      <w:sz w:val="28"/>
      <w:szCs w:val="20"/>
    </w:rPr>
  </w:style>
  <w:style w:type="paragraph" w:customStyle="1" w:styleId="261">
    <w:name w:val="样式 行距: 最小值 25 磅"/>
    <w:basedOn w:val="1"/>
    <w:qFormat/>
    <w:uiPriority w:val="0"/>
    <w:pPr>
      <w:tabs>
        <w:tab w:val="left" w:pos="425"/>
      </w:tabs>
      <w:spacing w:line="500" w:lineRule="atLeast"/>
      <w:ind w:left="425" w:hanging="425"/>
    </w:pPr>
    <w:rPr>
      <w:rFonts w:ascii="宋体" w:hAnsi="宋体" w:cs="宋体"/>
      <w:sz w:val="28"/>
    </w:rPr>
  </w:style>
  <w:style w:type="paragraph" w:customStyle="1" w:styleId="262">
    <w:name w:val="4"/>
    <w:basedOn w:val="1"/>
    <w:next w:val="6"/>
    <w:qFormat/>
    <w:uiPriority w:val="0"/>
    <w:pPr>
      <w:spacing w:line="560" w:lineRule="exact"/>
      <w:ind w:firstLine="420"/>
    </w:pPr>
    <w:rPr>
      <w:rFonts w:ascii="宋体" w:hAnsi="宋体" w:cs="宋体"/>
      <w:sz w:val="28"/>
    </w:rPr>
  </w:style>
  <w:style w:type="paragraph" w:customStyle="1" w:styleId="263">
    <w:name w:val="样式 标题 4 + 行距: 最小值 25 磅"/>
    <w:basedOn w:val="8"/>
    <w:qFormat/>
    <w:uiPriority w:val="0"/>
    <w:pPr>
      <w:keepNext w:val="0"/>
      <w:keepLines w:val="0"/>
      <w:widowControl w:val="0"/>
      <w:tabs>
        <w:tab w:val="left" w:pos="864"/>
        <w:tab w:val="clear" w:pos="1276"/>
      </w:tabs>
      <w:adjustRightInd w:val="0"/>
      <w:spacing w:line="500" w:lineRule="atLeast"/>
      <w:ind w:left="0" w:firstLine="0"/>
      <w:jc w:val="both"/>
    </w:pPr>
    <w:rPr>
      <w:rFonts w:ascii="Calibri" w:hAnsi="Calibri"/>
      <w:b w:val="0"/>
      <w:bCs w:val="0"/>
      <w:sz w:val="28"/>
      <w:szCs w:val="20"/>
    </w:rPr>
  </w:style>
  <w:style w:type="paragraph" w:customStyle="1" w:styleId="264">
    <w:name w:val="参加人员名单"/>
    <w:basedOn w:val="1"/>
    <w:next w:val="1"/>
    <w:qFormat/>
    <w:uiPriority w:val="0"/>
    <w:pPr>
      <w:spacing w:line="500" w:lineRule="atLeast"/>
      <w:jc w:val="center"/>
      <w:outlineLvl w:val="0"/>
    </w:pPr>
    <w:rPr>
      <w:rFonts w:ascii="宋体" w:hAnsi="宋体" w:cs="宋体"/>
      <w:sz w:val="32"/>
      <w:szCs w:val="32"/>
    </w:rPr>
  </w:style>
  <w:style w:type="paragraph" w:customStyle="1" w:styleId="265">
    <w:name w:val="单位名称"/>
    <w:basedOn w:val="1"/>
    <w:next w:val="1"/>
    <w:qFormat/>
    <w:uiPriority w:val="0"/>
    <w:pPr>
      <w:spacing w:line="500" w:lineRule="atLeast"/>
      <w:jc w:val="center"/>
    </w:pPr>
    <w:rPr>
      <w:rFonts w:ascii="宋体" w:hAnsi="宋体" w:cs="宋体"/>
      <w:sz w:val="44"/>
      <w:szCs w:val="44"/>
    </w:rPr>
  </w:style>
  <w:style w:type="paragraph" w:customStyle="1" w:styleId="266">
    <w:name w:val="文件编号"/>
    <w:basedOn w:val="1"/>
    <w:next w:val="1"/>
    <w:qFormat/>
    <w:uiPriority w:val="0"/>
    <w:pPr>
      <w:spacing w:line="500" w:lineRule="atLeast"/>
      <w:jc w:val="center"/>
    </w:pPr>
    <w:rPr>
      <w:rFonts w:ascii="黑体" w:hAnsi="宋体" w:eastAsia="黑体" w:cs="宋体"/>
      <w:sz w:val="44"/>
      <w:szCs w:val="44"/>
    </w:rPr>
  </w:style>
  <w:style w:type="paragraph" w:customStyle="1" w:styleId="267">
    <w:name w:val="项目名称"/>
    <w:basedOn w:val="1"/>
    <w:next w:val="1"/>
    <w:qFormat/>
    <w:uiPriority w:val="0"/>
    <w:pPr>
      <w:spacing w:line="800" w:lineRule="atLeast"/>
      <w:jc w:val="center"/>
      <w:outlineLvl w:val="0"/>
    </w:pPr>
    <w:rPr>
      <w:rFonts w:ascii="黑体" w:hAnsi="宋体" w:eastAsia="黑体" w:cs="宋体"/>
      <w:sz w:val="52"/>
      <w:szCs w:val="52"/>
    </w:rPr>
  </w:style>
  <w:style w:type="paragraph" w:customStyle="1" w:styleId="268">
    <w:name w:val="主要负责人"/>
    <w:basedOn w:val="1"/>
    <w:next w:val="1"/>
    <w:qFormat/>
    <w:uiPriority w:val="0"/>
    <w:pPr>
      <w:spacing w:line="500" w:lineRule="atLeast"/>
      <w:jc w:val="center"/>
    </w:pPr>
    <w:rPr>
      <w:rFonts w:ascii="宋体" w:hAnsi="宋体" w:cs="宋体"/>
      <w:sz w:val="36"/>
      <w:szCs w:val="36"/>
    </w:rPr>
  </w:style>
  <w:style w:type="paragraph" w:customStyle="1" w:styleId="269">
    <w:name w:val="2"/>
    <w:basedOn w:val="1"/>
    <w:next w:val="35"/>
    <w:qFormat/>
    <w:uiPriority w:val="0"/>
    <w:pPr>
      <w:spacing w:line="500" w:lineRule="atLeast"/>
    </w:pPr>
    <w:rPr>
      <w:rFonts w:ascii="宋体" w:hAnsi="宋体" w:cs="宋体"/>
      <w:sz w:val="24"/>
    </w:rPr>
  </w:style>
  <w:style w:type="character" w:customStyle="1" w:styleId="270">
    <w:name w:val="text1"/>
    <w:qFormat/>
    <w:uiPriority w:val="0"/>
    <w:rPr>
      <w:color w:val="000000"/>
      <w:sz w:val="20"/>
      <w:szCs w:val="20"/>
      <w:u w:val="none"/>
    </w:rPr>
  </w:style>
  <w:style w:type="character" w:customStyle="1" w:styleId="271">
    <w:name w:val="标题 31"/>
    <w:qFormat/>
    <w:uiPriority w:val="0"/>
    <w:rPr>
      <w:rFonts w:eastAsia="宋体"/>
      <w:sz w:val="28"/>
      <w:lang w:val="en-US" w:eastAsia="zh-CN" w:bidi="ar-SA"/>
    </w:rPr>
  </w:style>
  <w:style w:type="character" w:customStyle="1" w:styleId="272">
    <w:name w:val="14fz1"/>
    <w:qFormat/>
    <w:uiPriority w:val="0"/>
    <w:rPr>
      <w:rFonts w:hint="default"/>
      <w:color w:val="000000"/>
      <w:sz w:val="32"/>
      <w:szCs w:val="32"/>
    </w:rPr>
  </w:style>
  <w:style w:type="character" w:customStyle="1" w:styleId="273">
    <w:name w:val="BOD 0 Char"/>
    <w:qFormat/>
    <w:uiPriority w:val="0"/>
    <w:rPr>
      <w:rFonts w:eastAsia="宋体"/>
      <w:sz w:val="28"/>
      <w:lang w:val="en-US" w:eastAsia="zh-CN" w:bidi="ar-SA"/>
    </w:rPr>
  </w:style>
  <w:style w:type="character" w:customStyle="1" w:styleId="274">
    <w:name w:val="s"/>
    <w:basedOn w:val="91"/>
    <w:qFormat/>
    <w:uiPriority w:val="0"/>
  </w:style>
  <w:style w:type="paragraph" w:customStyle="1" w:styleId="275">
    <w:name w:val="正文文字缩进2字符"/>
    <w:basedOn w:val="1"/>
    <w:next w:val="36"/>
    <w:qFormat/>
    <w:uiPriority w:val="0"/>
    <w:pPr>
      <w:tabs>
        <w:tab w:val="left" w:pos="360"/>
        <w:tab w:val="center" w:pos="630"/>
      </w:tabs>
      <w:spacing w:line="480" w:lineRule="exact"/>
      <w:ind w:firstLine="567"/>
    </w:pPr>
    <w:rPr>
      <w:rFonts w:ascii="宋体" w:hAnsi="宋体" w:cs="宋体"/>
      <w:spacing w:val="6"/>
      <w:sz w:val="28"/>
    </w:rPr>
  </w:style>
  <w:style w:type="paragraph" w:customStyle="1" w:styleId="276">
    <w:name w:val="Char Char Char2"/>
    <w:basedOn w:val="1"/>
    <w:qFormat/>
    <w:uiPriority w:val="0"/>
    <w:rPr>
      <w:rFonts w:ascii="宋体" w:hAnsi="宋体" w:cs="宋体"/>
      <w:sz w:val="24"/>
    </w:rPr>
  </w:style>
  <w:style w:type="paragraph" w:customStyle="1" w:styleId="277">
    <w:name w:val="xl39"/>
    <w:basedOn w:val="1"/>
    <w:qFormat/>
    <w:uiPriority w:val="0"/>
    <w:pPr>
      <w:widowControl/>
      <w:pBdr>
        <w:bottom w:val="single" w:color="auto" w:sz="4" w:space="0"/>
      </w:pBdr>
      <w:spacing w:before="100" w:beforeAutospacing="1" w:after="100" w:afterAutospacing="1"/>
      <w:jc w:val="center"/>
    </w:pPr>
    <w:rPr>
      <w:rFonts w:ascii="宋体" w:hAnsi="宋体" w:cs="宋体"/>
      <w:kern w:val="0"/>
      <w:sz w:val="24"/>
    </w:rPr>
  </w:style>
  <w:style w:type="paragraph" w:customStyle="1" w:styleId="278">
    <w:name w:val="Char4"/>
    <w:basedOn w:val="1"/>
    <w:qFormat/>
    <w:uiPriority w:val="0"/>
    <w:rPr>
      <w:rFonts w:ascii="宋体" w:hAnsi="宋体" w:cs="宋体"/>
      <w:sz w:val="24"/>
    </w:rPr>
  </w:style>
  <w:style w:type="paragraph" w:customStyle="1" w:styleId="279">
    <w:name w:val="font5"/>
    <w:basedOn w:val="1"/>
    <w:qFormat/>
    <w:uiPriority w:val="0"/>
    <w:pPr>
      <w:widowControl/>
      <w:spacing w:before="100" w:beforeAutospacing="1" w:after="100" w:afterAutospacing="1"/>
      <w:jc w:val="left"/>
    </w:pPr>
    <w:rPr>
      <w:rFonts w:hint="eastAsia" w:ascii="宋体" w:hAnsi="宋体" w:cs="宋体"/>
      <w:kern w:val="0"/>
      <w:sz w:val="18"/>
      <w:szCs w:val="18"/>
    </w:rPr>
  </w:style>
  <w:style w:type="character" w:customStyle="1" w:styleId="280">
    <w:name w:val="页眉zxl Char1"/>
    <w:qFormat/>
    <w:uiPriority w:val="0"/>
    <w:rPr>
      <w:rFonts w:ascii="隶书" w:eastAsia="隶书"/>
      <w:kern w:val="2"/>
      <w:sz w:val="24"/>
      <w:szCs w:val="24"/>
      <w:lang w:val="en-US" w:eastAsia="zh-CN" w:bidi="ar-SA"/>
    </w:rPr>
  </w:style>
  <w:style w:type="character" w:customStyle="1" w:styleId="281">
    <w:name w:val="页眉zxl Char"/>
    <w:qFormat/>
    <w:uiPriority w:val="0"/>
    <w:rPr>
      <w:rFonts w:ascii="隶书" w:eastAsia="隶书"/>
      <w:kern w:val="2"/>
      <w:sz w:val="24"/>
      <w:szCs w:val="24"/>
    </w:rPr>
  </w:style>
  <w:style w:type="paragraph" w:customStyle="1" w:styleId="282">
    <w:name w:val="表格内容"/>
    <w:basedOn w:val="1"/>
    <w:link w:val="283"/>
    <w:qFormat/>
    <w:uiPriority w:val="0"/>
    <w:pPr>
      <w:overflowPunct w:val="0"/>
      <w:adjustRightInd w:val="0"/>
      <w:spacing w:line="200" w:lineRule="atLeast"/>
      <w:jc w:val="center"/>
      <w:textAlignment w:val="baseline"/>
    </w:pPr>
    <w:rPr>
      <w:rFonts w:ascii="Arial" w:hAnsi="Arial" w:eastAsia="仿宋_GB2312" w:cs="宋体"/>
      <w:kern w:val="0"/>
      <w:sz w:val="24"/>
    </w:rPr>
  </w:style>
  <w:style w:type="character" w:customStyle="1" w:styleId="283">
    <w:name w:val="表格内容 Char"/>
    <w:link w:val="282"/>
    <w:qFormat/>
    <w:uiPriority w:val="0"/>
    <w:rPr>
      <w:rFonts w:ascii="Arial" w:hAnsi="Arial" w:eastAsia="仿宋_GB2312" w:cs="宋体"/>
      <w:sz w:val="24"/>
      <w:szCs w:val="24"/>
    </w:rPr>
  </w:style>
  <w:style w:type="paragraph" w:customStyle="1" w:styleId="284">
    <w:name w:val="样式 标题 2 + (西文) Times New Roman (中文) 宋体"/>
    <w:basedOn w:val="5"/>
    <w:link w:val="285"/>
    <w:qFormat/>
    <w:uiPriority w:val="0"/>
    <w:pPr>
      <w:widowControl w:val="0"/>
      <w:tabs>
        <w:tab w:val="left" w:pos="927"/>
        <w:tab w:val="clear" w:pos="1276"/>
      </w:tabs>
      <w:spacing w:line="500" w:lineRule="atLeast"/>
      <w:ind w:left="0" w:firstLine="567"/>
      <w:jc w:val="both"/>
    </w:pPr>
    <w:rPr>
      <w:rFonts w:ascii="Calibri" w:hAnsi="Calibri" w:cs="宋体"/>
      <w:sz w:val="28"/>
      <w:szCs w:val="28"/>
    </w:rPr>
  </w:style>
  <w:style w:type="character" w:customStyle="1" w:styleId="285">
    <w:name w:val="样式 标题 2 + (西文) Times New Roman (中文) 宋体 Char"/>
    <w:link w:val="284"/>
    <w:qFormat/>
    <w:uiPriority w:val="0"/>
    <w:rPr>
      <w:rFonts w:ascii="Calibri" w:hAnsi="Calibri" w:cs="宋体"/>
      <w:sz w:val="28"/>
      <w:szCs w:val="28"/>
    </w:rPr>
  </w:style>
  <w:style w:type="paragraph" w:customStyle="1" w:styleId="286">
    <w:name w:val="Char Char Char Char Char Char Char Char Char1 Char Char Char Char"/>
    <w:basedOn w:val="1"/>
    <w:qFormat/>
    <w:uiPriority w:val="0"/>
    <w:rPr>
      <w:rFonts w:ascii="宋体" w:hAnsi="宋体" w:cs="宋体"/>
      <w:szCs w:val="21"/>
    </w:rPr>
  </w:style>
  <w:style w:type="character" w:customStyle="1" w:styleId="287">
    <w:name w:val="Char Char Char Char2"/>
    <w:qFormat/>
    <w:uiPriority w:val="0"/>
    <w:rPr>
      <w:rFonts w:eastAsia="宋体"/>
      <w:kern w:val="2"/>
      <w:sz w:val="21"/>
      <w:szCs w:val="21"/>
      <w:lang w:val="en-US" w:eastAsia="zh-CN" w:bidi="ar-SA"/>
    </w:rPr>
  </w:style>
  <w:style w:type="paragraph" w:customStyle="1" w:styleId="288">
    <w:name w:val="1 Char"/>
    <w:basedOn w:val="1"/>
    <w:qFormat/>
    <w:uiPriority w:val="0"/>
    <w:rPr>
      <w:rFonts w:ascii="宋体" w:hAnsi="宋体" w:cs="宋体"/>
      <w:sz w:val="24"/>
    </w:rPr>
  </w:style>
  <w:style w:type="paragraph" w:customStyle="1" w:styleId="289">
    <w:name w:val="Char Char Char Char"/>
    <w:basedOn w:val="1"/>
    <w:qFormat/>
    <w:uiPriority w:val="0"/>
    <w:rPr>
      <w:rFonts w:ascii="宋体" w:hAnsi="宋体" w:cs="宋体"/>
      <w:szCs w:val="21"/>
    </w:rPr>
  </w:style>
  <w:style w:type="paragraph" w:customStyle="1" w:styleId="290">
    <w:name w:val="样式 13.5 磅 首行缩进:  2 字符"/>
    <w:basedOn w:val="1"/>
    <w:qFormat/>
    <w:uiPriority w:val="0"/>
    <w:pPr>
      <w:ind w:left="2" w:leftChars="1" w:firstLine="480" w:firstLineChars="200"/>
      <w:jc w:val="left"/>
    </w:pPr>
    <w:rPr>
      <w:rFonts w:ascii="宋体" w:hAnsi="宋体" w:cs="宋体"/>
      <w:kern w:val="10"/>
      <w:sz w:val="24"/>
    </w:rPr>
  </w:style>
  <w:style w:type="paragraph" w:customStyle="1" w:styleId="291">
    <w:name w:val="Char434"/>
    <w:basedOn w:val="1"/>
    <w:qFormat/>
    <w:uiPriority w:val="0"/>
    <w:rPr>
      <w:rFonts w:ascii="宋体" w:hAnsi="宋体" w:cs="宋体"/>
      <w:sz w:val="24"/>
    </w:rPr>
  </w:style>
  <w:style w:type="character" w:customStyle="1" w:styleId="292">
    <w:name w:val="正文首行缩进 Char6"/>
    <w:qFormat/>
    <w:uiPriority w:val="99"/>
    <w:rPr>
      <w:rFonts w:eastAsia="宋体"/>
      <w:kern w:val="2"/>
      <w:sz w:val="28"/>
      <w:lang w:val="en-US" w:eastAsia="zh-CN" w:bidi="ar-SA"/>
    </w:rPr>
  </w:style>
  <w:style w:type="paragraph" w:customStyle="1" w:styleId="293">
    <w:name w:val="文字"/>
    <w:basedOn w:val="1"/>
    <w:link w:val="294"/>
    <w:qFormat/>
    <w:uiPriority w:val="0"/>
    <w:pPr>
      <w:spacing w:line="360" w:lineRule="auto"/>
      <w:ind w:firstLine="200" w:firstLineChars="200"/>
    </w:pPr>
    <w:rPr>
      <w:rFonts w:ascii="Calibri" w:hAnsi="Calibri" w:cs="宋体"/>
      <w:sz w:val="24"/>
    </w:rPr>
  </w:style>
  <w:style w:type="character" w:customStyle="1" w:styleId="294">
    <w:name w:val="文字 Char"/>
    <w:link w:val="293"/>
    <w:qFormat/>
    <w:uiPriority w:val="0"/>
    <w:rPr>
      <w:rFonts w:ascii="Calibri" w:hAnsi="Calibri" w:cs="宋体"/>
      <w:kern w:val="2"/>
      <w:sz w:val="24"/>
      <w:szCs w:val="24"/>
    </w:rPr>
  </w:style>
  <w:style w:type="paragraph" w:customStyle="1" w:styleId="295">
    <w:name w:val="表头1"/>
    <w:basedOn w:val="46"/>
    <w:qFormat/>
    <w:uiPriority w:val="0"/>
    <w:pPr>
      <w:widowControl w:val="0"/>
      <w:spacing w:line="360" w:lineRule="auto"/>
      <w:jc w:val="center"/>
      <w:textAlignment w:val="baseline"/>
    </w:pPr>
    <w:rPr>
      <w:rFonts w:ascii="Times New Roman" w:hAnsi="Times New Roman" w:cs="Times New Roman"/>
      <w:b/>
      <w:color w:val="000000"/>
      <w:szCs w:val="20"/>
    </w:rPr>
  </w:style>
  <w:style w:type="paragraph" w:customStyle="1" w:styleId="296">
    <w:name w:val="tu"/>
    <w:basedOn w:val="73"/>
    <w:qFormat/>
    <w:uiPriority w:val="0"/>
    <w:pPr>
      <w:widowControl w:val="0"/>
      <w:spacing w:line="360" w:lineRule="auto"/>
      <w:ind w:left="0" w:leftChars="0" w:firstLine="0" w:firstLineChars="0"/>
      <w:jc w:val="center"/>
    </w:pPr>
    <w:rPr>
      <w:b/>
      <w:kern w:val="2"/>
      <w:sz w:val="28"/>
    </w:rPr>
  </w:style>
  <w:style w:type="paragraph" w:customStyle="1" w:styleId="297">
    <w:name w:val="Char Char Char Char Char Char Char Char Char1 Char Char Char Char Char Char1 Char"/>
    <w:basedOn w:val="1"/>
    <w:qFormat/>
    <w:uiPriority w:val="0"/>
    <w:rPr>
      <w:rFonts w:ascii="宋体" w:hAnsi="宋体" w:cs="宋体"/>
      <w:szCs w:val="21"/>
    </w:rPr>
  </w:style>
  <w:style w:type="paragraph" w:customStyle="1" w:styleId="298">
    <w:name w:val="和桥报告正文"/>
    <w:basedOn w:val="1"/>
    <w:link w:val="299"/>
    <w:qFormat/>
    <w:uiPriority w:val="0"/>
    <w:pPr>
      <w:adjustRightInd w:val="0"/>
      <w:snapToGrid w:val="0"/>
      <w:spacing w:line="360" w:lineRule="auto"/>
      <w:ind w:firstLine="482"/>
      <w:textAlignment w:val="baseline"/>
    </w:pPr>
    <w:rPr>
      <w:rFonts w:ascii="Calibri" w:hAnsi="Calibri" w:cs="宋体"/>
      <w:snapToGrid w:val="0"/>
      <w:kern w:val="24"/>
      <w:sz w:val="24"/>
      <w:szCs w:val="21"/>
    </w:rPr>
  </w:style>
  <w:style w:type="character" w:customStyle="1" w:styleId="299">
    <w:name w:val="和桥报告正文 Char"/>
    <w:link w:val="298"/>
    <w:qFormat/>
    <w:uiPriority w:val="0"/>
    <w:rPr>
      <w:rFonts w:ascii="Calibri" w:hAnsi="Calibri" w:cs="宋体"/>
      <w:snapToGrid w:val="0"/>
      <w:kern w:val="24"/>
      <w:sz w:val="24"/>
      <w:szCs w:val="21"/>
    </w:rPr>
  </w:style>
  <w:style w:type="character" w:customStyle="1" w:styleId="300">
    <w:name w:val="报告书表格 Char"/>
    <w:link w:val="301"/>
    <w:qFormat/>
    <w:uiPriority w:val="0"/>
    <w:rPr>
      <w:rFonts w:ascii="宋体" w:hAnsi="宋体" w:cs="宋体"/>
      <w:kern w:val="2"/>
      <w:sz w:val="21"/>
      <w:szCs w:val="24"/>
    </w:rPr>
  </w:style>
  <w:style w:type="paragraph" w:customStyle="1" w:styleId="301">
    <w:name w:val="报告书表格"/>
    <w:basedOn w:val="1"/>
    <w:link w:val="300"/>
    <w:qFormat/>
    <w:uiPriority w:val="0"/>
    <w:pPr>
      <w:adjustRightInd w:val="0"/>
      <w:spacing w:before="60" w:after="60" w:line="240" w:lineRule="atLeast"/>
      <w:jc w:val="center"/>
      <w:textAlignment w:val="baseline"/>
    </w:pPr>
    <w:rPr>
      <w:rFonts w:ascii="宋体" w:hAnsi="宋体" w:cs="宋体"/>
    </w:rPr>
  </w:style>
  <w:style w:type="paragraph" w:customStyle="1" w:styleId="302">
    <w:name w:val="表格001"/>
    <w:basedOn w:val="1"/>
    <w:qFormat/>
    <w:uiPriority w:val="0"/>
    <w:pPr>
      <w:spacing w:line="360" w:lineRule="exact"/>
      <w:jc w:val="center"/>
    </w:pPr>
    <w:rPr>
      <w:rFonts w:ascii="Arial" w:hAnsi="Arial" w:cs="宋体"/>
    </w:rPr>
  </w:style>
  <w:style w:type="paragraph" w:customStyle="1" w:styleId="303">
    <w:name w:val="新正文"/>
    <w:basedOn w:val="1"/>
    <w:link w:val="304"/>
    <w:qFormat/>
    <w:uiPriority w:val="0"/>
    <w:pPr>
      <w:spacing w:line="480" w:lineRule="exact"/>
      <w:ind w:firstLine="567"/>
    </w:pPr>
    <w:rPr>
      <w:rFonts w:ascii="仿宋_GB2312" w:hAnsi="Calibri" w:eastAsia="仿宋_GB2312" w:cs="宋体"/>
      <w:bCs/>
      <w:kern w:val="0"/>
      <w:sz w:val="28"/>
    </w:rPr>
  </w:style>
  <w:style w:type="character" w:customStyle="1" w:styleId="304">
    <w:name w:val="新正文 Char"/>
    <w:link w:val="303"/>
    <w:qFormat/>
    <w:uiPriority w:val="0"/>
    <w:rPr>
      <w:rFonts w:ascii="仿宋_GB2312" w:hAnsi="Calibri" w:eastAsia="仿宋_GB2312" w:cs="宋体"/>
      <w:bCs/>
      <w:sz w:val="28"/>
      <w:szCs w:val="24"/>
    </w:rPr>
  </w:style>
  <w:style w:type="paragraph" w:customStyle="1" w:styleId="305">
    <w:name w:val="表题"/>
    <w:basedOn w:val="66"/>
    <w:qFormat/>
    <w:uiPriority w:val="0"/>
    <w:pPr>
      <w:spacing w:beforeLines="50" w:line="480" w:lineRule="exact"/>
      <w:ind w:left="0" w:firstLine="0" w:firstLineChars="0"/>
      <w:contextualSpacing w:val="0"/>
      <w:jc w:val="center"/>
    </w:pPr>
    <w:rPr>
      <w:rFonts w:hAnsi="宋体" w:eastAsia="黑体" w:cs="宋体"/>
      <w:sz w:val="28"/>
    </w:rPr>
  </w:style>
  <w:style w:type="character" w:customStyle="1" w:styleId="306">
    <w:name w:val="文本条款 Char Char"/>
    <w:qFormat/>
    <w:uiPriority w:val="0"/>
    <w:rPr>
      <w:rFonts w:eastAsia="宋体"/>
      <w:kern w:val="2"/>
      <w:sz w:val="28"/>
      <w:lang w:val="en-US" w:eastAsia="zh-CN" w:bidi="ar-SA"/>
    </w:rPr>
  </w:style>
  <w:style w:type="paragraph" w:customStyle="1" w:styleId="307">
    <w:name w:val="默认段落字体 Para Char"/>
    <w:basedOn w:val="1"/>
    <w:qFormat/>
    <w:uiPriority w:val="0"/>
    <w:rPr>
      <w:rFonts w:ascii="宋体" w:hAnsi="宋体" w:cs="宋体"/>
      <w:sz w:val="24"/>
    </w:rPr>
  </w:style>
  <w:style w:type="paragraph" w:customStyle="1" w:styleId="308">
    <w:name w:val="条题"/>
    <w:basedOn w:val="6"/>
    <w:next w:val="6"/>
    <w:qFormat/>
    <w:uiPriority w:val="0"/>
    <w:pPr>
      <w:tabs>
        <w:tab w:val="left" w:pos="360"/>
      </w:tabs>
      <w:adjustRightInd/>
      <w:snapToGrid/>
      <w:spacing w:line="360" w:lineRule="auto"/>
      <w:ind w:firstLine="420" w:firstLineChars="0"/>
    </w:pPr>
    <w:rPr>
      <w:rFonts w:ascii="Calibri" w:hAnsi="Calibri" w:eastAsia="宋体" w:cs="宋体"/>
      <w:bCs/>
      <w:color w:val="auto"/>
      <w:sz w:val="24"/>
      <w:szCs w:val="20"/>
    </w:rPr>
  </w:style>
  <w:style w:type="paragraph" w:customStyle="1" w:styleId="309">
    <w:name w:val="表格字体"/>
    <w:basedOn w:val="6"/>
    <w:qFormat/>
    <w:uiPriority w:val="0"/>
    <w:pPr>
      <w:adjustRightInd/>
      <w:snapToGrid/>
      <w:spacing w:line="360" w:lineRule="auto"/>
      <w:ind w:firstLine="0" w:firstLineChars="0"/>
      <w:jc w:val="center"/>
    </w:pPr>
    <w:rPr>
      <w:rFonts w:ascii="Calibri" w:hAnsi="Calibri" w:eastAsia="宋体" w:cs="宋体"/>
      <w:color w:val="auto"/>
      <w:sz w:val="24"/>
      <w:szCs w:val="20"/>
    </w:rPr>
  </w:style>
  <w:style w:type="character" w:customStyle="1" w:styleId="310">
    <w:name w:val="样式 (西文) 宋体 小四"/>
    <w:qFormat/>
    <w:uiPriority w:val="0"/>
    <w:rPr>
      <w:rFonts w:ascii="宋体" w:hAnsi="宋体" w:eastAsia="宋体"/>
      <w:sz w:val="24"/>
      <w:szCs w:val="24"/>
    </w:rPr>
  </w:style>
  <w:style w:type="paragraph" w:customStyle="1" w:styleId="311">
    <w:name w:val="Char Char Char1 Char Char Char1 Char Char Char1 Char"/>
    <w:basedOn w:val="1"/>
    <w:qFormat/>
    <w:uiPriority w:val="0"/>
    <w:pPr>
      <w:spacing w:line="400" w:lineRule="exact"/>
      <w:ind w:firstLine="200" w:firstLineChars="200"/>
    </w:pPr>
    <w:rPr>
      <w:rFonts w:ascii="宋体" w:hAnsi="宋体" w:cs="宋体"/>
      <w:sz w:val="28"/>
      <w:szCs w:val="28"/>
    </w:rPr>
  </w:style>
  <w:style w:type="paragraph" w:customStyle="1" w:styleId="312">
    <w:name w:val="正文01"/>
    <w:basedOn w:val="1"/>
    <w:qFormat/>
    <w:uiPriority w:val="0"/>
    <w:pPr>
      <w:spacing w:before="60" w:line="460" w:lineRule="exact"/>
      <w:ind w:firstLine="539"/>
    </w:pPr>
    <w:rPr>
      <w:rFonts w:ascii="宋体" w:hAnsi="宋体" w:cs="宋体"/>
      <w:sz w:val="27"/>
    </w:rPr>
  </w:style>
  <w:style w:type="paragraph" w:customStyle="1" w:styleId="313">
    <w:name w:val="表格下方正文"/>
    <w:basedOn w:val="1"/>
    <w:qFormat/>
    <w:uiPriority w:val="0"/>
    <w:pPr>
      <w:spacing w:before="260" w:line="440" w:lineRule="exact"/>
      <w:ind w:firstLine="200" w:firstLineChars="200"/>
    </w:pPr>
    <w:rPr>
      <w:rFonts w:ascii="宋体" w:hAnsi="宋体" w:cs="宋体"/>
      <w:kern w:val="0"/>
      <w:sz w:val="24"/>
    </w:rPr>
  </w:style>
  <w:style w:type="character" w:customStyle="1" w:styleId="314">
    <w:name w:val="正文格式 Char"/>
    <w:link w:val="315"/>
    <w:qFormat/>
    <w:uiPriority w:val="0"/>
    <w:rPr>
      <w:rFonts w:ascii="宋体" w:hAnsi="黑体"/>
      <w:b/>
      <w:spacing w:val="10"/>
      <w:kern w:val="2"/>
      <w:sz w:val="24"/>
    </w:rPr>
  </w:style>
  <w:style w:type="paragraph" w:customStyle="1" w:styleId="315">
    <w:name w:val="正文格式"/>
    <w:basedOn w:val="1"/>
    <w:link w:val="314"/>
    <w:qFormat/>
    <w:uiPriority w:val="0"/>
    <w:pPr>
      <w:spacing w:line="360" w:lineRule="auto"/>
      <w:ind w:firstLine="482"/>
    </w:pPr>
    <w:rPr>
      <w:rFonts w:ascii="宋体" w:hAnsi="黑体"/>
      <w:b/>
      <w:spacing w:val="10"/>
      <w:sz w:val="24"/>
      <w:szCs w:val="20"/>
    </w:rPr>
  </w:style>
  <w:style w:type="character" w:customStyle="1" w:styleId="316">
    <w:name w:val="infodetail1"/>
    <w:qFormat/>
    <w:uiPriority w:val="0"/>
    <w:rPr>
      <w:rFonts w:hint="default" w:ascii="ˎ̥" w:hAnsi="ˎ̥" w:eastAsia="黑体"/>
      <w:b/>
      <w:color w:val="000000"/>
      <w:spacing w:val="10"/>
      <w:kern w:val="44"/>
      <w:sz w:val="24"/>
      <w:u w:val="none"/>
      <w:lang w:val="en-US" w:eastAsia="zh-CN"/>
    </w:rPr>
  </w:style>
  <w:style w:type="character" w:customStyle="1" w:styleId="317">
    <w:name w:val="缩进 Char"/>
    <w:link w:val="318"/>
    <w:qFormat/>
    <w:uiPriority w:val="0"/>
    <w:rPr>
      <w:rFonts w:ascii="宋体" w:hAnsi="宋体" w:eastAsia="仿宋_GB2312"/>
      <w:b/>
      <w:color w:val="000000"/>
      <w:spacing w:val="10"/>
      <w:kern w:val="44"/>
      <w:sz w:val="24"/>
    </w:rPr>
  </w:style>
  <w:style w:type="paragraph" w:customStyle="1" w:styleId="318">
    <w:name w:val="缩进"/>
    <w:basedOn w:val="1"/>
    <w:link w:val="317"/>
    <w:qFormat/>
    <w:uiPriority w:val="0"/>
    <w:pPr>
      <w:spacing w:line="480" w:lineRule="exact"/>
      <w:ind w:firstLine="480" w:firstLineChars="200"/>
      <w:jc w:val="left"/>
    </w:pPr>
    <w:rPr>
      <w:rFonts w:ascii="宋体" w:hAnsi="宋体" w:eastAsia="仿宋_GB2312"/>
      <w:b/>
      <w:color w:val="000000"/>
      <w:spacing w:val="10"/>
      <w:kern w:val="44"/>
      <w:sz w:val="24"/>
      <w:szCs w:val="20"/>
    </w:rPr>
  </w:style>
  <w:style w:type="character" w:customStyle="1" w:styleId="319">
    <w:name w:val="纯文本 Char2"/>
    <w:qFormat/>
    <w:uiPriority w:val="0"/>
    <w:rPr>
      <w:rFonts w:ascii="宋体" w:hAnsi="Courier New" w:eastAsia="宋体" w:cs="Courier New"/>
      <w:kern w:val="2"/>
      <w:sz w:val="21"/>
      <w:szCs w:val="21"/>
      <w:lang w:val="en-US" w:eastAsia="zh-CN" w:bidi="ar-SA"/>
    </w:rPr>
  </w:style>
  <w:style w:type="character" w:customStyle="1" w:styleId="320">
    <w:name w:val="fsl1"/>
    <w:qFormat/>
    <w:uiPriority w:val="0"/>
    <w:rPr>
      <w:rFonts w:ascii="黑体" w:hAnsi="黑体" w:eastAsia="黑体"/>
      <w:b/>
      <w:color w:val="0082C6"/>
      <w:spacing w:val="10"/>
      <w:kern w:val="44"/>
      <w:sz w:val="21"/>
      <w:lang w:val="en-US" w:eastAsia="zh-CN"/>
    </w:rPr>
  </w:style>
  <w:style w:type="paragraph" w:customStyle="1" w:styleId="321">
    <w:name w:val="样式 标题 2标题 2 Char标2h2H2标题21.1标题 2 + Times New Roman"/>
    <w:basedOn w:val="5"/>
    <w:qFormat/>
    <w:uiPriority w:val="0"/>
    <w:pPr>
      <w:widowControl w:val="0"/>
      <w:tabs>
        <w:tab w:val="clear" w:pos="1276"/>
      </w:tabs>
      <w:autoSpaceDE w:val="0"/>
      <w:autoSpaceDN w:val="0"/>
      <w:adjustRightInd w:val="0"/>
      <w:spacing w:before="200" w:after="163"/>
      <w:ind w:left="0" w:firstLine="0"/>
      <w:jc w:val="center"/>
    </w:pPr>
    <w:rPr>
      <w:rFonts w:ascii="Calibri" w:hAnsi="Calibri" w:eastAsia="仿宋_GB2312" w:cs="宋体"/>
      <w:sz w:val="24"/>
      <w:szCs w:val="24"/>
    </w:rPr>
  </w:style>
  <w:style w:type="paragraph" w:customStyle="1" w:styleId="322">
    <w:name w:val="Char Char Char Char Char Char Char Char Char Char Char Char Char Char Char Char"/>
    <w:basedOn w:val="1"/>
    <w:qFormat/>
    <w:uiPriority w:val="0"/>
    <w:rPr>
      <w:rFonts w:ascii="宋体" w:hAnsi="宋体" w:cs="宋体"/>
    </w:rPr>
  </w:style>
  <w:style w:type="paragraph" w:customStyle="1" w:styleId="323">
    <w:name w:val="样式 首行缩进:  2 字符"/>
    <w:basedOn w:val="1"/>
    <w:qFormat/>
    <w:uiPriority w:val="0"/>
    <w:pPr>
      <w:spacing w:line="360" w:lineRule="auto"/>
      <w:ind w:firstLine="560" w:firstLineChars="200"/>
    </w:pPr>
    <w:rPr>
      <w:rFonts w:ascii="仿宋_GB2312" w:hAnsi="宋体" w:cs="宋体"/>
      <w:sz w:val="28"/>
    </w:rPr>
  </w:style>
  <w:style w:type="paragraph" w:customStyle="1" w:styleId="324">
    <w:name w:val="广西炼油"/>
    <w:basedOn w:val="1"/>
    <w:qFormat/>
    <w:uiPriority w:val="0"/>
    <w:pPr>
      <w:spacing w:beforeLines="5" w:line="360" w:lineRule="auto"/>
      <w:ind w:firstLine="480"/>
    </w:pPr>
    <w:rPr>
      <w:rFonts w:ascii="宋体" w:hAnsi="宋体" w:cs="宋体"/>
      <w:sz w:val="24"/>
    </w:rPr>
  </w:style>
  <w:style w:type="paragraph" w:customStyle="1" w:styleId="325">
    <w:name w:val="报告表格"/>
    <w:basedOn w:val="1"/>
    <w:qFormat/>
    <w:uiPriority w:val="0"/>
    <w:pPr>
      <w:autoSpaceDE w:val="0"/>
      <w:autoSpaceDN w:val="0"/>
      <w:adjustRightInd w:val="0"/>
      <w:spacing w:line="320" w:lineRule="exact"/>
      <w:jc w:val="left"/>
      <w:textAlignment w:val="bottom"/>
    </w:pPr>
    <w:rPr>
      <w:rFonts w:ascii="宋体" w:hAnsi="宋体" w:cs="宋体"/>
      <w:kern w:val="0"/>
    </w:rPr>
  </w:style>
  <w:style w:type="paragraph" w:customStyle="1" w:styleId="326">
    <w:name w:val="表内文字"/>
    <w:basedOn w:val="1"/>
    <w:qFormat/>
    <w:uiPriority w:val="0"/>
    <w:pPr>
      <w:adjustRightInd w:val="0"/>
      <w:spacing w:line="400" w:lineRule="exact"/>
      <w:jc w:val="center"/>
      <w:textAlignment w:val="baseline"/>
    </w:pPr>
    <w:rPr>
      <w:rFonts w:ascii="宋体" w:hAnsi="宋体" w:cs="宋体"/>
      <w:snapToGrid w:val="0"/>
      <w:kern w:val="24"/>
    </w:rPr>
  </w:style>
  <w:style w:type="paragraph" w:customStyle="1" w:styleId="327">
    <w:name w:val="Char Char Char1 Char"/>
    <w:basedOn w:val="1"/>
    <w:qFormat/>
    <w:uiPriority w:val="0"/>
    <w:rPr>
      <w:rFonts w:ascii="宋体" w:hAnsi="宋体" w:cs="宋体"/>
    </w:rPr>
  </w:style>
  <w:style w:type="paragraph" w:customStyle="1" w:styleId="328">
    <w:name w:val="样式 标题 3条标题1.1.1条标题1.1.11条标题1.1.12条标题1.1.13条标题1.1.111条标题1.1...1"/>
    <w:basedOn w:val="7"/>
    <w:qFormat/>
    <w:uiPriority w:val="0"/>
    <w:pPr>
      <w:spacing w:before="0" w:after="0" w:line="500" w:lineRule="exact"/>
    </w:pPr>
    <w:rPr>
      <w:rFonts w:ascii="宋体" w:hAnsi="宋体" w:cs="宋体"/>
      <w:bCs w:val="0"/>
      <w:sz w:val="28"/>
      <w:szCs w:val="20"/>
    </w:rPr>
  </w:style>
  <w:style w:type="paragraph" w:customStyle="1" w:styleId="329">
    <w:name w:val="表题格式"/>
    <w:basedOn w:val="1"/>
    <w:qFormat/>
    <w:uiPriority w:val="0"/>
    <w:pPr>
      <w:spacing w:line="440" w:lineRule="exact"/>
      <w:ind w:firstLine="377" w:firstLineChars="377"/>
    </w:pPr>
    <w:rPr>
      <w:rFonts w:ascii="宋体" w:hAnsi="宋体" w:eastAsia="黑体" w:cs="宋体"/>
      <w:kern w:val="0"/>
      <w:sz w:val="24"/>
    </w:rPr>
  </w:style>
  <w:style w:type="paragraph" w:customStyle="1" w:styleId="330">
    <w:name w:val="表头样式1"/>
    <w:basedOn w:val="1"/>
    <w:qFormat/>
    <w:uiPriority w:val="0"/>
    <w:pPr>
      <w:autoSpaceDE w:val="0"/>
      <w:autoSpaceDN w:val="0"/>
      <w:adjustRightInd w:val="0"/>
      <w:snapToGrid w:val="0"/>
      <w:spacing w:beforeLines="20" w:afterLines="20" w:line="360" w:lineRule="auto"/>
      <w:ind w:firstLine="480" w:firstLineChars="200"/>
      <w:jc w:val="center"/>
    </w:pPr>
    <w:rPr>
      <w:rFonts w:ascii="黑体" w:hAnsi="宋体" w:eastAsia="黑体" w:cs="宋体"/>
      <w:kern w:val="0"/>
      <w:sz w:val="24"/>
    </w:rPr>
  </w:style>
  <w:style w:type="paragraph" w:customStyle="1" w:styleId="331">
    <w:name w:val="样式 标题 31.1.1标题 3 + Times New Roman 自动设置 段前: 0.2 行 段后: 0.2 行"/>
    <w:basedOn w:val="7"/>
    <w:qFormat/>
    <w:uiPriority w:val="0"/>
    <w:pPr>
      <w:autoSpaceDE w:val="0"/>
      <w:autoSpaceDN w:val="0"/>
      <w:adjustRightInd w:val="0"/>
      <w:spacing w:beforeLines="20" w:afterLines="20" w:line="360" w:lineRule="auto"/>
      <w:jc w:val="left"/>
    </w:pPr>
    <w:rPr>
      <w:rFonts w:ascii="Calibri" w:hAnsi="Calibri" w:cs="宋体"/>
      <w:bCs w:val="0"/>
      <w:kern w:val="0"/>
      <w:sz w:val="24"/>
      <w:szCs w:val="20"/>
    </w:rPr>
  </w:style>
  <w:style w:type="paragraph" w:customStyle="1" w:styleId="332">
    <w:name w:val="标题003"/>
    <w:basedOn w:val="1"/>
    <w:qFormat/>
    <w:uiPriority w:val="0"/>
    <w:pPr>
      <w:spacing w:before="120" w:line="440" w:lineRule="exact"/>
      <w:outlineLvl w:val="2"/>
    </w:pPr>
    <w:rPr>
      <w:rFonts w:ascii="宋体" w:hAnsi="宋体" w:cs="宋体"/>
      <w:b/>
      <w:sz w:val="27"/>
    </w:rPr>
  </w:style>
  <w:style w:type="paragraph" w:customStyle="1" w:styleId="333">
    <w:name w:val="环评正文"/>
    <w:basedOn w:val="51"/>
    <w:link w:val="334"/>
    <w:qFormat/>
    <w:uiPriority w:val="0"/>
    <w:pPr>
      <w:widowControl w:val="0"/>
      <w:spacing w:line="500" w:lineRule="exact"/>
      <w:ind w:left="0" w:leftChars="0" w:firstLine="560" w:firstLineChars="200"/>
      <w:jc w:val="both"/>
    </w:pPr>
    <w:rPr>
      <w:rFonts w:ascii="仿宋_GB2312" w:hAnsi="Calibri" w:eastAsia="仿宋_GB2312"/>
      <w:kern w:val="2"/>
      <w:sz w:val="28"/>
    </w:rPr>
  </w:style>
  <w:style w:type="character" w:customStyle="1" w:styleId="334">
    <w:name w:val="环评正文 Char"/>
    <w:link w:val="333"/>
    <w:qFormat/>
    <w:uiPriority w:val="0"/>
    <w:rPr>
      <w:rFonts w:ascii="仿宋_GB2312" w:hAnsi="Calibri" w:eastAsia="仿宋_GB2312" w:cs="宋体"/>
      <w:kern w:val="2"/>
      <w:sz w:val="28"/>
      <w:szCs w:val="24"/>
    </w:rPr>
  </w:style>
  <w:style w:type="paragraph" w:customStyle="1" w:styleId="335">
    <w:name w:val="普通表格1"/>
    <w:basedOn w:val="46"/>
    <w:qFormat/>
    <w:uiPriority w:val="0"/>
    <w:pPr>
      <w:widowControl w:val="0"/>
      <w:snapToGrid w:val="0"/>
      <w:spacing w:line="380" w:lineRule="exact"/>
      <w:jc w:val="both"/>
    </w:pPr>
    <w:rPr>
      <w:rFonts w:ascii="Times New Roman" w:hAnsi="Times New Roman" w:cs="Times New Roman"/>
      <w:kern w:val="2"/>
      <w:szCs w:val="20"/>
    </w:rPr>
  </w:style>
  <w:style w:type="paragraph" w:customStyle="1" w:styleId="336">
    <w:name w:val="Char Char Char1 Char Char Char Char"/>
    <w:basedOn w:val="1"/>
    <w:qFormat/>
    <w:uiPriority w:val="0"/>
    <w:rPr>
      <w:rFonts w:ascii="宋体" w:hAnsi="宋体" w:cs="宋体"/>
    </w:rPr>
  </w:style>
  <w:style w:type="paragraph" w:customStyle="1" w:styleId="337">
    <w:name w:val="样式 正文文本缩进 + 左侧:  0.95 厘米 首行缩进:  0.63 厘米"/>
    <w:basedOn w:val="36"/>
    <w:qFormat/>
    <w:uiPriority w:val="0"/>
    <w:pPr>
      <w:spacing w:after="0" w:line="480" w:lineRule="exact"/>
      <w:ind w:left="0" w:leftChars="0" w:firstLine="480" w:firstLineChars="200"/>
    </w:pPr>
    <w:rPr>
      <w:rFonts w:ascii="宋体" w:hAnsi="宋体" w:cs="宋体"/>
      <w:color w:val="000000"/>
      <w:sz w:val="24"/>
    </w:rPr>
  </w:style>
  <w:style w:type="paragraph" w:customStyle="1" w:styleId="338">
    <w:name w:val="Char Char Char Char Char Char Char Char Char Char"/>
    <w:basedOn w:val="1"/>
    <w:qFormat/>
    <w:uiPriority w:val="0"/>
    <w:rPr>
      <w:rFonts w:ascii="黑体" w:hAnsi="黑体" w:eastAsia="黑体" w:cs="宋体"/>
      <w:b/>
      <w:spacing w:val="10"/>
      <w:kern w:val="44"/>
      <w:sz w:val="28"/>
    </w:rPr>
  </w:style>
  <w:style w:type="paragraph" w:customStyle="1" w:styleId="339">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0">
    <w:name w:val="表样式1.1"/>
    <w:basedOn w:val="1"/>
    <w:qFormat/>
    <w:uiPriority w:val="0"/>
    <w:pPr>
      <w:autoSpaceDE w:val="0"/>
      <w:autoSpaceDN w:val="0"/>
      <w:adjustRightInd w:val="0"/>
      <w:snapToGrid w:val="0"/>
      <w:spacing w:line="374" w:lineRule="exact"/>
      <w:jc w:val="center"/>
    </w:pPr>
    <w:rPr>
      <w:rFonts w:ascii="宋体" w:hAnsi="宋体" w:cs="宋体"/>
      <w:color w:val="000000"/>
      <w:kern w:val="0"/>
    </w:rPr>
  </w:style>
  <w:style w:type="paragraph" w:customStyle="1" w:styleId="341">
    <w:name w:val="正文（行首缩进2字）"/>
    <w:basedOn w:val="1"/>
    <w:qFormat/>
    <w:uiPriority w:val="0"/>
    <w:pPr>
      <w:spacing w:line="360" w:lineRule="auto"/>
      <w:ind w:firstLine="200" w:firstLineChars="200"/>
    </w:pPr>
    <w:rPr>
      <w:rFonts w:ascii="宋体" w:hAnsi="宋体" w:cs="宋体"/>
      <w:sz w:val="28"/>
    </w:rPr>
  </w:style>
  <w:style w:type="paragraph" w:customStyle="1" w:styleId="342">
    <w:name w:val="正文段落"/>
    <w:basedOn w:val="1"/>
    <w:qFormat/>
    <w:uiPriority w:val="0"/>
    <w:pPr>
      <w:autoSpaceDE w:val="0"/>
      <w:autoSpaceDN w:val="0"/>
      <w:adjustRightInd w:val="0"/>
      <w:spacing w:line="500" w:lineRule="exact"/>
      <w:ind w:firstLine="200" w:firstLineChars="200"/>
      <w:textAlignment w:val="baseline"/>
    </w:pPr>
    <w:rPr>
      <w:rFonts w:ascii="宋体" w:hAnsi="Tms Rmn" w:eastAsia="仿宋_GB2312" w:cs="宋体"/>
      <w:kern w:val="0"/>
      <w:sz w:val="28"/>
    </w:rPr>
  </w:style>
  <w:style w:type="paragraph" w:customStyle="1" w:styleId="343">
    <w:name w:val="标题002"/>
    <w:basedOn w:val="1"/>
    <w:qFormat/>
    <w:uiPriority w:val="0"/>
    <w:pPr>
      <w:spacing w:before="160" w:line="480" w:lineRule="exact"/>
      <w:outlineLvl w:val="1"/>
    </w:pPr>
    <w:rPr>
      <w:rFonts w:ascii="宋体" w:hAnsi="宋体" w:cs="宋体"/>
      <w:b/>
      <w:sz w:val="28"/>
    </w:rPr>
  </w:style>
  <w:style w:type="paragraph" w:customStyle="1" w:styleId="344">
    <w:name w:val="表格1"/>
    <w:basedOn w:val="1"/>
    <w:qFormat/>
    <w:uiPriority w:val="0"/>
    <w:pPr>
      <w:adjustRightInd w:val="0"/>
      <w:spacing w:line="360" w:lineRule="exact"/>
      <w:jc w:val="center"/>
      <w:textAlignment w:val="baseline"/>
    </w:pPr>
    <w:rPr>
      <w:rFonts w:ascii="CG Times (W1)" w:hAnsi="CG Times (W1)" w:cs="宋体"/>
      <w:kern w:val="0"/>
      <w:sz w:val="24"/>
    </w:rPr>
  </w:style>
  <w:style w:type="paragraph" w:customStyle="1" w:styleId="345">
    <w:name w:val="样式 标题 3 + 首行缩进:  2 字符1"/>
    <w:basedOn w:val="7"/>
    <w:qFormat/>
    <w:uiPriority w:val="0"/>
    <w:pPr>
      <w:spacing w:before="240" w:after="240" w:line="413" w:lineRule="auto"/>
    </w:pPr>
    <w:rPr>
      <w:rFonts w:ascii="Calibri" w:hAnsi="Calibri" w:cs="宋体"/>
      <w:bCs w:val="0"/>
      <w:sz w:val="28"/>
      <w:szCs w:val="20"/>
    </w:rPr>
  </w:style>
  <w:style w:type="paragraph" w:customStyle="1" w:styleId="346">
    <w:name w:val="Char Char Char1 Char Char Char Char Char Char Char Char Char Char Char Char Char Char Char Char Char Char Char Char Char Char"/>
    <w:basedOn w:val="1"/>
    <w:qFormat/>
    <w:uiPriority w:val="0"/>
    <w:rPr>
      <w:rFonts w:ascii="宋体" w:hAnsi="宋体" w:cs="宋体"/>
    </w:rPr>
  </w:style>
  <w:style w:type="paragraph" w:customStyle="1" w:styleId="347">
    <w:name w:val="二级无标题条"/>
    <w:basedOn w:val="1"/>
    <w:qFormat/>
    <w:uiPriority w:val="0"/>
    <w:rPr>
      <w:rFonts w:ascii="宋体" w:hAnsi="宋体" w:cs="宋体"/>
    </w:rPr>
  </w:style>
  <w:style w:type="paragraph" w:customStyle="1" w:styleId="348">
    <w:name w:val="图表标题"/>
    <w:basedOn w:val="349"/>
    <w:next w:val="325"/>
    <w:qFormat/>
    <w:uiPriority w:val="0"/>
    <w:pPr>
      <w:snapToGrid w:val="0"/>
      <w:spacing w:line="240" w:lineRule="auto"/>
      <w:ind w:firstLine="0"/>
      <w:jc w:val="center"/>
      <w:textAlignment w:val="baseline"/>
    </w:pPr>
    <w:rPr>
      <w:rFonts w:ascii="Arial" w:hAnsi="Arial"/>
      <w:b/>
    </w:rPr>
  </w:style>
  <w:style w:type="paragraph" w:customStyle="1" w:styleId="349">
    <w:name w:val="报告"/>
    <w:basedOn w:val="1"/>
    <w:qFormat/>
    <w:uiPriority w:val="0"/>
    <w:pPr>
      <w:adjustRightInd w:val="0"/>
      <w:spacing w:line="360" w:lineRule="auto"/>
      <w:ind w:firstLine="505"/>
      <w:textAlignment w:val="center"/>
    </w:pPr>
    <w:rPr>
      <w:rFonts w:ascii="TimesNewRoman" w:hAnsi="TimesNewRoman" w:cs="宋体"/>
      <w:kern w:val="0"/>
      <w:sz w:val="24"/>
    </w:rPr>
  </w:style>
  <w:style w:type="paragraph" w:customStyle="1" w:styleId="350">
    <w:name w:val="标题001"/>
    <w:basedOn w:val="1"/>
    <w:qFormat/>
    <w:uiPriority w:val="0"/>
    <w:pPr>
      <w:spacing w:before="60" w:line="480" w:lineRule="exact"/>
      <w:outlineLvl w:val="0"/>
    </w:pPr>
    <w:rPr>
      <w:rFonts w:ascii="宋体" w:hAnsi="宋体" w:cs="宋体"/>
      <w:b/>
      <w:sz w:val="32"/>
    </w:rPr>
  </w:style>
  <w:style w:type="paragraph" w:customStyle="1" w:styleId="351">
    <w:name w:val="wangjunbo.bullet"/>
    <w:basedOn w:val="1"/>
    <w:qFormat/>
    <w:uiPriority w:val="0"/>
    <w:pPr>
      <w:jc w:val="center"/>
    </w:pPr>
    <w:rPr>
      <w:rFonts w:ascii="宋体" w:hAnsi="宋体" w:cs="宋体"/>
    </w:rPr>
  </w:style>
  <w:style w:type="paragraph" w:customStyle="1" w:styleId="352">
    <w:name w:val="3级标题"/>
    <w:basedOn w:val="1"/>
    <w:link w:val="353"/>
    <w:qFormat/>
    <w:uiPriority w:val="0"/>
    <w:pPr>
      <w:keepNext/>
      <w:keepLines/>
      <w:adjustRightInd w:val="0"/>
      <w:snapToGrid w:val="0"/>
      <w:spacing w:before="80" w:after="80" w:line="400" w:lineRule="exact"/>
      <w:outlineLvl w:val="2"/>
    </w:pPr>
    <w:rPr>
      <w:rFonts w:ascii="Calibri" w:hAnsi="Calibri" w:cs="宋体"/>
      <w:b/>
      <w:color w:val="000000"/>
      <w:sz w:val="24"/>
    </w:rPr>
  </w:style>
  <w:style w:type="character" w:customStyle="1" w:styleId="353">
    <w:name w:val="3级标题 Char"/>
    <w:link w:val="352"/>
    <w:qFormat/>
    <w:uiPriority w:val="0"/>
    <w:rPr>
      <w:rFonts w:ascii="Calibri" w:hAnsi="Calibri" w:cs="宋体"/>
      <w:b/>
      <w:color w:val="000000"/>
      <w:kern w:val="2"/>
      <w:sz w:val="24"/>
      <w:szCs w:val="24"/>
    </w:rPr>
  </w:style>
  <w:style w:type="paragraph" w:customStyle="1" w:styleId="354">
    <w:name w:val="标准"/>
    <w:basedOn w:val="1"/>
    <w:qFormat/>
    <w:uiPriority w:val="0"/>
    <w:pPr>
      <w:adjustRightInd w:val="0"/>
      <w:spacing w:line="312" w:lineRule="atLeast"/>
      <w:jc w:val="center"/>
      <w:textAlignment w:val="baseline"/>
    </w:pPr>
    <w:rPr>
      <w:rFonts w:ascii="宋体" w:hAnsi="宋体" w:cs="宋体"/>
      <w:kern w:val="0"/>
    </w:rPr>
  </w:style>
  <w:style w:type="paragraph" w:customStyle="1" w:styleId="355">
    <w:name w:val="样式 标题 2节第一章 标题 2Heading 2 HiddenHeading 2 CCBSheading 2H2...1"/>
    <w:basedOn w:val="5"/>
    <w:qFormat/>
    <w:uiPriority w:val="0"/>
    <w:pPr>
      <w:widowControl w:val="0"/>
      <w:tabs>
        <w:tab w:val="clear" w:pos="1276"/>
      </w:tabs>
      <w:spacing w:before="120" w:after="120" w:line="500" w:lineRule="exact"/>
      <w:ind w:left="0" w:firstLine="0"/>
      <w:jc w:val="both"/>
    </w:pPr>
    <w:rPr>
      <w:rFonts w:ascii="宋体" w:hAnsi="宋体" w:cs="宋体"/>
      <w:b/>
      <w:kern w:val="2"/>
      <w:sz w:val="24"/>
      <w:szCs w:val="24"/>
    </w:rPr>
  </w:style>
  <w:style w:type="paragraph" w:customStyle="1" w:styleId="356">
    <w:name w:val="样式6"/>
    <w:basedOn w:val="1"/>
    <w:qFormat/>
    <w:uiPriority w:val="0"/>
    <w:pPr>
      <w:tabs>
        <w:tab w:val="left" w:leader="dot" w:pos="1092"/>
        <w:tab w:val="left" w:pos="1260"/>
      </w:tabs>
      <w:adjustRightInd w:val="0"/>
      <w:snapToGrid w:val="0"/>
      <w:spacing w:beforeLines="50" w:afterLines="50" w:line="360" w:lineRule="auto"/>
      <w:ind w:left="1260" w:hanging="720"/>
      <w:jc w:val="left"/>
      <w:outlineLvl w:val="2"/>
    </w:pPr>
    <w:rPr>
      <w:rFonts w:ascii="宋体" w:hAnsi="宋体" w:cs="宋体"/>
      <w:sz w:val="24"/>
    </w:rPr>
  </w:style>
  <w:style w:type="paragraph" w:customStyle="1" w:styleId="357">
    <w:name w:val="标题004"/>
    <w:basedOn w:val="358"/>
    <w:qFormat/>
    <w:uiPriority w:val="0"/>
    <w:pPr>
      <w:ind w:firstLine="0"/>
      <w:outlineLvl w:val="3"/>
    </w:pPr>
    <w:rPr>
      <w:b/>
    </w:rPr>
  </w:style>
  <w:style w:type="paragraph" w:customStyle="1" w:styleId="358">
    <w:name w:val="正文001"/>
    <w:basedOn w:val="1"/>
    <w:qFormat/>
    <w:uiPriority w:val="0"/>
    <w:pPr>
      <w:spacing w:before="60" w:line="420" w:lineRule="exact"/>
      <w:ind w:firstLine="482"/>
    </w:pPr>
    <w:rPr>
      <w:rFonts w:ascii="宋体" w:hAnsi="宋体" w:cs="宋体"/>
      <w:sz w:val="24"/>
    </w:rPr>
  </w:style>
  <w:style w:type="paragraph" w:customStyle="1" w:styleId="359">
    <w:name w:val="样式 图表"/>
    <w:basedOn w:val="1"/>
    <w:qFormat/>
    <w:uiPriority w:val="0"/>
    <w:pPr>
      <w:adjustRightInd w:val="0"/>
      <w:spacing w:line="360" w:lineRule="auto"/>
      <w:jc w:val="center"/>
      <w:textAlignment w:val="baseline"/>
    </w:pPr>
    <w:rPr>
      <w:rFonts w:ascii="宋体" w:hAnsi="宋体" w:cs="宋体"/>
      <w:b/>
      <w:kern w:val="0"/>
      <w:sz w:val="24"/>
    </w:rPr>
  </w:style>
  <w:style w:type="paragraph" w:customStyle="1" w:styleId="360">
    <w:name w:val="文本框"/>
    <w:basedOn w:val="1"/>
    <w:next w:val="1"/>
    <w:qFormat/>
    <w:uiPriority w:val="0"/>
    <w:pPr>
      <w:widowControl/>
      <w:spacing w:line="320" w:lineRule="exact"/>
      <w:ind w:firstLine="200" w:firstLineChars="200"/>
      <w:jc w:val="center"/>
    </w:pPr>
    <w:rPr>
      <w:rFonts w:ascii="仿宋_GB2312" w:hAnsi="宋体" w:eastAsia="仿宋_GB2312" w:cs="宋体"/>
      <w:kern w:val="0"/>
      <w:sz w:val="24"/>
    </w:rPr>
  </w:style>
  <w:style w:type="paragraph" w:customStyle="1" w:styleId="361">
    <w:name w:val="表样式1"/>
    <w:basedOn w:val="1"/>
    <w:qFormat/>
    <w:uiPriority w:val="0"/>
    <w:pPr>
      <w:spacing w:line="360" w:lineRule="auto"/>
      <w:jc w:val="center"/>
    </w:pPr>
    <w:rPr>
      <w:rFonts w:ascii="宋体" w:hAnsi="宋体" w:cs="宋体"/>
      <w:color w:val="000000"/>
    </w:rPr>
  </w:style>
  <w:style w:type="paragraph" w:customStyle="1" w:styleId="362">
    <w:name w:val="样式 正文缩进正文缩进 Char正文缩进1 Char正文缩进1正文（首行缩进两字） Char正文缩进 Char Cha..."/>
    <w:basedOn w:val="6"/>
    <w:qFormat/>
    <w:uiPriority w:val="0"/>
    <w:pPr>
      <w:adjustRightInd/>
      <w:snapToGrid/>
      <w:spacing w:beforeLines="50" w:line="360" w:lineRule="auto"/>
      <w:ind w:firstLine="567" w:firstLineChars="0"/>
      <w:jc w:val="left"/>
    </w:pPr>
    <w:rPr>
      <w:rFonts w:ascii="Calibri" w:hAnsi="Calibri" w:eastAsia="宋体" w:cs="宋体"/>
      <w:color w:val="auto"/>
      <w:sz w:val="24"/>
      <w:szCs w:val="20"/>
    </w:rPr>
  </w:style>
  <w:style w:type="paragraph" w:customStyle="1" w:styleId="363">
    <w:name w:val="小四宋居中1.0"/>
    <w:basedOn w:val="1"/>
    <w:next w:val="1"/>
    <w:qFormat/>
    <w:uiPriority w:val="0"/>
    <w:pPr>
      <w:jc w:val="center"/>
    </w:pPr>
    <w:rPr>
      <w:rFonts w:ascii="仿宋_GB2312" w:hAnsi="宋体" w:eastAsia="仿宋_GB2312" w:cs="宋体"/>
      <w:sz w:val="24"/>
    </w:rPr>
  </w:style>
  <w:style w:type="paragraph" w:customStyle="1" w:styleId="364">
    <w:name w:val="2级标题"/>
    <w:qFormat/>
    <w:uiPriority w:val="0"/>
    <w:pPr>
      <w:adjustRightInd w:val="0"/>
      <w:snapToGrid w:val="0"/>
      <w:spacing w:beforeLines="50" w:line="480" w:lineRule="atLeast"/>
      <w:jc w:val="both"/>
      <w:outlineLvl w:val="1"/>
    </w:pPr>
    <w:rPr>
      <w:rFonts w:ascii="宋体" w:hAnsi="宋体" w:eastAsia="宋体" w:cs="Times New Roman"/>
      <w:b/>
      <w:kern w:val="2"/>
      <w:sz w:val="28"/>
      <w:lang w:val="en-US" w:eastAsia="zh-CN" w:bidi="ar-SA"/>
    </w:rPr>
  </w:style>
  <w:style w:type="paragraph" w:customStyle="1" w:styleId="365">
    <w:name w:val="样式 标题 3 + 11 磅 蓝色"/>
    <w:basedOn w:val="7"/>
    <w:qFormat/>
    <w:uiPriority w:val="0"/>
    <w:pPr>
      <w:autoSpaceDE w:val="0"/>
      <w:autoSpaceDN w:val="0"/>
      <w:adjustRightInd w:val="0"/>
      <w:snapToGrid w:val="0"/>
      <w:spacing w:before="0" w:after="0" w:line="500" w:lineRule="exact"/>
      <w:jc w:val="left"/>
      <w:textAlignment w:val="baseline"/>
    </w:pPr>
    <w:rPr>
      <w:rFonts w:ascii="宋体" w:hAnsi="宋体" w:cs="宋体"/>
      <w:b w:val="0"/>
      <w:bCs w:val="0"/>
      <w:snapToGrid w:val="0"/>
      <w:color w:val="0000FF"/>
      <w:kern w:val="0"/>
      <w:sz w:val="28"/>
      <w:szCs w:val="20"/>
    </w:rPr>
  </w:style>
  <w:style w:type="paragraph" w:customStyle="1" w:styleId="366">
    <w:name w:val="Char Char Char Char Char Char Char49"/>
    <w:basedOn w:val="1"/>
    <w:qFormat/>
    <w:uiPriority w:val="0"/>
    <w:rPr>
      <w:rFonts w:ascii="宋体" w:hAnsi="宋体" w:cs="宋体"/>
    </w:rPr>
  </w:style>
  <w:style w:type="paragraph" w:customStyle="1" w:styleId="367">
    <w:name w:val="样式 标题 3条标题1.1.1条标题1.1.11条标题1.1.12条标题1.1.13条标题1.1.111条标题1.1..."/>
    <w:basedOn w:val="7"/>
    <w:qFormat/>
    <w:uiPriority w:val="0"/>
    <w:pPr>
      <w:spacing w:before="0" w:after="0" w:line="500" w:lineRule="exact"/>
    </w:pPr>
    <w:rPr>
      <w:rFonts w:ascii="宋体" w:hAnsi="宋体" w:cs="宋体"/>
      <w:bCs w:val="0"/>
      <w:sz w:val="28"/>
      <w:szCs w:val="20"/>
    </w:rPr>
  </w:style>
  <w:style w:type="paragraph" w:customStyle="1" w:styleId="368">
    <w:name w:val="首行缩进两字"/>
    <w:basedOn w:val="1"/>
    <w:qFormat/>
    <w:uiPriority w:val="0"/>
    <w:pPr>
      <w:ind w:firstLine="549" w:firstLineChars="196"/>
      <w:jc w:val="left"/>
    </w:pPr>
    <w:rPr>
      <w:rFonts w:ascii="宋体" w:hAnsi="宋体" w:cs="宋体"/>
      <w:sz w:val="28"/>
    </w:rPr>
  </w:style>
  <w:style w:type="paragraph" w:customStyle="1" w:styleId="369">
    <w:name w:val="xl54"/>
    <w:basedOn w:val="1"/>
    <w:qFormat/>
    <w:uiPriority w:val="0"/>
    <w:pPr>
      <w:widowControl/>
      <w:pBdr>
        <w:right w:val="single" w:color="auto" w:sz="4" w:space="0"/>
      </w:pBdr>
      <w:spacing w:before="100" w:after="100"/>
      <w:jc w:val="center"/>
      <w:textAlignment w:val="center"/>
    </w:pPr>
    <w:rPr>
      <w:rFonts w:ascii="宋体" w:hAnsi="宋体" w:cs="宋体"/>
      <w:kern w:val="0"/>
      <w:sz w:val="24"/>
    </w:rPr>
  </w:style>
  <w:style w:type="paragraph" w:customStyle="1" w:styleId="370">
    <w:name w:val="Char Char Char Char Char Char Char Char Char Char1"/>
    <w:basedOn w:val="1"/>
    <w:qFormat/>
    <w:uiPriority w:val="0"/>
    <w:rPr>
      <w:rFonts w:ascii="宋体" w:hAnsi="宋体" w:cs="宋体"/>
    </w:rPr>
  </w:style>
  <w:style w:type="paragraph" w:customStyle="1" w:styleId="371">
    <w:name w:val="图表文字"/>
    <w:basedOn w:val="6"/>
    <w:qFormat/>
    <w:uiPriority w:val="0"/>
    <w:pPr>
      <w:adjustRightInd/>
      <w:snapToGrid/>
      <w:spacing w:beforeLines="50" w:line="240" w:lineRule="auto"/>
      <w:ind w:firstLine="0" w:firstLineChars="0"/>
      <w:jc w:val="center"/>
    </w:pPr>
    <w:rPr>
      <w:rFonts w:ascii="Calibri" w:hAnsi="Calibri" w:eastAsia="宋体" w:cs="宋体"/>
      <w:color w:val="auto"/>
      <w:sz w:val="21"/>
      <w:szCs w:val="20"/>
    </w:rPr>
  </w:style>
  <w:style w:type="paragraph" w:customStyle="1" w:styleId="372">
    <w:name w:val="纯文本2"/>
    <w:basedOn w:val="1"/>
    <w:qFormat/>
    <w:uiPriority w:val="0"/>
    <w:pPr>
      <w:adjustRightInd w:val="0"/>
      <w:textAlignment w:val="baseline"/>
    </w:pPr>
    <w:rPr>
      <w:rFonts w:ascii="宋体" w:hAnsi="Courier New" w:cs="宋体"/>
    </w:rPr>
  </w:style>
  <w:style w:type="paragraph" w:customStyle="1" w:styleId="373">
    <w:name w:val="正文缩进1"/>
    <w:basedOn w:val="1"/>
    <w:qFormat/>
    <w:uiPriority w:val="0"/>
    <w:pPr>
      <w:ind w:firstLine="420" w:firstLineChars="200"/>
    </w:pPr>
    <w:rPr>
      <w:rFonts w:hint="eastAsia" w:ascii="宋体" w:hAnsi="宋体" w:cs="宋体"/>
    </w:rPr>
  </w:style>
  <w:style w:type="paragraph" w:customStyle="1" w:styleId="374">
    <w:name w:val="表格文字2"/>
    <w:basedOn w:val="199"/>
    <w:qFormat/>
    <w:uiPriority w:val="0"/>
    <w:pPr>
      <w:widowControl w:val="0"/>
      <w:tabs>
        <w:tab w:val="left" w:pos="560"/>
      </w:tabs>
      <w:overflowPunct w:val="0"/>
      <w:adjustRightInd w:val="0"/>
      <w:snapToGrid w:val="0"/>
      <w:spacing w:line="400" w:lineRule="exact"/>
    </w:pPr>
    <w:rPr>
      <w:rFonts w:ascii="Times New Roman" w:hAnsi="Times New Roman" w:eastAsia="宋体"/>
      <w:snapToGrid w:val="0"/>
      <w:color w:val="000000"/>
      <w:kern w:val="0"/>
      <w:sz w:val="21"/>
      <w:szCs w:val="21"/>
    </w:rPr>
  </w:style>
  <w:style w:type="paragraph" w:customStyle="1" w:styleId="375">
    <w:name w:val="样式 表格文字 + (西文) 宋体 (中文) 华文仿宋 小四 黑色"/>
    <w:basedOn w:val="199"/>
    <w:qFormat/>
    <w:uiPriority w:val="0"/>
    <w:pPr>
      <w:widowControl w:val="0"/>
      <w:tabs>
        <w:tab w:val="left" w:pos="560"/>
      </w:tabs>
      <w:overflowPunct w:val="0"/>
      <w:adjustRightInd w:val="0"/>
      <w:snapToGrid w:val="0"/>
      <w:spacing w:line="400" w:lineRule="exact"/>
    </w:pPr>
    <w:rPr>
      <w:rFonts w:ascii="Times New Roman" w:hAnsi="宋体" w:eastAsia="宋体"/>
      <w:snapToGrid w:val="0"/>
      <w:color w:val="000000"/>
      <w:kern w:val="0"/>
      <w:sz w:val="21"/>
    </w:rPr>
  </w:style>
  <w:style w:type="paragraph" w:customStyle="1" w:styleId="376">
    <w:name w:val="样式 表格文字 + (西文) 宋体 (中文) 华文仿宋 小四 黑色1"/>
    <w:basedOn w:val="199"/>
    <w:qFormat/>
    <w:uiPriority w:val="0"/>
    <w:pPr>
      <w:widowControl w:val="0"/>
      <w:tabs>
        <w:tab w:val="left" w:pos="560"/>
      </w:tabs>
      <w:overflowPunct w:val="0"/>
      <w:adjustRightInd w:val="0"/>
      <w:snapToGrid w:val="0"/>
      <w:spacing w:line="400" w:lineRule="exact"/>
    </w:pPr>
    <w:rPr>
      <w:rFonts w:ascii="Times New Roman" w:hAnsi="宋体" w:eastAsia="宋体"/>
      <w:snapToGrid w:val="0"/>
      <w:color w:val="000000"/>
      <w:kern w:val="0"/>
      <w:sz w:val="21"/>
      <w:szCs w:val="21"/>
    </w:rPr>
  </w:style>
  <w:style w:type="paragraph" w:customStyle="1" w:styleId="377">
    <w:name w:val="样式 报告书表格 + 小五 底端: (单实线 自动设置  0.75 磅 行宽)"/>
    <w:basedOn w:val="1"/>
    <w:qFormat/>
    <w:uiPriority w:val="0"/>
    <w:pPr>
      <w:adjustRightInd w:val="0"/>
      <w:spacing w:line="400" w:lineRule="exact"/>
      <w:jc w:val="center"/>
      <w:textAlignment w:val="baseline"/>
    </w:pPr>
    <w:rPr>
      <w:rFonts w:ascii="宋体" w:hAnsi="宋体" w:eastAsia="仿宋_GB2312" w:cs="宋体"/>
      <w:kern w:val="0"/>
      <w:sz w:val="18"/>
      <w:szCs w:val="18"/>
    </w:rPr>
  </w:style>
  <w:style w:type="paragraph" w:customStyle="1" w:styleId="378">
    <w:name w:val="正文-标准"/>
    <w:basedOn w:val="1"/>
    <w:qFormat/>
    <w:uiPriority w:val="0"/>
    <w:pPr>
      <w:spacing w:line="500" w:lineRule="exact"/>
      <w:ind w:firstLine="200" w:firstLineChars="200"/>
    </w:pPr>
    <w:rPr>
      <w:rFonts w:ascii="宋体" w:hAnsi="宋体" w:cs="宋体"/>
      <w:sz w:val="24"/>
    </w:rPr>
  </w:style>
  <w:style w:type="paragraph" w:customStyle="1" w:styleId="379">
    <w:name w:val="样式 标题 4 + 黑体 小四 非加粗"/>
    <w:basedOn w:val="8"/>
    <w:qFormat/>
    <w:uiPriority w:val="0"/>
    <w:pPr>
      <w:widowControl w:val="0"/>
      <w:tabs>
        <w:tab w:val="clear" w:pos="1276"/>
      </w:tabs>
      <w:adjustRightInd w:val="0"/>
      <w:spacing w:line="500" w:lineRule="exact"/>
      <w:ind w:left="0" w:firstLine="0"/>
      <w:jc w:val="both"/>
      <w:textAlignment w:val="baseline"/>
    </w:pPr>
    <w:rPr>
      <w:rFonts w:ascii="黑体" w:hAnsi="黑体"/>
      <w:spacing w:val="10"/>
      <w:szCs w:val="24"/>
    </w:rPr>
  </w:style>
  <w:style w:type="character" w:customStyle="1" w:styleId="380">
    <w:name w:val="unnamed11"/>
    <w:qFormat/>
    <w:uiPriority w:val="0"/>
    <w:rPr>
      <w:rFonts w:ascii="黑体" w:hAnsi="黑体" w:eastAsia="宋体"/>
      <w:b/>
      <w:color w:val="000000"/>
      <w:spacing w:val="10"/>
      <w:kern w:val="2"/>
      <w:sz w:val="19"/>
      <w:szCs w:val="19"/>
      <w:u w:val="none"/>
      <w:lang w:val="en-US" w:eastAsia="zh-CN" w:bidi="ar-SA"/>
    </w:rPr>
  </w:style>
  <w:style w:type="character" w:customStyle="1" w:styleId="381">
    <w:name w:val="a51"/>
    <w:qFormat/>
    <w:uiPriority w:val="0"/>
    <w:rPr>
      <w:rFonts w:ascii="黑体" w:hAnsi="黑体" w:eastAsia="宋体"/>
      <w:b/>
      <w:color w:val="000000"/>
      <w:spacing w:val="10"/>
      <w:kern w:val="2"/>
      <w:sz w:val="21"/>
      <w:szCs w:val="21"/>
      <w:u w:val="none"/>
      <w:lang w:val="en-US" w:eastAsia="zh-CN" w:bidi="ar-SA"/>
    </w:rPr>
  </w:style>
  <w:style w:type="paragraph" w:customStyle="1" w:styleId="382">
    <w:name w:val="样式 表头样式1 + 首行缩进:  2 字符 段前: 0.5 行"/>
    <w:basedOn w:val="330"/>
    <w:qFormat/>
    <w:uiPriority w:val="0"/>
    <w:pPr>
      <w:snapToGrid/>
      <w:spacing w:afterLines="0" w:afterAutospacing="1"/>
    </w:pPr>
    <w:rPr>
      <w:rFonts w:ascii="Times New Roman" w:hAnsi="Times New Roman"/>
      <w:bCs/>
      <w:color w:val="000000"/>
      <w:lang w:eastAsia="zh-TW"/>
    </w:rPr>
  </w:style>
  <w:style w:type="paragraph" w:customStyle="1" w:styleId="383">
    <w:name w:val="样式5"/>
    <w:basedOn w:val="1"/>
    <w:qFormat/>
    <w:uiPriority w:val="0"/>
    <w:pPr>
      <w:snapToGrid w:val="0"/>
      <w:spacing w:line="360" w:lineRule="auto"/>
      <w:ind w:firstLine="510"/>
    </w:pPr>
    <w:rPr>
      <w:rFonts w:ascii="宋体" w:hAnsi="宋体" w:cs="宋体"/>
      <w:sz w:val="24"/>
    </w:rPr>
  </w:style>
  <w:style w:type="paragraph" w:customStyle="1" w:styleId="384">
    <w:name w:val="样式 标题 4 + 段前: 7.8 磅"/>
    <w:basedOn w:val="8"/>
    <w:qFormat/>
    <w:uiPriority w:val="0"/>
    <w:pPr>
      <w:widowControl w:val="0"/>
      <w:tabs>
        <w:tab w:val="clear" w:pos="1276"/>
      </w:tabs>
      <w:spacing w:line="500" w:lineRule="exact"/>
      <w:ind w:left="0" w:firstLine="0"/>
      <w:jc w:val="both"/>
      <w:outlineLvl w:val="0"/>
    </w:pPr>
    <w:rPr>
      <w:rFonts w:eastAsia="仿宋_GB2312" w:cs="Arial"/>
      <w:bCs w:val="0"/>
      <w:kern w:val="2"/>
      <w:szCs w:val="21"/>
    </w:rPr>
  </w:style>
  <w:style w:type="paragraph" w:customStyle="1" w:styleId="385">
    <w:name w:val="正文文字"/>
    <w:basedOn w:val="1"/>
    <w:qFormat/>
    <w:uiPriority w:val="0"/>
    <w:pPr>
      <w:snapToGrid w:val="0"/>
      <w:spacing w:beforeLines="50" w:line="312" w:lineRule="auto"/>
      <w:ind w:firstLine="540" w:firstLineChars="225"/>
    </w:pPr>
    <w:rPr>
      <w:rFonts w:ascii="Arial" w:hAnsi="Arial" w:eastAsia="仿宋_GB2312" w:cs="Arial"/>
      <w:bCs/>
      <w:kern w:val="0"/>
      <w:sz w:val="24"/>
      <w:lang w:val="de-DE"/>
    </w:rPr>
  </w:style>
  <w:style w:type="paragraph" w:customStyle="1" w:styleId="386">
    <w:name w:val="样式 正文文本 + 首行缩进:  2 字符4"/>
    <w:basedOn w:val="35"/>
    <w:qFormat/>
    <w:uiPriority w:val="0"/>
    <w:pPr>
      <w:adjustRightInd w:val="0"/>
      <w:spacing w:after="0" w:line="460" w:lineRule="exact"/>
      <w:ind w:firstLine="520"/>
      <w:textAlignment w:val="baseline"/>
    </w:pPr>
    <w:rPr>
      <w:rFonts w:ascii="宋体" w:hAnsi="宋体" w:cs="宋体"/>
      <w:bCs/>
      <w:color w:val="000000"/>
      <w:sz w:val="24"/>
    </w:rPr>
  </w:style>
  <w:style w:type="paragraph" w:customStyle="1" w:styleId="387">
    <w:name w:val="样式 标题 3 + (西文)粗体"/>
    <w:basedOn w:val="7"/>
    <w:qFormat/>
    <w:uiPriority w:val="0"/>
    <w:rPr>
      <w:rFonts w:ascii="Arial" w:hAnsi="Arial" w:eastAsia="仿宋_GB2312" w:cs="Angsana New"/>
      <w:sz w:val="24"/>
      <w:lang w:bidi="th-TH"/>
    </w:rPr>
  </w:style>
  <w:style w:type="paragraph" w:customStyle="1" w:styleId="388">
    <w:name w:val="Date1"/>
    <w:basedOn w:val="1"/>
    <w:next w:val="1"/>
    <w:qFormat/>
    <w:uiPriority w:val="0"/>
    <w:pPr>
      <w:adjustRightInd w:val="0"/>
      <w:textAlignment w:val="baseline"/>
    </w:pPr>
    <w:rPr>
      <w:rFonts w:ascii="宋体" w:hAnsi="宋体" w:cs="宋体"/>
    </w:rPr>
  </w:style>
  <w:style w:type="paragraph" w:customStyle="1" w:styleId="389">
    <w:name w:val="样式 标题 2 + 首行缩进:  2 字符"/>
    <w:basedOn w:val="5"/>
    <w:qFormat/>
    <w:uiPriority w:val="0"/>
    <w:pPr>
      <w:widowControl w:val="0"/>
      <w:tabs>
        <w:tab w:val="clear" w:pos="1276"/>
      </w:tabs>
      <w:spacing w:after="120" w:line="500" w:lineRule="exact"/>
      <w:ind w:left="0" w:firstLine="0"/>
      <w:jc w:val="both"/>
    </w:pPr>
    <w:rPr>
      <w:rFonts w:ascii="Calibri" w:hAnsi="Calibri" w:eastAsia="黑体" w:cs="宋体"/>
      <w:b/>
      <w:bCs/>
      <w:kern w:val="2"/>
      <w:szCs w:val="24"/>
    </w:rPr>
  </w:style>
  <w:style w:type="paragraph" w:customStyle="1" w:styleId="390">
    <w:name w:val="正文(1)"/>
    <w:basedOn w:val="1"/>
    <w:qFormat/>
    <w:uiPriority w:val="0"/>
    <w:pPr>
      <w:adjustRightInd w:val="0"/>
      <w:snapToGrid w:val="0"/>
      <w:spacing w:before="120" w:line="300" w:lineRule="auto"/>
      <w:ind w:firstLine="480" w:firstLineChars="200"/>
    </w:pPr>
    <w:rPr>
      <w:rFonts w:ascii="黑体" w:hAnsi="宋体" w:eastAsia="黑体" w:cs="宋体"/>
      <w:b/>
      <w:snapToGrid w:val="0"/>
      <w:color w:val="339966"/>
      <w:kern w:val="0"/>
      <w:sz w:val="24"/>
    </w:rPr>
  </w:style>
  <w:style w:type="character" w:customStyle="1" w:styleId="391">
    <w:name w:val="默认段落字体 Char"/>
    <w:qFormat/>
    <w:uiPriority w:val="0"/>
    <w:rPr>
      <w:rFonts w:hint="eastAsia"/>
      <w:color w:val="000000"/>
      <w:sz w:val="21"/>
      <w:u w:color="000000"/>
      <w:lang w:val="en-US" w:eastAsia="zh-CN"/>
    </w:rPr>
  </w:style>
  <w:style w:type="character" w:customStyle="1" w:styleId="392">
    <w:name w:val="批注引用 Char"/>
    <w:basedOn w:val="391"/>
    <w:qFormat/>
    <w:uiPriority w:val="0"/>
  </w:style>
  <w:style w:type="character" w:customStyle="1" w:styleId="393">
    <w:name w:val="页码 Char"/>
    <w:basedOn w:val="391"/>
    <w:qFormat/>
    <w:uiPriority w:val="0"/>
  </w:style>
  <w:style w:type="paragraph" w:customStyle="1" w:styleId="394">
    <w:name w:val="节标题"/>
    <w:basedOn w:val="1"/>
    <w:next w:val="1"/>
    <w:qFormat/>
    <w:uiPriority w:val="0"/>
    <w:pPr>
      <w:snapToGrid w:val="0"/>
      <w:spacing w:line="360" w:lineRule="auto"/>
      <w:jc w:val="left"/>
    </w:pPr>
    <w:rPr>
      <w:rFonts w:hint="eastAsia" w:ascii="宋体" w:hAnsi="黑体" w:eastAsia="黑体" w:cs="宋体"/>
      <w:sz w:val="28"/>
    </w:rPr>
  </w:style>
  <w:style w:type="paragraph" w:customStyle="1" w:styleId="395">
    <w:name w:val="目录 9 Char Char"/>
    <w:basedOn w:val="1"/>
    <w:next w:val="1"/>
    <w:qFormat/>
    <w:uiPriority w:val="0"/>
    <w:pPr>
      <w:spacing w:line="351" w:lineRule="atLeast"/>
      <w:ind w:left="1678" w:firstLine="419"/>
      <w:jc w:val="left"/>
    </w:pPr>
    <w:rPr>
      <w:rFonts w:hint="eastAsia" w:ascii="宋体" w:hAnsi="宋体" w:cs="宋体"/>
    </w:rPr>
  </w:style>
  <w:style w:type="paragraph" w:customStyle="1" w:styleId="396">
    <w:name w:val="目录 7 Char Char"/>
    <w:basedOn w:val="1"/>
    <w:next w:val="1"/>
    <w:qFormat/>
    <w:uiPriority w:val="0"/>
    <w:pPr>
      <w:spacing w:line="351" w:lineRule="atLeast"/>
      <w:ind w:left="1258" w:firstLine="419"/>
      <w:jc w:val="left"/>
    </w:pPr>
    <w:rPr>
      <w:rFonts w:hint="eastAsia" w:ascii="宋体" w:hAnsi="宋体" w:cs="宋体"/>
    </w:rPr>
  </w:style>
  <w:style w:type="paragraph" w:customStyle="1" w:styleId="397">
    <w:name w:val="页脚 Char Char"/>
    <w:basedOn w:val="1"/>
    <w:qFormat/>
    <w:uiPriority w:val="0"/>
    <w:pPr>
      <w:tabs>
        <w:tab w:val="left" w:pos="4149"/>
        <w:tab w:val="left" w:pos="8016"/>
      </w:tabs>
      <w:spacing w:line="351" w:lineRule="atLeast"/>
      <w:ind w:firstLine="419"/>
      <w:jc w:val="left"/>
    </w:pPr>
    <w:rPr>
      <w:rFonts w:hint="eastAsia" w:ascii="宋体" w:hAnsi="宋体" w:cs="宋体"/>
      <w:sz w:val="18"/>
    </w:rPr>
  </w:style>
  <w:style w:type="paragraph" w:customStyle="1" w:styleId="398">
    <w:name w:val="目录 4 Char Char"/>
    <w:basedOn w:val="1"/>
    <w:next w:val="1"/>
    <w:qFormat/>
    <w:uiPriority w:val="0"/>
    <w:pPr>
      <w:spacing w:line="351" w:lineRule="atLeast"/>
      <w:ind w:left="629" w:firstLine="419"/>
      <w:jc w:val="left"/>
    </w:pPr>
    <w:rPr>
      <w:rFonts w:hint="eastAsia" w:ascii="宋体" w:hAnsi="宋体" w:cs="宋体"/>
    </w:rPr>
  </w:style>
  <w:style w:type="paragraph" w:customStyle="1" w:styleId="399">
    <w:name w:val="目录 3 Char Char"/>
    <w:basedOn w:val="1"/>
    <w:next w:val="1"/>
    <w:qFormat/>
    <w:uiPriority w:val="0"/>
    <w:pPr>
      <w:spacing w:line="351" w:lineRule="atLeast"/>
      <w:ind w:left="419" w:firstLine="419"/>
      <w:jc w:val="left"/>
    </w:pPr>
    <w:rPr>
      <w:rFonts w:hint="eastAsia" w:ascii="宋体" w:hAnsi="宋体" w:cs="宋体"/>
      <w:i/>
    </w:rPr>
  </w:style>
  <w:style w:type="paragraph" w:customStyle="1" w:styleId="400">
    <w:name w:val="目录 8 Char Char"/>
    <w:basedOn w:val="1"/>
    <w:next w:val="1"/>
    <w:qFormat/>
    <w:uiPriority w:val="0"/>
    <w:pPr>
      <w:spacing w:line="351" w:lineRule="atLeast"/>
      <w:ind w:left="1468" w:firstLine="419"/>
      <w:jc w:val="left"/>
    </w:pPr>
    <w:rPr>
      <w:rFonts w:hint="eastAsia" w:ascii="宋体" w:hAnsi="宋体" w:cs="宋体"/>
    </w:rPr>
  </w:style>
  <w:style w:type="paragraph" w:customStyle="1" w:styleId="401">
    <w:name w:val="页眉 Char Char"/>
    <w:basedOn w:val="1"/>
    <w:qFormat/>
    <w:uiPriority w:val="0"/>
    <w:pPr>
      <w:tabs>
        <w:tab w:val="left" w:pos="4149"/>
        <w:tab w:val="left" w:pos="8016"/>
      </w:tabs>
      <w:spacing w:line="351" w:lineRule="atLeast"/>
      <w:ind w:firstLine="419"/>
      <w:jc w:val="center"/>
    </w:pPr>
    <w:rPr>
      <w:rFonts w:hint="eastAsia" w:ascii="宋体" w:hAnsi="宋体" w:cs="宋体"/>
      <w:sz w:val="18"/>
    </w:rPr>
  </w:style>
  <w:style w:type="paragraph" w:customStyle="1" w:styleId="402">
    <w:name w:val="目录标题"/>
    <w:basedOn w:val="1"/>
    <w:next w:val="1"/>
    <w:qFormat/>
    <w:uiPriority w:val="0"/>
    <w:pPr>
      <w:spacing w:before="215" w:after="419" w:line="436" w:lineRule="atLeast"/>
      <w:ind w:firstLine="419"/>
      <w:jc w:val="center"/>
    </w:pPr>
    <w:rPr>
      <w:rFonts w:hint="eastAsia" w:ascii="Arial" w:hAnsi="宋体" w:eastAsia="黑体" w:cs="宋体"/>
      <w:spacing w:val="283"/>
      <w:sz w:val="42"/>
    </w:rPr>
  </w:style>
  <w:style w:type="paragraph" w:customStyle="1" w:styleId="403">
    <w:name w:val="日期 Char Char"/>
    <w:basedOn w:val="1"/>
    <w:next w:val="1"/>
    <w:qFormat/>
    <w:uiPriority w:val="0"/>
    <w:pPr>
      <w:spacing w:line="351" w:lineRule="atLeast"/>
      <w:ind w:firstLine="419"/>
    </w:pPr>
    <w:rPr>
      <w:rFonts w:hint="eastAsia" w:ascii="宋体" w:hAnsi="宋体" w:eastAsia="仿宋_GB2312" w:cs="宋体"/>
      <w:sz w:val="31"/>
    </w:rPr>
  </w:style>
  <w:style w:type="paragraph" w:customStyle="1" w:styleId="404">
    <w:name w:val="批注文字 Char Char"/>
    <w:basedOn w:val="1"/>
    <w:qFormat/>
    <w:uiPriority w:val="0"/>
    <w:pPr>
      <w:spacing w:line="351" w:lineRule="atLeast"/>
      <w:ind w:firstLine="419"/>
      <w:jc w:val="left"/>
    </w:pPr>
    <w:rPr>
      <w:rFonts w:hint="eastAsia" w:ascii="宋体" w:hAnsi="宋体" w:cs="宋体"/>
    </w:rPr>
  </w:style>
  <w:style w:type="paragraph" w:customStyle="1" w:styleId="405">
    <w:name w:val="批注框文本 Char Char"/>
    <w:basedOn w:val="1"/>
    <w:qFormat/>
    <w:uiPriority w:val="0"/>
    <w:rPr>
      <w:rFonts w:ascii="宋体" w:hAnsi="宋体" w:cs="宋体"/>
      <w:sz w:val="18"/>
    </w:rPr>
  </w:style>
  <w:style w:type="paragraph" w:customStyle="1" w:styleId="406">
    <w:name w:val="目录3"/>
    <w:basedOn w:val="1"/>
    <w:next w:val="1"/>
    <w:qFormat/>
    <w:uiPriority w:val="0"/>
    <w:pPr>
      <w:tabs>
        <w:tab w:val="left" w:leader="dot" w:pos="8503"/>
      </w:tabs>
      <w:spacing w:line="317" w:lineRule="atLeast"/>
      <w:ind w:left="419" w:firstLine="419"/>
    </w:pPr>
    <w:rPr>
      <w:rFonts w:hint="eastAsia" w:ascii="宋体" w:hAnsi="宋体" w:cs="宋体"/>
    </w:rPr>
  </w:style>
  <w:style w:type="paragraph" w:customStyle="1" w:styleId="407">
    <w:name w:val="表格样式1"/>
    <w:basedOn w:val="1"/>
    <w:next w:val="1"/>
    <w:qFormat/>
    <w:uiPriority w:val="0"/>
    <w:pPr>
      <w:adjustRightInd w:val="0"/>
      <w:spacing w:line="40" w:lineRule="atLeast"/>
      <w:jc w:val="center"/>
    </w:pPr>
    <w:rPr>
      <w:rFonts w:hint="eastAsia" w:ascii="宋体" w:hAnsi="宋体" w:cs="宋体"/>
      <w:sz w:val="24"/>
    </w:rPr>
  </w:style>
  <w:style w:type="paragraph" w:customStyle="1" w:styleId="408">
    <w:name w:val="正文首行缩进 Char Char"/>
    <w:basedOn w:val="1"/>
    <w:qFormat/>
    <w:uiPriority w:val="0"/>
    <w:pPr>
      <w:spacing w:line="606" w:lineRule="atLeast"/>
      <w:ind w:firstLine="538"/>
    </w:pPr>
    <w:rPr>
      <w:rFonts w:hint="eastAsia" w:ascii="宋体" w:hAnsi="宋体" w:cs="宋体"/>
      <w:sz w:val="24"/>
    </w:rPr>
  </w:style>
  <w:style w:type="paragraph" w:customStyle="1" w:styleId="409">
    <w:name w:val="目录4"/>
    <w:basedOn w:val="1"/>
    <w:next w:val="1"/>
    <w:qFormat/>
    <w:uiPriority w:val="0"/>
    <w:pPr>
      <w:tabs>
        <w:tab w:val="left" w:leader="dot" w:pos="8503"/>
      </w:tabs>
      <w:spacing w:line="317" w:lineRule="atLeast"/>
      <w:ind w:left="419" w:firstLine="629"/>
    </w:pPr>
    <w:rPr>
      <w:rFonts w:hint="eastAsia" w:ascii="宋体" w:hAnsi="宋体" w:cs="宋体"/>
    </w:rPr>
  </w:style>
  <w:style w:type="paragraph" w:customStyle="1" w:styleId="410">
    <w:name w:val="目录 2 Char Char"/>
    <w:basedOn w:val="1"/>
    <w:next w:val="1"/>
    <w:qFormat/>
    <w:uiPriority w:val="0"/>
    <w:pPr>
      <w:spacing w:line="351" w:lineRule="atLeast"/>
      <w:ind w:left="209" w:firstLine="419"/>
      <w:jc w:val="left"/>
    </w:pPr>
    <w:rPr>
      <w:rFonts w:hint="eastAsia" w:ascii="宋体" w:hAnsi="宋体" w:cs="宋体"/>
    </w:rPr>
  </w:style>
  <w:style w:type="paragraph" w:customStyle="1" w:styleId="411">
    <w:name w:val="目录1"/>
    <w:basedOn w:val="1"/>
    <w:next w:val="1"/>
    <w:qFormat/>
    <w:uiPriority w:val="0"/>
    <w:pPr>
      <w:tabs>
        <w:tab w:val="left" w:leader="dot" w:pos="8503"/>
      </w:tabs>
      <w:spacing w:after="102" w:line="215" w:lineRule="atLeast"/>
      <w:ind w:firstLine="419"/>
      <w:jc w:val="left"/>
    </w:pPr>
    <w:rPr>
      <w:rFonts w:hint="eastAsia" w:ascii="宋体" w:hAnsi="宋体" w:cs="宋体"/>
    </w:rPr>
  </w:style>
  <w:style w:type="paragraph" w:customStyle="1" w:styleId="412">
    <w:name w:val="目录 6 Char Char"/>
    <w:basedOn w:val="1"/>
    <w:next w:val="1"/>
    <w:qFormat/>
    <w:uiPriority w:val="0"/>
    <w:pPr>
      <w:spacing w:line="351" w:lineRule="atLeast"/>
      <w:ind w:left="1048" w:firstLine="419"/>
      <w:jc w:val="left"/>
    </w:pPr>
    <w:rPr>
      <w:rFonts w:hint="eastAsia" w:ascii="宋体" w:hAnsi="宋体" w:cs="宋体"/>
    </w:rPr>
  </w:style>
  <w:style w:type="paragraph" w:customStyle="1" w:styleId="413">
    <w:name w:val="目录2"/>
    <w:basedOn w:val="1"/>
    <w:next w:val="1"/>
    <w:qFormat/>
    <w:uiPriority w:val="0"/>
    <w:pPr>
      <w:tabs>
        <w:tab w:val="left" w:leader="dot" w:pos="8503"/>
      </w:tabs>
      <w:spacing w:line="317" w:lineRule="atLeast"/>
      <w:ind w:left="419" w:firstLine="419"/>
    </w:pPr>
    <w:rPr>
      <w:rFonts w:hint="eastAsia" w:ascii="宋体" w:hAnsi="宋体" w:cs="宋体"/>
    </w:rPr>
  </w:style>
  <w:style w:type="paragraph" w:customStyle="1" w:styleId="414">
    <w:name w:val="目录 1 Char Char"/>
    <w:basedOn w:val="1"/>
    <w:next w:val="1"/>
    <w:qFormat/>
    <w:uiPriority w:val="0"/>
    <w:pPr>
      <w:tabs>
        <w:tab w:val="left" w:leader="dot" w:pos="8010"/>
      </w:tabs>
      <w:snapToGrid w:val="0"/>
      <w:spacing w:line="300" w:lineRule="auto"/>
      <w:jc w:val="left"/>
    </w:pPr>
    <w:rPr>
      <w:rFonts w:hint="eastAsia" w:ascii="宋体" w:hAnsi="宋体" w:eastAsia="黑体" w:cs="宋体"/>
      <w:sz w:val="28"/>
    </w:rPr>
  </w:style>
  <w:style w:type="paragraph" w:customStyle="1" w:styleId="415">
    <w:name w:val="目录 5 Char Char"/>
    <w:basedOn w:val="1"/>
    <w:next w:val="1"/>
    <w:qFormat/>
    <w:uiPriority w:val="0"/>
    <w:pPr>
      <w:spacing w:line="351" w:lineRule="atLeast"/>
      <w:ind w:left="839" w:firstLine="419"/>
      <w:jc w:val="left"/>
    </w:pPr>
    <w:rPr>
      <w:rFonts w:hint="eastAsia" w:ascii="宋体" w:hAnsi="宋体" w:cs="宋体"/>
    </w:rPr>
  </w:style>
  <w:style w:type="paragraph" w:customStyle="1" w:styleId="416">
    <w:name w:val="目录fuxi"/>
    <w:basedOn w:val="1"/>
    <w:qFormat/>
    <w:uiPriority w:val="0"/>
    <w:pPr>
      <w:snapToGrid w:val="0"/>
      <w:spacing w:before="60" w:after="60"/>
      <w:jc w:val="center"/>
    </w:pPr>
    <w:rPr>
      <w:rFonts w:hint="eastAsia" w:ascii="宋体" w:hAnsi="宋体" w:cs="宋体"/>
      <w:outline/>
      <w14:textOutline w14:w="9525" w14:cap="flat" w14:cmpd="sng" w14:algn="ctr">
        <w14:solidFill>
          <w14:srgbClr w14:val="000000"/>
        </w14:solidFill>
        <w14:prstDash w14:val="solid"/>
        <w14:round/>
      </w14:textOutline>
      <w14:textFill>
        <w14:noFill/>
      </w14:textFill>
    </w:rPr>
  </w:style>
  <w:style w:type="paragraph" w:customStyle="1" w:styleId="417">
    <w:name w:val="前言、引言标题"/>
    <w:next w:val="1"/>
    <w:qFormat/>
    <w:uiPriority w:val="0"/>
    <w:pPr>
      <w:shd w:val="clear" w:color="FFFFFF" w:fill="FFFFFF"/>
      <w:tabs>
        <w:tab w:val="left" w:pos="903"/>
        <w:tab w:val="left" w:pos="930"/>
      </w:tabs>
      <w:spacing w:before="640" w:after="560"/>
      <w:ind w:left="903" w:hanging="315"/>
      <w:jc w:val="center"/>
      <w:outlineLvl w:val="0"/>
    </w:pPr>
    <w:rPr>
      <w:rFonts w:ascii="黑体" w:hAnsi="Times New Roman" w:eastAsia="黑体" w:cs="Times New Roman"/>
      <w:sz w:val="32"/>
      <w:szCs w:val="32"/>
      <w:lang w:val="en-US" w:eastAsia="zh-CN" w:bidi="ar-SA"/>
    </w:rPr>
  </w:style>
  <w:style w:type="paragraph" w:customStyle="1" w:styleId="418">
    <w:name w:val="一级条标题"/>
    <w:basedOn w:val="4"/>
    <w:next w:val="1"/>
    <w:qFormat/>
    <w:uiPriority w:val="0"/>
    <w:pPr>
      <w:keepNext w:val="0"/>
      <w:numPr>
        <w:numId w:val="0"/>
      </w:numPr>
      <w:spacing w:line="240" w:lineRule="auto"/>
      <w:jc w:val="both"/>
      <w:outlineLvl w:val="2"/>
    </w:pPr>
    <w:rPr>
      <w:rFonts w:ascii="黑体" w:hAnsi="Calibri" w:eastAsia="黑体"/>
      <w:sz w:val="21"/>
      <w:szCs w:val="21"/>
    </w:rPr>
  </w:style>
  <w:style w:type="paragraph" w:customStyle="1" w:styleId="419">
    <w:name w:val="二级条标题"/>
    <w:basedOn w:val="418"/>
    <w:next w:val="1"/>
    <w:qFormat/>
    <w:uiPriority w:val="0"/>
    <w:pPr>
      <w:tabs>
        <w:tab w:val="left" w:pos="2218"/>
      </w:tabs>
      <w:outlineLvl w:val="3"/>
    </w:pPr>
  </w:style>
  <w:style w:type="paragraph" w:customStyle="1" w:styleId="420">
    <w:name w:val="四级条标题"/>
    <w:basedOn w:val="221"/>
    <w:next w:val="1"/>
    <w:qFormat/>
    <w:uiPriority w:val="0"/>
    <w:pPr>
      <w:tabs>
        <w:tab w:val="left" w:pos="3058"/>
        <w:tab w:val="clear" w:pos="2520"/>
      </w:tabs>
      <w:outlineLvl w:val="5"/>
    </w:pPr>
    <w:rPr>
      <w:rFonts w:hAnsi="Calibri"/>
      <w:szCs w:val="21"/>
    </w:rPr>
  </w:style>
  <w:style w:type="paragraph" w:customStyle="1" w:styleId="421">
    <w:name w:val="宏福4"/>
    <w:basedOn w:val="1"/>
    <w:qFormat/>
    <w:uiPriority w:val="0"/>
    <w:pPr>
      <w:adjustRightInd w:val="0"/>
      <w:spacing w:line="400" w:lineRule="atLeast"/>
      <w:ind w:firstLine="567"/>
      <w:jc w:val="left"/>
      <w:textAlignment w:val="baseline"/>
    </w:pPr>
    <w:rPr>
      <w:rFonts w:ascii="宋体" w:hAnsi="宋体" w:cs="宋体"/>
      <w:sz w:val="28"/>
      <w:szCs w:val="28"/>
    </w:rPr>
  </w:style>
  <w:style w:type="paragraph" w:customStyle="1" w:styleId="422">
    <w:name w:val="xl30"/>
    <w:basedOn w:val="1"/>
    <w:qFormat/>
    <w:uiPriority w:val="0"/>
    <w:pPr>
      <w:widowControl/>
      <w:spacing w:before="100" w:after="100"/>
      <w:jc w:val="center"/>
      <w:textAlignment w:val="center"/>
    </w:pPr>
    <w:rPr>
      <w:rFonts w:ascii="宋体" w:hAnsi="宋体" w:cs="宋体"/>
      <w:kern w:val="0"/>
      <w:sz w:val="24"/>
    </w:rPr>
  </w:style>
  <w:style w:type="paragraph" w:customStyle="1" w:styleId="423">
    <w:name w:val="正文新 Char"/>
    <w:basedOn w:val="1"/>
    <w:qFormat/>
    <w:uiPriority w:val="0"/>
    <w:pPr>
      <w:spacing w:line="360" w:lineRule="auto"/>
      <w:ind w:firstLine="480" w:firstLineChars="200"/>
    </w:pPr>
    <w:rPr>
      <w:rFonts w:ascii="宋体" w:hAnsi="宋体" w:cs="宋体"/>
      <w:sz w:val="24"/>
    </w:rPr>
  </w:style>
  <w:style w:type="paragraph" w:customStyle="1" w:styleId="424">
    <w:name w:val="gy"/>
    <w:basedOn w:val="1"/>
    <w:qFormat/>
    <w:uiPriority w:val="0"/>
    <w:pPr>
      <w:widowControl/>
      <w:spacing w:before="100" w:beforeAutospacing="1" w:after="100" w:afterAutospacing="1" w:line="360" w:lineRule="auto"/>
      <w:ind w:left="150" w:right="150" w:firstLine="520"/>
      <w:jc w:val="left"/>
    </w:pPr>
    <w:rPr>
      <w:rFonts w:ascii="Arial Unicode MS" w:hAnsi="Arial Unicode MS" w:eastAsia="Arial Unicode MS" w:cs="宋体"/>
      <w:kern w:val="0"/>
      <w:sz w:val="18"/>
    </w:rPr>
  </w:style>
  <w:style w:type="paragraph" w:customStyle="1" w:styleId="425">
    <w:name w:val="xl22"/>
    <w:basedOn w:val="1"/>
    <w:qFormat/>
    <w:uiPriority w:val="0"/>
    <w:pPr>
      <w:widowControl/>
      <w:pBdr>
        <w:bottom w:val="single" w:color="auto" w:sz="4" w:space="0"/>
        <w:right w:val="single" w:color="auto" w:sz="4" w:space="0"/>
      </w:pBdr>
      <w:spacing w:before="100" w:after="100"/>
      <w:jc w:val="center"/>
    </w:pPr>
    <w:rPr>
      <w:rFonts w:ascii="宋体" w:hAnsi="宋体" w:cs="宋体"/>
      <w:kern w:val="0"/>
    </w:rPr>
  </w:style>
  <w:style w:type="paragraph" w:customStyle="1" w:styleId="426">
    <w:name w:val="正文新"/>
    <w:basedOn w:val="1"/>
    <w:qFormat/>
    <w:uiPriority w:val="0"/>
    <w:pPr>
      <w:spacing w:before="80" w:after="60" w:line="300" w:lineRule="auto"/>
      <w:ind w:firstLine="510"/>
    </w:pPr>
    <w:rPr>
      <w:rFonts w:ascii="宋体" w:hAnsi="宋体" w:cs="宋体"/>
      <w:snapToGrid w:val="0"/>
      <w:kern w:val="0"/>
      <w:sz w:val="24"/>
    </w:rPr>
  </w:style>
  <w:style w:type="paragraph" w:customStyle="1" w:styleId="427">
    <w:name w:val="Style1"/>
    <w:basedOn w:val="1"/>
    <w:qFormat/>
    <w:uiPriority w:val="0"/>
    <w:pPr>
      <w:spacing w:after="120"/>
      <w:ind w:left="851"/>
    </w:pPr>
    <w:rPr>
      <w:rFonts w:ascii="宋体" w:hAnsi="宋体" w:cs="宋体"/>
    </w:rPr>
  </w:style>
  <w:style w:type="paragraph" w:customStyle="1" w:styleId="428">
    <w:name w:val="Char4 Char Char Char Char Char Char Char Char Char Char Char Char Char Char Char Char Char1 Char Char Char Char Char Char1 Char Char Char Char Char Char Char Char Char Char Char Char Char Char Char Char"/>
    <w:basedOn w:val="1"/>
    <w:qFormat/>
    <w:uiPriority w:val="0"/>
    <w:pPr>
      <w:ind w:firstLine="200" w:firstLineChars="200"/>
    </w:pPr>
    <w:rPr>
      <w:rFonts w:ascii="宋体" w:hAnsi="宋体" w:cs="宋体"/>
      <w:sz w:val="28"/>
      <w:szCs w:val="28"/>
    </w:rPr>
  </w:style>
  <w:style w:type="paragraph" w:customStyle="1" w:styleId="429">
    <w:name w:val="样式 报告书表格 + 字距调整二号"/>
    <w:basedOn w:val="301"/>
    <w:link w:val="430"/>
    <w:qFormat/>
    <w:uiPriority w:val="0"/>
    <w:pPr>
      <w:spacing w:before="0" w:after="0" w:line="400" w:lineRule="exact"/>
    </w:pPr>
    <w:rPr>
      <w:rFonts w:eastAsia="仿宋_GB2312"/>
      <w:kern w:val="44"/>
      <w:sz w:val="24"/>
      <w:szCs w:val="21"/>
    </w:rPr>
  </w:style>
  <w:style w:type="character" w:customStyle="1" w:styleId="430">
    <w:name w:val="样式 报告书表格 + 字距调整二号 Char"/>
    <w:link w:val="429"/>
    <w:qFormat/>
    <w:uiPriority w:val="0"/>
    <w:rPr>
      <w:rFonts w:ascii="宋体" w:hAnsi="宋体" w:eastAsia="仿宋_GB2312" w:cs="宋体"/>
      <w:kern w:val="44"/>
      <w:sz w:val="24"/>
      <w:szCs w:val="21"/>
    </w:rPr>
  </w:style>
  <w:style w:type="paragraph" w:customStyle="1" w:styleId="431">
    <w:name w:val="样式 样式 报告书表格 + 字距调整二号 +"/>
    <w:basedOn w:val="429"/>
    <w:qFormat/>
    <w:uiPriority w:val="0"/>
  </w:style>
  <w:style w:type="paragraph" w:customStyle="1" w:styleId="432">
    <w:name w:val="样式 标题 1 + (中文) 宋体 小三 行距: 多倍行距 1.35 字行"/>
    <w:basedOn w:val="4"/>
    <w:qFormat/>
    <w:uiPriority w:val="0"/>
    <w:pPr>
      <w:keepLines/>
      <w:widowControl w:val="0"/>
      <w:numPr>
        <w:numId w:val="0"/>
      </w:numPr>
      <w:tabs>
        <w:tab w:val="left" w:pos="360"/>
        <w:tab w:val="left" w:pos="432"/>
        <w:tab w:val="left" w:pos="1003"/>
      </w:tabs>
      <w:snapToGrid w:val="0"/>
      <w:spacing w:beforeLines="150" w:afterLines="150" w:line="300" w:lineRule="auto"/>
      <w:ind w:left="432" w:hanging="432"/>
      <w:jc w:val="both"/>
    </w:pPr>
    <w:rPr>
      <w:rFonts w:ascii="幼圆" w:hAnsi="Calibri" w:eastAsia="幼圆"/>
      <w:b/>
      <w:bCs/>
      <w:color w:val="0000FF"/>
      <w:kern w:val="44"/>
      <w:szCs w:val="32"/>
    </w:rPr>
  </w:style>
  <w:style w:type="paragraph" w:customStyle="1" w:styleId="433">
    <w:name w:val="样式 样式 标题 2节 + (西文) Times New Roman (中文) 宋体 四号 段前: 0.5 行 段后: 0......"/>
    <w:basedOn w:val="1"/>
    <w:qFormat/>
    <w:uiPriority w:val="0"/>
    <w:pPr>
      <w:keepNext/>
      <w:keepLines/>
      <w:tabs>
        <w:tab w:val="left" w:pos="720"/>
      </w:tabs>
      <w:adjustRightInd w:val="0"/>
      <w:snapToGrid w:val="0"/>
      <w:spacing w:beforeLines="90" w:afterLines="90" w:line="300" w:lineRule="auto"/>
      <w:ind w:left="397" w:hanging="397"/>
      <w:outlineLvl w:val="1"/>
    </w:pPr>
    <w:rPr>
      <w:rFonts w:ascii="幼圆" w:hAnsi="宋体" w:eastAsia="幼圆" w:cs="宋体"/>
      <w:b/>
      <w:bCs/>
      <w:sz w:val="28"/>
      <w:szCs w:val="28"/>
    </w:rPr>
  </w:style>
  <w:style w:type="paragraph" w:customStyle="1" w:styleId="434">
    <w:name w:val="样式 标题 3 + (西文) Times New Roman (中文) 宋体 小四 加粗"/>
    <w:basedOn w:val="7"/>
    <w:qFormat/>
    <w:uiPriority w:val="0"/>
    <w:pPr>
      <w:tabs>
        <w:tab w:val="left" w:pos="1021"/>
      </w:tabs>
      <w:adjustRightInd w:val="0"/>
      <w:snapToGrid w:val="0"/>
      <w:spacing w:before="0" w:after="0" w:line="360" w:lineRule="auto"/>
      <w:ind w:left="1021" w:hanging="1021"/>
      <w:jc w:val="left"/>
    </w:pPr>
    <w:rPr>
      <w:rFonts w:ascii="幼圆" w:hAnsi="Calibri" w:eastAsia="幼圆" w:cs="宋体"/>
      <w:snapToGrid w:val="0"/>
      <w:color w:val="0000FF"/>
      <w:kern w:val="0"/>
      <w:sz w:val="24"/>
      <w:szCs w:val="24"/>
    </w:rPr>
  </w:style>
  <w:style w:type="paragraph" w:customStyle="1" w:styleId="435">
    <w:name w:val="9"/>
    <w:basedOn w:val="1"/>
    <w:next w:val="35"/>
    <w:qFormat/>
    <w:uiPriority w:val="0"/>
    <w:pPr>
      <w:spacing w:after="120"/>
    </w:pPr>
    <w:rPr>
      <w:rFonts w:ascii="仿宋_GB2312" w:hAnsi="宋体" w:eastAsia="仿宋_GB2312" w:cs="宋体"/>
      <w:sz w:val="28"/>
    </w:rPr>
  </w:style>
  <w:style w:type="paragraph" w:customStyle="1" w:styleId="436">
    <w:name w:val="8"/>
    <w:basedOn w:val="1"/>
    <w:next w:val="70"/>
    <w:qFormat/>
    <w:uiPriority w:val="0"/>
    <w:pPr>
      <w:ind w:firstLine="556"/>
      <w:jc w:val="left"/>
    </w:pPr>
    <w:rPr>
      <w:rFonts w:ascii="仿宋_GB2312" w:hAnsi="宋体" w:eastAsia="仿宋_GB2312" w:cs="宋体"/>
      <w:sz w:val="28"/>
    </w:rPr>
  </w:style>
  <w:style w:type="paragraph" w:customStyle="1" w:styleId="437">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楷体_GB2312" w:hAnsi="Arial Unicode MS" w:eastAsia="楷体_GB2312" w:cs="楷体_GB2312"/>
      <w:kern w:val="0"/>
      <w:sz w:val="24"/>
    </w:rPr>
  </w:style>
  <w:style w:type="paragraph" w:customStyle="1" w:styleId="438">
    <w:name w:val="谏壁正文chen"/>
    <w:basedOn w:val="1"/>
    <w:link w:val="439"/>
    <w:qFormat/>
    <w:uiPriority w:val="0"/>
    <w:pPr>
      <w:spacing w:line="360" w:lineRule="auto"/>
      <w:ind w:firstLine="200" w:firstLineChars="200"/>
    </w:pPr>
    <w:rPr>
      <w:rFonts w:ascii="Calibri" w:hAnsi="Calibri" w:cs="宋体"/>
      <w:sz w:val="24"/>
    </w:rPr>
  </w:style>
  <w:style w:type="character" w:customStyle="1" w:styleId="439">
    <w:name w:val="谏壁正文chen Char"/>
    <w:link w:val="438"/>
    <w:qFormat/>
    <w:uiPriority w:val="0"/>
    <w:rPr>
      <w:rFonts w:ascii="Calibri" w:hAnsi="Calibri" w:cs="宋体"/>
      <w:kern w:val="2"/>
      <w:sz w:val="24"/>
      <w:szCs w:val="24"/>
    </w:rPr>
  </w:style>
  <w:style w:type="paragraph" w:customStyle="1" w:styleId="440">
    <w:name w:val="hhcwt正文"/>
    <w:basedOn w:val="1"/>
    <w:link w:val="441"/>
    <w:qFormat/>
    <w:uiPriority w:val="0"/>
    <w:pPr>
      <w:spacing w:line="360" w:lineRule="auto"/>
      <w:ind w:firstLine="480" w:firstLineChars="200"/>
    </w:pPr>
    <w:rPr>
      <w:rFonts w:ascii="Calibri" w:hAnsi="Calibri" w:cs="宋体"/>
      <w:sz w:val="24"/>
    </w:rPr>
  </w:style>
  <w:style w:type="character" w:customStyle="1" w:styleId="441">
    <w:name w:val="hhcwt正文 Char"/>
    <w:link w:val="440"/>
    <w:qFormat/>
    <w:uiPriority w:val="0"/>
    <w:rPr>
      <w:rFonts w:ascii="Calibri" w:hAnsi="Calibri" w:cs="宋体"/>
      <w:kern w:val="2"/>
      <w:sz w:val="24"/>
      <w:szCs w:val="24"/>
    </w:rPr>
  </w:style>
  <w:style w:type="paragraph" w:customStyle="1" w:styleId="442">
    <w:name w:val="chen 正文字体"/>
    <w:basedOn w:val="1"/>
    <w:link w:val="443"/>
    <w:qFormat/>
    <w:uiPriority w:val="0"/>
    <w:pPr>
      <w:spacing w:line="360" w:lineRule="auto"/>
      <w:ind w:firstLine="200" w:firstLineChars="200"/>
    </w:pPr>
    <w:rPr>
      <w:rFonts w:ascii="宋体" w:hAnsi="宋体" w:cs="宋体"/>
      <w:color w:val="000000"/>
      <w:sz w:val="24"/>
    </w:rPr>
  </w:style>
  <w:style w:type="character" w:customStyle="1" w:styleId="443">
    <w:name w:val="chen 正文字体 Char"/>
    <w:basedOn w:val="444"/>
    <w:link w:val="442"/>
    <w:qFormat/>
    <w:uiPriority w:val="0"/>
  </w:style>
  <w:style w:type="character" w:customStyle="1" w:styleId="444">
    <w:name w:val="样式 样式 宋体 小四 行距: 多倍行距 1.4 字行2 + 黑色 Char"/>
    <w:link w:val="445"/>
    <w:qFormat/>
    <w:uiPriority w:val="0"/>
    <w:rPr>
      <w:rFonts w:ascii="宋体" w:hAnsi="宋体" w:cs="宋体"/>
      <w:b/>
      <w:color w:val="000000"/>
      <w:spacing w:val="10"/>
      <w:kern w:val="2"/>
      <w:sz w:val="24"/>
      <w:szCs w:val="24"/>
    </w:rPr>
  </w:style>
  <w:style w:type="paragraph" w:customStyle="1" w:styleId="445">
    <w:name w:val="样式 样式 宋体 小四 行距: 多倍行距 1.4 字行2 + 黑色"/>
    <w:basedOn w:val="1"/>
    <w:link w:val="444"/>
    <w:qFormat/>
    <w:uiPriority w:val="0"/>
    <w:pPr>
      <w:spacing w:line="336" w:lineRule="auto"/>
      <w:ind w:firstLine="480" w:firstLineChars="200"/>
    </w:pPr>
    <w:rPr>
      <w:rFonts w:ascii="宋体" w:hAnsi="宋体" w:cs="宋体"/>
      <w:b/>
      <w:color w:val="000000"/>
      <w:spacing w:val="10"/>
      <w:sz w:val="24"/>
    </w:rPr>
  </w:style>
  <w:style w:type="paragraph" w:customStyle="1" w:styleId="446">
    <w:name w:val="样式 样式 样式 宋体 小四 行距: 多倍行距 1.4 字行2 + 黑色 + Times New Roman1"/>
    <w:basedOn w:val="1"/>
    <w:link w:val="447"/>
    <w:qFormat/>
    <w:uiPriority w:val="0"/>
    <w:pPr>
      <w:spacing w:line="360" w:lineRule="auto"/>
      <w:ind w:firstLine="200" w:firstLineChars="200"/>
    </w:pPr>
    <w:rPr>
      <w:rFonts w:ascii="Calibri" w:hAnsi="Calibri" w:cs="宋体"/>
      <w:color w:val="000000"/>
      <w:sz w:val="24"/>
    </w:rPr>
  </w:style>
  <w:style w:type="character" w:customStyle="1" w:styleId="447">
    <w:name w:val="样式 样式 样式 宋体 小四 行距: 多倍行距 1.4 字行2 + 黑色 + Times New Roman1 Char"/>
    <w:link w:val="446"/>
    <w:qFormat/>
    <w:uiPriority w:val="0"/>
    <w:rPr>
      <w:rFonts w:ascii="Calibri" w:hAnsi="Calibri" w:cs="宋体"/>
      <w:color w:val="000000"/>
      <w:kern w:val="2"/>
      <w:sz w:val="24"/>
      <w:szCs w:val="24"/>
    </w:rPr>
  </w:style>
  <w:style w:type="paragraph" w:customStyle="1" w:styleId="448">
    <w:name w:val="chen正文字体11"/>
    <w:basedOn w:val="1"/>
    <w:link w:val="449"/>
    <w:qFormat/>
    <w:uiPriority w:val="0"/>
    <w:pPr>
      <w:spacing w:line="360" w:lineRule="auto"/>
      <w:ind w:firstLine="480" w:firstLineChars="200"/>
    </w:pPr>
    <w:rPr>
      <w:rFonts w:ascii="Calibri" w:hAnsi="Calibri" w:cs="宋体"/>
      <w:color w:val="000000"/>
      <w:sz w:val="24"/>
    </w:rPr>
  </w:style>
  <w:style w:type="character" w:customStyle="1" w:styleId="449">
    <w:name w:val="chen正文字体11 Char"/>
    <w:link w:val="448"/>
    <w:qFormat/>
    <w:uiPriority w:val="0"/>
    <w:rPr>
      <w:rFonts w:ascii="Calibri" w:hAnsi="Calibri" w:cs="宋体"/>
      <w:color w:val="000000"/>
      <w:kern w:val="2"/>
      <w:sz w:val="24"/>
      <w:szCs w:val="24"/>
    </w:rPr>
  </w:style>
  <w:style w:type="paragraph" w:customStyle="1" w:styleId="450">
    <w:name w:val="chen表头1"/>
    <w:basedOn w:val="1"/>
    <w:link w:val="451"/>
    <w:qFormat/>
    <w:uiPriority w:val="0"/>
    <w:pPr>
      <w:spacing w:after="120" w:line="500" w:lineRule="exact"/>
      <w:jc w:val="center"/>
    </w:pPr>
    <w:rPr>
      <w:rFonts w:ascii="Calibri" w:hAnsi="Calibri" w:eastAsia="楷体_GB2312" w:cs="宋体"/>
      <w:b/>
      <w:sz w:val="24"/>
    </w:rPr>
  </w:style>
  <w:style w:type="character" w:customStyle="1" w:styleId="451">
    <w:name w:val="chen表头1 Char"/>
    <w:link w:val="450"/>
    <w:qFormat/>
    <w:uiPriority w:val="0"/>
    <w:rPr>
      <w:rFonts w:ascii="Calibri" w:hAnsi="Calibri" w:eastAsia="楷体_GB2312" w:cs="宋体"/>
      <w:b/>
      <w:kern w:val="2"/>
      <w:sz w:val="24"/>
      <w:szCs w:val="24"/>
    </w:rPr>
  </w:style>
  <w:style w:type="paragraph" w:customStyle="1" w:styleId="452">
    <w:name w:val="样式 样式 样式 宋体 小四 行距: 多倍行距 1.4 字行2 + 黑色 + Times New Roman2"/>
    <w:basedOn w:val="445"/>
    <w:link w:val="453"/>
    <w:qFormat/>
    <w:uiPriority w:val="0"/>
    <w:pPr>
      <w:spacing w:line="360" w:lineRule="auto"/>
      <w:ind w:firstLine="200"/>
    </w:pPr>
  </w:style>
  <w:style w:type="character" w:customStyle="1" w:styleId="453">
    <w:name w:val="样式 样式 样式 宋体 小四 行距: 多倍行距 1.4 字行2 + 黑色 + Times New Roman2 Char"/>
    <w:basedOn w:val="444"/>
    <w:link w:val="452"/>
    <w:qFormat/>
    <w:uiPriority w:val="0"/>
  </w:style>
  <w:style w:type="paragraph" w:customStyle="1" w:styleId="454">
    <w:name w:val="样式正文"/>
    <w:basedOn w:val="1"/>
    <w:link w:val="455"/>
    <w:qFormat/>
    <w:uiPriority w:val="0"/>
    <w:pPr>
      <w:spacing w:line="400" w:lineRule="exact"/>
      <w:ind w:firstLine="200" w:firstLineChars="200"/>
    </w:pPr>
    <w:rPr>
      <w:rFonts w:ascii="Calibri" w:hAnsi="Calibri" w:cs="宋体"/>
      <w:sz w:val="24"/>
    </w:rPr>
  </w:style>
  <w:style w:type="character" w:customStyle="1" w:styleId="455">
    <w:name w:val="样式正文 Char"/>
    <w:link w:val="454"/>
    <w:qFormat/>
    <w:uiPriority w:val="0"/>
    <w:rPr>
      <w:rFonts w:ascii="Calibri" w:hAnsi="Calibri" w:cs="宋体"/>
      <w:kern w:val="2"/>
      <w:sz w:val="24"/>
      <w:szCs w:val="24"/>
    </w:rPr>
  </w:style>
  <w:style w:type="paragraph" w:customStyle="1" w:styleId="456">
    <w:name w:val="hhcwt标题3"/>
    <w:basedOn w:val="1"/>
    <w:link w:val="457"/>
    <w:qFormat/>
    <w:uiPriority w:val="0"/>
    <w:pPr>
      <w:keepNext/>
      <w:keepLines/>
      <w:spacing w:line="336" w:lineRule="auto"/>
      <w:outlineLvl w:val="2"/>
    </w:pPr>
    <w:rPr>
      <w:rFonts w:ascii="Calibri" w:hAnsi="Calibri" w:eastAsia="楷体_GB2312" w:cs="宋体"/>
      <w:bCs/>
      <w:sz w:val="28"/>
    </w:rPr>
  </w:style>
  <w:style w:type="character" w:customStyle="1" w:styleId="457">
    <w:name w:val="hhcwt标题3 Char Char"/>
    <w:link w:val="456"/>
    <w:qFormat/>
    <w:uiPriority w:val="0"/>
    <w:rPr>
      <w:rFonts w:ascii="Calibri" w:hAnsi="Calibri" w:eastAsia="楷体_GB2312" w:cs="宋体"/>
      <w:bCs/>
      <w:kern w:val="2"/>
      <w:sz w:val="28"/>
      <w:szCs w:val="24"/>
    </w:rPr>
  </w:style>
  <w:style w:type="paragraph" w:customStyle="1" w:styleId="458">
    <w:name w:val="hhcwt标题4"/>
    <w:basedOn w:val="8"/>
    <w:link w:val="459"/>
    <w:qFormat/>
    <w:uiPriority w:val="0"/>
    <w:pPr>
      <w:widowControl w:val="0"/>
      <w:tabs>
        <w:tab w:val="clear" w:pos="1276"/>
      </w:tabs>
      <w:ind w:left="0" w:firstLine="0"/>
      <w:jc w:val="both"/>
    </w:pPr>
    <w:rPr>
      <w:rFonts w:ascii="Calibri" w:hAnsi="Calibri"/>
      <w:b w:val="0"/>
      <w:kern w:val="2"/>
      <w:szCs w:val="24"/>
    </w:rPr>
  </w:style>
  <w:style w:type="character" w:customStyle="1" w:styleId="459">
    <w:name w:val="hhcwt标题4 Char Char"/>
    <w:link w:val="458"/>
    <w:qFormat/>
    <w:uiPriority w:val="0"/>
    <w:rPr>
      <w:rFonts w:ascii="Calibri" w:hAnsi="Calibri" w:cs="宋体"/>
      <w:bCs/>
      <w:kern w:val="2"/>
      <w:sz w:val="24"/>
      <w:szCs w:val="24"/>
    </w:rPr>
  </w:style>
  <w:style w:type="paragraph" w:customStyle="1" w:styleId="460">
    <w:name w:val="hhcwt表头"/>
    <w:basedOn w:val="1"/>
    <w:link w:val="461"/>
    <w:qFormat/>
    <w:uiPriority w:val="0"/>
    <w:pPr>
      <w:spacing w:after="120" w:line="500" w:lineRule="exact"/>
      <w:jc w:val="center"/>
    </w:pPr>
    <w:rPr>
      <w:rFonts w:ascii="楷体_GB2312" w:hAnsi="Calibri" w:eastAsia="楷体_GB2312" w:cs="宋体"/>
      <w:b/>
      <w:bCs/>
      <w:sz w:val="24"/>
    </w:rPr>
  </w:style>
  <w:style w:type="character" w:customStyle="1" w:styleId="461">
    <w:name w:val="hhcwt表头 Char Char"/>
    <w:link w:val="460"/>
    <w:qFormat/>
    <w:uiPriority w:val="0"/>
    <w:rPr>
      <w:rFonts w:ascii="楷体_GB2312" w:hAnsi="Calibri" w:eastAsia="楷体_GB2312" w:cs="宋体"/>
      <w:b/>
      <w:bCs/>
      <w:kern w:val="2"/>
      <w:sz w:val="24"/>
      <w:szCs w:val="24"/>
    </w:rPr>
  </w:style>
  <w:style w:type="paragraph" w:customStyle="1" w:styleId="462">
    <w:name w:val="hhcwt标题1"/>
    <w:basedOn w:val="1"/>
    <w:link w:val="463"/>
    <w:qFormat/>
    <w:uiPriority w:val="0"/>
    <w:pPr>
      <w:keepNext/>
      <w:keepLines/>
      <w:autoSpaceDE w:val="0"/>
      <w:autoSpaceDN w:val="0"/>
      <w:adjustRightInd w:val="0"/>
      <w:spacing w:before="120" w:after="120" w:line="336" w:lineRule="auto"/>
      <w:outlineLvl w:val="0"/>
    </w:pPr>
    <w:rPr>
      <w:rFonts w:ascii="Calibri" w:hAnsi="Calibri" w:eastAsia="黑体" w:cs="宋体"/>
      <w:kern w:val="44"/>
      <w:sz w:val="36"/>
      <w:lang w:val="zh-CN"/>
    </w:rPr>
  </w:style>
  <w:style w:type="character" w:customStyle="1" w:styleId="463">
    <w:name w:val="hhcwt标题1 Char Char"/>
    <w:link w:val="462"/>
    <w:qFormat/>
    <w:uiPriority w:val="0"/>
    <w:rPr>
      <w:rFonts w:ascii="Calibri" w:hAnsi="Calibri" w:eastAsia="黑体" w:cs="宋体"/>
      <w:kern w:val="44"/>
      <w:sz w:val="36"/>
      <w:szCs w:val="24"/>
      <w:lang w:val="zh-CN"/>
    </w:rPr>
  </w:style>
  <w:style w:type="paragraph" w:customStyle="1" w:styleId="464">
    <w:name w:val="表序号"/>
    <w:basedOn w:val="9"/>
    <w:qFormat/>
    <w:uiPriority w:val="0"/>
    <w:pPr>
      <w:spacing w:before="0" w:after="0" w:line="360" w:lineRule="auto"/>
      <w:jc w:val="center"/>
    </w:pPr>
    <w:rPr>
      <w:rFonts w:ascii="宋体" w:hAnsi="宋体" w:cs="宋体"/>
      <w:bCs w:val="0"/>
      <w:sz w:val="24"/>
      <w:szCs w:val="24"/>
    </w:rPr>
  </w:style>
  <w:style w:type="character" w:customStyle="1" w:styleId="465">
    <w:name w:val="p9l1"/>
    <w:qFormat/>
    <w:uiPriority w:val="0"/>
    <w:rPr>
      <w:rFonts w:ascii="黑体" w:hAnsi="黑体" w:eastAsia="宋体"/>
      <w:b/>
      <w:spacing w:val="10"/>
      <w:kern w:val="2"/>
      <w:sz w:val="18"/>
      <w:szCs w:val="18"/>
      <w:u w:val="none"/>
      <w:lang w:val="en-US" w:eastAsia="zh-CN" w:bidi="ar-SA"/>
    </w:rPr>
  </w:style>
  <w:style w:type="paragraph" w:customStyle="1" w:styleId="466">
    <w:name w:val="表格正文"/>
    <w:basedOn w:val="6"/>
    <w:qFormat/>
    <w:uiPriority w:val="0"/>
    <w:pPr>
      <w:snapToGrid/>
      <w:spacing w:line="240" w:lineRule="auto"/>
      <w:ind w:firstLine="0" w:firstLineChars="0"/>
    </w:pPr>
    <w:rPr>
      <w:rFonts w:ascii="Calibri" w:hAnsi="Calibri" w:eastAsia="宋体" w:cs="宋体"/>
      <w:spacing w:val="12"/>
      <w:kern w:val="0"/>
      <w:sz w:val="24"/>
      <w:szCs w:val="20"/>
    </w:rPr>
  </w:style>
  <w:style w:type="paragraph" w:customStyle="1" w:styleId="467">
    <w:name w:val="Char Char Char1 Char Char Char Char Char Char Char Char Char Char Char Char Char Char Char1 Char Char Char Char Char Char Char Char Char Char Char Char"/>
    <w:basedOn w:val="1"/>
    <w:qFormat/>
    <w:uiPriority w:val="0"/>
    <w:rPr>
      <w:rFonts w:ascii="宋体" w:hAnsi="宋体" w:cs="宋体"/>
      <w:szCs w:val="21"/>
    </w:rPr>
  </w:style>
  <w:style w:type="paragraph" w:customStyle="1" w:styleId="468">
    <w:name w:val="font6"/>
    <w:basedOn w:val="1"/>
    <w:qFormat/>
    <w:uiPriority w:val="0"/>
    <w:pPr>
      <w:widowControl/>
      <w:spacing w:before="100" w:beforeAutospacing="1" w:after="100" w:afterAutospacing="1"/>
      <w:jc w:val="left"/>
    </w:pPr>
    <w:rPr>
      <w:rFonts w:ascii="宋体" w:hAnsi="宋体" w:cs="宋体"/>
      <w:kern w:val="0"/>
      <w:sz w:val="18"/>
      <w:szCs w:val="18"/>
    </w:rPr>
  </w:style>
  <w:style w:type="character" w:customStyle="1" w:styleId="469">
    <w:name w:val="javascript"/>
    <w:qFormat/>
    <w:uiPriority w:val="0"/>
    <w:rPr>
      <w:rFonts w:ascii="黑体" w:hAnsi="黑体" w:eastAsia="宋体"/>
      <w:b/>
      <w:spacing w:val="10"/>
      <w:kern w:val="2"/>
      <w:sz w:val="28"/>
      <w:szCs w:val="28"/>
      <w:lang w:val="en-US" w:eastAsia="zh-CN" w:bidi="ar-SA"/>
    </w:rPr>
  </w:style>
  <w:style w:type="character" w:customStyle="1" w:styleId="470">
    <w:name w:val="ourfont31"/>
    <w:qFormat/>
    <w:uiPriority w:val="0"/>
    <w:rPr>
      <w:rFonts w:ascii="黑体" w:hAnsi="黑体" w:eastAsia="宋体"/>
      <w:b/>
      <w:spacing w:val="20"/>
      <w:kern w:val="2"/>
      <w:sz w:val="21"/>
      <w:szCs w:val="21"/>
      <w:lang w:val="en-US" w:eastAsia="zh-CN" w:bidi="ar-SA"/>
    </w:rPr>
  </w:style>
  <w:style w:type="paragraph" w:customStyle="1" w:styleId="471">
    <w:name w:val="环表头"/>
    <w:basedOn w:val="1"/>
    <w:next w:val="1"/>
    <w:link w:val="472"/>
    <w:qFormat/>
    <w:uiPriority w:val="0"/>
    <w:pPr>
      <w:widowControl/>
      <w:suppressAutoHyphens/>
      <w:adjustRightInd w:val="0"/>
      <w:snapToGrid w:val="0"/>
      <w:jc w:val="center"/>
      <w:textAlignment w:val="baseline"/>
    </w:pPr>
    <w:rPr>
      <w:rFonts w:ascii="宋体" w:hAnsi="宋体" w:eastAsia="仿宋_GB2312" w:cs="宋体"/>
      <w:kern w:val="0"/>
      <w:sz w:val="24"/>
    </w:rPr>
  </w:style>
  <w:style w:type="character" w:customStyle="1" w:styleId="472">
    <w:name w:val="环表头 Char"/>
    <w:basedOn w:val="473"/>
    <w:link w:val="471"/>
    <w:qFormat/>
    <w:uiPriority w:val="0"/>
    <w:rPr>
      <w:rFonts w:ascii="宋体" w:hAnsi="宋体" w:cs="宋体"/>
    </w:rPr>
  </w:style>
  <w:style w:type="character" w:customStyle="1" w:styleId="473">
    <w:name w:val="环正文 Char1"/>
    <w:qFormat/>
    <w:uiPriority w:val="0"/>
    <w:rPr>
      <w:rFonts w:eastAsia="仿宋_GB2312"/>
      <w:sz w:val="24"/>
      <w:szCs w:val="24"/>
      <w:lang w:val="en-US" w:eastAsia="zh-CN" w:bidi="ar-SA"/>
    </w:rPr>
  </w:style>
  <w:style w:type="paragraph" w:customStyle="1" w:styleId="474">
    <w:name w:val="封面正文"/>
    <w:basedOn w:val="100"/>
    <w:next w:val="100"/>
    <w:qFormat/>
    <w:uiPriority w:val="0"/>
    <w:rPr>
      <w:rFonts w:ascii="Times New Roman" w:cs="Times New Roman"/>
      <w:color w:val="auto"/>
    </w:rPr>
  </w:style>
  <w:style w:type="paragraph" w:customStyle="1" w:styleId="475">
    <w:name w:val="5"/>
    <w:basedOn w:val="1"/>
    <w:next w:val="46"/>
    <w:qFormat/>
    <w:uiPriority w:val="0"/>
    <w:rPr>
      <w:rFonts w:ascii="宋体" w:hAnsi="Courier New" w:cs="Courier New"/>
      <w:szCs w:val="21"/>
    </w:rPr>
  </w:style>
  <w:style w:type="paragraph" w:customStyle="1" w:styleId="476">
    <w:name w:val="小4黑居中行1"/>
    <w:qFormat/>
    <w:uiPriority w:val="0"/>
    <w:pPr>
      <w:spacing w:line="360" w:lineRule="auto"/>
      <w:jc w:val="center"/>
    </w:pPr>
    <w:rPr>
      <w:rFonts w:ascii="Times New Roman" w:hAnsi="Times New Roman" w:eastAsia="宋体" w:cs="Times New Roman"/>
      <w:kern w:val="2"/>
      <w:sz w:val="21"/>
      <w:lang w:val="en-US" w:eastAsia="zh-CN" w:bidi="ar-SA"/>
    </w:rPr>
  </w:style>
  <w:style w:type="paragraph" w:customStyle="1" w:styleId="477">
    <w:name w:val="a3"/>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478">
    <w:name w:val="大纲封面"/>
    <w:basedOn w:val="1"/>
    <w:qFormat/>
    <w:uiPriority w:val="0"/>
    <w:pPr>
      <w:spacing w:line="360" w:lineRule="auto"/>
      <w:jc w:val="center"/>
    </w:pPr>
    <w:rPr>
      <w:rFonts w:ascii="宋体" w:hAnsi="宋体" w:eastAsia="楷体_GB2312" w:cs="宋体"/>
      <w:b/>
      <w:spacing w:val="100"/>
      <w:sz w:val="72"/>
    </w:rPr>
  </w:style>
  <w:style w:type="paragraph" w:customStyle="1" w:styleId="479">
    <w:name w:val="封面单位"/>
    <w:basedOn w:val="1"/>
    <w:qFormat/>
    <w:uiPriority w:val="0"/>
    <w:pPr>
      <w:tabs>
        <w:tab w:val="right" w:leader="middleDot" w:pos="8222"/>
      </w:tabs>
      <w:spacing w:line="360" w:lineRule="auto"/>
      <w:jc w:val="center"/>
    </w:pPr>
    <w:rPr>
      <w:rFonts w:ascii="楷体_GB2312" w:hAnsi="宋体" w:eastAsia="楷体_GB2312" w:cs="宋体"/>
      <w:b/>
      <w:sz w:val="36"/>
    </w:rPr>
  </w:style>
  <w:style w:type="paragraph" w:customStyle="1" w:styleId="480">
    <w:name w:val="我的样式（正文）"/>
    <w:basedOn w:val="1"/>
    <w:qFormat/>
    <w:uiPriority w:val="0"/>
    <w:pPr>
      <w:spacing w:line="440" w:lineRule="exact"/>
    </w:pPr>
    <w:rPr>
      <w:rFonts w:ascii="宋体" w:hAnsi="宋体" w:cs="宋体"/>
      <w:sz w:val="28"/>
    </w:rPr>
  </w:style>
  <w:style w:type="paragraph" w:customStyle="1" w:styleId="481">
    <w:name w:val="我的样式（正文） Char"/>
    <w:basedOn w:val="1"/>
    <w:qFormat/>
    <w:uiPriority w:val="0"/>
    <w:pPr>
      <w:spacing w:line="440" w:lineRule="exact"/>
    </w:pPr>
    <w:rPr>
      <w:rFonts w:ascii="宋体" w:hAnsi="华文楷体" w:cs="宋体"/>
      <w:sz w:val="28"/>
    </w:rPr>
  </w:style>
  <w:style w:type="paragraph" w:customStyle="1" w:styleId="482">
    <w:name w:val="样式"/>
    <w:basedOn w:val="1"/>
    <w:next w:val="36"/>
    <w:qFormat/>
    <w:uiPriority w:val="0"/>
    <w:pPr>
      <w:adjustRightInd w:val="0"/>
      <w:spacing w:line="360" w:lineRule="auto"/>
      <w:ind w:firstLine="564"/>
      <w:textAlignment w:val="baseline"/>
    </w:pPr>
    <w:rPr>
      <w:rFonts w:ascii="宋体" w:hAnsi="宋体" w:eastAsia="仿宋_GB2312" w:cs="宋体"/>
      <w:kern w:val="0"/>
      <w:sz w:val="28"/>
    </w:rPr>
  </w:style>
  <w:style w:type="paragraph" w:customStyle="1" w:styleId="483">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宋体"/>
      <w:kern w:val="0"/>
      <w:sz w:val="24"/>
    </w:rPr>
  </w:style>
  <w:style w:type="paragraph" w:customStyle="1" w:styleId="484">
    <w:name w:val="文档正文"/>
    <w:basedOn w:val="1"/>
    <w:qFormat/>
    <w:uiPriority w:val="0"/>
    <w:pPr>
      <w:adjustRightInd w:val="0"/>
      <w:spacing w:line="480" w:lineRule="atLeast"/>
      <w:ind w:firstLine="567"/>
      <w:textAlignment w:val="baseline"/>
    </w:pPr>
    <w:rPr>
      <w:rFonts w:ascii="宋体" w:hAnsi="宋体" w:cs="宋体"/>
      <w:kern w:val="0"/>
      <w:sz w:val="24"/>
    </w:rPr>
  </w:style>
  <w:style w:type="paragraph" w:customStyle="1" w:styleId="485">
    <w:name w:val="框图-1"/>
    <w:basedOn w:val="1"/>
    <w:qFormat/>
    <w:uiPriority w:val="0"/>
    <w:pPr>
      <w:jc w:val="center"/>
    </w:pPr>
    <w:rPr>
      <w:rFonts w:ascii="宋体" w:hAnsi="宋体" w:eastAsia="仿宋_GB2312" w:cs="宋体"/>
      <w:snapToGrid w:val="0"/>
      <w:kern w:val="0"/>
    </w:rPr>
  </w:style>
  <w:style w:type="paragraph" w:customStyle="1" w:styleId="486">
    <w:name w:val="正文王"/>
    <w:basedOn w:val="46"/>
    <w:qFormat/>
    <w:uiPriority w:val="0"/>
    <w:pPr>
      <w:widowControl w:val="0"/>
      <w:spacing w:line="440" w:lineRule="exact"/>
      <w:jc w:val="both"/>
    </w:pPr>
    <w:rPr>
      <w:rFonts w:ascii="Arial" w:hAnsi="Arial" w:cs="Times New Roman"/>
      <w:snapToGrid w:val="0"/>
      <w:szCs w:val="20"/>
    </w:rPr>
  </w:style>
  <w:style w:type="paragraph" w:customStyle="1" w:styleId="487">
    <w:name w:val="表 头"/>
    <w:basedOn w:val="1"/>
    <w:qFormat/>
    <w:uiPriority w:val="0"/>
    <w:pPr>
      <w:adjustRightInd w:val="0"/>
      <w:spacing w:before="120" w:after="120" w:line="360" w:lineRule="atLeast"/>
      <w:jc w:val="center"/>
    </w:pPr>
    <w:rPr>
      <w:rFonts w:ascii="宋体" w:hAnsi="宋体" w:eastAsia="黑体" w:cs="宋体"/>
      <w:spacing w:val="10"/>
      <w:kern w:val="0"/>
      <w:sz w:val="24"/>
    </w:rPr>
  </w:style>
  <w:style w:type="paragraph" w:customStyle="1" w:styleId="488">
    <w:name w:val="五级条标题"/>
    <w:basedOn w:val="420"/>
    <w:next w:val="1"/>
    <w:qFormat/>
    <w:uiPriority w:val="0"/>
    <w:pPr>
      <w:tabs>
        <w:tab w:val="left" w:pos="360"/>
        <w:tab w:val="left" w:pos="864"/>
        <w:tab w:val="left" w:pos="1008"/>
        <w:tab w:val="left" w:pos="1080"/>
        <w:tab w:val="left" w:pos="1152"/>
        <w:tab w:val="left" w:pos="1260"/>
        <w:tab w:val="left" w:pos="1296"/>
        <w:tab w:val="left" w:pos="1680"/>
        <w:tab w:val="left" w:pos="2100"/>
        <w:tab w:val="left" w:pos="2520"/>
        <w:tab w:val="left" w:pos="2940"/>
        <w:tab w:val="clear" w:pos="3058"/>
      </w:tabs>
      <w:ind w:left="2940" w:hanging="420"/>
      <w:outlineLvl w:val="6"/>
    </w:pPr>
    <w:rPr>
      <w:szCs w:val="20"/>
    </w:rPr>
  </w:style>
  <w:style w:type="paragraph" w:customStyle="1" w:styleId="489">
    <w:name w:val="正文首行缩进 2 + Times New Roman"/>
    <w:basedOn w:val="1"/>
    <w:qFormat/>
    <w:uiPriority w:val="0"/>
    <w:pPr>
      <w:tabs>
        <w:tab w:val="left" w:pos="0"/>
        <w:tab w:val="left" w:pos="870"/>
        <w:tab w:val="left" w:pos="3150"/>
      </w:tabs>
      <w:autoSpaceDE w:val="0"/>
      <w:autoSpaceDN w:val="0"/>
      <w:spacing w:line="360" w:lineRule="auto"/>
      <w:ind w:firstLine="480" w:firstLineChars="200"/>
    </w:pPr>
    <w:rPr>
      <w:rFonts w:ascii="宋体" w:hAnsi="宋体" w:cs="宋体"/>
      <w:kern w:val="0"/>
      <w:sz w:val="24"/>
    </w:rPr>
  </w:style>
  <w:style w:type="character" w:customStyle="1" w:styleId="490">
    <w:name w:val="正文首行缩进 2 + Times New Roman Char"/>
    <w:qFormat/>
    <w:locked/>
    <w:uiPriority w:val="0"/>
    <w:rPr>
      <w:rFonts w:ascii="黑体" w:hAnsi="宋体" w:eastAsia="宋体"/>
      <w:b/>
      <w:spacing w:val="10"/>
      <w:kern w:val="2"/>
      <w:sz w:val="24"/>
      <w:szCs w:val="24"/>
      <w:lang w:val="en-US" w:eastAsia="zh-CN" w:bidi="ar-SA"/>
    </w:rPr>
  </w:style>
  <w:style w:type="paragraph" w:customStyle="1" w:styleId="491">
    <w:name w:val="条目"/>
    <w:basedOn w:val="46"/>
    <w:next w:val="35"/>
    <w:qFormat/>
    <w:uiPriority w:val="0"/>
    <w:pPr>
      <w:widowControl w:val="0"/>
      <w:ind w:firstLine="567"/>
      <w:jc w:val="both"/>
      <w:outlineLvl w:val="4"/>
    </w:pPr>
    <w:rPr>
      <w:rFonts w:cs="Times New Roman"/>
      <w:kern w:val="2"/>
      <w:szCs w:val="20"/>
    </w:rPr>
  </w:style>
  <w:style w:type="paragraph" w:customStyle="1" w:styleId="492">
    <w:name w:val="样式11"/>
    <w:basedOn w:val="1"/>
    <w:qFormat/>
    <w:uiPriority w:val="0"/>
    <w:pPr>
      <w:tabs>
        <w:tab w:val="left" w:pos="1820"/>
      </w:tabs>
      <w:adjustRightInd w:val="0"/>
      <w:snapToGrid w:val="0"/>
      <w:spacing w:line="312" w:lineRule="auto"/>
      <w:ind w:left="1820" w:hanging="420"/>
    </w:pPr>
    <w:rPr>
      <w:rFonts w:ascii="仿宋_GB2312" w:hAnsi="宋体" w:eastAsia="仿宋_GB2312" w:cs="宋体"/>
      <w:sz w:val="28"/>
    </w:rPr>
  </w:style>
  <w:style w:type="paragraph" w:customStyle="1" w:styleId="493">
    <w:name w:val="样式 标题 4 + 四号 段前: 1 行"/>
    <w:basedOn w:val="8"/>
    <w:qFormat/>
    <w:uiPriority w:val="0"/>
    <w:pPr>
      <w:tabs>
        <w:tab w:val="left" w:pos="2218"/>
        <w:tab w:val="clear" w:pos="1276"/>
      </w:tabs>
      <w:spacing w:beforeLines="100" w:line="420" w:lineRule="exact"/>
      <w:ind w:left="560" w:firstLine="0"/>
      <w:jc w:val="both"/>
    </w:pPr>
    <w:rPr>
      <w:rFonts w:eastAsia="黑体"/>
      <w:b w:val="0"/>
      <w:bCs w:val="0"/>
      <w:sz w:val="28"/>
      <w:szCs w:val="20"/>
    </w:rPr>
  </w:style>
  <w:style w:type="paragraph" w:customStyle="1" w:styleId="494">
    <w:name w:val="样式（大表格）"/>
    <w:basedOn w:val="1"/>
    <w:qFormat/>
    <w:uiPriority w:val="0"/>
    <w:pPr>
      <w:adjustRightInd w:val="0"/>
      <w:snapToGrid w:val="0"/>
      <w:spacing w:line="400" w:lineRule="exact"/>
    </w:pPr>
    <w:rPr>
      <w:rFonts w:ascii="宋体" w:hAnsi="宋体" w:cs="宋体"/>
      <w:color w:val="FF0000"/>
      <w:sz w:val="24"/>
    </w:rPr>
  </w:style>
  <w:style w:type="paragraph" w:customStyle="1" w:styleId="495">
    <w:name w:val="表格内容1"/>
    <w:basedOn w:val="1"/>
    <w:qFormat/>
    <w:uiPriority w:val="0"/>
    <w:pPr>
      <w:adjustRightInd w:val="0"/>
      <w:snapToGrid w:val="0"/>
      <w:spacing w:beforeLines="15" w:afterLines="15"/>
      <w:jc w:val="center"/>
    </w:pPr>
    <w:rPr>
      <w:rFonts w:ascii="宋体" w:hAnsi="宋体" w:cs="宋体"/>
      <w:snapToGrid w:val="0"/>
      <w:kern w:val="0"/>
    </w:rPr>
  </w:style>
  <w:style w:type="paragraph" w:customStyle="1" w:styleId="496">
    <w:name w:val="Char Char Char Char Char Char Char Char Char1 Char Char Char Char Char Char Char"/>
    <w:basedOn w:val="1"/>
    <w:qFormat/>
    <w:uiPriority w:val="0"/>
    <w:rPr>
      <w:rFonts w:ascii="宋体" w:hAnsi="宋体" w:cs="宋体"/>
      <w:szCs w:val="21"/>
    </w:rPr>
  </w:style>
  <w:style w:type="paragraph" w:customStyle="1" w:styleId="497">
    <w:name w:val="表居中（中文）"/>
    <w:basedOn w:val="1"/>
    <w:qFormat/>
    <w:uiPriority w:val="0"/>
    <w:pPr>
      <w:adjustRightInd w:val="0"/>
      <w:spacing w:line="380" w:lineRule="atLeast"/>
      <w:jc w:val="center"/>
      <w:textAlignment w:val="baseline"/>
    </w:pPr>
    <w:rPr>
      <w:rFonts w:ascii="宋体" w:hAnsi="宋体" w:eastAsia="楷体_GB2312" w:cs="宋体"/>
      <w:kern w:val="0"/>
    </w:rPr>
  </w:style>
  <w:style w:type="character" w:customStyle="1" w:styleId="498">
    <w:name w:val="black1"/>
    <w:qFormat/>
    <w:uiPriority w:val="0"/>
    <w:rPr>
      <w:rFonts w:ascii="黑体" w:hAnsi="黑体" w:eastAsia="宋体"/>
      <w:b/>
      <w:color w:val="000000"/>
      <w:spacing w:val="10"/>
      <w:kern w:val="2"/>
      <w:sz w:val="18"/>
      <w:szCs w:val="18"/>
      <w:u w:val="none"/>
      <w:lang w:val="en-US" w:eastAsia="zh-CN" w:bidi="ar-SA"/>
    </w:rPr>
  </w:style>
  <w:style w:type="paragraph" w:customStyle="1" w:styleId="499">
    <w:name w:val="小四表格"/>
    <w:basedOn w:val="1"/>
    <w:qFormat/>
    <w:uiPriority w:val="0"/>
    <w:pPr>
      <w:keepNext/>
      <w:autoSpaceDE w:val="0"/>
      <w:autoSpaceDN w:val="0"/>
      <w:adjustRightInd w:val="0"/>
      <w:spacing w:line="480" w:lineRule="atLeast"/>
      <w:jc w:val="center"/>
    </w:pPr>
    <w:rPr>
      <w:rFonts w:ascii="宋体" w:hAnsi="宋体" w:cs="宋体"/>
      <w:color w:val="000000"/>
      <w:sz w:val="24"/>
    </w:rPr>
  </w:style>
  <w:style w:type="paragraph" w:customStyle="1" w:styleId="500">
    <w:name w:val="注解"/>
    <w:qFormat/>
    <w:uiPriority w:val="0"/>
    <w:pPr>
      <w:widowControl w:val="0"/>
      <w:autoSpaceDE w:val="0"/>
      <w:autoSpaceDN w:val="0"/>
      <w:adjustRightInd w:val="0"/>
      <w:jc w:val="center"/>
    </w:pPr>
    <w:rPr>
      <w:rFonts w:ascii="宋体" w:hAnsi="Arial Black" w:eastAsia="宋体" w:cs="Times New Roman"/>
      <w:kern w:val="2"/>
      <w:sz w:val="21"/>
      <w:lang w:val="en-US" w:eastAsia="zh-CN" w:bidi="ar-SA"/>
    </w:rPr>
  </w:style>
  <w:style w:type="paragraph" w:customStyle="1" w:styleId="501">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502">
    <w:name w:val="样式 标题 2 + 段前: 0.5 行 段后: 0.5 行"/>
    <w:basedOn w:val="5"/>
    <w:qFormat/>
    <w:uiPriority w:val="0"/>
    <w:pPr>
      <w:widowControl w:val="0"/>
      <w:tabs>
        <w:tab w:val="left" w:pos="576"/>
        <w:tab w:val="clear" w:pos="1276"/>
      </w:tabs>
      <w:snapToGrid w:val="0"/>
      <w:spacing w:beforeLines="50" w:afterLines="50" w:line="300" w:lineRule="auto"/>
      <w:ind w:left="576" w:hanging="576"/>
      <w:jc w:val="both"/>
    </w:pPr>
    <w:rPr>
      <w:rFonts w:ascii="Calibri" w:hAnsi="Calibri" w:cs="宋体"/>
      <w:b/>
      <w:bCs/>
      <w:kern w:val="2"/>
      <w:sz w:val="24"/>
      <w:szCs w:val="28"/>
    </w:rPr>
  </w:style>
  <w:style w:type="paragraph" w:customStyle="1" w:styleId="503">
    <w:name w:val="10"/>
    <w:basedOn w:val="1"/>
    <w:next w:val="6"/>
    <w:qFormat/>
    <w:uiPriority w:val="0"/>
    <w:pPr>
      <w:spacing w:line="500" w:lineRule="exact"/>
      <w:ind w:firstLine="420"/>
    </w:pPr>
    <w:rPr>
      <w:rFonts w:ascii="仿宋_GB2312" w:hAnsi="宋体" w:eastAsia="仿宋_GB2312" w:cs="宋体"/>
      <w:sz w:val="28"/>
    </w:rPr>
  </w:style>
  <w:style w:type="paragraph" w:customStyle="1" w:styleId="504">
    <w:name w:val="Char Char Char Char Char"/>
    <w:basedOn w:val="1"/>
    <w:qFormat/>
    <w:uiPriority w:val="0"/>
    <w:rPr>
      <w:rFonts w:ascii="宋体" w:hAnsi="宋体" w:cs="宋体"/>
      <w:szCs w:val="21"/>
    </w:rPr>
  </w:style>
  <w:style w:type="paragraph" w:customStyle="1" w:styleId="505">
    <w:name w:val="样式 标题 4 + (西文) Times New Roman (中文) 宋体 小四"/>
    <w:basedOn w:val="8"/>
    <w:qFormat/>
    <w:uiPriority w:val="0"/>
    <w:pPr>
      <w:widowControl w:val="0"/>
      <w:tabs>
        <w:tab w:val="left" w:pos="1247"/>
        <w:tab w:val="clear" w:pos="1276"/>
      </w:tabs>
      <w:snapToGrid w:val="0"/>
      <w:spacing w:beforeLines="25" w:afterLines="25"/>
      <w:ind w:left="964" w:hanging="964"/>
      <w:jc w:val="both"/>
    </w:pPr>
    <w:rPr>
      <w:rFonts w:ascii="幼圆" w:hAnsi="Calibri" w:eastAsia="幼圆"/>
      <w:b w:val="0"/>
      <w:bCs w:val="0"/>
      <w:color w:val="0000FF"/>
      <w:kern w:val="2"/>
      <w:szCs w:val="24"/>
    </w:rPr>
  </w:style>
  <w:style w:type="paragraph" w:customStyle="1" w:styleId="506">
    <w:name w:val="Char4 Char Char Char Char Char Char Char Char Char Char Char Char Char Char Char Char Char1 Char Char Char Char"/>
    <w:basedOn w:val="1"/>
    <w:qFormat/>
    <w:uiPriority w:val="0"/>
    <w:pPr>
      <w:ind w:firstLine="200" w:firstLineChars="200"/>
    </w:pPr>
    <w:rPr>
      <w:rFonts w:ascii="宋体" w:hAnsi="宋体" w:cs="宋体"/>
      <w:sz w:val="28"/>
      <w:szCs w:val="28"/>
    </w:rPr>
  </w:style>
  <w:style w:type="character" w:customStyle="1" w:styleId="507">
    <w:name w:val="未命名11"/>
    <w:qFormat/>
    <w:uiPriority w:val="0"/>
    <w:rPr>
      <w:rFonts w:hint="eastAsia" w:ascii="宋体" w:hAnsi="宋体" w:eastAsia="宋体"/>
      <w:b/>
      <w:spacing w:val="10"/>
      <w:kern w:val="2"/>
      <w:sz w:val="18"/>
      <w:szCs w:val="18"/>
      <w:lang w:val="en-US" w:eastAsia="zh-CN" w:bidi="ar-SA"/>
    </w:rPr>
  </w:style>
  <w:style w:type="paragraph" w:customStyle="1" w:styleId="508">
    <w:name w:val="Char Char Char1 Char Char Char Char Char Char Char Char Char Char Char Char Char Char Char1 Char Char Char Char Char Char Char Char Char Char Char Char Char Char Char Char Char Char Char Char Char Char Char Char Char Char Char"/>
    <w:basedOn w:val="1"/>
    <w:qFormat/>
    <w:uiPriority w:val="0"/>
    <w:pPr>
      <w:ind w:firstLine="200" w:firstLineChars="200"/>
    </w:pPr>
    <w:rPr>
      <w:rFonts w:ascii="宋体" w:hAnsi="宋体" w:cs="宋体"/>
      <w:sz w:val="28"/>
      <w:szCs w:val="28"/>
    </w:rPr>
  </w:style>
  <w:style w:type="paragraph" w:customStyle="1" w:styleId="509">
    <w:name w:val="Char Char Char11"/>
    <w:basedOn w:val="1"/>
    <w:qFormat/>
    <w:uiPriority w:val="0"/>
    <w:rPr>
      <w:rFonts w:ascii="宋体" w:hAnsi="宋体" w:cs="宋体"/>
      <w:szCs w:val="21"/>
    </w:rPr>
  </w:style>
  <w:style w:type="paragraph" w:customStyle="1" w:styleId="510">
    <w:name w:val="Char Char Char Char Char Char Char Char"/>
    <w:basedOn w:val="1"/>
    <w:qFormat/>
    <w:uiPriority w:val="0"/>
    <w:rPr>
      <w:rFonts w:ascii="宋体" w:hAnsi="宋体" w:cs="宋体"/>
      <w:szCs w:val="21"/>
    </w:rPr>
  </w:style>
  <w:style w:type="paragraph" w:customStyle="1" w:styleId="511">
    <w:name w:val="Char Char Char1 Char Char Char Char Char Char"/>
    <w:basedOn w:val="1"/>
    <w:qFormat/>
    <w:uiPriority w:val="0"/>
    <w:rPr>
      <w:rFonts w:ascii="宋体" w:hAnsi="宋体" w:cs="宋体"/>
      <w:szCs w:val="21"/>
    </w:rPr>
  </w:style>
  <w:style w:type="paragraph" w:customStyle="1" w:styleId="512">
    <w:name w:val="Char Char Char1 Char Char Char Char Char Char Char Char Char Char Char Char Char Char Char1 Char Char Char Char Char Char Char Char Char Char Char Char Char Char Char Char Char Char Char Char Char Char Char Char Char Char Char Char Char Char"/>
    <w:basedOn w:val="1"/>
    <w:qFormat/>
    <w:uiPriority w:val="0"/>
    <w:pPr>
      <w:ind w:firstLine="200" w:firstLineChars="200"/>
    </w:pPr>
    <w:rPr>
      <w:rFonts w:ascii="宋体" w:hAnsi="宋体" w:cs="宋体"/>
      <w:sz w:val="28"/>
      <w:szCs w:val="28"/>
    </w:rPr>
  </w:style>
  <w:style w:type="paragraph" w:customStyle="1" w:styleId="513">
    <w:name w:val="表前文"/>
    <w:basedOn w:val="1"/>
    <w:qFormat/>
    <w:uiPriority w:val="0"/>
    <w:pPr>
      <w:adjustRightInd w:val="0"/>
      <w:spacing w:after="120" w:line="400" w:lineRule="exact"/>
      <w:ind w:firstLine="601"/>
      <w:textAlignment w:val="baseline"/>
    </w:pPr>
    <w:rPr>
      <w:rFonts w:ascii="宋体" w:hAnsi="宋体" w:eastAsia="楷体_GB2312" w:cs="宋体"/>
      <w:spacing w:val="8"/>
      <w:kern w:val="0"/>
      <w:sz w:val="28"/>
    </w:rPr>
  </w:style>
  <w:style w:type="paragraph" w:customStyle="1" w:styleId="514">
    <w:name w:val="Char3"/>
    <w:basedOn w:val="1"/>
    <w:qFormat/>
    <w:uiPriority w:val="0"/>
    <w:rPr>
      <w:rFonts w:ascii="宋体" w:hAnsi="宋体" w:cs="宋体"/>
      <w:szCs w:val="21"/>
    </w:rPr>
  </w:style>
  <w:style w:type="paragraph" w:customStyle="1" w:styleId="515">
    <w:name w:val="Char Char Char1 Char Char Char Char Char Char Char Char Char"/>
    <w:basedOn w:val="1"/>
    <w:qFormat/>
    <w:uiPriority w:val="0"/>
    <w:rPr>
      <w:rFonts w:ascii="宋体" w:hAnsi="宋体" w:cs="宋体"/>
      <w:szCs w:val="21"/>
    </w:rPr>
  </w:style>
  <w:style w:type="paragraph" w:customStyle="1" w:styleId="516">
    <w:name w:val="Char Char Char Char Char Char"/>
    <w:basedOn w:val="1"/>
    <w:qFormat/>
    <w:uiPriority w:val="0"/>
    <w:rPr>
      <w:rFonts w:ascii="宋体" w:hAnsi="宋体" w:cs="宋体"/>
      <w:szCs w:val="21"/>
    </w:rPr>
  </w:style>
  <w:style w:type="paragraph" w:customStyle="1" w:styleId="517">
    <w:name w:val="Bullet"/>
    <w:basedOn w:val="1"/>
    <w:qFormat/>
    <w:uiPriority w:val="0"/>
    <w:pPr>
      <w:widowControl/>
      <w:tabs>
        <w:tab w:val="left" w:pos="2040"/>
      </w:tabs>
      <w:spacing w:after="60" w:line="300" w:lineRule="atLeast"/>
      <w:ind w:left="2040" w:leftChars="800" w:hanging="360" w:hangingChars="200"/>
    </w:pPr>
    <w:rPr>
      <w:rFonts w:ascii="宋体" w:hAnsi="宋体" w:cs="宋体"/>
      <w:kern w:val="0"/>
      <w:sz w:val="22"/>
    </w:rPr>
  </w:style>
  <w:style w:type="paragraph" w:customStyle="1" w:styleId="518">
    <w:name w:val="样式7"/>
    <w:basedOn w:val="4"/>
    <w:qFormat/>
    <w:uiPriority w:val="0"/>
    <w:pPr>
      <w:keepLines/>
      <w:widowControl w:val="0"/>
      <w:numPr>
        <w:numId w:val="0"/>
      </w:numPr>
      <w:tabs>
        <w:tab w:val="left" w:pos="2040"/>
      </w:tabs>
      <w:adjustRightInd w:val="0"/>
      <w:snapToGrid w:val="0"/>
      <w:spacing w:beforeLines="200" w:afterLines="200" w:line="500" w:lineRule="exact"/>
      <w:ind w:left="2040" w:leftChars="800" w:hanging="360" w:hangingChars="200"/>
      <w:jc w:val="both"/>
    </w:pPr>
    <w:rPr>
      <w:rFonts w:ascii="Calibri" w:hAnsi="Calibri" w:eastAsia="黑体"/>
      <w:color w:val="000000"/>
      <w:kern w:val="44"/>
      <w:sz w:val="30"/>
      <w:szCs w:val="44"/>
    </w:rPr>
  </w:style>
  <w:style w:type="paragraph" w:customStyle="1" w:styleId="519">
    <w:name w:val="xl2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宋体"/>
      <w:kern w:val="0"/>
      <w:sz w:val="24"/>
    </w:rPr>
  </w:style>
  <w:style w:type="paragraph" w:customStyle="1" w:styleId="520">
    <w:name w:val="文本"/>
    <w:basedOn w:val="1"/>
    <w:qFormat/>
    <w:uiPriority w:val="0"/>
    <w:pPr>
      <w:tabs>
        <w:tab w:val="right" w:leader="dot" w:pos="8296"/>
      </w:tabs>
      <w:adjustRightInd w:val="0"/>
      <w:snapToGrid w:val="0"/>
      <w:spacing w:beforeLines="20"/>
      <w:jc w:val="center"/>
    </w:pPr>
    <w:rPr>
      <w:rFonts w:ascii="宋体" w:hAnsi="宋体" w:cs="宋体"/>
      <w:snapToGrid w:val="0"/>
      <w:kern w:val="21"/>
    </w:rPr>
  </w:style>
  <w:style w:type="paragraph" w:customStyle="1" w:styleId="521">
    <w:name w:val="Plain Text2"/>
    <w:basedOn w:val="1"/>
    <w:qFormat/>
    <w:uiPriority w:val="0"/>
    <w:pPr>
      <w:autoSpaceDE w:val="0"/>
      <w:autoSpaceDN w:val="0"/>
      <w:adjustRightInd w:val="0"/>
      <w:textAlignment w:val="baseline"/>
    </w:pPr>
    <w:rPr>
      <w:rFonts w:ascii="宋体" w:hAnsi="Tms Rmn" w:cs="宋体"/>
      <w:kern w:val="0"/>
    </w:rPr>
  </w:style>
  <w:style w:type="paragraph" w:customStyle="1" w:styleId="522">
    <w:name w:val="三级标题"/>
    <w:basedOn w:val="84"/>
    <w:qFormat/>
    <w:uiPriority w:val="0"/>
    <w:pPr>
      <w:widowControl w:val="0"/>
      <w:spacing w:before="260" w:after="0" w:line="460" w:lineRule="exact"/>
      <w:jc w:val="both"/>
      <w:outlineLvl w:val="2"/>
    </w:pPr>
    <w:rPr>
      <w:rFonts w:ascii="Times New Roman" w:hAnsi="Times New Roman" w:cs="Arial"/>
      <w:sz w:val="24"/>
      <w:szCs w:val="24"/>
    </w:rPr>
  </w:style>
  <w:style w:type="paragraph" w:customStyle="1" w:styleId="523">
    <w:name w:val="注释"/>
    <w:basedOn w:val="1"/>
    <w:qFormat/>
    <w:uiPriority w:val="0"/>
    <w:pPr>
      <w:spacing w:before="60" w:line="360" w:lineRule="exact"/>
      <w:ind w:firstLine="200" w:firstLineChars="200"/>
    </w:pPr>
    <w:rPr>
      <w:rFonts w:ascii="宋体" w:hAnsi="宋体" w:cs="宋体"/>
      <w:kern w:val="0"/>
      <w:szCs w:val="21"/>
    </w:rPr>
  </w:style>
  <w:style w:type="paragraph" w:customStyle="1" w:styleId="524">
    <w:name w:val="标题3"/>
    <w:basedOn w:val="35"/>
    <w:next w:val="35"/>
    <w:qFormat/>
    <w:uiPriority w:val="0"/>
    <w:pPr>
      <w:spacing w:after="0" w:line="520" w:lineRule="exact"/>
    </w:pPr>
    <w:rPr>
      <w:rFonts w:ascii="宋体" w:hAnsi="宋体" w:cs="Arial"/>
      <w:bCs/>
      <w:sz w:val="24"/>
    </w:rPr>
  </w:style>
  <w:style w:type="paragraph" w:customStyle="1" w:styleId="525">
    <w:name w:val="ST20_1"/>
    <w:basedOn w:val="1"/>
    <w:qFormat/>
    <w:uiPriority w:val="0"/>
    <w:pPr>
      <w:autoSpaceDE w:val="0"/>
      <w:autoSpaceDN w:val="0"/>
      <w:adjustRightInd w:val="0"/>
      <w:spacing w:line="312" w:lineRule="atLeast"/>
      <w:jc w:val="center"/>
      <w:textAlignment w:val="baseline"/>
    </w:pPr>
    <w:rPr>
      <w:rFonts w:ascii="宋体" w:hAnsi="Tms Rmn" w:cs="宋体"/>
      <w:kern w:val="0"/>
      <w:sz w:val="24"/>
    </w:rPr>
  </w:style>
  <w:style w:type="paragraph" w:customStyle="1" w:styleId="526">
    <w:name w:val="图文字"/>
    <w:basedOn w:val="1"/>
    <w:qFormat/>
    <w:uiPriority w:val="0"/>
    <w:pPr>
      <w:spacing w:line="280" w:lineRule="exact"/>
      <w:jc w:val="center"/>
    </w:pPr>
    <w:rPr>
      <w:rFonts w:ascii="宋体" w:hAnsi="宋体" w:cs="宋体"/>
    </w:rPr>
  </w:style>
  <w:style w:type="paragraph" w:customStyle="1" w:styleId="527">
    <w:name w:val="图标题"/>
    <w:basedOn w:val="1"/>
    <w:qFormat/>
    <w:uiPriority w:val="0"/>
    <w:pPr>
      <w:framePr w:hSpace="181" w:vSpace="181" w:wrap="around" w:vAnchor="text" w:hAnchor="text" w:y="1"/>
      <w:spacing w:line="260" w:lineRule="exact"/>
      <w:jc w:val="center"/>
    </w:pPr>
    <w:rPr>
      <w:rFonts w:ascii="宋体" w:hAnsi="宋体" w:cs="宋体"/>
      <w:b/>
      <w:bCs/>
      <w:sz w:val="24"/>
    </w:rPr>
  </w:style>
  <w:style w:type="character" w:customStyle="1" w:styleId="528">
    <w:name w:val="common1"/>
    <w:qFormat/>
    <w:uiPriority w:val="0"/>
    <w:rPr>
      <w:rFonts w:ascii="黑体" w:hAnsi="黑体" w:eastAsia="黑体"/>
      <w:b/>
      <w:spacing w:val="10"/>
      <w:kern w:val="44"/>
      <w:sz w:val="18"/>
      <w:szCs w:val="18"/>
      <w:lang w:val="en-US" w:eastAsia="zh-CN"/>
    </w:rPr>
  </w:style>
  <w:style w:type="paragraph" w:customStyle="1" w:styleId="529">
    <w:name w:val="首行缩进"/>
    <w:basedOn w:val="1"/>
    <w:qFormat/>
    <w:uiPriority w:val="0"/>
    <w:pPr>
      <w:spacing w:line="360" w:lineRule="auto"/>
      <w:ind w:firstLine="480" w:firstLineChars="200"/>
    </w:pPr>
    <w:rPr>
      <w:rFonts w:ascii="宋体" w:hAnsi="宋体" w:cs="宋体"/>
      <w:sz w:val="24"/>
    </w:rPr>
  </w:style>
  <w:style w:type="paragraph" w:customStyle="1" w:styleId="530">
    <w:name w:val="表文字"/>
    <w:basedOn w:val="1"/>
    <w:qFormat/>
    <w:uiPriority w:val="0"/>
    <w:pPr>
      <w:widowControl/>
      <w:jc w:val="center"/>
    </w:pPr>
    <w:rPr>
      <w:rFonts w:ascii="宋体" w:hAnsi="宋体" w:cs="宋体"/>
      <w:kern w:val="0"/>
      <w:szCs w:val="21"/>
    </w:rPr>
  </w:style>
  <w:style w:type="paragraph" w:customStyle="1" w:styleId="531">
    <w:name w:val="xl"/>
    <w:basedOn w:val="1"/>
    <w:qFormat/>
    <w:uiPriority w:val="0"/>
    <w:pPr>
      <w:widowControl/>
      <w:spacing w:before="100" w:beforeAutospacing="1" w:after="100" w:afterAutospacing="1"/>
      <w:jc w:val="left"/>
    </w:pPr>
    <w:rPr>
      <w:rFonts w:hint="eastAsia" w:ascii="隶书" w:hAnsi="Arial Unicode MS" w:eastAsia="隶书" w:cs="宋体"/>
      <w:color w:val="008000"/>
      <w:kern w:val="0"/>
      <w:sz w:val="36"/>
      <w:szCs w:val="36"/>
    </w:rPr>
  </w:style>
  <w:style w:type="paragraph" w:customStyle="1" w:styleId="532">
    <w:name w:val="标题正4"/>
    <w:basedOn w:val="1"/>
    <w:qFormat/>
    <w:uiPriority w:val="0"/>
    <w:pPr>
      <w:spacing w:line="280" w:lineRule="exact"/>
      <w:jc w:val="center"/>
    </w:pPr>
    <w:rPr>
      <w:rFonts w:ascii="宋体" w:hAnsi="宋体" w:cs="宋体"/>
      <w:color w:val="000000"/>
    </w:rPr>
  </w:style>
  <w:style w:type="paragraph" w:customStyle="1" w:styleId="533">
    <w:name w:val="xl4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character" w:customStyle="1" w:styleId="534">
    <w:name w:val="nine-11"/>
    <w:qFormat/>
    <w:uiPriority w:val="0"/>
    <w:rPr>
      <w:rFonts w:hint="default" w:eastAsia="黑体"/>
      <w:b/>
      <w:spacing w:val="10"/>
      <w:kern w:val="44"/>
      <w:sz w:val="18"/>
      <w:szCs w:val="18"/>
      <w:lang w:val="en-US" w:eastAsia="zh-CN"/>
    </w:rPr>
  </w:style>
  <w:style w:type="character" w:customStyle="1" w:styleId="535">
    <w:name w:val="style41"/>
    <w:qFormat/>
    <w:uiPriority w:val="0"/>
    <w:rPr>
      <w:rFonts w:ascii="黑体" w:hAnsi="黑体" w:eastAsia="黑体"/>
      <w:b/>
      <w:bCs/>
      <w:color w:val="000000"/>
      <w:spacing w:val="10"/>
      <w:kern w:val="44"/>
      <w:sz w:val="28"/>
      <w:lang w:val="en-US" w:eastAsia="zh-CN"/>
    </w:rPr>
  </w:style>
  <w:style w:type="character" w:customStyle="1" w:styleId="536">
    <w:name w:val="title-blue1"/>
    <w:qFormat/>
    <w:uiPriority w:val="0"/>
    <w:rPr>
      <w:rFonts w:hint="eastAsia" w:ascii="幼圆" w:hAnsi="黑体" w:eastAsia="幼圆"/>
      <w:b/>
      <w:bCs/>
      <w:color w:val="009FFF"/>
      <w:spacing w:val="75"/>
      <w:kern w:val="44"/>
      <w:sz w:val="24"/>
      <w:szCs w:val="24"/>
      <w:lang w:val="en-US" w:eastAsia="zh-CN"/>
    </w:rPr>
  </w:style>
  <w:style w:type="paragraph" w:customStyle="1" w:styleId="537">
    <w:name w:val="1 Char Char Char Char Char Char Char Char Char Char Char Char Char Char Char Char Char Char Char"/>
    <w:basedOn w:val="1"/>
    <w:qFormat/>
    <w:uiPriority w:val="0"/>
    <w:pPr>
      <w:adjustRightInd w:val="0"/>
      <w:spacing w:line="360" w:lineRule="auto"/>
    </w:pPr>
    <w:rPr>
      <w:rFonts w:ascii="宋体" w:hAnsi="宋体" w:cs="宋体"/>
      <w:kern w:val="0"/>
      <w:sz w:val="24"/>
    </w:rPr>
  </w:style>
  <w:style w:type="paragraph" w:customStyle="1" w:styleId="538">
    <w:name w:val="表蕊"/>
    <w:basedOn w:val="1"/>
    <w:link w:val="539"/>
    <w:qFormat/>
    <w:uiPriority w:val="0"/>
    <w:pPr>
      <w:adjustRightInd w:val="0"/>
      <w:spacing w:line="320" w:lineRule="atLeast"/>
      <w:jc w:val="left"/>
      <w:textAlignment w:val="baseline"/>
    </w:pPr>
    <w:rPr>
      <w:rFonts w:ascii="Calibri" w:hAnsi="Calibri" w:eastAsia="楷体_GB2312" w:cs="宋体"/>
      <w:spacing w:val="-10"/>
      <w:kern w:val="0"/>
    </w:rPr>
  </w:style>
  <w:style w:type="character" w:customStyle="1" w:styleId="539">
    <w:name w:val="表蕊 Char1"/>
    <w:link w:val="538"/>
    <w:qFormat/>
    <w:uiPriority w:val="0"/>
    <w:rPr>
      <w:rFonts w:ascii="Calibri" w:hAnsi="Calibri" w:eastAsia="楷体_GB2312" w:cs="宋体"/>
      <w:spacing w:val="-10"/>
      <w:sz w:val="21"/>
      <w:szCs w:val="24"/>
    </w:rPr>
  </w:style>
  <w:style w:type="paragraph" w:customStyle="1" w:styleId="540">
    <w:name w:val="正文B"/>
    <w:basedOn w:val="1"/>
    <w:link w:val="541"/>
    <w:qFormat/>
    <w:uiPriority w:val="0"/>
    <w:pPr>
      <w:adjustRightInd w:val="0"/>
      <w:spacing w:line="390" w:lineRule="exact"/>
      <w:ind w:firstLine="601"/>
      <w:textAlignment w:val="baseline"/>
    </w:pPr>
    <w:rPr>
      <w:rFonts w:ascii="Calibri" w:hAnsi="Calibri" w:eastAsia="楷体_GB2312" w:cs="宋体"/>
      <w:spacing w:val="8"/>
      <w:kern w:val="0"/>
      <w:sz w:val="28"/>
    </w:rPr>
  </w:style>
  <w:style w:type="character" w:customStyle="1" w:styleId="541">
    <w:name w:val="正文B Char"/>
    <w:link w:val="540"/>
    <w:qFormat/>
    <w:uiPriority w:val="0"/>
    <w:rPr>
      <w:rFonts w:ascii="Calibri" w:hAnsi="Calibri" w:eastAsia="楷体_GB2312" w:cs="宋体"/>
      <w:spacing w:val="8"/>
      <w:sz w:val="28"/>
      <w:szCs w:val="24"/>
    </w:rPr>
  </w:style>
  <w:style w:type="character" w:customStyle="1" w:styleId="542">
    <w:name w:val="标题 1 Char1"/>
    <w:qFormat/>
    <w:uiPriority w:val="0"/>
    <w:rPr>
      <w:rFonts w:ascii="黑体" w:hAnsi="黑体" w:eastAsia="宋体"/>
      <w:b/>
      <w:bCs/>
      <w:spacing w:val="10"/>
      <w:kern w:val="44"/>
      <w:sz w:val="44"/>
      <w:szCs w:val="44"/>
      <w:lang w:val="en-US" w:eastAsia="zh-CN" w:bidi="ar-SA"/>
    </w:rPr>
  </w:style>
  <w:style w:type="character" w:customStyle="1" w:styleId="543">
    <w:name w:val="unnamed91"/>
    <w:qFormat/>
    <w:uiPriority w:val="0"/>
    <w:rPr>
      <w:rFonts w:hint="eastAsia" w:ascii="宋体" w:hAnsi="宋体" w:eastAsia="宋体"/>
      <w:color w:val="000000"/>
      <w:spacing w:val="10"/>
      <w:kern w:val="44"/>
      <w:sz w:val="18"/>
      <w:szCs w:val="18"/>
      <w:u w:val="none"/>
      <w:lang w:val="en-US" w:eastAsia="zh-CN"/>
    </w:rPr>
  </w:style>
  <w:style w:type="paragraph" w:customStyle="1" w:styleId="544">
    <w:name w:val="报告 Char"/>
    <w:basedOn w:val="1"/>
    <w:qFormat/>
    <w:uiPriority w:val="0"/>
    <w:pPr>
      <w:adjustRightInd w:val="0"/>
      <w:spacing w:line="360" w:lineRule="auto"/>
      <w:ind w:firstLine="505"/>
      <w:textAlignment w:val="baseline"/>
    </w:pPr>
    <w:rPr>
      <w:rFonts w:ascii="宋体" w:hAnsi="宋体" w:cs="宋体"/>
      <w:sz w:val="24"/>
    </w:rPr>
  </w:style>
  <w:style w:type="paragraph" w:customStyle="1" w:styleId="545">
    <w:name w:val="样式 标题 3 + 黑色 Char Char Char Char"/>
    <w:basedOn w:val="7"/>
    <w:link w:val="546"/>
    <w:qFormat/>
    <w:uiPriority w:val="0"/>
    <w:pPr>
      <w:keepNext w:val="0"/>
      <w:keepLines w:val="0"/>
      <w:tabs>
        <w:tab w:val="left" w:pos="993"/>
        <w:tab w:val="left" w:pos="1260"/>
      </w:tabs>
      <w:adjustRightInd w:val="0"/>
      <w:snapToGrid w:val="0"/>
      <w:spacing w:before="0" w:after="0" w:line="500" w:lineRule="exact"/>
      <w:outlineLvl w:val="9"/>
    </w:pPr>
    <w:rPr>
      <w:rFonts w:ascii="Calibri" w:hAnsi="Calibri" w:cs="宋体"/>
      <w:b w:val="0"/>
      <w:color w:val="000000"/>
      <w:sz w:val="28"/>
    </w:rPr>
  </w:style>
  <w:style w:type="character" w:customStyle="1" w:styleId="546">
    <w:name w:val="样式 标题 3 + 黑色 Char Char Char Char Char"/>
    <w:link w:val="545"/>
    <w:qFormat/>
    <w:uiPriority w:val="0"/>
    <w:rPr>
      <w:rFonts w:ascii="Calibri" w:hAnsi="Calibri" w:cs="宋体"/>
      <w:bCs/>
      <w:color w:val="000000"/>
      <w:kern w:val="2"/>
      <w:sz w:val="28"/>
      <w:szCs w:val="32"/>
    </w:rPr>
  </w:style>
  <w:style w:type="paragraph" w:customStyle="1" w:styleId="547">
    <w:name w:val="报告 Char Char Char"/>
    <w:basedOn w:val="1"/>
    <w:link w:val="548"/>
    <w:qFormat/>
    <w:uiPriority w:val="0"/>
    <w:pPr>
      <w:adjustRightInd w:val="0"/>
      <w:spacing w:line="360" w:lineRule="auto"/>
      <w:ind w:firstLine="505"/>
      <w:textAlignment w:val="baseline"/>
    </w:pPr>
    <w:rPr>
      <w:rFonts w:ascii="Calibri" w:hAnsi="Calibri" w:cs="宋体"/>
      <w:sz w:val="24"/>
    </w:rPr>
  </w:style>
  <w:style w:type="character" w:customStyle="1" w:styleId="548">
    <w:name w:val="报告 Char Char Char Char"/>
    <w:link w:val="547"/>
    <w:qFormat/>
    <w:uiPriority w:val="0"/>
    <w:rPr>
      <w:rFonts w:ascii="Calibri" w:hAnsi="Calibri" w:cs="宋体"/>
      <w:kern w:val="2"/>
      <w:sz w:val="24"/>
      <w:szCs w:val="24"/>
    </w:rPr>
  </w:style>
  <w:style w:type="paragraph" w:customStyle="1" w:styleId="549">
    <w:name w:val="Char4 Char Char Char Char Char Char Char Char Char Char Char Char Char Char Char Char Char1 Char"/>
    <w:basedOn w:val="1"/>
    <w:qFormat/>
    <w:uiPriority w:val="0"/>
    <w:pPr>
      <w:ind w:firstLine="200" w:firstLineChars="200"/>
    </w:pPr>
    <w:rPr>
      <w:rFonts w:ascii="宋体" w:hAnsi="宋体" w:cs="宋体"/>
      <w:sz w:val="28"/>
      <w:szCs w:val="28"/>
    </w:rPr>
  </w:style>
  <w:style w:type="paragraph" w:customStyle="1" w:styleId="550">
    <w:name w:val="正文(首行缩进)"/>
    <w:basedOn w:val="1"/>
    <w:qFormat/>
    <w:uiPriority w:val="0"/>
    <w:pPr>
      <w:spacing w:line="500" w:lineRule="exact"/>
      <w:ind w:firstLine="480" w:firstLineChars="200"/>
    </w:pPr>
    <w:rPr>
      <w:rFonts w:ascii="宋体" w:hAnsi="宋体" w:cs="宋体"/>
      <w:snapToGrid w:val="0"/>
      <w:sz w:val="24"/>
    </w:rPr>
  </w:style>
  <w:style w:type="paragraph" w:customStyle="1" w:styleId="551">
    <w:name w:val="正文格式 Char Char Char2"/>
    <w:basedOn w:val="1"/>
    <w:link w:val="552"/>
    <w:qFormat/>
    <w:uiPriority w:val="0"/>
    <w:pPr>
      <w:spacing w:line="360" w:lineRule="auto"/>
      <w:ind w:firstLine="482"/>
    </w:pPr>
    <w:rPr>
      <w:rFonts w:ascii="宋体" w:hAnsi="Calibri" w:cs="宋体"/>
      <w:sz w:val="24"/>
    </w:rPr>
  </w:style>
  <w:style w:type="character" w:customStyle="1" w:styleId="552">
    <w:name w:val="正文格式 Char Char Char2 Char"/>
    <w:link w:val="551"/>
    <w:qFormat/>
    <w:uiPriority w:val="0"/>
    <w:rPr>
      <w:rFonts w:ascii="宋体" w:hAnsi="Calibri" w:cs="宋体"/>
      <w:kern w:val="2"/>
      <w:sz w:val="24"/>
      <w:szCs w:val="24"/>
    </w:rPr>
  </w:style>
  <w:style w:type="paragraph" w:customStyle="1" w:styleId="553">
    <w:name w:val="Char Char Char Char4"/>
    <w:basedOn w:val="27"/>
    <w:qFormat/>
    <w:uiPriority w:val="0"/>
    <w:pPr>
      <w:widowControl/>
      <w:shd w:val="clear" w:color="auto" w:fill="000080"/>
      <w:adjustRightInd w:val="0"/>
      <w:snapToGrid w:val="0"/>
      <w:spacing w:line="360" w:lineRule="auto"/>
      <w:jc w:val="left"/>
    </w:pPr>
    <w:rPr>
      <w:rFonts w:ascii="Tahoma" w:hAnsi="Tahoma" w:cs="宋体"/>
      <w:kern w:val="0"/>
      <w:sz w:val="24"/>
      <w:szCs w:val="24"/>
    </w:rPr>
  </w:style>
  <w:style w:type="paragraph" w:customStyle="1" w:styleId="554">
    <w:name w:val="xl4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eastAsia="Arial Unicode MS" w:cs="宋体"/>
      <w:kern w:val="0"/>
      <w:sz w:val="24"/>
    </w:rPr>
  </w:style>
  <w:style w:type="paragraph" w:customStyle="1" w:styleId="555">
    <w:name w:val="xl36"/>
    <w:basedOn w:val="1"/>
    <w:qFormat/>
    <w:uiPriority w:val="0"/>
    <w:pPr>
      <w:widowControl/>
      <w:spacing w:before="100" w:beforeAutospacing="1" w:after="100" w:afterAutospacing="1"/>
      <w:jc w:val="center"/>
    </w:pPr>
    <w:rPr>
      <w:rFonts w:ascii="楷体_GB2312" w:hAnsi="Arial Unicode MS" w:eastAsia="楷体_GB2312" w:cs="楷体_GB2312"/>
      <w:b/>
      <w:bCs/>
      <w:kern w:val="0"/>
      <w:sz w:val="28"/>
      <w:szCs w:val="28"/>
    </w:rPr>
  </w:style>
  <w:style w:type="character" w:customStyle="1" w:styleId="556">
    <w:name w:val="正文文本 Char1"/>
    <w:qFormat/>
    <w:uiPriority w:val="99"/>
    <w:rPr>
      <w:rFonts w:eastAsia="宋体"/>
      <w:kern w:val="2"/>
      <w:sz w:val="21"/>
      <w:lang w:val="en-US" w:eastAsia="zh-CN" w:bidi="ar-SA"/>
    </w:rPr>
  </w:style>
  <w:style w:type="paragraph" w:customStyle="1" w:styleId="557">
    <w:name w:val="Char1 Char Char Char"/>
    <w:basedOn w:val="1"/>
    <w:qFormat/>
    <w:uiPriority w:val="0"/>
    <w:pPr>
      <w:spacing w:line="400" w:lineRule="exact"/>
      <w:ind w:firstLine="200" w:firstLineChars="200"/>
    </w:pPr>
    <w:rPr>
      <w:rFonts w:ascii="宋体" w:hAnsi="宋体" w:cs="宋体"/>
      <w:sz w:val="28"/>
      <w:szCs w:val="28"/>
    </w:rPr>
  </w:style>
  <w:style w:type="paragraph" w:customStyle="1" w:styleId="558">
    <w:name w:val="Char1 Char Char Char Char Char Char Char Char Char1 Char Char Char Char Char Char"/>
    <w:basedOn w:val="1"/>
    <w:qFormat/>
    <w:uiPriority w:val="0"/>
    <w:pPr>
      <w:widowControl/>
      <w:spacing w:before="100" w:beforeAutospacing="1" w:after="100" w:afterAutospacing="1"/>
      <w:ind w:firstLine="200" w:firstLineChars="200"/>
      <w:jc w:val="left"/>
    </w:pPr>
    <w:rPr>
      <w:rFonts w:ascii="Verdana" w:hAnsi="Verdana" w:eastAsia="仿宋_GB2312" w:cs="宋体"/>
      <w:kern w:val="0"/>
      <w:sz w:val="24"/>
      <w:szCs w:val="21"/>
      <w:lang w:eastAsia="en-US"/>
    </w:rPr>
  </w:style>
  <w:style w:type="paragraph" w:customStyle="1" w:styleId="559">
    <w:name w:val="font9"/>
    <w:basedOn w:val="1"/>
    <w:qFormat/>
    <w:uiPriority w:val="0"/>
    <w:pPr>
      <w:widowControl/>
      <w:spacing w:before="100" w:beforeAutospacing="1" w:after="100" w:afterAutospacing="1"/>
      <w:jc w:val="left"/>
    </w:pPr>
    <w:rPr>
      <w:rFonts w:hint="eastAsia" w:ascii="宋体" w:hAnsi="宋体" w:cs="Arial Unicode MS"/>
      <w:kern w:val="0"/>
      <w:sz w:val="22"/>
      <w:szCs w:val="22"/>
    </w:rPr>
  </w:style>
  <w:style w:type="paragraph" w:customStyle="1" w:styleId="560">
    <w:name w:val="Char Char Char Char Char Char1"/>
    <w:basedOn w:val="1"/>
    <w:qFormat/>
    <w:uiPriority w:val="0"/>
    <w:pPr>
      <w:spacing w:beforeLines="50" w:line="480" w:lineRule="exact"/>
      <w:ind w:firstLine="200" w:firstLineChars="200"/>
      <w:jc w:val="left"/>
    </w:pPr>
    <w:rPr>
      <w:rFonts w:ascii="宋体" w:hAnsi="宋体" w:cs="宋体"/>
      <w:sz w:val="24"/>
      <w:szCs w:val="21"/>
    </w:rPr>
  </w:style>
  <w:style w:type="paragraph" w:customStyle="1" w:styleId="561">
    <w:name w:val="文本123"/>
    <w:basedOn w:val="6"/>
    <w:semiHidden/>
    <w:qFormat/>
    <w:uiPriority w:val="0"/>
    <w:pPr>
      <w:tabs>
        <w:tab w:val="left" w:pos="958"/>
      </w:tabs>
      <w:adjustRightInd/>
      <w:snapToGrid/>
      <w:spacing w:line="460" w:lineRule="exact"/>
      <w:ind w:left="958" w:hanging="420" w:firstLineChars="0"/>
      <w:outlineLvl w:val="7"/>
    </w:pPr>
    <w:rPr>
      <w:rFonts w:ascii="Calibri" w:hAnsi="Calibri" w:eastAsia="宋体" w:cs="宋体"/>
      <w:color w:val="auto"/>
      <w:sz w:val="24"/>
      <w:szCs w:val="20"/>
    </w:rPr>
  </w:style>
  <w:style w:type="paragraph" w:customStyle="1" w:styleId="562">
    <w:name w:val="font11"/>
    <w:basedOn w:val="1"/>
    <w:qFormat/>
    <w:uiPriority w:val="0"/>
    <w:pPr>
      <w:widowControl/>
      <w:tabs>
        <w:tab w:val="left" w:pos="1032"/>
      </w:tabs>
      <w:spacing w:before="100" w:after="100"/>
      <w:jc w:val="left"/>
    </w:pPr>
    <w:rPr>
      <w:rFonts w:ascii="Romantic" w:hAnsi="Romantic" w:cs="宋体"/>
      <w:kern w:val="0"/>
      <w:sz w:val="24"/>
    </w:rPr>
  </w:style>
  <w:style w:type="paragraph" w:customStyle="1" w:styleId="563">
    <w:name w:val="黑体标题"/>
    <w:basedOn w:val="1"/>
    <w:link w:val="564"/>
    <w:semiHidden/>
    <w:qFormat/>
    <w:uiPriority w:val="0"/>
    <w:pPr>
      <w:spacing w:line="500" w:lineRule="exact"/>
      <w:ind w:firstLine="560" w:firstLineChars="200"/>
    </w:pPr>
    <w:rPr>
      <w:rFonts w:ascii="宋体" w:hAnsi="宋体" w:cs="宋体"/>
      <w:sz w:val="28"/>
    </w:rPr>
  </w:style>
  <w:style w:type="character" w:customStyle="1" w:styleId="564">
    <w:name w:val="黑体标题 Char"/>
    <w:link w:val="563"/>
    <w:semiHidden/>
    <w:qFormat/>
    <w:uiPriority w:val="0"/>
    <w:rPr>
      <w:rFonts w:ascii="宋体" w:hAnsi="宋体" w:cs="宋体"/>
      <w:kern w:val="2"/>
      <w:sz w:val="28"/>
      <w:szCs w:val="24"/>
    </w:rPr>
  </w:style>
  <w:style w:type="paragraph" w:customStyle="1" w:styleId="565">
    <w:name w:val="默认段落字体 Para Char Char Char Char Char Char Char Char Char Char Char Char Char Char Char"/>
    <w:basedOn w:val="27"/>
    <w:qFormat/>
    <w:uiPriority w:val="0"/>
    <w:pPr>
      <w:shd w:val="clear" w:color="auto" w:fill="000080"/>
    </w:pPr>
    <w:rPr>
      <w:rFonts w:ascii="Tahoma" w:hAnsi="Tahoma" w:cs="宋体"/>
      <w:sz w:val="24"/>
      <w:szCs w:val="24"/>
    </w:rPr>
  </w:style>
  <w:style w:type="paragraph" w:customStyle="1" w:styleId="566">
    <w:name w:val="mp"/>
    <w:basedOn w:val="1"/>
    <w:qFormat/>
    <w:uiPriority w:val="0"/>
    <w:pPr>
      <w:widowControl/>
      <w:spacing w:before="100" w:beforeAutospacing="1" w:after="100" w:afterAutospacing="1" w:line="400" w:lineRule="atLeast"/>
      <w:ind w:firstLine="360"/>
    </w:pPr>
    <w:rPr>
      <w:rFonts w:ascii="ˎ̥" w:hAnsi="ˎ̥" w:cs="宋体"/>
      <w:color w:val="454D63"/>
      <w:kern w:val="0"/>
      <w:sz w:val="24"/>
    </w:rPr>
  </w:style>
  <w:style w:type="paragraph" w:customStyle="1" w:styleId="567">
    <w:name w:val="标题正1"/>
    <w:basedOn w:val="1"/>
    <w:qFormat/>
    <w:uiPriority w:val="0"/>
    <w:pPr>
      <w:spacing w:before="60" w:after="60" w:line="500" w:lineRule="exact"/>
    </w:pPr>
    <w:rPr>
      <w:rFonts w:ascii="黑体" w:hAnsi="宋体" w:eastAsia="黑体" w:cs="宋体"/>
      <w:sz w:val="32"/>
      <w:szCs w:val="28"/>
    </w:rPr>
  </w:style>
  <w:style w:type="paragraph" w:customStyle="1" w:styleId="568">
    <w:name w:val="Char2 Char Char Char Char Char"/>
    <w:basedOn w:val="1"/>
    <w:qFormat/>
    <w:uiPriority w:val="0"/>
    <w:rPr>
      <w:rFonts w:ascii="宋体" w:hAnsi="宋体" w:cs="宋体"/>
      <w:sz w:val="24"/>
    </w:rPr>
  </w:style>
  <w:style w:type="character" w:customStyle="1" w:styleId="569">
    <w:name w:val="黑体标题 Char Char"/>
    <w:qFormat/>
    <w:uiPriority w:val="0"/>
    <w:rPr>
      <w:rFonts w:ascii="宋体" w:hAnsi="宋体" w:eastAsia="宋体"/>
      <w:b/>
      <w:spacing w:val="10"/>
      <w:kern w:val="2"/>
      <w:sz w:val="28"/>
      <w:szCs w:val="18"/>
      <w:lang w:val="en-US" w:eastAsia="zh-CN" w:bidi="ar-SA"/>
    </w:rPr>
  </w:style>
  <w:style w:type="paragraph" w:customStyle="1" w:styleId="570">
    <w:name w:val="Char Char1 Char2"/>
    <w:basedOn w:val="1"/>
    <w:qFormat/>
    <w:uiPriority w:val="0"/>
    <w:rPr>
      <w:rFonts w:ascii="宋体" w:hAnsi="宋体" w:cs="宋体"/>
      <w:szCs w:val="21"/>
    </w:rPr>
  </w:style>
  <w:style w:type="paragraph" w:customStyle="1" w:styleId="571">
    <w:name w:val="Char Char Char1 Char Char"/>
    <w:basedOn w:val="1"/>
    <w:qFormat/>
    <w:uiPriority w:val="0"/>
    <w:rPr>
      <w:rFonts w:ascii="黑体" w:hAnsi="黑体" w:eastAsia="黑体" w:cs="宋体"/>
      <w:b/>
      <w:spacing w:val="10"/>
      <w:sz w:val="28"/>
    </w:rPr>
  </w:style>
  <w:style w:type="paragraph" w:customStyle="1" w:styleId="572">
    <w:name w:val="Char Char Char Char1 Char Char Char Char Char Char Char"/>
    <w:basedOn w:val="1"/>
    <w:qFormat/>
    <w:uiPriority w:val="0"/>
    <w:pPr>
      <w:tabs>
        <w:tab w:val="left" w:pos="360"/>
      </w:tabs>
      <w:snapToGrid w:val="0"/>
      <w:spacing w:line="360" w:lineRule="auto"/>
    </w:pPr>
    <w:rPr>
      <w:rFonts w:ascii="宋体" w:hAnsi="宋体" w:eastAsia="仿宋_GB2312" w:cs="宋体"/>
      <w:sz w:val="24"/>
    </w:rPr>
  </w:style>
  <w:style w:type="paragraph" w:customStyle="1" w:styleId="573">
    <w:name w:val="little"/>
    <w:basedOn w:val="1"/>
    <w:qFormat/>
    <w:uiPriority w:val="0"/>
    <w:pPr>
      <w:widowControl/>
      <w:spacing w:before="100" w:beforeAutospacing="1" w:after="100" w:afterAutospacing="1"/>
      <w:jc w:val="left"/>
    </w:pPr>
    <w:rPr>
      <w:rFonts w:ascii="宋体" w:hAnsi="宋体" w:cs="宋体"/>
      <w:kern w:val="0"/>
      <w:sz w:val="24"/>
    </w:rPr>
  </w:style>
  <w:style w:type="character" w:customStyle="1" w:styleId="574">
    <w:name w:val="head121"/>
    <w:qFormat/>
    <w:uiPriority w:val="0"/>
    <w:rPr>
      <w:rFonts w:ascii="宋体" w:hAnsi="宋体" w:eastAsia="宋体"/>
      <w:b/>
      <w:spacing w:val="10"/>
      <w:kern w:val="2"/>
      <w:sz w:val="22"/>
      <w:szCs w:val="22"/>
      <w:lang w:val="en-US" w:eastAsia="zh-CN" w:bidi="ar-SA"/>
    </w:rPr>
  </w:style>
  <w:style w:type="paragraph" w:customStyle="1" w:styleId="575">
    <w:name w:val="表格编号"/>
    <w:basedOn w:val="1"/>
    <w:next w:val="1"/>
    <w:qFormat/>
    <w:uiPriority w:val="0"/>
    <w:pPr>
      <w:tabs>
        <w:tab w:val="left" w:pos="720"/>
      </w:tabs>
      <w:spacing w:before="300" w:after="200"/>
      <w:jc w:val="center"/>
    </w:pPr>
    <w:rPr>
      <w:rFonts w:ascii="宋体" w:hAnsi="宋体" w:cs="宋体"/>
      <w:sz w:val="24"/>
    </w:rPr>
  </w:style>
  <w:style w:type="paragraph" w:customStyle="1" w:styleId="576">
    <w:name w:val="项目编号"/>
    <w:basedOn w:val="1"/>
    <w:next w:val="577"/>
    <w:qFormat/>
    <w:uiPriority w:val="0"/>
    <w:pPr>
      <w:spacing w:before="120" w:after="120" w:line="360" w:lineRule="auto"/>
    </w:pPr>
    <w:rPr>
      <w:rFonts w:ascii="宋体" w:hAnsi="宋体" w:cs="宋体"/>
      <w:sz w:val="24"/>
    </w:rPr>
  </w:style>
  <w:style w:type="paragraph" w:customStyle="1" w:styleId="577">
    <w:name w:val="项目编号文字"/>
    <w:basedOn w:val="1"/>
    <w:next w:val="6"/>
    <w:qFormat/>
    <w:uiPriority w:val="0"/>
    <w:pPr>
      <w:spacing w:before="120" w:after="120" w:line="360" w:lineRule="auto"/>
      <w:ind w:left="1077"/>
    </w:pPr>
    <w:rPr>
      <w:rFonts w:ascii="宋体" w:hAnsi="宋体" w:cs="宋体"/>
      <w:sz w:val="24"/>
    </w:rPr>
  </w:style>
  <w:style w:type="paragraph" w:customStyle="1" w:styleId="578">
    <w:name w:val="流程图"/>
    <w:basedOn w:val="1"/>
    <w:qFormat/>
    <w:uiPriority w:val="0"/>
    <w:pPr>
      <w:tabs>
        <w:tab w:val="left" w:pos="0"/>
      </w:tabs>
      <w:autoSpaceDE w:val="0"/>
      <w:autoSpaceDN w:val="0"/>
      <w:adjustRightInd w:val="0"/>
      <w:spacing w:line="240" w:lineRule="atLeast"/>
      <w:jc w:val="center"/>
      <w:textAlignment w:val="bottom"/>
    </w:pPr>
    <w:rPr>
      <w:rFonts w:ascii="宋体" w:hAnsi="宋体" w:cs="宋体"/>
      <w:szCs w:val="21"/>
    </w:rPr>
  </w:style>
  <w:style w:type="character" w:customStyle="1" w:styleId="579">
    <w:name w:val="我的样式（正文） Char Char"/>
    <w:qFormat/>
    <w:uiPriority w:val="0"/>
    <w:rPr>
      <w:rFonts w:ascii="宋体" w:hAnsi="华文楷体" w:eastAsia="宋体" w:cs="宋体"/>
      <w:b/>
      <w:spacing w:val="10"/>
      <w:kern w:val="2"/>
      <w:sz w:val="24"/>
      <w:szCs w:val="24"/>
      <w:lang w:val="en-US" w:eastAsia="zh-CN" w:bidi="ar-SA"/>
    </w:rPr>
  </w:style>
  <w:style w:type="character" w:customStyle="1" w:styleId="580">
    <w:name w:val="px141"/>
    <w:qFormat/>
    <w:uiPriority w:val="0"/>
    <w:rPr>
      <w:rFonts w:ascii="宋体" w:hAnsi="宋体" w:eastAsia="宋体"/>
      <w:b/>
      <w:spacing w:val="10"/>
      <w:kern w:val="2"/>
      <w:sz w:val="25"/>
      <w:szCs w:val="25"/>
      <w:u w:val="none"/>
      <w:lang w:val="en-US" w:eastAsia="zh-CN" w:bidi="ar-SA"/>
    </w:rPr>
  </w:style>
  <w:style w:type="paragraph" w:customStyle="1" w:styleId="581">
    <w:name w:val="图编号"/>
    <w:basedOn w:val="1"/>
    <w:qFormat/>
    <w:uiPriority w:val="0"/>
    <w:pPr>
      <w:tabs>
        <w:tab w:val="left" w:pos="720"/>
        <w:tab w:val="left" w:pos="780"/>
        <w:tab w:val="left" w:pos="980"/>
      </w:tabs>
      <w:spacing w:before="300" w:after="300" w:line="360" w:lineRule="auto"/>
      <w:ind w:left="425" w:hanging="425"/>
      <w:jc w:val="center"/>
    </w:pPr>
    <w:rPr>
      <w:rFonts w:ascii="宋体" w:hAnsi="宋体" w:cs="宋体"/>
      <w:sz w:val="24"/>
    </w:rPr>
  </w:style>
  <w:style w:type="paragraph" w:customStyle="1" w:styleId="582">
    <w:name w:val="框图"/>
    <w:basedOn w:val="1"/>
    <w:qFormat/>
    <w:uiPriority w:val="0"/>
    <w:pPr>
      <w:adjustRightInd w:val="0"/>
      <w:snapToGrid w:val="0"/>
      <w:ind w:left="2" w:leftChars="-38" w:right="-106" w:rightChars="-38" w:hanging="108" w:hangingChars="54"/>
      <w:jc w:val="center"/>
    </w:pPr>
    <w:rPr>
      <w:rFonts w:ascii="宋体" w:hAnsi="宋体" w:cs="宋体"/>
      <w:sz w:val="24"/>
    </w:rPr>
  </w:style>
  <w:style w:type="paragraph" w:customStyle="1" w:styleId="583">
    <w:name w:val="公式样式1"/>
    <w:basedOn w:val="1"/>
    <w:qFormat/>
    <w:uiPriority w:val="0"/>
    <w:pPr>
      <w:spacing w:line="360" w:lineRule="auto"/>
      <w:jc w:val="center"/>
    </w:pPr>
    <w:rPr>
      <w:rFonts w:ascii="宋体" w:hAnsi="宋体" w:cs="宋体"/>
      <w:b/>
      <w:bCs/>
      <w:sz w:val="24"/>
    </w:rPr>
  </w:style>
  <w:style w:type="paragraph" w:customStyle="1" w:styleId="584">
    <w:name w:val="Char Char Char Char Char Char Char Char Char Char Char Char Char Char Char Char Char Char Char Char Char Char Char Char Char Char Char Char Char Char Char Char Char Char Char Char Char Char Char Char"/>
    <w:basedOn w:val="1"/>
    <w:qFormat/>
    <w:uiPriority w:val="0"/>
    <w:rPr>
      <w:rFonts w:ascii="宋体" w:hAnsi="宋体" w:cs="宋体"/>
      <w:sz w:val="24"/>
    </w:rPr>
  </w:style>
  <w:style w:type="paragraph" w:customStyle="1" w:styleId="585">
    <w:name w:val="样式 左侧:  -0.16 厘米"/>
    <w:basedOn w:val="1"/>
    <w:qFormat/>
    <w:uiPriority w:val="0"/>
    <w:pPr>
      <w:ind w:left="-90"/>
    </w:pPr>
    <w:rPr>
      <w:rFonts w:ascii="宋体" w:hAnsi="宋体" w:cs="宋体"/>
      <w:snapToGrid w:val="0"/>
      <w:kern w:val="0"/>
      <w:sz w:val="24"/>
    </w:rPr>
  </w:style>
  <w:style w:type="paragraph" w:customStyle="1" w:styleId="586">
    <w:name w:val="样式 五号 居中"/>
    <w:basedOn w:val="1"/>
    <w:qFormat/>
    <w:uiPriority w:val="0"/>
    <w:pPr>
      <w:jc w:val="center"/>
    </w:pPr>
    <w:rPr>
      <w:rFonts w:ascii="宋体" w:hAnsi="宋体" w:cs="宋体"/>
      <w:snapToGrid w:val="0"/>
      <w:kern w:val="0"/>
      <w:szCs w:val="21"/>
    </w:rPr>
  </w:style>
  <w:style w:type="paragraph" w:customStyle="1" w:styleId="587">
    <w:name w:val="样式 左侧:  -0.16 厘米1"/>
    <w:basedOn w:val="1"/>
    <w:qFormat/>
    <w:uiPriority w:val="0"/>
    <w:pPr>
      <w:ind w:left="-90"/>
    </w:pPr>
    <w:rPr>
      <w:rFonts w:ascii="宋体" w:hAnsi="宋体" w:cs="宋体"/>
      <w:snapToGrid w:val="0"/>
      <w:kern w:val="0"/>
      <w:sz w:val="24"/>
    </w:rPr>
  </w:style>
  <w:style w:type="paragraph" w:customStyle="1" w:styleId="588">
    <w:name w:val="样式 首行缩进:  0.77 厘米 行距: 1.5 倍行距"/>
    <w:basedOn w:val="1"/>
    <w:qFormat/>
    <w:uiPriority w:val="0"/>
    <w:pPr>
      <w:spacing w:line="360" w:lineRule="auto"/>
      <w:ind w:firstLine="435"/>
    </w:pPr>
    <w:rPr>
      <w:rFonts w:ascii="宋体" w:hAnsi="宋体" w:cs="宋体"/>
      <w:snapToGrid w:val="0"/>
      <w:kern w:val="0"/>
      <w:sz w:val="24"/>
    </w:rPr>
  </w:style>
  <w:style w:type="paragraph" w:customStyle="1" w:styleId="589">
    <w:name w:val="图注"/>
    <w:basedOn w:val="1"/>
    <w:next w:val="1"/>
    <w:qFormat/>
    <w:uiPriority w:val="0"/>
    <w:pPr>
      <w:jc w:val="center"/>
    </w:pPr>
    <w:rPr>
      <w:rFonts w:ascii="宋体" w:hAnsi="宋体" w:cs="宋体"/>
      <w:color w:val="0000FF"/>
    </w:rPr>
  </w:style>
  <w:style w:type="paragraph" w:customStyle="1" w:styleId="590">
    <w:name w:val="font7"/>
    <w:basedOn w:val="1"/>
    <w:qFormat/>
    <w:uiPriority w:val="0"/>
    <w:pPr>
      <w:widowControl/>
      <w:spacing w:before="100" w:beforeAutospacing="1" w:after="100" w:afterAutospacing="1"/>
      <w:jc w:val="left"/>
    </w:pPr>
    <w:rPr>
      <w:rFonts w:ascii="宋体" w:hAnsi="宋体" w:cs="宋体"/>
      <w:kern w:val="0"/>
      <w:szCs w:val="21"/>
    </w:rPr>
  </w:style>
  <w:style w:type="paragraph" w:customStyle="1" w:styleId="591">
    <w:name w:val="xl29"/>
    <w:basedOn w:val="1"/>
    <w:qFormat/>
    <w:uiPriority w:val="0"/>
    <w:pPr>
      <w:widowControl/>
      <w:spacing w:before="100" w:beforeAutospacing="1" w:after="100" w:afterAutospacing="1"/>
      <w:jc w:val="left"/>
    </w:pPr>
    <w:rPr>
      <w:rFonts w:ascii="宋体" w:hAnsi="宋体" w:cs="宋体"/>
      <w:kern w:val="0"/>
      <w:szCs w:val="21"/>
    </w:rPr>
  </w:style>
  <w:style w:type="paragraph" w:customStyle="1" w:styleId="592">
    <w:name w:val="xl3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FF0000"/>
      <w:kern w:val="0"/>
      <w:szCs w:val="21"/>
    </w:rPr>
  </w:style>
  <w:style w:type="paragraph" w:customStyle="1" w:styleId="593">
    <w:name w:val="xl34"/>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FF0000"/>
      <w:kern w:val="0"/>
      <w:szCs w:val="21"/>
    </w:rPr>
  </w:style>
  <w:style w:type="paragraph" w:customStyle="1" w:styleId="594">
    <w:name w:val="样式 标题 3标题 3 Char CharH3h33rd level标题3 + 段前: 0.5 行"/>
    <w:basedOn w:val="7"/>
    <w:qFormat/>
    <w:uiPriority w:val="0"/>
    <w:pPr>
      <w:keepNext w:val="0"/>
      <w:keepLines w:val="0"/>
      <w:widowControl/>
      <w:spacing w:before="0" w:after="0" w:line="480" w:lineRule="exact"/>
      <w:ind w:firstLine="560" w:firstLineChars="200"/>
      <w:outlineLvl w:val="9"/>
    </w:pPr>
    <w:rPr>
      <w:rFonts w:ascii="楷体_GB2312" w:hAnsi="宋体" w:eastAsia="楷体_GB2312" w:cs="宋体"/>
      <w:b w:val="0"/>
      <w:color w:val="FF0000"/>
      <w:sz w:val="28"/>
      <w:szCs w:val="28"/>
    </w:rPr>
  </w:style>
  <w:style w:type="paragraph" w:customStyle="1" w:styleId="595">
    <w:name w:val="初设正文"/>
    <w:basedOn w:val="1"/>
    <w:qFormat/>
    <w:uiPriority w:val="0"/>
    <w:pPr>
      <w:spacing w:after="120" w:line="440" w:lineRule="exact"/>
      <w:ind w:left="425" w:firstLine="425"/>
    </w:pPr>
    <w:rPr>
      <w:rFonts w:ascii="Arial" w:hAnsi="Arial" w:cs="宋体"/>
      <w:kern w:val="0"/>
      <w:sz w:val="24"/>
    </w:rPr>
  </w:style>
  <w:style w:type="paragraph" w:customStyle="1" w:styleId="596">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597">
    <w:name w:val="引言"/>
    <w:basedOn w:val="1"/>
    <w:next w:val="1"/>
    <w:qFormat/>
    <w:uiPriority w:val="0"/>
    <w:pPr>
      <w:snapToGrid w:val="0"/>
      <w:jc w:val="center"/>
    </w:pPr>
    <w:rPr>
      <w:rFonts w:ascii="仿宋_GB2312" w:hAnsi="宋体" w:eastAsia="仿宋_GB2312" w:cs="宋体"/>
      <w:color w:val="000000"/>
      <w:sz w:val="24"/>
    </w:rPr>
  </w:style>
  <w:style w:type="paragraph" w:customStyle="1" w:styleId="598">
    <w:name w:val="xl40"/>
    <w:basedOn w:val="1"/>
    <w:qFormat/>
    <w:uiPriority w:val="0"/>
    <w:pPr>
      <w:widowControl/>
      <w:spacing w:before="100" w:beforeAutospacing="1" w:after="100" w:afterAutospacing="1"/>
      <w:jc w:val="center"/>
    </w:pPr>
    <w:rPr>
      <w:rFonts w:ascii="宋体" w:hAnsi="宋体" w:cs="宋体"/>
      <w:kern w:val="0"/>
      <w:szCs w:val="21"/>
    </w:rPr>
  </w:style>
  <w:style w:type="paragraph" w:customStyle="1" w:styleId="599">
    <w:name w:val="Char Char Char Char Char Char Char Char Char Char Char Char Char Char Char Char Char Char Char Char Char Char"/>
    <w:basedOn w:val="1"/>
    <w:qFormat/>
    <w:uiPriority w:val="0"/>
    <w:rPr>
      <w:rFonts w:ascii="宋体" w:hAnsi="宋体" w:cs="宋体"/>
      <w:sz w:val="24"/>
    </w:rPr>
  </w:style>
  <w:style w:type="paragraph" w:customStyle="1" w:styleId="600">
    <w:name w:val="Char Char Char Char Char Char Char Char Char Char Char Char Char"/>
    <w:basedOn w:val="1"/>
    <w:qFormat/>
    <w:uiPriority w:val="0"/>
    <w:rPr>
      <w:rFonts w:ascii="宋体" w:hAnsi="宋体" w:cs="宋体"/>
      <w:sz w:val="24"/>
    </w:rPr>
  </w:style>
  <w:style w:type="paragraph" w:customStyle="1" w:styleId="601">
    <w:name w:val="正文(首行缩进)宋旭峰"/>
    <w:basedOn w:val="6"/>
    <w:link w:val="602"/>
    <w:qFormat/>
    <w:uiPriority w:val="0"/>
    <w:pPr>
      <w:adjustRightInd/>
      <w:snapToGrid/>
      <w:spacing w:line="500" w:lineRule="exact"/>
      <w:ind w:firstLine="560"/>
      <w:contextualSpacing/>
    </w:pPr>
    <w:rPr>
      <w:rFonts w:ascii="楷体_GB2312" w:hAnsi="宋体" w:eastAsia="楷体_GB2312" w:cs="Arial"/>
      <w:snapToGrid w:val="0"/>
      <w:color w:val="auto"/>
      <w:kern w:val="0"/>
      <w:szCs w:val="28"/>
    </w:rPr>
  </w:style>
  <w:style w:type="character" w:customStyle="1" w:styleId="602">
    <w:name w:val="正文(首行缩进)宋旭峰 Char Char"/>
    <w:link w:val="601"/>
    <w:qFormat/>
    <w:uiPriority w:val="0"/>
    <w:rPr>
      <w:rFonts w:ascii="楷体_GB2312" w:hAnsi="宋体" w:eastAsia="楷体_GB2312" w:cs="Arial"/>
      <w:snapToGrid w:val="0"/>
      <w:sz w:val="28"/>
      <w:szCs w:val="28"/>
    </w:rPr>
  </w:style>
  <w:style w:type="paragraph" w:customStyle="1" w:styleId="603">
    <w:name w:val="表、图名宋旭峰"/>
    <w:basedOn w:val="1"/>
    <w:qFormat/>
    <w:uiPriority w:val="0"/>
    <w:pPr>
      <w:spacing w:beforeLines="50" w:line="360" w:lineRule="auto"/>
      <w:jc w:val="center"/>
    </w:pPr>
    <w:rPr>
      <w:rFonts w:ascii="黑体" w:hAnsi="宋体" w:eastAsia="黑体" w:cs="宋体"/>
      <w:snapToGrid w:val="0"/>
      <w:kern w:val="0"/>
      <w:szCs w:val="21"/>
    </w:rPr>
  </w:style>
  <w:style w:type="paragraph" w:customStyle="1" w:styleId="604">
    <w:name w:val="表体宋旭峰"/>
    <w:basedOn w:val="1"/>
    <w:qFormat/>
    <w:uiPriority w:val="0"/>
    <w:pPr>
      <w:overflowPunct w:val="0"/>
      <w:spacing w:line="320" w:lineRule="exact"/>
      <w:jc w:val="center"/>
      <w:textAlignment w:val="baseline"/>
    </w:pPr>
    <w:rPr>
      <w:rFonts w:ascii="楷体_GB2312" w:hAnsi="宋体" w:eastAsia="楷体_GB2312" w:cs="Courier New"/>
      <w:snapToGrid w:val="0"/>
      <w:spacing w:val="-20"/>
      <w:kern w:val="0"/>
      <w:szCs w:val="21"/>
    </w:rPr>
  </w:style>
  <w:style w:type="character" w:customStyle="1" w:styleId="605">
    <w:name w:val="表注 Char"/>
    <w:link w:val="606"/>
    <w:qFormat/>
    <w:uiPriority w:val="0"/>
    <w:rPr>
      <w:rFonts w:ascii="宋体" w:hAnsi="宋体" w:cs="Courier New"/>
      <w:b/>
      <w:spacing w:val="10"/>
      <w:kern w:val="2"/>
      <w:sz w:val="18"/>
      <w:szCs w:val="21"/>
    </w:rPr>
  </w:style>
  <w:style w:type="paragraph" w:customStyle="1" w:styleId="606">
    <w:name w:val="表注"/>
    <w:basedOn w:val="1"/>
    <w:next w:val="1"/>
    <w:link w:val="605"/>
    <w:qFormat/>
    <w:uiPriority w:val="0"/>
    <w:pPr>
      <w:keepLines/>
      <w:spacing w:line="240" w:lineRule="atLeast"/>
    </w:pPr>
    <w:rPr>
      <w:rFonts w:ascii="宋体" w:hAnsi="宋体" w:cs="Courier New"/>
      <w:b/>
      <w:spacing w:val="10"/>
      <w:sz w:val="18"/>
      <w:szCs w:val="21"/>
    </w:rPr>
  </w:style>
  <w:style w:type="paragraph" w:customStyle="1" w:styleId="607">
    <w:name w:val="Char Char Char Char Char Char Char Char Char Char Char Char Char Char Char Char Char Char Char Char Char Char Char Char Char Char Char Char"/>
    <w:basedOn w:val="1"/>
    <w:qFormat/>
    <w:uiPriority w:val="0"/>
    <w:rPr>
      <w:rFonts w:ascii="宋体" w:hAnsi="宋体" w:cs="宋体"/>
      <w:sz w:val="24"/>
    </w:rPr>
  </w:style>
  <w:style w:type="paragraph" w:customStyle="1" w:styleId="608">
    <w:name w:val="Char Char Char Char Char Char Char Char Char Char Char Char Char Char Char Char Char Char Char Char Char Char Char Char Char Char Char Char Char Char Char Char Char Char"/>
    <w:basedOn w:val="1"/>
    <w:qFormat/>
    <w:uiPriority w:val="0"/>
    <w:rPr>
      <w:rFonts w:ascii="宋体" w:hAnsi="宋体" w:cs="宋体"/>
      <w:sz w:val="24"/>
    </w:rPr>
  </w:style>
  <w:style w:type="character" w:customStyle="1" w:styleId="609">
    <w:name w:val="content"/>
    <w:qFormat/>
    <w:uiPriority w:val="0"/>
    <w:rPr>
      <w:rFonts w:ascii="宋体" w:hAnsi="宋体" w:eastAsia="宋体"/>
      <w:b/>
      <w:spacing w:val="10"/>
      <w:kern w:val="2"/>
      <w:sz w:val="24"/>
      <w:szCs w:val="24"/>
      <w:lang w:val="en-US" w:eastAsia="zh-CN" w:bidi="ar-SA"/>
    </w:rPr>
  </w:style>
  <w:style w:type="paragraph" w:customStyle="1" w:styleId="610">
    <w:name w:val="Char Char Char Char Char Char Char Char Char Char Char Char Char Char Char Char Char Char Char Char Char Char Char Char Char Char Char Char Char Char Char Char Char Char Char Char Char"/>
    <w:basedOn w:val="1"/>
    <w:qFormat/>
    <w:uiPriority w:val="0"/>
    <w:rPr>
      <w:rFonts w:ascii="宋体" w:hAnsi="宋体" w:cs="宋体"/>
      <w:sz w:val="24"/>
    </w:rPr>
  </w:style>
  <w:style w:type="paragraph" w:customStyle="1" w:styleId="611">
    <w:name w:val="小四表文居中"/>
    <w:qFormat/>
    <w:uiPriority w:val="0"/>
    <w:pPr>
      <w:widowControl w:val="0"/>
      <w:spacing w:line="320" w:lineRule="exact"/>
      <w:jc w:val="center"/>
    </w:pPr>
    <w:rPr>
      <w:rFonts w:ascii="仿宋_GB2312" w:hAnsi="Times New Roman" w:eastAsia="仿宋_GB2312" w:cs="Times New Roman"/>
      <w:kern w:val="2"/>
      <w:sz w:val="24"/>
      <w:szCs w:val="24"/>
      <w:lang w:val="en-US" w:eastAsia="zh-CN" w:bidi="ar-SA"/>
    </w:rPr>
  </w:style>
  <w:style w:type="paragraph" w:customStyle="1" w:styleId="612">
    <w:name w:val="样式 首行缩进:  1.71 字符"/>
    <w:basedOn w:val="1"/>
    <w:qFormat/>
    <w:uiPriority w:val="0"/>
    <w:pPr>
      <w:spacing w:line="360" w:lineRule="auto"/>
      <w:jc w:val="center"/>
    </w:pPr>
    <w:rPr>
      <w:rFonts w:ascii="宋体" w:hAnsi="宋体" w:cs="宋体"/>
      <w:color w:val="000000"/>
      <w:kern w:val="0"/>
      <w:szCs w:val="21"/>
    </w:rPr>
  </w:style>
  <w:style w:type="paragraph" w:customStyle="1" w:styleId="613">
    <w:name w:val="表体"/>
    <w:basedOn w:val="1"/>
    <w:qFormat/>
    <w:uiPriority w:val="0"/>
    <w:pPr>
      <w:tabs>
        <w:tab w:val="left" w:pos="6440"/>
      </w:tabs>
      <w:adjustRightInd w:val="0"/>
      <w:snapToGrid w:val="0"/>
      <w:jc w:val="center"/>
    </w:pPr>
    <w:rPr>
      <w:rFonts w:ascii="楷体_GB2312" w:hAnsi="宋体" w:eastAsia="楷体_GB2312" w:cs="宋体"/>
      <w:w w:val="80"/>
    </w:rPr>
  </w:style>
  <w:style w:type="paragraph" w:customStyle="1" w:styleId="614">
    <w:name w:val="样式 标题 3条标题1.1.1条标题1.1.11条标题1.1.12条标题1.1.13条标题1.1.111条标题1.1...2"/>
    <w:basedOn w:val="7"/>
    <w:qFormat/>
    <w:uiPriority w:val="0"/>
    <w:pPr>
      <w:spacing w:before="120" w:after="120" w:line="500" w:lineRule="exact"/>
    </w:pPr>
    <w:rPr>
      <w:rFonts w:ascii="宋体" w:hAnsi="宋体" w:cs="宋体"/>
      <w:sz w:val="24"/>
      <w:szCs w:val="20"/>
    </w:rPr>
  </w:style>
  <w:style w:type="paragraph" w:customStyle="1" w:styleId="615">
    <w:name w:val="表格2"/>
    <w:basedOn w:val="1"/>
    <w:qFormat/>
    <w:uiPriority w:val="0"/>
    <w:pPr>
      <w:spacing w:line="400" w:lineRule="exact"/>
    </w:pPr>
    <w:rPr>
      <w:rFonts w:ascii="宋体" w:hAnsi="宋体" w:cs="宋体"/>
      <w:sz w:val="28"/>
    </w:rPr>
  </w:style>
  <w:style w:type="paragraph" w:customStyle="1" w:styleId="616">
    <w:name w:val="环标3"/>
    <w:basedOn w:val="7"/>
    <w:link w:val="617"/>
    <w:qFormat/>
    <w:uiPriority w:val="0"/>
    <w:pPr>
      <w:keepNext w:val="0"/>
      <w:keepLines w:val="0"/>
      <w:spacing w:before="0" w:after="0" w:line="500" w:lineRule="atLeast"/>
      <w:jc w:val="left"/>
      <w:textAlignment w:val="baseline"/>
    </w:pPr>
    <w:rPr>
      <w:rFonts w:ascii="宋体" w:hAnsi="宋体" w:cs="宋体"/>
      <w:b w:val="0"/>
      <w:sz w:val="28"/>
      <w:szCs w:val="28"/>
    </w:rPr>
  </w:style>
  <w:style w:type="character" w:customStyle="1" w:styleId="617">
    <w:name w:val="环标3 Char"/>
    <w:link w:val="616"/>
    <w:qFormat/>
    <w:uiPriority w:val="0"/>
    <w:rPr>
      <w:rFonts w:ascii="宋体" w:hAnsi="宋体" w:cs="宋体"/>
      <w:bCs/>
      <w:kern w:val="2"/>
      <w:sz w:val="28"/>
      <w:szCs w:val="28"/>
    </w:rPr>
  </w:style>
  <w:style w:type="paragraph" w:customStyle="1" w:styleId="61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19">
    <w:name w:val="xl5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character" w:customStyle="1" w:styleId="620">
    <w:name w:val="标题 1 Char Char Char"/>
    <w:qFormat/>
    <w:uiPriority w:val="0"/>
    <w:rPr>
      <w:rFonts w:ascii="黑体" w:eastAsia="黑体"/>
      <w:kern w:val="2"/>
      <w:sz w:val="30"/>
      <w:lang w:val="en-US" w:eastAsia="zh-CN" w:bidi="ar-SA"/>
    </w:rPr>
  </w:style>
  <w:style w:type="paragraph" w:customStyle="1" w:styleId="621">
    <w:name w:val="Chapter"/>
    <w:basedOn w:val="4"/>
    <w:qFormat/>
    <w:uiPriority w:val="0"/>
    <w:pPr>
      <w:keepLines/>
      <w:widowControl w:val="0"/>
      <w:numPr>
        <w:numId w:val="0"/>
      </w:numPr>
      <w:tabs>
        <w:tab w:val="left" w:pos="926"/>
      </w:tabs>
      <w:spacing w:before="340" w:after="330" w:line="578" w:lineRule="auto"/>
      <w:ind w:left="-16"/>
      <w:jc w:val="center"/>
    </w:pPr>
    <w:rPr>
      <w:rFonts w:ascii="Calibri" w:hAnsi="Calibri"/>
      <w:b/>
      <w:bCs/>
      <w:kern w:val="44"/>
      <w:sz w:val="36"/>
      <w:szCs w:val="36"/>
    </w:rPr>
  </w:style>
  <w:style w:type="paragraph" w:customStyle="1" w:styleId="622">
    <w:name w:val="book1_1"/>
    <w:basedOn w:val="5"/>
    <w:qFormat/>
    <w:uiPriority w:val="0"/>
    <w:pPr>
      <w:keepNext w:val="0"/>
      <w:widowControl w:val="0"/>
      <w:tabs>
        <w:tab w:val="left" w:pos="622"/>
        <w:tab w:val="left" w:pos="720"/>
        <w:tab w:val="clear" w:pos="1276"/>
      </w:tabs>
      <w:spacing w:beforeLines="50" w:afterLines="50" w:line="240" w:lineRule="auto"/>
      <w:ind w:left="0" w:firstLine="0"/>
      <w:jc w:val="both"/>
    </w:pPr>
    <w:rPr>
      <w:rFonts w:ascii="Arial" w:eastAsia="黑体" w:cs="宋体"/>
      <w:bCs/>
      <w:kern w:val="2"/>
      <w:sz w:val="24"/>
      <w:szCs w:val="32"/>
      <w:shd w:val="pct10" w:color="auto" w:fill="FFFFFF"/>
    </w:rPr>
  </w:style>
  <w:style w:type="paragraph" w:customStyle="1" w:styleId="623">
    <w:name w:val="样式1）"/>
    <w:basedOn w:val="9"/>
    <w:qFormat/>
    <w:uiPriority w:val="0"/>
    <w:pPr>
      <w:tabs>
        <w:tab w:val="left" w:pos="1226"/>
      </w:tabs>
      <w:spacing w:beforeLines="50" w:afterLines="50" w:line="400" w:lineRule="exact"/>
      <w:ind w:left="821" w:leftChars="213" w:hanging="374" w:hangingChars="156"/>
    </w:pPr>
    <w:rPr>
      <w:rFonts w:ascii="Calibri" w:hAnsi="Calibri" w:cs="宋体"/>
      <w:b w:val="0"/>
      <w:sz w:val="24"/>
    </w:rPr>
  </w:style>
  <w:style w:type="paragraph" w:customStyle="1" w:styleId="624">
    <w:name w:val="book1_1_1"/>
    <w:basedOn w:val="7"/>
    <w:qFormat/>
    <w:uiPriority w:val="0"/>
    <w:pPr>
      <w:keepNext w:val="0"/>
      <w:tabs>
        <w:tab w:val="left" w:pos="360"/>
        <w:tab w:val="left" w:pos="1050"/>
      </w:tabs>
      <w:spacing w:beforeLines="50" w:afterLines="50" w:line="400" w:lineRule="exact"/>
      <w:ind w:left="360" w:hanging="360" w:hangingChars="200"/>
    </w:pPr>
    <w:rPr>
      <w:rFonts w:ascii="Calibri" w:hAnsi="Calibri" w:cs="宋体"/>
      <w:b w:val="0"/>
      <w:sz w:val="24"/>
    </w:rPr>
  </w:style>
  <w:style w:type="paragraph" w:customStyle="1" w:styleId="625">
    <w:name w:val="book1_1_1_1"/>
    <w:basedOn w:val="8"/>
    <w:qFormat/>
    <w:uiPriority w:val="0"/>
    <w:pPr>
      <w:keepNext w:val="0"/>
      <w:widowControl w:val="0"/>
      <w:tabs>
        <w:tab w:val="left" w:pos="360"/>
        <w:tab w:val="clear" w:pos="1276"/>
      </w:tabs>
      <w:spacing w:beforeLines="50" w:afterLines="50" w:line="400" w:lineRule="exact"/>
      <w:ind w:left="536" w:hanging="360" w:hangingChars="200"/>
      <w:jc w:val="both"/>
    </w:pPr>
    <w:rPr>
      <w:rFonts w:ascii="宋体" w:hAnsi="宋体" w:cs="Arial"/>
      <w:b w:val="0"/>
      <w:kern w:val="2"/>
    </w:rPr>
  </w:style>
  <w:style w:type="paragraph" w:customStyle="1" w:styleId="626">
    <w:name w:val="正文-1"/>
    <w:basedOn w:val="1"/>
    <w:qFormat/>
    <w:uiPriority w:val="0"/>
    <w:pPr>
      <w:adjustRightInd w:val="0"/>
      <w:spacing w:line="440" w:lineRule="exact"/>
      <w:ind w:firstLine="200" w:firstLineChars="200"/>
    </w:pPr>
    <w:rPr>
      <w:rFonts w:ascii="宋体" w:hAnsi="宋体" w:cs="宋体"/>
      <w:sz w:val="24"/>
    </w:rPr>
  </w:style>
  <w:style w:type="paragraph" w:customStyle="1" w:styleId="627">
    <w:name w:val="条款"/>
    <w:basedOn w:val="1"/>
    <w:qFormat/>
    <w:uiPriority w:val="0"/>
    <w:rPr>
      <w:rFonts w:ascii="宋体" w:hAnsi="宋体" w:cs="宋体"/>
    </w:rPr>
  </w:style>
  <w:style w:type="paragraph" w:customStyle="1" w:styleId="628">
    <w:name w:val="puce"/>
    <w:basedOn w:val="1"/>
    <w:qFormat/>
    <w:uiPriority w:val="0"/>
    <w:pPr>
      <w:widowControl/>
      <w:tabs>
        <w:tab w:val="left" w:pos="1319"/>
      </w:tabs>
      <w:adjustRightInd w:val="0"/>
      <w:snapToGrid w:val="0"/>
      <w:spacing w:before="120" w:line="300" w:lineRule="auto"/>
      <w:ind w:left="1319" w:hanging="360"/>
    </w:pPr>
    <w:rPr>
      <w:rFonts w:ascii="Arial" w:hAnsi="Arial" w:cs="宋体"/>
      <w:kern w:val="0"/>
      <w:sz w:val="24"/>
    </w:rPr>
  </w:style>
  <w:style w:type="paragraph" w:customStyle="1" w:styleId="629">
    <w:name w:val="表中文字1"/>
    <w:qFormat/>
    <w:uiPriority w:val="0"/>
    <w:pPr>
      <w:widowControl w:val="0"/>
      <w:adjustRightInd w:val="0"/>
      <w:snapToGrid w:val="0"/>
      <w:jc w:val="center"/>
    </w:pPr>
    <w:rPr>
      <w:rFonts w:ascii="仿宋_GB2312" w:hAnsi="Times New Roman" w:eastAsia="仿宋_GB2312" w:cs="Times New Roman"/>
      <w:kern w:val="2"/>
      <w:sz w:val="24"/>
      <w:szCs w:val="24"/>
      <w:lang w:val="en-US" w:eastAsia="zh-CN" w:bidi="ar-SA"/>
    </w:rPr>
  </w:style>
  <w:style w:type="paragraph" w:customStyle="1" w:styleId="630">
    <w:name w:val="环评样式"/>
    <w:basedOn w:val="1"/>
    <w:qFormat/>
    <w:uiPriority w:val="0"/>
    <w:pPr>
      <w:adjustRightInd w:val="0"/>
      <w:snapToGrid w:val="0"/>
      <w:spacing w:line="360" w:lineRule="auto"/>
      <w:textAlignment w:val="baseline"/>
      <w:outlineLvl w:val="0"/>
    </w:pPr>
    <w:rPr>
      <w:rFonts w:ascii="仿宋_GB2312" w:hAnsi="Alaska" w:eastAsia="仿宋_GB2312" w:cs="宋体"/>
      <w:kern w:val="0"/>
      <w:sz w:val="30"/>
    </w:rPr>
  </w:style>
  <w:style w:type="paragraph" w:customStyle="1" w:styleId="631">
    <w:name w:val="大港正文"/>
    <w:basedOn w:val="1"/>
    <w:next w:val="1"/>
    <w:link w:val="632"/>
    <w:qFormat/>
    <w:uiPriority w:val="0"/>
    <w:pPr>
      <w:adjustRightInd w:val="0"/>
      <w:snapToGrid w:val="0"/>
      <w:spacing w:line="500" w:lineRule="atLeast"/>
      <w:ind w:firstLine="480" w:firstLineChars="200"/>
    </w:pPr>
    <w:rPr>
      <w:rFonts w:ascii="宋体" w:hAnsi="宋体" w:cs="宋体"/>
      <w:kern w:val="0"/>
      <w:sz w:val="24"/>
    </w:rPr>
  </w:style>
  <w:style w:type="character" w:customStyle="1" w:styleId="632">
    <w:name w:val="大港正文 Char"/>
    <w:link w:val="631"/>
    <w:qFormat/>
    <w:uiPriority w:val="0"/>
    <w:rPr>
      <w:rFonts w:ascii="宋体" w:hAnsi="宋体" w:cs="宋体"/>
      <w:sz w:val="24"/>
      <w:szCs w:val="24"/>
    </w:rPr>
  </w:style>
  <w:style w:type="paragraph" w:customStyle="1" w:styleId="633">
    <w:name w:val="Char Char7 Char Char1 Char Char Char1 Char Char Char Char Char Char Char Char Char Char Char"/>
    <w:basedOn w:val="1"/>
    <w:qFormat/>
    <w:uiPriority w:val="0"/>
    <w:pPr>
      <w:ind w:firstLine="200" w:firstLineChars="200"/>
    </w:pPr>
    <w:rPr>
      <w:rFonts w:ascii="宋体" w:hAnsi="宋体" w:cs="宋体"/>
      <w:sz w:val="28"/>
      <w:szCs w:val="28"/>
    </w:rPr>
  </w:style>
  <w:style w:type="paragraph" w:customStyle="1" w:styleId="634">
    <w:name w:val="Char Char Char1 Char Char Char1 Char Char Char1 Char Char Char 字元 字元"/>
    <w:basedOn w:val="1"/>
    <w:qFormat/>
    <w:uiPriority w:val="0"/>
    <w:pPr>
      <w:spacing w:line="400" w:lineRule="exact"/>
      <w:ind w:firstLine="200" w:firstLineChars="200"/>
    </w:pPr>
    <w:rPr>
      <w:rFonts w:ascii="宋体" w:hAnsi="宋体" w:cs="宋体"/>
      <w:sz w:val="28"/>
      <w:szCs w:val="28"/>
    </w:rPr>
  </w:style>
  <w:style w:type="character" w:customStyle="1" w:styleId="635">
    <w:name w:val="h3 Char2"/>
    <w:qFormat/>
    <w:uiPriority w:val="0"/>
    <w:rPr>
      <w:rFonts w:eastAsia="仿宋_GB2312"/>
      <w:sz w:val="28"/>
      <w:lang w:val="en-US" w:eastAsia="zh-CN" w:bidi="ar-SA"/>
    </w:rPr>
  </w:style>
  <w:style w:type="character" w:customStyle="1" w:styleId="636">
    <w:name w:val="Body Text 21 Char"/>
    <w:qFormat/>
    <w:uiPriority w:val="0"/>
    <w:rPr>
      <w:rFonts w:eastAsia="仿宋体"/>
      <w:kern w:val="2"/>
      <w:sz w:val="24"/>
      <w:szCs w:val="28"/>
      <w:lang w:val="en-US" w:eastAsia="zh-CN" w:bidi="ar-SA"/>
    </w:rPr>
  </w:style>
  <w:style w:type="paragraph" w:customStyle="1" w:styleId="637">
    <w:name w:val="正文表格"/>
    <w:basedOn w:val="1"/>
    <w:qFormat/>
    <w:uiPriority w:val="0"/>
    <w:pPr>
      <w:keepNext/>
      <w:keepLines/>
      <w:overflowPunct w:val="0"/>
      <w:adjustRightInd w:val="0"/>
      <w:spacing w:before="80" w:line="500" w:lineRule="exact"/>
      <w:jc w:val="center"/>
      <w:textAlignment w:val="bottom"/>
    </w:pPr>
    <w:rPr>
      <w:rFonts w:ascii="宋体" w:hAnsi="宋体" w:eastAsia="仿宋_GB2312" w:cs="宋体"/>
      <w:kern w:val="0"/>
      <w:sz w:val="28"/>
    </w:rPr>
  </w:style>
  <w:style w:type="character" w:customStyle="1" w:styleId="638">
    <w:name w:val="richtextmngstyle1"/>
    <w:qFormat/>
    <w:uiPriority w:val="0"/>
    <w:rPr>
      <w:rFonts w:eastAsia="宋体"/>
      <w:color w:val="000000"/>
      <w:spacing w:val="15"/>
      <w:kern w:val="2"/>
      <w:sz w:val="21"/>
      <w:szCs w:val="21"/>
      <w:u w:val="none"/>
      <w:lang w:val="en-US" w:eastAsia="zh-CN" w:bidi="ar-SA"/>
    </w:rPr>
  </w:style>
  <w:style w:type="paragraph" w:customStyle="1" w:styleId="639">
    <w:name w:val="24"/>
    <w:basedOn w:val="1"/>
    <w:next w:val="70"/>
    <w:qFormat/>
    <w:uiPriority w:val="0"/>
    <w:pPr>
      <w:spacing w:line="500" w:lineRule="exact"/>
      <w:ind w:firstLine="560" w:firstLineChars="200"/>
    </w:pPr>
    <w:rPr>
      <w:rFonts w:ascii="仿宋_GB2312" w:hAnsi="宋体" w:eastAsia="仿宋_GB2312" w:cs="宋体"/>
      <w:sz w:val="28"/>
    </w:rPr>
  </w:style>
  <w:style w:type="paragraph" w:customStyle="1" w:styleId="640">
    <w:name w:val="23"/>
    <w:basedOn w:val="1"/>
    <w:next w:val="36"/>
    <w:qFormat/>
    <w:uiPriority w:val="0"/>
    <w:pPr>
      <w:spacing w:line="500" w:lineRule="exact"/>
      <w:ind w:firstLine="560" w:firstLineChars="200"/>
    </w:pPr>
    <w:rPr>
      <w:rFonts w:ascii="仿宋_GB2312" w:hAnsi="宋体" w:eastAsia="仿宋_GB2312" w:cs="宋体"/>
      <w:color w:val="FF0000"/>
      <w:sz w:val="28"/>
    </w:rPr>
  </w:style>
  <w:style w:type="paragraph" w:customStyle="1" w:styleId="641">
    <w:name w:val="环表"/>
    <w:basedOn w:val="1"/>
    <w:qFormat/>
    <w:uiPriority w:val="0"/>
    <w:pPr>
      <w:widowControl/>
      <w:tabs>
        <w:tab w:val="left" w:pos="5094"/>
      </w:tabs>
      <w:adjustRightInd w:val="0"/>
      <w:spacing w:before="120" w:after="120" w:line="312" w:lineRule="atLeast"/>
      <w:ind w:right="29"/>
      <w:jc w:val="center"/>
      <w:textAlignment w:val="baseline"/>
    </w:pPr>
    <w:rPr>
      <w:rFonts w:ascii="仿宋_GB2312" w:hAnsi="Courier New" w:eastAsia="仿宋_GB2312" w:cs="宋体"/>
      <w:kern w:val="0"/>
      <w:sz w:val="28"/>
    </w:rPr>
  </w:style>
  <w:style w:type="paragraph" w:customStyle="1" w:styleId="642">
    <w:name w:val="proposal"/>
    <w:basedOn w:val="1"/>
    <w:qFormat/>
    <w:uiPriority w:val="0"/>
    <w:pPr>
      <w:widowControl/>
      <w:autoSpaceDE w:val="0"/>
      <w:autoSpaceDN w:val="0"/>
      <w:spacing w:line="300" w:lineRule="auto"/>
      <w:ind w:left="1440" w:hanging="1440"/>
    </w:pPr>
    <w:rPr>
      <w:rFonts w:ascii="宋体" w:hAnsi="宋体" w:eastAsia="仿宋_GB2312" w:cs="宋体"/>
      <w:kern w:val="0"/>
      <w:sz w:val="24"/>
      <w:lang w:val="en-GB" w:eastAsia="en-GB"/>
    </w:rPr>
  </w:style>
  <w:style w:type="paragraph" w:customStyle="1" w:styleId="643">
    <w:name w:val="样式 样式 题注 + 两端对齐 + 宋体"/>
    <w:basedOn w:val="1"/>
    <w:qFormat/>
    <w:uiPriority w:val="0"/>
    <w:pPr>
      <w:keepNext/>
      <w:spacing w:line="360" w:lineRule="auto"/>
      <w:jc w:val="center"/>
    </w:pPr>
    <w:rPr>
      <w:rFonts w:ascii="宋体" w:hAnsi="宋体" w:eastAsia="仿宋_GB2312" w:cs="宋体"/>
      <w:snapToGrid w:val="0"/>
      <w:kern w:val="0"/>
      <w:sz w:val="28"/>
    </w:rPr>
  </w:style>
  <w:style w:type="paragraph" w:customStyle="1" w:styleId="644">
    <w:name w:val="xl63"/>
    <w:basedOn w:val="1"/>
    <w:qFormat/>
    <w:uiPriority w:val="0"/>
    <w:pPr>
      <w:widowControl/>
      <w:spacing w:before="100" w:beforeAutospacing="1" w:after="100" w:afterAutospacing="1" w:line="500" w:lineRule="exact"/>
      <w:jc w:val="center"/>
    </w:pPr>
    <w:rPr>
      <w:rFonts w:ascii="宋体" w:hAnsi="宋体" w:eastAsia="仿宋_GB2312" w:cs="宋体"/>
      <w:b/>
      <w:bCs/>
      <w:kern w:val="0"/>
      <w:sz w:val="24"/>
    </w:rPr>
  </w:style>
  <w:style w:type="paragraph" w:customStyle="1" w:styleId="645">
    <w:name w:val="22"/>
    <w:basedOn w:val="1"/>
    <w:next w:val="36"/>
    <w:qFormat/>
    <w:uiPriority w:val="0"/>
    <w:pPr>
      <w:spacing w:line="500" w:lineRule="exact"/>
      <w:ind w:firstLine="560" w:firstLineChars="200"/>
    </w:pPr>
    <w:rPr>
      <w:rFonts w:ascii="仿宋_GB2312" w:hAnsi="宋体" w:eastAsia="仿宋_GB2312" w:cs="宋体"/>
      <w:color w:val="FF0000"/>
      <w:sz w:val="28"/>
    </w:rPr>
  </w:style>
  <w:style w:type="paragraph" w:customStyle="1" w:styleId="646">
    <w:name w:val="21"/>
    <w:basedOn w:val="1"/>
    <w:next w:val="36"/>
    <w:qFormat/>
    <w:uiPriority w:val="0"/>
    <w:pPr>
      <w:spacing w:line="500" w:lineRule="exact"/>
      <w:ind w:firstLine="560" w:firstLineChars="200"/>
    </w:pPr>
    <w:rPr>
      <w:rFonts w:ascii="仿宋_GB2312" w:hAnsi="宋体" w:eastAsia="仿宋_GB2312" w:cs="宋体"/>
      <w:color w:val="FF0000"/>
      <w:sz w:val="28"/>
    </w:rPr>
  </w:style>
  <w:style w:type="paragraph" w:customStyle="1" w:styleId="647">
    <w:name w:val="19"/>
    <w:basedOn w:val="1"/>
    <w:next w:val="36"/>
    <w:qFormat/>
    <w:uiPriority w:val="0"/>
    <w:pPr>
      <w:spacing w:line="500" w:lineRule="exact"/>
      <w:ind w:firstLine="560" w:firstLineChars="200"/>
    </w:pPr>
    <w:rPr>
      <w:rFonts w:ascii="仿宋_GB2312" w:hAnsi="宋体" w:eastAsia="仿宋_GB2312" w:cs="宋体"/>
      <w:color w:val="FF0000"/>
      <w:sz w:val="28"/>
    </w:rPr>
  </w:style>
  <w:style w:type="paragraph" w:customStyle="1" w:styleId="648">
    <w:name w:val="17"/>
    <w:basedOn w:val="1"/>
    <w:next w:val="70"/>
    <w:qFormat/>
    <w:uiPriority w:val="0"/>
    <w:pPr>
      <w:spacing w:line="500" w:lineRule="exact"/>
      <w:ind w:firstLine="560" w:firstLineChars="200"/>
    </w:pPr>
    <w:rPr>
      <w:rFonts w:ascii="仿宋_GB2312" w:hAnsi="宋体" w:eastAsia="仿宋_GB2312" w:cs="宋体"/>
      <w:sz w:val="28"/>
    </w:rPr>
  </w:style>
  <w:style w:type="paragraph" w:customStyle="1" w:styleId="649">
    <w:name w:val="7"/>
    <w:basedOn w:val="1"/>
    <w:next w:val="36"/>
    <w:qFormat/>
    <w:uiPriority w:val="0"/>
    <w:pPr>
      <w:spacing w:line="500" w:lineRule="exact"/>
      <w:ind w:firstLine="560" w:firstLineChars="200"/>
    </w:pPr>
    <w:rPr>
      <w:rFonts w:ascii="仿宋_GB2312" w:hAnsi="宋体" w:eastAsia="仿宋_GB2312" w:cs="宋体"/>
      <w:color w:val="FF0000"/>
      <w:sz w:val="28"/>
    </w:rPr>
  </w:style>
  <w:style w:type="paragraph" w:customStyle="1" w:styleId="650">
    <w:name w:val="xl38"/>
    <w:basedOn w:val="1"/>
    <w:qFormat/>
    <w:uiPriority w:val="0"/>
    <w:pPr>
      <w:widowControl/>
      <w:pBdr>
        <w:left w:val="single" w:color="auto" w:sz="4" w:space="0"/>
        <w:bottom w:val="single" w:color="auto" w:sz="4" w:space="0"/>
      </w:pBdr>
      <w:spacing w:before="100" w:beforeAutospacing="1" w:after="100" w:afterAutospacing="1" w:line="500" w:lineRule="exact"/>
      <w:jc w:val="center"/>
      <w:textAlignment w:val="top"/>
    </w:pPr>
    <w:rPr>
      <w:rFonts w:hint="eastAsia" w:ascii="仿宋_GB2312" w:hAnsi="宋体" w:eastAsia="仿宋_GB2312" w:cs="宋体"/>
      <w:kern w:val="0"/>
      <w:sz w:val="24"/>
    </w:rPr>
  </w:style>
  <w:style w:type="paragraph" w:customStyle="1" w:styleId="651">
    <w:name w:val="16"/>
    <w:basedOn w:val="1"/>
    <w:next w:val="46"/>
    <w:qFormat/>
    <w:uiPriority w:val="0"/>
    <w:pPr>
      <w:spacing w:line="500" w:lineRule="exact"/>
    </w:pPr>
    <w:rPr>
      <w:rFonts w:ascii="宋体" w:hAnsi="Courier New" w:eastAsia="仿宋_GB2312" w:cs="宋体"/>
      <w:sz w:val="28"/>
    </w:rPr>
  </w:style>
  <w:style w:type="paragraph" w:customStyle="1" w:styleId="652">
    <w:name w:val="15"/>
    <w:basedOn w:val="1"/>
    <w:next w:val="70"/>
    <w:qFormat/>
    <w:uiPriority w:val="0"/>
    <w:pPr>
      <w:spacing w:line="500" w:lineRule="exact"/>
      <w:ind w:firstLine="560" w:firstLineChars="200"/>
    </w:pPr>
    <w:rPr>
      <w:rFonts w:ascii="仿宋_GB2312" w:hAnsi="宋体" w:eastAsia="仿宋_GB2312" w:cs="宋体"/>
      <w:sz w:val="28"/>
    </w:rPr>
  </w:style>
  <w:style w:type="paragraph" w:customStyle="1" w:styleId="653">
    <w:name w:val="14"/>
    <w:basedOn w:val="1"/>
    <w:next w:val="36"/>
    <w:qFormat/>
    <w:uiPriority w:val="0"/>
    <w:pPr>
      <w:spacing w:line="500" w:lineRule="exact"/>
      <w:ind w:firstLine="560" w:firstLineChars="200"/>
    </w:pPr>
    <w:rPr>
      <w:rFonts w:ascii="仿宋_GB2312" w:hAnsi="宋体" w:eastAsia="仿宋_GB2312" w:cs="宋体"/>
      <w:color w:val="FF0000"/>
      <w:sz w:val="28"/>
    </w:rPr>
  </w:style>
  <w:style w:type="paragraph" w:customStyle="1" w:styleId="654">
    <w:name w:val="13"/>
    <w:basedOn w:val="1"/>
    <w:next w:val="36"/>
    <w:qFormat/>
    <w:uiPriority w:val="0"/>
    <w:pPr>
      <w:spacing w:line="500" w:lineRule="exact"/>
      <w:ind w:firstLine="560" w:firstLineChars="200"/>
    </w:pPr>
    <w:rPr>
      <w:rFonts w:ascii="仿宋_GB2312" w:hAnsi="宋体" w:eastAsia="仿宋_GB2312" w:cs="宋体"/>
      <w:color w:val="FF0000"/>
      <w:sz w:val="28"/>
    </w:rPr>
  </w:style>
  <w:style w:type="paragraph" w:customStyle="1" w:styleId="655">
    <w:name w:val="12"/>
    <w:basedOn w:val="1"/>
    <w:next w:val="36"/>
    <w:qFormat/>
    <w:uiPriority w:val="0"/>
    <w:pPr>
      <w:spacing w:line="500" w:lineRule="exact"/>
      <w:ind w:firstLine="560" w:firstLineChars="200"/>
    </w:pPr>
    <w:rPr>
      <w:rFonts w:ascii="仿宋_GB2312" w:hAnsi="宋体" w:eastAsia="仿宋_GB2312" w:cs="宋体"/>
      <w:color w:val="FF0000"/>
      <w:sz w:val="28"/>
    </w:rPr>
  </w:style>
  <w:style w:type="paragraph" w:customStyle="1" w:styleId="656">
    <w:name w:val="样式 标题 3 + 左侧:  0 厘米 首行缩进:  0 厘米"/>
    <w:basedOn w:val="7"/>
    <w:qFormat/>
    <w:uiPriority w:val="0"/>
    <w:pPr>
      <w:autoSpaceDE w:val="0"/>
      <w:autoSpaceDN w:val="0"/>
      <w:adjustRightInd w:val="0"/>
      <w:snapToGrid w:val="0"/>
      <w:spacing w:before="0" w:after="0" w:line="500" w:lineRule="exact"/>
      <w:jc w:val="left"/>
      <w:textAlignment w:val="baseline"/>
    </w:pPr>
    <w:rPr>
      <w:rFonts w:ascii="Calibri" w:hAnsi="Calibri" w:eastAsia="仿宋_GB2312" w:cs="宋体"/>
      <w:b w:val="0"/>
      <w:bCs w:val="0"/>
      <w:kern w:val="0"/>
      <w:sz w:val="28"/>
      <w:szCs w:val="20"/>
    </w:rPr>
  </w:style>
  <w:style w:type="paragraph" w:customStyle="1" w:styleId="657">
    <w:name w:val="标题33"/>
    <w:basedOn w:val="52"/>
    <w:next w:val="7"/>
    <w:qFormat/>
    <w:uiPriority w:val="0"/>
    <w:pPr>
      <w:spacing w:after="0" w:line="500" w:lineRule="exact"/>
      <w:ind w:left="0" w:leftChars="0"/>
    </w:pPr>
    <w:rPr>
      <w:rFonts w:ascii="仿宋_GB2312" w:hAnsi="仿宋_GB2312" w:eastAsia="仿宋_GB2312" w:cs="宋体"/>
      <w:color w:val="000000"/>
      <w:sz w:val="28"/>
    </w:rPr>
  </w:style>
  <w:style w:type="paragraph" w:customStyle="1" w:styleId="658">
    <w:name w:val="font0"/>
    <w:basedOn w:val="1"/>
    <w:qFormat/>
    <w:uiPriority w:val="0"/>
    <w:pPr>
      <w:widowControl/>
      <w:spacing w:before="100" w:beforeAutospacing="1" w:after="100" w:afterAutospacing="1"/>
      <w:jc w:val="left"/>
    </w:pPr>
    <w:rPr>
      <w:rFonts w:hint="eastAsia" w:ascii="宋体" w:hAnsi="宋体" w:cs="宋体"/>
      <w:kern w:val="0"/>
      <w:sz w:val="24"/>
    </w:rPr>
  </w:style>
  <w:style w:type="paragraph" w:customStyle="1" w:styleId="659">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60">
    <w:name w:val="font10"/>
    <w:basedOn w:val="1"/>
    <w:qFormat/>
    <w:uiPriority w:val="0"/>
    <w:pPr>
      <w:widowControl/>
      <w:spacing w:before="100" w:beforeAutospacing="1" w:after="100" w:afterAutospacing="1"/>
      <w:jc w:val="left"/>
    </w:pPr>
    <w:rPr>
      <w:rFonts w:hint="eastAsia" w:ascii="宋体" w:hAnsi="宋体" w:cs="宋体"/>
      <w:kern w:val="0"/>
      <w:sz w:val="28"/>
      <w:szCs w:val="28"/>
    </w:rPr>
  </w:style>
  <w:style w:type="character" w:customStyle="1" w:styleId="661">
    <w:name w:val="hottext1"/>
    <w:qFormat/>
    <w:uiPriority w:val="0"/>
    <w:rPr>
      <w:rFonts w:ascii="宋体" w:hAnsi="宋体" w:eastAsia="宋体"/>
      <w:strike/>
      <w:kern w:val="2"/>
      <w:sz w:val="22"/>
      <w:szCs w:val="28"/>
      <w:u w:val="none"/>
      <w:lang w:val="en-US" w:eastAsia="zh-CN" w:bidi="ar-SA"/>
    </w:rPr>
  </w:style>
  <w:style w:type="paragraph" w:customStyle="1" w:styleId="662">
    <w:name w:val="黑点"/>
    <w:basedOn w:val="1"/>
    <w:qFormat/>
    <w:uiPriority w:val="0"/>
    <w:pPr>
      <w:tabs>
        <w:tab w:val="left" w:pos="425"/>
        <w:tab w:val="left" w:pos="600"/>
        <w:tab w:val="left" w:pos="2100"/>
      </w:tabs>
      <w:adjustRightInd w:val="0"/>
      <w:spacing w:line="360" w:lineRule="auto"/>
      <w:ind w:left="2100" w:hanging="425"/>
      <w:jc w:val="left"/>
      <w:textAlignment w:val="baseline"/>
    </w:pPr>
    <w:rPr>
      <w:rFonts w:ascii="宋体" w:hAnsi="宋体" w:cs="宋体"/>
      <w:color w:val="000000"/>
      <w:kern w:val="0"/>
      <w:sz w:val="24"/>
    </w:rPr>
  </w:style>
  <w:style w:type="paragraph" w:customStyle="1" w:styleId="663">
    <w:name w:val="样式 正文缩进正文（首行缩进两字） Char Char Char Char Char Char Char表格标题标题4文..."/>
    <w:basedOn w:val="6"/>
    <w:qFormat/>
    <w:uiPriority w:val="0"/>
    <w:pPr>
      <w:overflowPunct w:val="0"/>
      <w:spacing w:line="500" w:lineRule="exact"/>
      <w:textAlignment w:val="baseline"/>
    </w:pPr>
    <w:rPr>
      <w:rFonts w:ascii="Calibri" w:hAnsi="Calibri" w:cs="宋体"/>
      <w:color w:val="auto"/>
      <w:kern w:val="0"/>
      <w:szCs w:val="20"/>
    </w:rPr>
  </w:style>
  <w:style w:type="paragraph" w:customStyle="1" w:styleId="664">
    <w:name w:val="样式 样式 正文缩进正文（首行缩进两字） Char Char Char Char Char Char Char表格标题标题4文...."/>
    <w:basedOn w:val="663"/>
    <w:qFormat/>
    <w:uiPriority w:val="0"/>
  </w:style>
  <w:style w:type="paragraph" w:customStyle="1" w:styleId="665">
    <w:name w:val="样式 标题 4 + 行距: 多倍行距 1.3 字行"/>
    <w:basedOn w:val="8"/>
    <w:qFormat/>
    <w:uiPriority w:val="0"/>
    <w:pPr>
      <w:widowControl w:val="0"/>
      <w:tabs>
        <w:tab w:val="left" w:pos="1200"/>
        <w:tab w:val="clear" w:pos="1276"/>
      </w:tabs>
      <w:snapToGrid w:val="0"/>
      <w:spacing w:beforeLines="20" w:afterLines="20" w:line="300" w:lineRule="auto"/>
      <w:ind w:left="0" w:firstLine="0"/>
      <w:jc w:val="both"/>
    </w:pPr>
    <w:rPr>
      <w:rFonts w:ascii="仿宋_GB2312" w:eastAsia="仿宋_GB2312"/>
      <w:b w:val="0"/>
      <w:kern w:val="2"/>
      <w:sz w:val="28"/>
    </w:rPr>
  </w:style>
  <w:style w:type="paragraph" w:customStyle="1" w:styleId="666">
    <w:name w:val="正文编号"/>
    <w:basedOn w:val="1"/>
    <w:qFormat/>
    <w:uiPriority w:val="0"/>
    <w:pPr>
      <w:tabs>
        <w:tab w:val="left" w:pos="1200"/>
      </w:tabs>
      <w:adjustRightInd w:val="0"/>
      <w:spacing w:line="360" w:lineRule="auto"/>
      <w:ind w:left="1200" w:leftChars="400" w:hanging="360" w:hangingChars="200"/>
      <w:textAlignment w:val="baseline"/>
    </w:pPr>
    <w:rPr>
      <w:rFonts w:ascii="Arial" w:hAnsi="Arial" w:cs="宋体"/>
      <w:kern w:val="0"/>
      <w:sz w:val="24"/>
    </w:rPr>
  </w:style>
  <w:style w:type="paragraph" w:customStyle="1" w:styleId="667">
    <w:name w:val="样式 正文文本btBody Text(ch) + 仿宋_GB2312 五号"/>
    <w:basedOn w:val="35"/>
    <w:qFormat/>
    <w:uiPriority w:val="0"/>
    <w:pPr>
      <w:adjustRightInd w:val="0"/>
      <w:snapToGrid w:val="0"/>
      <w:spacing w:after="0" w:line="500" w:lineRule="exact"/>
    </w:pPr>
    <w:rPr>
      <w:rFonts w:ascii="仿宋_GB2312" w:hAnsi="仿宋_GB2312" w:cs="宋体"/>
      <w:sz w:val="28"/>
    </w:rPr>
  </w:style>
  <w:style w:type="paragraph" w:customStyle="1" w:styleId="668">
    <w:name w:val="lz正文"/>
    <w:basedOn w:val="1"/>
    <w:qFormat/>
    <w:uiPriority w:val="0"/>
    <w:pPr>
      <w:adjustRightInd w:val="0"/>
      <w:snapToGrid w:val="0"/>
      <w:spacing w:line="360" w:lineRule="auto"/>
      <w:ind w:firstLine="480" w:firstLineChars="200"/>
    </w:pPr>
    <w:rPr>
      <w:rFonts w:ascii="宋体" w:hAnsi="宋体" w:cs="宋体"/>
      <w:sz w:val="28"/>
      <w:szCs w:val="21"/>
    </w:rPr>
  </w:style>
  <w:style w:type="paragraph" w:customStyle="1" w:styleId="669">
    <w:name w:val="正文 居中"/>
    <w:basedOn w:val="1"/>
    <w:qFormat/>
    <w:uiPriority w:val="0"/>
    <w:pPr>
      <w:spacing w:before="48" w:after="48" w:line="360" w:lineRule="auto"/>
      <w:jc w:val="center"/>
    </w:pPr>
    <w:rPr>
      <w:rFonts w:ascii="宋体" w:hAnsi="宋体" w:cs="宋体"/>
      <w:bCs/>
      <w:snapToGrid w:val="0"/>
      <w:kern w:val="0"/>
      <w:sz w:val="24"/>
    </w:rPr>
  </w:style>
  <w:style w:type="paragraph" w:customStyle="1" w:styleId="670">
    <w:name w:val="表格居中"/>
    <w:basedOn w:val="1"/>
    <w:qFormat/>
    <w:uiPriority w:val="0"/>
    <w:pPr>
      <w:jc w:val="center"/>
    </w:pPr>
    <w:rPr>
      <w:rFonts w:ascii="宋体" w:hAnsi="宋体" w:cs="宋体"/>
      <w:bCs/>
      <w:snapToGrid w:val="0"/>
      <w:kern w:val="18"/>
      <w:szCs w:val="21"/>
      <w:u w:color="FF0000"/>
    </w:rPr>
  </w:style>
  <w:style w:type="paragraph" w:customStyle="1" w:styleId="671">
    <w:name w:val="表格两端对齐"/>
    <w:basedOn w:val="670"/>
    <w:qFormat/>
    <w:uiPriority w:val="0"/>
    <w:pPr>
      <w:spacing w:line="360" w:lineRule="auto"/>
    </w:pPr>
  </w:style>
  <w:style w:type="character" w:customStyle="1" w:styleId="672">
    <w:name w:val="font_141"/>
    <w:qFormat/>
    <w:uiPriority w:val="0"/>
    <w:rPr>
      <w:rFonts w:hint="default" w:ascii="ˎ̥" w:hAnsi="ˎ̥" w:eastAsia="宋体"/>
      <w:kern w:val="2"/>
      <w:sz w:val="21"/>
      <w:szCs w:val="21"/>
      <w:lang w:val="en-US" w:eastAsia="zh-CN" w:bidi="ar-SA"/>
    </w:rPr>
  </w:style>
  <w:style w:type="paragraph" w:customStyle="1" w:styleId="673">
    <w:name w:val="样式 仿宋_GB2312 小四 居中 行距: 最小值 12 磅"/>
    <w:basedOn w:val="1"/>
    <w:qFormat/>
    <w:uiPriority w:val="0"/>
    <w:pPr>
      <w:spacing w:line="400" w:lineRule="exact"/>
      <w:jc w:val="center"/>
    </w:pPr>
    <w:rPr>
      <w:rFonts w:ascii="仿宋_GB2312" w:hAnsi="宋体" w:cs="宋体"/>
    </w:rPr>
  </w:style>
  <w:style w:type="paragraph" w:customStyle="1" w:styleId="674">
    <w:name w:val="样式 标题 2节标题 1.1H2（一）Underrubrik1prop2Heading 2 HiddenHeadi..."/>
    <w:basedOn w:val="5"/>
    <w:qFormat/>
    <w:uiPriority w:val="0"/>
    <w:pPr>
      <w:widowControl w:val="0"/>
      <w:tabs>
        <w:tab w:val="clear" w:pos="1276"/>
      </w:tabs>
      <w:adjustRightInd w:val="0"/>
      <w:snapToGrid w:val="0"/>
      <w:spacing w:before="120" w:after="120" w:line="240" w:lineRule="auto"/>
      <w:ind w:left="0" w:firstLine="0"/>
      <w:jc w:val="both"/>
    </w:pPr>
    <w:rPr>
      <w:rFonts w:ascii="宋体" w:hAnsi="宋体" w:cs="宋体"/>
      <w:b/>
      <w:bCs/>
      <w:snapToGrid w:val="0"/>
      <w:kern w:val="2"/>
      <w:sz w:val="28"/>
      <w:szCs w:val="24"/>
    </w:rPr>
  </w:style>
  <w:style w:type="paragraph" w:customStyle="1" w:styleId="675">
    <w:name w:val="样式 宋体 四号 左 行距: 固定值 25 磅"/>
    <w:basedOn w:val="1"/>
    <w:qFormat/>
    <w:uiPriority w:val="0"/>
    <w:pPr>
      <w:spacing w:line="500" w:lineRule="exact"/>
      <w:ind w:firstLine="200" w:firstLineChars="200"/>
      <w:jc w:val="left"/>
    </w:pPr>
    <w:rPr>
      <w:rFonts w:ascii="宋体" w:hAnsi="宋体" w:cs="宋体"/>
      <w:sz w:val="28"/>
    </w:rPr>
  </w:style>
  <w:style w:type="paragraph" w:customStyle="1" w:styleId="676">
    <w:name w:val="样式 正文文本缩进正文文字缩进 + 四号 首行缩进:  2 字符 行距: 最小值 25 磅"/>
    <w:basedOn w:val="36"/>
    <w:qFormat/>
    <w:uiPriority w:val="0"/>
    <w:pPr>
      <w:spacing w:after="0" w:line="500" w:lineRule="exact"/>
      <w:ind w:left="0" w:leftChars="0" w:firstLine="200" w:firstLineChars="200"/>
    </w:pPr>
    <w:rPr>
      <w:rFonts w:ascii="Calibri" w:hAnsi="Calibri" w:cs="宋体"/>
      <w:sz w:val="28"/>
    </w:rPr>
  </w:style>
  <w:style w:type="paragraph" w:customStyle="1" w:styleId="677">
    <w:name w:val="样式 标题3 + Times New Roman"/>
    <w:basedOn w:val="524"/>
    <w:qFormat/>
    <w:uiPriority w:val="0"/>
    <w:pPr>
      <w:adjustRightInd w:val="0"/>
      <w:spacing w:line="500" w:lineRule="exact"/>
      <w:textAlignment w:val="baseline"/>
    </w:pPr>
    <w:rPr>
      <w:rFonts w:ascii="Times New Roman" w:hAnsi="Times New Roman" w:cs="Times New Roman"/>
      <w:b/>
      <w:sz w:val="28"/>
      <w:szCs w:val="20"/>
    </w:rPr>
  </w:style>
  <w:style w:type="paragraph" w:customStyle="1" w:styleId="678">
    <w:name w:val="样式 正文文本缩进正文文字缩进 + 行距: 单倍行距"/>
    <w:basedOn w:val="36"/>
    <w:qFormat/>
    <w:uiPriority w:val="0"/>
    <w:pPr>
      <w:spacing w:after="0"/>
      <w:ind w:left="0" w:leftChars="0" w:firstLine="480" w:firstLineChars="200"/>
    </w:pPr>
    <w:rPr>
      <w:rFonts w:ascii="Calibri" w:hAnsi="Calibri" w:cs="宋体"/>
      <w:sz w:val="28"/>
    </w:rPr>
  </w:style>
  <w:style w:type="paragraph" w:customStyle="1" w:styleId="679">
    <w:name w:val="样式 样式 正文文本缩进正文文字缩进 + 行距: 单倍行距 + 首行缩进:  2 字符"/>
    <w:basedOn w:val="678"/>
    <w:qFormat/>
    <w:uiPriority w:val="0"/>
    <w:pPr>
      <w:spacing w:line="500" w:lineRule="exact"/>
      <w:ind w:firstLine="200"/>
    </w:pPr>
  </w:style>
  <w:style w:type="paragraph" w:customStyle="1" w:styleId="680">
    <w:name w:val="样式 标题2 + (西文) Times New Roman (中文) 宋体 加粗"/>
    <w:basedOn w:val="5"/>
    <w:qFormat/>
    <w:uiPriority w:val="0"/>
    <w:pPr>
      <w:keepNext w:val="0"/>
      <w:keepLines w:val="0"/>
      <w:widowControl w:val="0"/>
      <w:tabs>
        <w:tab w:val="clear" w:pos="1276"/>
      </w:tabs>
      <w:spacing w:beforeLines="50" w:afterLines="50" w:line="500" w:lineRule="exact"/>
      <w:ind w:left="0" w:firstLine="0"/>
      <w:jc w:val="both"/>
      <w:outlineLvl w:val="0"/>
    </w:pPr>
    <w:rPr>
      <w:rFonts w:ascii="Calibri" w:hAnsi="Calibri" w:cs="宋体"/>
      <w:b/>
      <w:bCs/>
      <w:kern w:val="2"/>
      <w:sz w:val="28"/>
      <w:szCs w:val="24"/>
    </w:rPr>
  </w:style>
  <w:style w:type="paragraph" w:customStyle="1" w:styleId="681">
    <w:name w:val="样式 正文文本缩进正文文字缩进正文文字 21正文文字( 首段缩进两字） + (中文) 宋体 五号 居中 行距: 固定..."/>
    <w:basedOn w:val="36"/>
    <w:qFormat/>
    <w:uiPriority w:val="0"/>
    <w:pPr>
      <w:spacing w:after="0" w:line="400" w:lineRule="exact"/>
      <w:ind w:left="0" w:leftChars="0"/>
      <w:jc w:val="center"/>
    </w:pPr>
    <w:rPr>
      <w:rFonts w:ascii="Calibri" w:hAnsi="Calibri" w:cs="宋体"/>
      <w:sz w:val="24"/>
    </w:rPr>
  </w:style>
  <w:style w:type="paragraph" w:customStyle="1" w:styleId="682">
    <w:name w:val="样式 列表 2 + 宋体 小四 行距: 固定值 19 磅"/>
    <w:basedOn w:val="38"/>
    <w:qFormat/>
    <w:uiPriority w:val="0"/>
    <w:pPr>
      <w:widowControl w:val="0"/>
      <w:spacing w:line="400" w:lineRule="exact"/>
      <w:ind w:left="0" w:leftChars="0" w:firstLine="0" w:firstLineChars="0"/>
      <w:contextualSpacing w:val="0"/>
      <w:jc w:val="center"/>
    </w:pPr>
    <w:rPr>
      <w:rFonts w:ascii="宋体" w:hAnsi="宋体" w:cs="宋体"/>
      <w:kern w:val="2"/>
      <w:sz w:val="24"/>
      <w:szCs w:val="24"/>
    </w:rPr>
  </w:style>
  <w:style w:type="paragraph" w:customStyle="1" w:styleId="683">
    <w:name w:val="项目1"/>
    <w:basedOn w:val="1"/>
    <w:qFormat/>
    <w:uiPriority w:val="0"/>
    <w:pPr>
      <w:tabs>
        <w:tab w:val="left" w:pos="425"/>
      </w:tabs>
      <w:snapToGrid w:val="0"/>
      <w:spacing w:line="0" w:lineRule="atLeast"/>
      <w:ind w:left="425" w:hanging="425"/>
    </w:pPr>
    <w:rPr>
      <w:rFonts w:ascii="宋体" w:hAnsi="宋体" w:cs="宋体"/>
      <w:sz w:val="28"/>
    </w:rPr>
  </w:style>
  <w:style w:type="paragraph" w:customStyle="1" w:styleId="684">
    <w:name w:val="样式 标题1 + 段前: 6 磅 段后: 6 磅"/>
    <w:basedOn w:val="209"/>
    <w:qFormat/>
    <w:uiPriority w:val="0"/>
    <w:pPr>
      <w:keepNext/>
      <w:keepLines/>
      <w:tabs>
        <w:tab w:val="clear" w:pos="9193"/>
        <w:tab w:val="clear" w:pos="9827"/>
      </w:tabs>
      <w:autoSpaceDE/>
      <w:autoSpaceDN/>
      <w:snapToGrid/>
      <w:spacing w:before="120" w:after="120" w:line="500" w:lineRule="exact"/>
      <w:jc w:val="both"/>
      <w:outlineLvl w:val="0"/>
    </w:pPr>
    <w:rPr>
      <w:rFonts w:eastAsia="黑体"/>
      <w:b/>
      <w:bCs/>
      <w:snapToGrid/>
      <w:kern w:val="44"/>
      <w:sz w:val="30"/>
    </w:rPr>
  </w:style>
  <w:style w:type="paragraph" w:customStyle="1" w:styleId="685">
    <w:name w:val="样式 样式 标题2 + (西文) Times New Roman (中文) 宋体 加粗 + 段前: 0.5 行 段后: 0.5..."/>
    <w:basedOn w:val="680"/>
    <w:qFormat/>
    <w:uiPriority w:val="0"/>
    <w:pPr/>
    <w:rPr>
      <w:rFonts w:eastAsia="仿宋_GB2312"/>
    </w:rPr>
  </w:style>
  <w:style w:type="paragraph" w:customStyle="1" w:styleId="686">
    <w:name w:val="样式 标题 1h1H1PIM 1标书11.标题 1Section HeadHeader11st levell1..."/>
    <w:basedOn w:val="4"/>
    <w:qFormat/>
    <w:uiPriority w:val="0"/>
    <w:pPr>
      <w:keepLines/>
      <w:widowControl w:val="0"/>
      <w:numPr>
        <w:numId w:val="0"/>
      </w:numPr>
      <w:spacing w:before="240" w:after="240" w:line="500" w:lineRule="exact"/>
      <w:ind w:right="210"/>
      <w:jc w:val="both"/>
    </w:pPr>
    <w:rPr>
      <w:rFonts w:ascii="Calibri" w:hAnsi="Calibri" w:eastAsia="黑体"/>
      <w:b/>
      <w:bCs/>
      <w:color w:val="000000"/>
      <w:kern w:val="44"/>
      <w:sz w:val="30"/>
      <w:szCs w:val="20"/>
    </w:rPr>
  </w:style>
  <w:style w:type="paragraph" w:customStyle="1" w:styleId="687">
    <w:name w:val="样式 标题 2第一章 标题 2Heading 2 HiddenHeading 2 CCBSheading 2H2h2..."/>
    <w:basedOn w:val="5"/>
    <w:qFormat/>
    <w:uiPriority w:val="0"/>
    <w:pPr>
      <w:widowControl w:val="0"/>
      <w:tabs>
        <w:tab w:val="clear" w:pos="1276"/>
      </w:tabs>
      <w:spacing w:before="120" w:after="120" w:line="500" w:lineRule="exact"/>
      <w:ind w:left="0" w:firstLine="0"/>
      <w:jc w:val="both"/>
    </w:pPr>
    <w:rPr>
      <w:rFonts w:ascii="Calibri" w:hAnsi="Calibri" w:eastAsia="仿宋_GB2312" w:cs="宋体"/>
      <w:b/>
      <w:bCs/>
      <w:color w:val="000000"/>
      <w:kern w:val="44"/>
      <w:sz w:val="28"/>
      <w:szCs w:val="32"/>
    </w:rPr>
  </w:style>
  <w:style w:type="paragraph" w:customStyle="1" w:styleId="688">
    <w:name w:val="样式 (西文) 宋体 段前: 6 磅 段后: 6 磅"/>
    <w:basedOn w:val="1"/>
    <w:qFormat/>
    <w:uiPriority w:val="0"/>
    <w:pPr>
      <w:spacing w:before="120" w:after="120" w:line="500" w:lineRule="exact"/>
    </w:pPr>
    <w:rPr>
      <w:rFonts w:ascii="宋体" w:hAnsi="宋体" w:eastAsia="仿宋_GB2312" w:cs="宋体"/>
      <w:sz w:val="28"/>
    </w:rPr>
  </w:style>
  <w:style w:type="paragraph" w:customStyle="1" w:styleId="689">
    <w:name w:val="样式 标题 2第一章 标题 2Heading 2 HiddenHeading 2 CCBSheading 2H2h2...1"/>
    <w:basedOn w:val="5"/>
    <w:qFormat/>
    <w:uiPriority w:val="0"/>
    <w:pPr>
      <w:widowControl w:val="0"/>
      <w:tabs>
        <w:tab w:val="clear" w:pos="1276"/>
      </w:tabs>
      <w:spacing w:before="120" w:after="120" w:line="500" w:lineRule="exact"/>
      <w:ind w:left="0" w:firstLine="0"/>
      <w:jc w:val="both"/>
    </w:pPr>
    <w:rPr>
      <w:rFonts w:ascii="Calibri" w:hAnsi="Calibri" w:eastAsia="仿宋_GB2312" w:cs="宋体"/>
      <w:b/>
      <w:bCs/>
      <w:kern w:val="2"/>
      <w:sz w:val="28"/>
      <w:szCs w:val="24"/>
    </w:rPr>
  </w:style>
  <w:style w:type="paragraph" w:customStyle="1" w:styleId="690">
    <w:name w:val="样式 标题 2第一章 标题 2Heading 2 HiddenHeading 2 CCBSheading 2H2h2...2"/>
    <w:basedOn w:val="5"/>
    <w:qFormat/>
    <w:uiPriority w:val="0"/>
    <w:pPr>
      <w:widowControl w:val="0"/>
      <w:tabs>
        <w:tab w:val="clear" w:pos="1276"/>
      </w:tabs>
      <w:spacing w:before="120" w:after="120" w:line="500" w:lineRule="exact"/>
      <w:ind w:left="0" w:firstLine="0"/>
      <w:jc w:val="both"/>
    </w:pPr>
    <w:rPr>
      <w:rFonts w:ascii="Calibri" w:hAnsi="Calibri" w:eastAsia="仿宋_GB2312" w:cs="宋体"/>
      <w:b/>
      <w:bCs/>
      <w:color w:val="000000"/>
      <w:kern w:val="2"/>
      <w:sz w:val="28"/>
      <w:szCs w:val="32"/>
    </w:rPr>
  </w:style>
  <w:style w:type="paragraph" w:customStyle="1" w:styleId="691">
    <w:name w:val="样式 样式 样式 标题2 + (西文) Times New Roman (中文) 宋体 加粗 + 段前: 0.5 行 段后: 0..."/>
    <w:basedOn w:val="685"/>
    <w:qFormat/>
    <w:uiPriority w:val="0"/>
    <w:pPr/>
    <w:rPr>
      <w:color w:val="000000"/>
    </w:rPr>
  </w:style>
  <w:style w:type="paragraph" w:customStyle="1" w:styleId="692">
    <w:name w:val="样式 标题 2第一章 标题 2Heading 2 HiddenHeading 2 CCBSheading 2H2h2...3"/>
    <w:basedOn w:val="5"/>
    <w:qFormat/>
    <w:uiPriority w:val="0"/>
    <w:pPr>
      <w:widowControl w:val="0"/>
      <w:tabs>
        <w:tab w:val="clear" w:pos="1276"/>
      </w:tabs>
      <w:spacing w:before="120" w:after="120" w:line="500" w:lineRule="exact"/>
      <w:ind w:left="0" w:firstLine="0"/>
      <w:jc w:val="both"/>
    </w:pPr>
    <w:rPr>
      <w:rFonts w:ascii="Calibri" w:hAnsi="Calibri" w:eastAsia="仿宋_GB2312" w:cs="宋体"/>
      <w:b/>
      <w:bCs/>
      <w:kern w:val="2"/>
      <w:sz w:val="28"/>
      <w:szCs w:val="24"/>
    </w:rPr>
  </w:style>
  <w:style w:type="paragraph" w:customStyle="1" w:styleId="693">
    <w:name w:val="样式 标题 2第一章 标题 2Heading 2 HiddenHeading 2 CCBSheading 2H2h2...4"/>
    <w:basedOn w:val="5"/>
    <w:qFormat/>
    <w:uiPriority w:val="0"/>
    <w:pPr>
      <w:widowControl w:val="0"/>
      <w:tabs>
        <w:tab w:val="clear" w:pos="1276"/>
      </w:tabs>
      <w:spacing w:before="120" w:after="120" w:line="500" w:lineRule="exact"/>
      <w:ind w:left="0" w:firstLine="0"/>
      <w:jc w:val="both"/>
    </w:pPr>
    <w:rPr>
      <w:rFonts w:ascii="Calibri" w:hAnsi="Calibri" w:eastAsia="仿宋_GB2312" w:cs="宋体"/>
      <w:b/>
      <w:bCs/>
      <w:color w:val="000000"/>
      <w:kern w:val="2"/>
      <w:sz w:val="28"/>
      <w:szCs w:val="32"/>
    </w:rPr>
  </w:style>
  <w:style w:type="paragraph" w:customStyle="1" w:styleId="694">
    <w:name w:val="样式 标题 1h1H1PIM 1标书11.标题 1Section HeadHeader11st levell1...1"/>
    <w:basedOn w:val="4"/>
    <w:link w:val="695"/>
    <w:qFormat/>
    <w:uiPriority w:val="0"/>
    <w:pPr>
      <w:keepLines/>
      <w:widowControl w:val="0"/>
      <w:numPr>
        <w:numId w:val="0"/>
      </w:numPr>
      <w:spacing w:before="120" w:after="120" w:line="500" w:lineRule="exact"/>
      <w:jc w:val="both"/>
    </w:pPr>
    <w:rPr>
      <w:rFonts w:ascii="Calibri" w:hAnsi="Calibri" w:eastAsia="黑体"/>
      <w:b/>
      <w:bCs/>
      <w:kern w:val="44"/>
      <w:sz w:val="30"/>
      <w:szCs w:val="44"/>
    </w:rPr>
  </w:style>
  <w:style w:type="character" w:customStyle="1" w:styleId="695">
    <w:name w:val="样式 标题 1h1H1PIM 1标书11.标题 1Section HeadHeader11st levell1...1 Char"/>
    <w:link w:val="694"/>
    <w:qFormat/>
    <w:uiPriority w:val="0"/>
    <w:rPr>
      <w:rFonts w:ascii="Calibri" w:hAnsi="Calibri" w:eastAsia="黑体" w:cs="宋体"/>
      <w:b/>
      <w:bCs/>
      <w:kern w:val="44"/>
      <w:sz w:val="30"/>
      <w:szCs w:val="44"/>
    </w:rPr>
  </w:style>
  <w:style w:type="character" w:customStyle="1" w:styleId="696">
    <w:name w:val="p141"/>
    <w:qFormat/>
    <w:uiPriority w:val="0"/>
    <w:rPr>
      <w:rFonts w:eastAsia="宋体"/>
      <w:b/>
      <w:bCs/>
      <w:color w:val="FF9900"/>
      <w:kern w:val="2"/>
      <w:sz w:val="20"/>
      <w:szCs w:val="20"/>
      <w:lang w:val="en-US" w:eastAsia="zh-CN" w:bidi="ar-SA"/>
    </w:rPr>
  </w:style>
  <w:style w:type="character" w:customStyle="1" w:styleId="697">
    <w:name w:val="font141"/>
    <w:qFormat/>
    <w:uiPriority w:val="0"/>
    <w:rPr>
      <w:rFonts w:hint="default" w:eastAsia="宋体"/>
      <w:color w:val="000000"/>
      <w:kern w:val="2"/>
      <w:sz w:val="18"/>
      <w:szCs w:val="28"/>
      <w:lang w:val="en-US" w:eastAsia="zh-CN" w:bidi="ar-SA"/>
    </w:rPr>
  </w:style>
  <w:style w:type="character" w:customStyle="1" w:styleId="698">
    <w:name w:val="标题1 Char"/>
    <w:qFormat/>
    <w:uiPriority w:val="0"/>
    <w:rPr>
      <w:rFonts w:ascii="黑体" w:eastAsia="宋体"/>
      <w:b/>
      <w:kern w:val="44"/>
      <w:sz w:val="28"/>
      <w:szCs w:val="28"/>
      <w:lang w:val="en-US" w:eastAsia="zh-CN" w:bidi="ar-SA"/>
    </w:rPr>
  </w:style>
  <w:style w:type="character" w:customStyle="1" w:styleId="699">
    <w:name w:val="text"/>
    <w:qFormat/>
    <w:uiPriority w:val="0"/>
    <w:rPr>
      <w:rFonts w:eastAsia="宋体"/>
      <w:kern w:val="2"/>
      <w:sz w:val="28"/>
      <w:szCs w:val="28"/>
      <w:lang w:val="en-US" w:eastAsia="zh-CN" w:bidi="ar-SA"/>
    </w:rPr>
  </w:style>
  <w:style w:type="paragraph" w:customStyle="1" w:styleId="700">
    <w:name w:val="小四居中行1"/>
    <w:basedOn w:val="1"/>
    <w:qFormat/>
    <w:uiPriority w:val="0"/>
    <w:pPr>
      <w:ind w:left="140"/>
      <w:jc w:val="center"/>
    </w:pPr>
    <w:rPr>
      <w:rFonts w:ascii="宋体" w:hAnsi="宋体" w:eastAsia="仿宋_GB2312" w:cs="宋体"/>
      <w:sz w:val="24"/>
    </w:rPr>
  </w:style>
  <w:style w:type="paragraph" w:customStyle="1" w:styleId="701">
    <w:name w:val="小4仿宋居中行1"/>
    <w:qFormat/>
    <w:uiPriority w:val="0"/>
    <w:pPr>
      <w:widowControl w:val="0"/>
      <w:ind w:left="-573" w:right="-59" w:firstLine="494"/>
      <w:jc w:val="center"/>
    </w:pPr>
    <w:rPr>
      <w:rFonts w:ascii="Times New Roman" w:hAnsi="Times New Roman" w:eastAsia="仿宋_GB2312" w:cs="Times New Roman"/>
      <w:sz w:val="24"/>
      <w:lang w:val="en-US" w:eastAsia="zh-CN" w:bidi="ar-SA"/>
    </w:rPr>
  </w:style>
  <w:style w:type="paragraph" w:customStyle="1" w:styleId="702">
    <w:name w:val="样式 表格标题 + 段前: 0.5 行"/>
    <w:basedOn w:val="6"/>
    <w:qFormat/>
    <w:uiPriority w:val="0"/>
    <w:pPr>
      <w:autoSpaceDE w:val="0"/>
      <w:autoSpaceDN w:val="0"/>
      <w:snapToGrid/>
      <w:spacing w:before="120" w:line="400" w:lineRule="exact"/>
      <w:ind w:firstLine="0" w:firstLineChars="0"/>
      <w:jc w:val="center"/>
    </w:pPr>
    <w:rPr>
      <w:rFonts w:ascii="宋体" w:hAnsi="Calibri" w:eastAsia="黑体" w:cs="宋体"/>
      <w:color w:val="auto"/>
      <w:sz w:val="24"/>
      <w:szCs w:val="20"/>
      <w:lang w:val="zh-CN"/>
    </w:rPr>
  </w:style>
  <w:style w:type="paragraph" w:customStyle="1" w:styleId="703">
    <w:name w:val="gb1"/>
    <w:basedOn w:val="1"/>
    <w:qFormat/>
    <w:uiPriority w:val="0"/>
    <w:pPr>
      <w:widowControl/>
      <w:tabs>
        <w:tab w:val="left" w:pos="227"/>
      </w:tabs>
      <w:overflowPunct w:val="0"/>
      <w:autoSpaceDE w:val="0"/>
      <w:autoSpaceDN w:val="0"/>
      <w:adjustRightInd w:val="0"/>
      <w:spacing w:before="120" w:after="120"/>
      <w:jc w:val="left"/>
      <w:textAlignment w:val="baseline"/>
    </w:pPr>
    <w:rPr>
      <w:rFonts w:ascii="Arial" w:hAnsi="Arial" w:eastAsia="仿宋体" w:cs="宋体"/>
      <w:kern w:val="0"/>
      <w:sz w:val="24"/>
    </w:rPr>
  </w:style>
  <w:style w:type="paragraph" w:customStyle="1" w:styleId="704">
    <w:name w:val="公式"/>
    <w:qFormat/>
    <w:uiPriority w:val="0"/>
    <w:pPr>
      <w:widowControl w:val="0"/>
      <w:jc w:val="center"/>
    </w:pPr>
    <w:rPr>
      <w:rFonts w:ascii="Times New Roman" w:hAnsi="Times New Roman" w:eastAsia="宋体" w:cs="Times New Roman"/>
      <w:position w:val="-36"/>
      <w:sz w:val="30"/>
      <w:lang w:val="en-US" w:eastAsia="zh-CN" w:bidi="ar-SA"/>
    </w:rPr>
  </w:style>
  <w:style w:type="paragraph" w:customStyle="1" w:styleId="705">
    <w:name w:val="小四居左"/>
    <w:qFormat/>
    <w:uiPriority w:val="0"/>
    <w:pPr>
      <w:adjustRightInd w:val="0"/>
      <w:snapToGrid w:val="0"/>
    </w:pPr>
    <w:rPr>
      <w:rFonts w:ascii="Times New Roman" w:hAnsi="Times New Roman" w:eastAsia="仿宋_GB2312" w:cs="Times New Roman"/>
      <w:sz w:val="24"/>
      <w:lang w:val="en-US" w:eastAsia="zh-CN" w:bidi="ar-SA"/>
    </w:rPr>
  </w:style>
  <w:style w:type="paragraph" w:customStyle="1" w:styleId="706">
    <w:name w:val="样式 标题 2节 + (符号) Arial Black 小四"/>
    <w:basedOn w:val="7"/>
    <w:qFormat/>
    <w:uiPriority w:val="0"/>
    <w:pPr>
      <w:spacing w:before="0" w:after="0" w:line="360" w:lineRule="auto"/>
    </w:pPr>
    <w:rPr>
      <w:rFonts w:ascii="宋体" w:hAnsi="Arial Black" w:eastAsia="仿宋_GB2312" w:cs="宋体"/>
      <w:b w:val="0"/>
      <w:bCs w:val="0"/>
      <w:kern w:val="21"/>
      <w:sz w:val="28"/>
      <w:szCs w:val="20"/>
    </w:rPr>
  </w:style>
  <w:style w:type="paragraph" w:customStyle="1" w:styleId="707">
    <w:name w:val="样式 标题 1 + 加粗"/>
    <w:basedOn w:val="4"/>
    <w:qFormat/>
    <w:uiPriority w:val="0"/>
    <w:pPr>
      <w:keepLines/>
      <w:widowControl w:val="0"/>
      <w:numPr>
        <w:numId w:val="0"/>
      </w:numPr>
      <w:tabs>
        <w:tab w:val="left" w:pos="1400"/>
      </w:tabs>
      <w:ind w:left="1400" w:hanging="420"/>
      <w:jc w:val="both"/>
    </w:pPr>
    <w:rPr>
      <w:rFonts w:ascii="黑体" w:hAnsi="Arial Black" w:eastAsia="黑体"/>
      <w:kern w:val="44"/>
      <w:szCs w:val="20"/>
    </w:rPr>
  </w:style>
  <w:style w:type="paragraph" w:customStyle="1" w:styleId="708">
    <w:name w:val="样式 标题 2"/>
    <w:basedOn w:val="7"/>
    <w:qFormat/>
    <w:uiPriority w:val="0"/>
    <w:pPr>
      <w:spacing w:before="0" w:after="0" w:line="360" w:lineRule="auto"/>
    </w:pPr>
    <w:rPr>
      <w:rFonts w:ascii="仿宋_GB2312" w:hAnsi="仿宋_GB2312" w:eastAsia="仿宋_GB2312" w:cs="宋体"/>
      <w:b w:val="0"/>
      <w:bCs w:val="0"/>
      <w:kern w:val="21"/>
      <w:sz w:val="28"/>
      <w:szCs w:val="20"/>
    </w:rPr>
  </w:style>
  <w:style w:type="paragraph" w:customStyle="1" w:styleId="709">
    <w:name w:val="表格标题1"/>
    <w:basedOn w:val="66"/>
    <w:qFormat/>
    <w:uiPriority w:val="0"/>
    <w:pPr>
      <w:spacing w:before="50" w:line="400" w:lineRule="exact"/>
      <w:ind w:left="0" w:firstLine="0" w:firstLineChars="0"/>
      <w:contextualSpacing w:val="0"/>
      <w:jc w:val="center"/>
    </w:pPr>
    <w:rPr>
      <w:rFonts w:ascii="黑体" w:hAnsi="宋体" w:eastAsia="黑体" w:cs="宋体"/>
      <w:sz w:val="24"/>
    </w:rPr>
  </w:style>
  <w:style w:type="paragraph" w:customStyle="1" w:styleId="710">
    <w:name w:val="图框文"/>
    <w:basedOn w:val="1"/>
    <w:qFormat/>
    <w:uiPriority w:val="0"/>
    <w:pPr>
      <w:kinsoku w:val="0"/>
      <w:wordWrap w:val="0"/>
      <w:overflowPunct w:val="0"/>
      <w:autoSpaceDE w:val="0"/>
      <w:autoSpaceDN w:val="0"/>
      <w:spacing w:line="0" w:lineRule="atLeast"/>
      <w:jc w:val="center"/>
    </w:pPr>
    <w:rPr>
      <w:rFonts w:ascii="仿宋_GB2312" w:hAnsi="宋体" w:eastAsia="仿宋_GB2312" w:cs="宋体"/>
      <w:sz w:val="24"/>
    </w:rPr>
  </w:style>
  <w:style w:type="paragraph" w:customStyle="1" w:styleId="711">
    <w:name w:val="样式 样式 表格标题 + 段前: 0.5 行 + 段前: 0.5 行1"/>
    <w:basedOn w:val="1"/>
    <w:qFormat/>
    <w:uiPriority w:val="0"/>
    <w:pPr>
      <w:tabs>
        <w:tab w:val="left" w:pos="6480"/>
      </w:tabs>
      <w:autoSpaceDE w:val="0"/>
      <w:autoSpaceDN w:val="0"/>
      <w:adjustRightInd w:val="0"/>
      <w:spacing w:before="156" w:line="400" w:lineRule="exact"/>
      <w:jc w:val="center"/>
    </w:pPr>
    <w:rPr>
      <w:rFonts w:ascii="宋体" w:hAnsi="宋体" w:cs="宋体"/>
      <w:sz w:val="28"/>
      <w:lang w:val="zh-CN"/>
    </w:rPr>
  </w:style>
  <w:style w:type="paragraph" w:customStyle="1" w:styleId="712">
    <w:name w:val="xl45"/>
    <w:basedOn w:val="1"/>
    <w:qFormat/>
    <w:uiPriority w:val="0"/>
    <w:pPr>
      <w:widowControl/>
      <w:pBdr>
        <w:left w:val="single" w:color="auto" w:sz="4" w:space="0"/>
        <w:bottom w:val="single" w:color="auto" w:sz="4" w:space="0"/>
      </w:pBdr>
      <w:spacing w:before="100" w:after="100"/>
      <w:jc w:val="center"/>
    </w:pPr>
    <w:rPr>
      <w:rFonts w:hint="eastAsia" w:ascii="宋体" w:hAnsi="宋体" w:cs="宋体"/>
      <w:kern w:val="0"/>
      <w:sz w:val="24"/>
    </w:rPr>
  </w:style>
  <w:style w:type="paragraph" w:customStyle="1" w:styleId="713">
    <w:name w:val="小五表文"/>
    <w:qFormat/>
    <w:uiPriority w:val="0"/>
    <w:pPr>
      <w:widowControl w:val="0"/>
      <w:jc w:val="center"/>
    </w:pPr>
    <w:rPr>
      <w:rFonts w:ascii="Times New Roman" w:hAnsi="Times New Roman" w:eastAsia="宋体" w:cs="Times New Roman"/>
      <w:sz w:val="21"/>
      <w:lang w:val="en-US" w:eastAsia="zh-CN" w:bidi="ar-SA"/>
    </w:rPr>
  </w:style>
  <w:style w:type="paragraph" w:customStyle="1" w:styleId="714">
    <w:name w:val="PP 行"/>
    <w:basedOn w:val="58"/>
    <w:qFormat/>
    <w:uiPriority w:val="0"/>
    <w:pPr>
      <w:widowControl w:val="0"/>
      <w:jc w:val="both"/>
    </w:pPr>
    <w:rPr>
      <w:kern w:val="2"/>
      <w:sz w:val="21"/>
    </w:rPr>
  </w:style>
  <w:style w:type="paragraph" w:customStyle="1" w:styleId="715">
    <w:name w:val="表中"/>
    <w:basedOn w:val="1"/>
    <w:qFormat/>
    <w:uiPriority w:val="0"/>
    <w:pPr>
      <w:jc w:val="center"/>
    </w:pPr>
    <w:rPr>
      <w:rFonts w:hint="eastAsia" w:ascii="宋体" w:hAnsi="宋体" w:cs="宋体"/>
      <w:lang w:val="en-GB"/>
    </w:rPr>
  </w:style>
  <w:style w:type="paragraph" w:customStyle="1" w:styleId="716">
    <w:name w:val="內文1階"/>
    <w:basedOn w:val="1"/>
    <w:qFormat/>
    <w:uiPriority w:val="0"/>
    <w:pPr>
      <w:tabs>
        <w:tab w:val="left" w:pos="425"/>
        <w:tab w:val="left" w:pos="680"/>
      </w:tabs>
      <w:ind w:left="680" w:hanging="680"/>
      <w:jc w:val="left"/>
    </w:pPr>
    <w:rPr>
      <w:rFonts w:ascii="宋体" w:hAnsi="宋体" w:eastAsia="PMingLiU" w:cs="宋体"/>
      <w:sz w:val="24"/>
      <w:lang w:eastAsia="zh-TW"/>
    </w:rPr>
  </w:style>
  <w:style w:type="paragraph" w:customStyle="1" w:styleId="717">
    <w:name w:val="小四宋左齐1.5"/>
    <w:basedOn w:val="1"/>
    <w:qFormat/>
    <w:uiPriority w:val="0"/>
    <w:pPr>
      <w:spacing w:line="360" w:lineRule="auto"/>
      <w:jc w:val="center"/>
    </w:pPr>
    <w:rPr>
      <w:rFonts w:ascii="宋体" w:hAnsi="宋体" w:cs="宋体"/>
      <w:sz w:val="18"/>
    </w:rPr>
  </w:style>
  <w:style w:type="paragraph" w:customStyle="1" w:styleId="718">
    <w:name w:val="5号表文"/>
    <w:qFormat/>
    <w:uiPriority w:val="0"/>
    <w:pPr>
      <w:kinsoku w:val="0"/>
      <w:jc w:val="both"/>
    </w:pPr>
    <w:rPr>
      <w:rFonts w:ascii="Times New Roman" w:hAnsi="Times New Roman" w:eastAsia="宋体" w:cs="Times New Roman"/>
      <w:snapToGrid w:val="0"/>
      <w:sz w:val="21"/>
      <w:lang w:val="en-US" w:eastAsia="zh-CN" w:bidi="ar-SA"/>
    </w:rPr>
  </w:style>
  <w:style w:type="paragraph" w:customStyle="1" w:styleId="719">
    <w:name w:val="样式 表格文字 + 仿宋_GB2312"/>
    <w:basedOn w:val="199"/>
    <w:qFormat/>
    <w:uiPriority w:val="0"/>
    <w:pPr>
      <w:widowControl w:val="0"/>
      <w:tabs>
        <w:tab w:val="left" w:pos="-66"/>
        <w:tab w:val="left" w:pos="425"/>
        <w:tab w:val="left" w:pos="600"/>
        <w:tab w:val="left" w:pos="2100"/>
      </w:tabs>
      <w:adjustRightInd w:val="0"/>
      <w:spacing w:line="400" w:lineRule="exact"/>
      <w:ind w:firstLine="57"/>
      <w:textAlignment w:val="baseline"/>
    </w:pPr>
    <w:rPr>
      <w:rFonts w:hAnsi="Times New Roman"/>
      <w:kern w:val="0"/>
      <w:sz w:val="21"/>
    </w:rPr>
  </w:style>
  <w:style w:type="paragraph" w:customStyle="1" w:styleId="720">
    <w:name w:val="样式 报告书表格 + 仿宋_GB2312"/>
    <w:basedOn w:val="301"/>
    <w:qFormat/>
    <w:uiPriority w:val="0"/>
    <w:pPr>
      <w:spacing w:before="0" w:after="0" w:line="360" w:lineRule="exact"/>
      <w:ind w:firstLine="480" w:firstLineChars="200"/>
    </w:pPr>
    <w:rPr>
      <w:rFonts w:ascii="仿宋_GB2312"/>
      <w:color w:val="000000"/>
      <w:kern w:val="0"/>
      <w:szCs w:val="21"/>
    </w:rPr>
  </w:style>
  <w:style w:type="paragraph" w:customStyle="1" w:styleId="721">
    <w:name w:val="样式 (西文) 宋体"/>
    <w:basedOn w:val="1"/>
    <w:qFormat/>
    <w:uiPriority w:val="0"/>
    <w:pPr>
      <w:spacing w:line="500" w:lineRule="exact"/>
      <w:ind w:firstLine="560" w:firstLineChars="200"/>
    </w:pPr>
    <w:rPr>
      <w:rFonts w:ascii="宋体" w:hAnsi="宋体" w:eastAsia="仿宋_GB2312" w:cs="宋体"/>
      <w:sz w:val="28"/>
    </w:rPr>
  </w:style>
  <w:style w:type="paragraph" w:customStyle="1" w:styleId="722">
    <w:name w:val="样式 标题 1H1Section HeadHeader1h11st levell1Heading 0Fab-1..."/>
    <w:basedOn w:val="4"/>
    <w:qFormat/>
    <w:uiPriority w:val="0"/>
    <w:pPr>
      <w:keepLines/>
      <w:widowControl w:val="0"/>
      <w:numPr>
        <w:numId w:val="0"/>
      </w:numPr>
      <w:spacing w:before="340" w:after="330" w:line="498" w:lineRule="exact"/>
      <w:jc w:val="both"/>
    </w:pPr>
    <w:rPr>
      <w:rFonts w:ascii="黑体" w:eastAsia="黑体"/>
      <w:b/>
      <w:bCs/>
      <w:kern w:val="44"/>
      <w:szCs w:val="20"/>
    </w:rPr>
  </w:style>
  <w:style w:type="paragraph" w:customStyle="1" w:styleId="723">
    <w:name w:val="表后文"/>
    <w:basedOn w:val="1"/>
    <w:qFormat/>
    <w:uiPriority w:val="0"/>
    <w:pPr>
      <w:adjustRightInd w:val="0"/>
      <w:spacing w:before="120" w:line="400" w:lineRule="exact"/>
      <w:ind w:firstLine="601"/>
      <w:textAlignment w:val="baseline"/>
    </w:pPr>
    <w:rPr>
      <w:rFonts w:ascii="宋体" w:hAnsi="宋体" w:eastAsia="楷体_GB2312" w:cs="宋体"/>
      <w:spacing w:val="8"/>
      <w:kern w:val="0"/>
      <w:sz w:val="28"/>
    </w:rPr>
  </w:style>
  <w:style w:type="paragraph" w:customStyle="1" w:styleId="724">
    <w:name w:val="表头文字"/>
    <w:basedOn w:val="1"/>
    <w:qFormat/>
    <w:uiPriority w:val="0"/>
    <w:pPr>
      <w:topLinePunct/>
      <w:spacing w:before="60" w:after="60"/>
      <w:jc w:val="center"/>
    </w:pPr>
    <w:rPr>
      <w:rFonts w:ascii="宋体" w:hAnsi="宋体" w:cs="宋体"/>
    </w:rPr>
  </w:style>
  <w:style w:type="paragraph" w:customStyle="1" w:styleId="725">
    <w:name w:val="xl6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Arial Unicode MS" w:cs="宋体"/>
      <w:color w:val="000000"/>
      <w:kern w:val="0"/>
      <w:szCs w:val="21"/>
    </w:rPr>
  </w:style>
  <w:style w:type="paragraph" w:customStyle="1" w:styleId="726">
    <w:name w:val="样式 正文缩进文本条款表格标题正文（首行缩进两字） Char Char Char Char Char Char Char ..."/>
    <w:basedOn w:val="6"/>
    <w:qFormat/>
    <w:uiPriority w:val="0"/>
    <w:pPr>
      <w:spacing w:line="460" w:lineRule="exact"/>
    </w:pPr>
    <w:rPr>
      <w:rFonts w:ascii="宋体" w:hAnsi="Calibri" w:eastAsia="宋体" w:cs="宋体"/>
      <w:color w:val="auto"/>
      <w:szCs w:val="20"/>
    </w:rPr>
  </w:style>
  <w:style w:type="paragraph" w:customStyle="1" w:styleId="727">
    <w:name w:val="样式 样式7 + 左侧:  4 字符"/>
    <w:basedOn w:val="518"/>
    <w:qFormat/>
    <w:uiPriority w:val="0"/>
    <w:pPr>
      <w:keepNext w:val="0"/>
      <w:keepLines w:val="0"/>
      <w:tabs>
        <w:tab w:val="right" w:leader="dot" w:pos="8296"/>
        <w:tab w:val="clear" w:pos="2040"/>
      </w:tabs>
      <w:spacing w:beforeLines="0" w:afterLines="0" w:line="240" w:lineRule="auto"/>
      <w:ind w:left="200" w:leftChars="200" w:firstLine="0" w:firstLineChars="0"/>
      <w:jc w:val="center"/>
      <w:outlineLvl w:val="9"/>
    </w:pPr>
    <w:rPr>
      <w:rFonts w:ascii="宋体" w:hAnsi="宋体" w:eastAsia="宋体"/>
      <w:color w:val="auto"/>
      <w:kern w:val="2"/>
      <w:sz w:val="21"/>
      <w:szCs w:val="20"/>
    </w:rPr>
  </w:style>
  <w:style w:type="paragraph" w:customStyle="1" w:styleId="728">
    <w:name w:val="样式 目录 2 + 左侧:  2 字符"/>
    <w:basedOn w:val="74"/>
    <w:qFormat/>
    <w:uiPriority w:val="0"/>
    <w:pPr>
      <w:widowControl w:val="0"/>
      <w:tabs>
        <w:tab w:val="right" w:leader="dot" w:pos="8296"/>
        <w:tab w:val="right" w:leader="dot" w:pos="9061"/>
      </w:tabs>
      <w:adjustRightInd w:val="0"/>
      <w:snapToGrid w:val="0"/>
      <w:jc w:val="center"/>
    </w:pPr>
    <w:rPr>
      <w:kern w:val="2"/>
      <w:sz w:val="21"/>
      <w:szCs w:val="21"/>
    </w:rPr>
  </w:style>
  <w:style w:type="paragraph" w:customStyle="1" w:styleId="729">
    <w:name w:val="表前文字"/>
    <w:basedOn w:val="1"/>
    <w:qFormat/>
    <w:uiPriority w:val="0"/>
    <w:pPr>
      <w:spacing w:line="400" w:lineRule="exact"/>
      <w:ind w:right="-84" w:rightChars="-40"/>
      <w:jc w:val="center"/>
    </w:pPr>
    <w:rPr>
      <w:rFonts w:ascii="宋体" w:hAnsi="宋体" w:cs="宋体"/>
      <w:kern w:val="0"/>
      <w:szCs w:val="21"/>
    </w:rPr>
  </w:style>
  <w:style w:type="paragraph" w:customStyle="1" w:styleId="730">
    <w:name w:val="表头四号 + 段前: 0.5 行 + 段前: 0.5 行"/>
    <w:basedOn w:val="1"/>
    <w:qFormat/>
    <w:uiPriority w:val="0"/>
    <w:pPr>
      <w:adjustRightInd w:val="0"/>
      <w:snapToGrid w:val="0"/>
      <w:spacing w:beforeLines="25" w:line="500" w:lineRule="atLeast"/>
    </w:pPr>
    <w:rPr>
      <w:rFonts w:ascii="宋体" w:hAnsi="宋体" w:cs="宋体"/>
      <w:b/>
      <w:bCs/>
      <w:sz w:val="28"/>
    </w:rPr>
  </w:style>
  <w:style w:type="paragraph" w:customStyle="1" w:styleId="731">
    <w:name w:val="样式 标题 3 + 黑体 小四 左侧:  0.86 厘米 首行缩进:  0 厘米"/>
    <w:basedOn w:val="7"/>
    <w:qFormat/>
    <w:uiPriority w:val="0"/>
    <w:pPr>
      <w:keepLines w:val="0"/>
      <w:spacing w:before="0" w:after="0" w:line="360" w:lineRule="auto"/>
      <w:jc w:val="left"/>
    </w:pPr>
    <w:rPr>
      <w:rFonts w:ascii="黑体" w:hAnsi="Calibri" w:eastAsia="黑体" w:cs="宋体"/>
      <w:b w:val="0"/>
      <w:color w:val="000000"/>
      <w:sz w:val="24"/>
      <w:szCs w:val="24"/>
      <w:lang w:val="en-GB"/>
    </w:rPr>
  </w:style>
  <w:style w:type="paragraph" w:customStyle="1" w:styleId="732">
    <w:name w:val="样式8"/>
    <w:basedOn w:val="57"/>
    <w:qFormat/>
    <w:uiPriority w:val="0"/>
    <w:pPr>
      <w:pBdr>
        <w:bottom w:val="single" w:color="auto" w:sz="4" w:space="1"/>
      </w:pBdr>
      <w:spacing w:line="240" w:lineRule="atLeast"/>
    </w:pPr>
    <w:rPr>
      <w:rFonts w:ascii="华文新魏" w:hAnsi="宋体" w:eastAsia="华文新魏" w:cs="宋体"/>
      <w:kern w:val="0"/>
    </w:rPr>
  </w:style>
  <w:style w:type="paragraph" w:customStyle="1" w:styleId="733">
    <w:name w:val="样式9"/>
    <w:basedOn w:val="74"/>
    <w:qFormat/>
    <w:uiPriority w:val="0"/>
    <w:pPr>
      <w:widowControl w:val="0"/>
      <w:tabs>
        <w:tab w:val="right" w:leader="dot" w:pos="8100"/>
        <w:tab w:val="right" w:leader="dot" w:pos="8400"/>
        <w:tab w:val="right" w:leader="dot" w:pos="9061"/>
      </w:tabs>
      <w:adjustRightInd w:val="0"/>
      <w:snapToGrid w:val="0"/>
      <w:spacing w:line="400" w:lineRule="exact"/>
      <w:ind w:left="600" w:leftChars="600" w:right="100" w:rightChars="100"/>
      <w:jc w:val="center"/>
    </w:pPr>
    <w:rPr>
      <w:kern w:val="2"/>
      <w:sz w:val="21"/>
      <w:szCs w:val="28"/>
    </w:rPr>
  </w:style>
  <w:style w:type="paragraph" w:customStyle="1" w:styleId="734">
    <w:name w:val="样式10"/>
    <w:basedOn w:val="74"/>
    <w:qFormat/>
    <w:uiPriority w:val="0"/>
    <w:pPr>
      <w:widowControl w:val="0"/>
      <w:tabs>
        <w:tab w:val="right" w:leader="dot" w:pos="8100"/>
        <w:tab w:val="right" w:leader="dot" w:pos="8400"/>
        <w:tab w:val="right" w:leader="dot" w:pos="9061"/>
      </w:tabs>
      <w:adjustRightInd w:val="0"/>
      <w:snapToGrid w:val="0"/>
      <w:spacing w:line="400" w:lineRule="exact"/>
      <w:ind w:left="400" w:leftChars="400" w:right="100" w:rightChars="100"/>
      <w:jc w:val="center"/>
    </w:pPr>
    <w:rPr>
      <w:kern w:val="2"/>
      <w:sz w:val="21"/>
      <w:szCs w:val="28"/>
    </w:rPr>
  </w:style>
  <w:style w:type="paragraph" w:customStyle="1" w:styleId="735">
    <w:name w:val="字元"/>
    <w:basedOn w:val="1"/>
    <w:qFormat/>
    <w:uiPriority w:val="0"/>
    <w:rPr>
      <w:rFonts w:ascii="宋体" w:hAnsi="宋体" w:cs="宋体"/>
      <w:szCs w:val="21"/>
    </w:rPr>
  </w:style>
  <w:style w:type="paragraph" w:customStyle="1" w:styleId="736">
    <w:name w:val="字元 字元"/>
    <w:basedOn w:val="1"/>
    <w:qFormat/>
    <w:uiPriority w:val="0"/>
    <w:rPr>
      <w:rFonts w:ascii="宋体" w:hAnsi="宋体" w:cs="宋体"/>
      <w:szCs w:val="21"/>
    </w:rPr>
  </w:style>
  <w:style w:type="paragraph" w:customStyle="1" w:styleId="737">
    <w:name w:val="Char Char Char1 Char Char Char1 Char"/>
    <w:basedOn w:val="1"/>
    <w:qFormat/>
    <w:uiPriority w:val="0"/>
    <w:pPr>
      <w:ind w:firstLine="200" w:firstLineChars="200"/>
    </w:pPr>
    <w:rPr>
      <w:rFonts w:ascii="宋体" w:hAnsi="宋体" w:cs="宋体"/>
      <w:sz w:val="28"/>
      <w:szCs w:val="28"/>
    </w:rPr>
  </w:style>
  <w:style w:type="paragraph" w:customStyle="1" w:styleId="738">
    <w:name w:val="字元 字元 字元"/>
    <w:basedOn w:val="1"/>
    <w:qFormat/>
    <w:uiPriority w:val="0"/>
    <w:rPr>
      <w:rFonts w:ascii="宋体" w:hAnsi="宋体" w:cs="宋体"/>
      <w:szCs w:val="21"/>
    </w:rPr>
  </w:style>
  <w:style w:type="paragraph" w:customStyle="1" w:styleId="739">
    <w:name w:val="样式 样式 正文文本缩进正文文字缩进正文文字 21正文文字( 首段缩进两字） + (中文) 宋体 五号 居中 行距: 固定......"/>
    <w:basedOn w:val="681"/>
    <w:qFormat/>
    <w:uiPriority w:val="0"/>
    <w:rPr>
      <w:rFonts w:ascii="宋体"/>
      <w:szCs w:val="20"/>
    </w:rPr>
  </w:style>
  <w:style w:type="paragraph" w:customStyle="1" w:styleId="740">
    <w:name w:val="样式 表格文字 + (中文) 宋体"/>
    <w:basedOn w:val="199"/>
    <w:link w:val="741"/>
    <w:qFormat/>
    <w:uiPriority w:val="0"/>
    <w:pPr>
      <w:widowControl w:val="0"/>
      <w:tabs>
        <w:tab w:val="left" w:pos="-66"/>
        <w:tab w:val="left" w:pos="425"/>
        <w:tab w:val="left" w:pos="600"/>
        <w:tab w:val="left" w:pos="2100"/>
      </w:tabs>
      <w:adjustRightInd w:val="0"/>
      <w:spacing w:line="400" w:lineRule="exact"/>
      <w:textAlignment w:val="baseline"/>
    </w:pPr>
    <w:rPr>
      <w:rFonts w:eastAsia="宋体"/>
      <w:sz w:val="21"/>
      <w:szCs w:val="21"/>
    </w:rPr>
  </w:style>
  <w:style w:type="character" w:customStyle="1" w:styleId="741">
    <w:name w:val="样式 表格文字 + (中文) 宋体 Char"/>
    <w:link w:val="740"/>
    <w:qFormat/>
    <w:uiPriority w:val="0"/>
    <w:rPr>
      <w:rFonts w:ascii="仿宋_GB2312" w:hAnsi="Arial Black"/>
      <w:kern w:val="44"/>
      <w:sz w:val="21"/>
      <w:szCs w:val="21"/>
    </w:rPr>
  </w:style>
  <w:style w:type="paragraph" w:customStyle="1" w:styleId="742">
    <w:name w:val="样式 标题 2节第一章 标题 2Heading 2 HiddenHeading 2 CCBSheading 2H2..."/>
    <w:basedOn w:val="5"/>
    <w:qFormat/>
    <w:uiPriority w:val="0"/>
    <w:pPr>
      <w:widowControl w:val="0"/>
      <w:tabs>
        <w:tab w:val="clear" w:pos="1276"/>
      </w:tabs>
      <w:spacing w:before="120" w:after="120" w:line="500" w:lineRule="exact"/>
      <w:ind w:left="0" w:firstLine="0"/>
      <w:jc w:val="both"/>
    </w:pPr>
    <w:rPr>
      <w:rFonts w:ascii="Calibri" w:hAnsi="Calibri" w:cs="宋体"/>
      <w:b/>
      <w:bCs/>
      <w:kern w:val="2"/>
      <w:sz w:val="28"/>
      <w:szCs w:val="24"/>
    </w:rPr>
  </w:style>
  <w:style w:type="paragraph" w:customStyle="1" w:styleId="743">
    <w:name w:val="Char Char Char Char Char Char Char Char Char1 Char Char Char Char1"/>
    <w:basedOn w:val="1"/>
    <w:qFormat/>
    <w:uiPriority w:val="0"/>
    <w:pPr>
      <w:spacing w:line="400" w:lineRule="exact"/>
    </w:pPr>
    <w:rPr>
      <w:rFonts w:ascii="宋体" w:hAnsi="宋体" w:cs="宋体"/>
      <w:szCs w:val="21"/>
    </w:rPr>
  </w:style>
  <w:style w:type="paragraph" w:customStyle="1" w:styleId="744">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745">
    <w:name w:val="封面标准号2"/>
    <w:basedOn w:val="1"/>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rFonts w:ascii="宋体" w:hAnsi="宋体" w:cs="宋体"/>
      <w:kern w:val="0"/>
      <w:sz w:val="28"/>
    </w:rPr>
  </w:style>
  <w:style w:type="paragraph" w:customStyle="1" w:styleId="746">
    <w:name w:val="样式 标题 3标题 3 Char Char + (西文) Times New Roman (中文) 仿宋_GB2312 加..."/>
    <w:basedOn w:val="7"/>
    <w:qFormat/>
    <w:uiPriority w:val="0"/>
    <w:pPr>
      <w:spacing w:before="120" w:after="120" w:line="498" w:lineRule="exact"/>
    </w:pPr>
    <w:rPr>
      <w:rFonts w:ascii="Calibri" w:hAnsi="Calibri" w:cs="宋体"/>
      <w:sz w:val="28"/>
      <w:szCs w:val="20"/>
    </w:rPr>
  </w:style>
  <w:style w:type="paragraph" w:customStyle="1" w:styleId="747">
    <w:name w:val="样式 标题 2H2（一）Underrubrik1prop2Heading 2 HiddenHeading 2 CCB..."/>
    <w:basedOn w:val="5"/>
    <w:qFormat/>
    <w:uiPriority w:val="0"/>
    <w:pPr>
      <w:widowControl w:val="0"/>
      <w:tabs>
        <w:tab w:val="clear" w:pos="1276"/>
      </w:tabs>
      <w:spacing w:before="200" w:after="200" w:line="498" w:lineRule="exact"/>
      <w:ind w:left="0" w:firstLine="0"/>
      <w:jc w:val="both"/>
    </w:pPr>
    <w:rPr>
      <w:rFonts w:ascii="Calibri" w:hAnsi="Calibri" w:cs="宋体"/>
      <w:b/>
      <w:bCs/>
      <w:kern w:val="2"/>
      <w:sz w:val="28"/>
      <w:szCs w:val="28"/>
    </w:rPr>
  </w:style>
  <w:style w:type="character" w:customStyle="1" w:styleId="748">
    <w:name w:val="s c c"/>
    <w:qFormat/>
    <w:uiPriority w:val="0"/>
    <w:rPr>
      <w:rFonts w:eastAsia="宋体"/>
      <w:kern w:val="2"/>
      <w:sz w:val="21"/>
      <w:szCs w:val="21"/>
      <w:lang w:val="en-US" w:eastAsia="zh-CN" w:bidi="ar-SA"/>
    </w:rPr>
  </w:style>
  <w:style w:type="paragraph" w:customStyle="1" w:styleId="749">
    <w:name w:val="正文文字 3"/>
    <w:basedOn w:val="1"/>
    <w:qFormat/>
    <w:uiPriority w:val="0"/>
    <w:rPr>
      <w:rFonts w:ascii="宋体" w:hAnsi="宋体" w:cs="宋体"/>
      <w:szCs w:val="21"/>
    </w:rPr>
  </w:style>
  <w:style w:type="paragraph" w:customStyle="1" w:styleId="750">
    <w:name w:val="CM27"/>
    <w:basedOn w:val="1"/>
    <w:next w:val="1"/>
    <w:qFormat/>
    <w:uiPriority w:val="0"/>
    <w:pPr>
      <w:autoSpaceDE w:val="0"/>
      <w:autoSpaceDN w:val="0"/>
      <w:adjustRightInd w:val="0"/>
      <w:spacing w:after="178"/>
      <w:jc w:val="left"/>
    </w:pPr>
    <w:rPr>
      <w:rFonts w:ascii="Li Super" w:hAnsi="宋体" w:eastAsia="Li Super" w:cs="宋体"/>
      <w:kern w:val="0"/>
      <w:sz w:val="24"/>
    </w:rPr>
  </w:style>
  <w:style w:type="paragraph" w:customStyle="1" w:styleId="751">
    <w:name w:val="CM32"/>
    <w:basedOn w:val="100"/>
    <w:next w:val="100"/>
    <w:qFormat/>
    <w:uiPriority w:val="0"/>
    <w:pPr>
      <w:spacing w:after="230"/>
    </w:pPr>
    <w:rPr>
      <w:rFonts w:ascii="Li Super" w:eastAsia="Li Super" w:cs="Times New Roman"/>
      <w:color w:val="auto"/>
    </w:rPr>
  </w:style>
  <w:style w:type="paragraph" w:customStyle="1" w:styleId="752">
    <w:name w:val="Char Char Char1 Char Char Char Char Char Char Char Char Char Char Char Char"/>
    <w:basedOn w:val="1"/>
    <w:qFormat/>
    <w:uiPriority w:val="0"/>
    <w:rPr>
      <w:rFonts w:ascii="宋体" w:hAnsi="宋体" w:cs="宋体"/>
      <w:szCs w:val="21"/>
    </w:rPr>
  </w:style>
  <w:style w:type="paragraph" w:customStyle="1" w:styleId="753">
    <w:name w:val="环标2"/>
    <w:basedOn w:val="5"/>
    <w:qFormat/>
    <w:uiPriority w:val="0"/>
    <w:pPr>
      <w:widowControl w:val="0"/>
      <w:tabs>
        <w:tab w:val="clear" w:pos="1276"/>
      </w:tabs>
      <w:adjustRightInd w:val="0"/>
      <w:spacing w:before="60" w:after="60" w:line="312" w:lineRule="atLeast"/>
      <w:ind w:left="0" w:firstLine="0"/>
      <w:textAlignment w:val="baseline"/>
    </w:pPr>
    <w:rPr>
      <w:rFonts w:ascii="黑体" w:eastAsia="黑体" w:cs="宋体"/>
      <w:sz w:val="28"/>
      <w:szCs w:val="24"/>
    </w:rPr>
  </w:style>
  <w:style w:type="character" w:customStyle="1" w:styleId="754">
    <w:name w:val="style21"/>
    <w:qFormat/>
    <w:uiPriority w:val="0"/>
    <w:rPr>
      <w:rFonts w:eastAsia="宋体"/>
      <w:kern w:val="2"/>
      <w:sz w:val="18"/>
      <w:szCs w:val="18"/>
      <w:lang w:val="en-US" w:eastAsia="zh-CN" w:bidi="ar-SA"/>
    </w:rPr>
  </w:style>
  <w:style w:type="character" w:customStyle="1" w:styleId="755">
    <w:name w:val="f141"/>
    <w:qFormat/>
    <w:uiPriority w:val="0"/>
    <w:rPr>
      <w:rFonts w:eastAsia="宋体"/>
      <w:kern w:val="2"/>
      <w:sz w:val="22"/>
      <w:szCs w:val="22"/>
      <w:lang w:val="en-US" w:eastAsia="zh-CN" w:bidi="ar-SA"/>
    </w:rPr>
  </w:style>
  <w:style w:type="paragraph" w:customStyle="1" w:styleId="756">
    <w:name w:val="默认段落字体 Para Char Char Char Char Char Char Char Char Char Char Char Char Char"/>
    <w:basedOn w:val="1"/>
    <w:qFormat/>
    <w:uiPriority w:val="0"/>
    <w:rPr>
      <w:rFonts w:ascii="宋体" w:hAnsi="宋体" w:cs="宋体"/>
      <w:sz w:val="24"/>
    </w:rPr>
  </w:style>
  <w:style w:type="paragraph" w:customStyle="1" w:styleId="757">
    <w:name w:val="Char Char Char Char Char Char Char Char Char"/>
    <w:basedOn w:val="1"/>
    <w:qFormat/>
    <w:uiPriority w:val="0"/>
    <w:rPr>
      <w:rFonts w:ascii="宋体" w:hAnsi="宋体" w:cs="宋体"/>
      <w:szCs w:val="21"/>
    </w:rPr>
  </w:style>
  <w:style w:type="paragraph" w:customStyle="1" w:styleId="758">
    <w:name w:val="Char6 Char Char Char1 Char Char Char"/>
    <w:basedOn w:val="1"/>
    <w:qFormat/>
    <w:uiPriority w:val="0"/>
    <w:rPr>
      <w:rFonts w:ascii="宋体" w:hAnsi="宋体" w:cs="宋体"/>
      <w:szCs w:val="21"/>
    </w:rPr>
  </w:style>
  <w:style w:type="paragraph" w:customStyle="1" w:styleId="759">
    <w:name w:val="样式 宋体 首行缩进:  0.93 厘米 段前: 6 磅 段后: 6 磅 行距: 固定值 18 磅"/>
    <w:basedOn w:val="1"/>
    <w:qFormat/>
    <w:uiPriority w:val="0"/>
    <w:pPr>
      <w:snapToGrid w:val="0"/>
      <w:spacing w:before="160" w:after="160" w:line="320" w:lineRule="exact"/>
      <w:ind w:firstLine="482"/>
    </w:pPr>
    <w:rPr>
      <w:rFonts w:ascii="宋体" w:hAnsi="宋体" w:cs="宋体"/>
      <w:sz w:val="24"/>
    </w:rPr>
  </w:style>
  <w:style w:type="paragraph" w:customStyle="1" w:styleId="760">
    <w:name w:val="样式 宋体 首行缩进:  0.93 厘米 段前: 6 磅 段后: 6 磅 行距: 固定值 16 磅"/>
    <w:basedOn w:val="1"/>
    <w:qFormat/>
    <w:uiPriority w:val="0"/>
    <w:pPr>
      <w:snapToGrid w:val="0"/>
      <w:spacing w:before="160" w:after="160" w:line="320" w:lineRule="exact"/>
      <w:ind w:firstLine="527"/>
    </w:pPr>
    <w:rPr>
      <w:rFonts w:ascii="宋体" w:hAnsi="宋体" w:cs="宋体"/>
      <w:sz w:val="24"/>
    </w:rPr>
  </w:style>
  <w:style w:type="paragraph" w:customStyle="1" w:styleId="761">
    <w:name w:val="数据来源"/>
    <w:basedOn w:val="1"/>
    <w:qFormat/>
    <w:uiPriority w:val="0"/>
    <w:pPr>
      <w:snapToGrid w:val="0"/>
      <w:spacing w:line="280" w:lineRule="exact"/>
    </w:pPr>
    <w:rPr>
      <w:rFonts w:ascii="宋体" w:hAnsi="宋体" w:eastAsia="楷体_GB2312" w:cs="宋体"/>
    </w:rPr>
  </w:style>
  <w:style w:type="paragraph" w:customStyle="1" w:styleId="762">
    <w:name w:val="a1"/>
    <w:basedOn w:val="1"/>
    <w:qFormat/>
    <w:uiPriority w:val="0"/>
    <w:pPr>
      <w:widowControl/>
      <w:spacing w:before="100" w:beforeAutospacing="1" w:after="100" w:afterAutospacing="1"/>
      <w:jc w:val="left"/>
    </w:pPr>
    <w:rPr>
      <w:rFonts w:ascii="宋体" w:hAnsi="宋体" w:cs="宋体"/>
      <w:kern w:val="0"/>
      <w:sz w:val="24"/>
    </w:rPr>
  </w:style>
  <w:style w:type="paragraph" w:customStyle="1" w:styleId="763">
    <w:name w:val="样式 题注 + 首行缩进:  2 字符"/>
    <w:basedOn w:val="23"/>
    <w:qFormat/>
    <w:uiPriority w:val="0"/>
    <w:pPr>
      <w:widowControl w:val="0"/>
      <w:spacing w:line="520" w:lineRule="exact"/>
      <w:jc w:val="center"/>
    </w:pPr>
    <w:rPr>
      <w:rFonts w:ascii="Arial" w:hAnsi="Arial"/>
      <w:kern w:val="2"/>
    </w:rPr>
  </w:style>
  <w:style w:type="character" w:customStyle="1" w:styleId="764">
    <w:name w:val="text31"/>
    <w:qFormat/>
    <w:uiPriority w:val="0"/>
    <w:rPr>
      <w:rFonts w:hint="eastAsia" w:ascii="宋体" w:hAnsi="宋体" w:eastAsia="宋体"/>
      <w:color w:val="673434"/>
      <w:kern w:val="2"/>
      <w:sz w:val="22"/>
      <w:szCs w:val="22"/>
      <w:u w:val="none"/>
      <w:lang w:val="en-US" w:eastAsia="zh-CN" w:bidi="ar-SA"/>
    </w:rPr>
  </w:style>
  <w:style w:type="paragraph" w:customStyle="1" w:styleId="765">
    <w:name w:val="图框"/>
    <w:basedOn w:val="1"/>
    <w:qFormat/>
    <w:uiPriority w:val="0"/>
    <w:pPr>
      <w:jc w:val="center"/>
    </w:pPr>
    <w:rPr>
      <w:rFonts w:ascii="宋体" w:hAnsi="宋体" w:cs="宋体"/>
      <w:szCs w:val="21"/>
    </w:rPr>
  </w:style>
  <w:style w:type="paragraph" w:customStyle="1" w:styleId="766">
    <w:name w:val="样式 样式 宋体 小四 行距: 1.5 倍行距 + 首行缩进:  2 字符 段前: 7.8 磅 段后: 7.8 磅"/>
    <w:basedOn w:val="1"/>
    <w:qFormat/>
    <w:uiPriority w:val="0"/>
    <w:pPr>
      <w:snapToGrid w:val="0"/>
      <w:spacing w:beforeLines="50" w:afterLines="50" w:line="360" w:lineRule="auto"/>
      <w:ind w:firstLine="200" w:firstLineChars="200"/>
      <w:jc w:val="left"/>
    </w:pPr>
    <w:rPr>
      <w:rFonts w:ascii="宋体" w:hAnsi="宋体" w:cs="宋体"/>
      <w:sz w:val="24"/>
    </w:rPr>
  </w:style>
  <w:style w:type="paragraph" w:customStyle="1" w:styleId="767">
    <w:name w:val="样式 首行缩进:  2 字符 Char"/>
    <w:basedOn w:val="1"/>
    <w:qFormat/>
    <w:uiPriority w:val="0"/>
    <w:pPr>
      <w:spacing w:line="480" w:lineRule="exact"/>
      <w:ind w:firstLine="560" w:firstLineChars="200"/>
    </w:pPr>
    <w:rPr>
      <w:rFonts w:ascii="宋体" w:hAnsi="宋体" w:cs="宋体"/>
      <w:kern w:val="28"/>
      <w:sz w:val="28"/>
    </w:rPr>
  </w:style>
  <w:style w:type="paragraph" w:customStyle="1" w:styleId="768">
    <w:name w:val="+标题1"/>
    <w:basedOn w:val="4"/>
    <w:qFormat/>
    <w:uiPriority w:val="0"/>
    <w:pPr>
      <w:keepLines/>
      <w:pageBreakBefore/>
      <w:widowControl w:val="0"/>
      <w:numPr>
        <w:numId w:val="0"/>
      </w:numPr>
      <w:tabs>
        <w:tab w:val="left" w:pos="432"/>
      </w:tabs>
      <w:spacing w:beforeLines="100" w:afterLines="100"/>
      <w:ind w:left="432" w:hanging="632"/>
      <w:jc w:val="center"/>
    </w:pPr>
    <w:rPr>
      <w:rFonts w:ascii="Calibri" w:hAnsi="Calibri"/>
      <w:b/>
      <w:bCs/>
      <w:color w:val="000000"/>
      <w:kern w:val="44"/>
      <w:szCs w:val="32"/>
    </w:rPr>
  </w:style>
  <w:style w:type="paragraph" w:customStyle="1" w:styleId="769">
    <w:name w:val="Char2"/>
    <w:basedOn w:val="1"/>
    <w:qFormat/>
    <w:uiPriority w:val="0"/>
    <w:rPr>
      <w:rFonts w:ascii="宋体" w:hAnsi="宋体" w:cs="宋体"/>
      <w:szCs w:val="21"/>
    </w:rPr>
  </w:style>
  <w:style w:type="paragraph" w:customStyle="1" w:styleId="770">
    <w:name w:val="默认段落字体 Para Char Char Char Char Char Char Char Char Char Char"/>
    <w:basedOn w:val="1"/>
    <w:qFormat/>
    <w:uiPriority w:val="0"/>
    <w:rPr>
      <w:rFonts w:ascii="宋体" w:hAnsi="宋体" w:cs="宋体"/>
    </w:rPr>
  </w:style>
  <w:style w:type="paragraph" w:customStyle="1" w:styleId="771">
    <w:name w:val="样式 样式4 + 首行缩进:  0.75 字符"/>
    <w:basedOn w:val="1"/>
    <w:qFormat/>
    <w:uiPriority w:val="0"/>
    <w:pPr>
      <w:adjustRightInd w:val="0"/>
      <w:snapToGrid w:val="0"/>
      <w:spacing w:beforeLines="100" w:line="240" w:lineRule="atLeast"/>
      <w:jc w:val="left"/>
    </w:pPr>
    <w:rPr>
      <w:rFonts w:ascii="宋体" w:hAnsi="宋体" w:cs="宋体"/>
      <w:sz w:val="24"/>
    </w:rPr>
  </w:style>
  <w:style w:type="paragraph" w:customStyle="1" w:styleId="772">
    <w:name w:val="样式 样式 样式 标题 3条标题1.1.1Section标题 3 Char Char + 首行缩进:  2 字符 + 段前: 0..."/>
    <w:basedOn w:val="1"/>
    <w:qFormat/>
    <w:uiPriority w:val="0"/>
    <w:pPr>
      <w:keepNext/>
      <w:keepLines/>
      <w:snapToGrid w:val="0"/>
      <w:spacing w:beforeLines="30" w:afterLines="20"/>
      <w:jc w:val="left"/>
      <w:outlineLvl w:val="2"/>
    </w:pPr>
    <w:rPr>
      <w:rFonts w:ascii="宋体" w:hAnsi="宋体" w:cs="宋体"/>
      <w:b/>
      <w:bCs/>
      <w:sz w:val="28"/>
      <w:szCs w:val="28"/>
    </w:rPr>
  </w:style>
  <w:style w:type="paragraph" w:customStyle="1" w:styleId="773">
    <w:name w:val="正文+首行缩进"/>
    <w:basedOn w:val="1"/>
    <w:qFormat/>
    <w:uiPriority w:val="0"/>
    <w:pPr>
      <w:overflowPunct w:val="0"/>
      <w:topLinePunct/>
      <w:adjustRightInd w:val="0"/>
      <w:spacing w:line="460" w:lineRule="atLeast"/>
      <w:ind w:firstLine="200" w:firstLineChars="200"/>
      <w:jc w:val="left"/>
      <w:textAlignment w:val="baseline"/>
    </w:pPr>
    <w:rPr>
      <w:rFonts w:ascii="宋体" w:hAnsi="宋体" w:cs="宋体"/>
      <w:kern w:val="0"/>
      <w:sz w:val="28"/>
    </w:rPr>
  </w:style>
  <w:style w:type="paragraph" w:customStyle="1" w:styleId="774">
    <w:name w:val="样式 样式 样式 样式 样式4 + 首行缩进:  0.75 字符 + 首行缩进:  2 字符 + 首行缩进:  2 字符 + 首..."/>
    <w:basedOn w:val="1"/>
    <w:qFormat/>
    <w:uiPriority w:val="0"/>
    <w:pPr>
      <w:adjustRightInd w:val="0"/>
      <w:snapToGrid w:val="0"/>
      <w:spacing w:line="240" w:lineRule="atLeast"/>
      <w:ind w:firstLine="480" w:firstLineChars="200"/>
      <w:jc w:val="left"/>
    </w:pPr>
    <w:rPr>
      <w:rFonts w:ascii="宋体" w:hAnsi="宋体" w:cs="宋体"/>
      <w:sz w:val="28"/>
      <w:szCs w:val="28"/>
    </w:rPr>
  </w:style>
  <w:style w:type="paragraph" w:customStyle="1" w:styleId="775">
    <w:name w:val="样式 标题 3 + (西文) Times New Roman (中文) 宋体 行距: 固定值 24 磅1"/>
    <w:basedOn w:val="7"/>
    <w:qFormat/>
    <w:uiPriority w:val="0"/>
    <w:pPr>
      <w:keepNext w:val="0"/>
      <w:keepLines w:val="0"/>
      <w:tabs>
        <w:tab w:val="left" w:pos="1560"/>
      </w:tabs>
      <w:spacing w:before="0" w:after="0" w:line="500" w:lineRule="exact"/>
      <w:ind w:firstLine="615" w:firstLineChars="200"/>
      <w:outlineLvl w:val="9"/>
    </w:pPr>
    <w:rPr>
      <w:rFonts w:ascii="宋体" w:hAnsi="宋体" w:cs="宋体"/>
      <w:b w:val="0"/>
      <w:sz w:val="28"/>
      <w:szCs w:val="28"/>
    </w:rPr>
  </w:style>
  <w:style w:type="paragraph" w:customStyle="1" w:styleId="776">
    <w:name w:val="默认段落字体 Para Char Char Char1 Char Char Char Char"/>
    <w:basedOn w:val="1"/>
    <w:qFormat/>
    <w:uiPriority w:val="0"/>
    <w:rPr>
      <w:rFonts w:ascii="宋体" w:hAnsi="宋体" w:cs="宋体"/>
      <w:sz w:val="24"/>
    </w:rPr>
  </w:style>
  <w:style w:type="paragraph" w:customStyle="1" w:styleId="777">
    <w:name w:val="Char5"/>
    <w:basedOn w:val="1"/>
    <w:qFormat/>
    <w:uiPriority w:val="0"/>
    <w:rPr>
      <w:rFonts w:ascii="宋体" w:hAnsi="宋体" w:cs="宋体"/>
      <w:szCs w:val="21"/>
    </w:rPr>
  </w:style>
  <w:style w:type="paragraph" w:customStyle="1" w:styleId="778">
    <w:name w:val="Char2 Char Char"/>
    <w:basedOn w:val="1"/>
    <w:qFormat/>
    <w:uiPriority w:val="0"/>
    <w:rPr>
      <w:rFonts w:ascii="宋体" w:hAnsi="宋体" w:cs="宋体"/>
      <w:szCs w:val="21"/>
    </w:rPr>
  </w:style>
  <w:style w:type="paragraph" w:customStyle="1" w:styleId="779">
    <w:name w:val="Char6 Char Char Char"/>
    <w:basedOn w:val="1"/>
    <w:qFormat/>
    <w:uiPriority w:val="0"/>
    <w:rPr>
      <w:rFonts w:ascii="宋体" w:hAnsi="宋体" w:cs="宋体"/>
      <w:szCs w:val="21"/>
    </w:rPr>
  </w:style>
  <w:style w:type="paragraph" w:customStyle="1" w:styleId="780">
    <w:name w:val="Char6"/>
    <w:basedOn w:val="1"/>
    <w:qFormat/>
    <w:uiPriority w:val="0"/>
    <w:rPr>
      <w:rFonts w:ascii="宋体" w:hAnsi="宋体" w:cs="宋体"/>
      <w:szCs w:val="21"/>
    </w:rPr>
  </w:style>
  <w:style w:type="paragraph" w:customStyle="1" w:styleId="781">
    <w:name w:val="字元1"/>
    <w:basedOn w:val="1"/>
    <w:qFormat/>
    <w:uiPriority w:val="0"/>
    <w:rPr>
      <w:rFonts w:ascii="宋体" w:hAnsi="宋体" w:cs="宋体"/>
      <w:szCs w:val="21"/>
    </w:rPr>
  </w:style>
  <w:style w:type="paragraph" w:customStyle="1" w:styleId="782">
    <w:name w:val="字元2"/>
    <w:basedOn w:val="1"/>
    <w:qFormat/>
    <w:uiPriority w:val="0"/>
    <w:rPr>
      <w:rFonts w:ascii="宋体" w:hAnsi="宋体" w:cs="宋体"/>
      <w:szCs w:val="21"/>
    </w:rPr>
  </w:style>
  <w:style w:type="paragraph" w:customStyle="1" w:styleId="783">
    <w:name w:val="Char Char Char1 Char Char Char1 Char Char Char1 Char Char Char 字元 字元 Char Char 字元 字元 字元 字元 字元"/>
    <w:basedOn w:val="1"/>
    <w:qFormat/>
    <w:uiPriority w:val="0"/>
    <w:pPr>
      <w:spacing w:line="400" w:lineRule="exact"/>
      <w:ind w:firstLine="200" w:firstLineChars="200"/>
    </w:pPr>
    <w:rPr>
      <w:rFonts w:ascii="宋体" w:hAnsi="宋体" w:cs="宋体"/>
      <w:sz w:val="28"/>
      <w:szCs w:val="28"/>
    </w:rPr>
  </w:style>
  <w:style w:type="paragraph" w:customStyle="1" w:styleId="784">
    <w:name w:val="样式 报告书表格 + (符号) 宋体"/>
    <w:basedOn w:val="301"/>
    <w:link w:val="785"/>
    <w:qFormat/>
    <w:uiPriority w:val="0"/>
    <w:pPr>
      <w:spacing w:before="0" w:after="0" w:line="360" w:lineRule="exact"/>
      <w:ind w:firstLine="4" w:firstLineChars="2"/>
    </w:pPr>
    <w:rPr>
      <w:color w:val="000000"/>
      <w:szCs w:val="21"/>
    </w:rPr>
  </w:style>
  <w:style w:type="character" w:customStyle="1" w:styleId="785">
    <w:name w:val="样式 报告书表格 + (符号) 宋体 Char"/>
    <w:link w:val="784"/>
    <w:qFormat/>
    <w:uiPriority w:val="0"/>
    <w:rPr>
      <w:rFonts w:ascii="宋体" w:hAnsi="宋体" w:cs="宋体"/>
      <w:color w:val="000000"/>
      <w:kern w:val="2"/>
      <w:sz w:val="21"/>
      <w:szCs w:val="21"/>
    </w:rPr>
  </w:style>
  <w:style w:type="paragraph" w:customStyle="1" w:styleId="786">
    <w:name w:val="样式 正文首行缩进 + 左侧:  2 字符 段前: 0.15 行 段后: 0.15 行"/>
    <w:basedOn w:val="86"/>
    <w:link w:val="787"/>
    <w:qFormat/>
    <w:uiPriority w:val="0"/>
    <w:pPr>
      <w:widowControl w:val="0"/>
      <w:tabs>
        <w:tab w:val="left" w:pos="283"/>
      </w:tabs>
      <w:adjustRightInd w:val="0"/>
      <w:snapToGrid w:val="0"/>
      <w:spacing w:after="0" w:line="520" w:lineRule="atLeast"/>
      <w:ind w:firstLine="200" w:firstLineChars="200"/>
      <w:jc w:val="both"/>
    </w:pPr>
    <w:rPr>
      <w:rFonts w:ascii="Calibri" w:hAnsi="Calibri"/>
      <w:kern w:val="2"/>
      <w:sz w:val="28"/>
    </w:rPr>
  </w:style>
  <w:style w:type="character" w:customStyle="1" w:styleId="787">
    <w:name w:val="样式 正文首行缩进 + 左侧:  2 字符 段前: 0.15 行 段后: 0.15 行 Char"/>
    <w:link w:val="786"/>
    <w:qFormat/>
    <w:uiPriority w:val="0"/>
    <w:rPr>
      <w:rFonts w:ascii="Calibri" w:hAnsi="Calibri" w:cs="宋体"/>
      <w:kern w:val="2"/>
      <w:sz w:val="28"/>
      <w:szCs w:val="24"/>
    </w:rPr>
  </w:style>
  <w:style w:type="character" w:customStyle="1" w:styleId="788">
    <w:name w:val="12p-18hg"/>
    <w:qFormat/>
    <w:uiPriority w:val="0"/>
    <w:rPr>
      <w:rFonts w:eastAsia="宋体"/>
      <w:kern w:val="2"/>
      <w:sz w:val="28"/>
      <w:szCs w:val="28"/>
      <w:lang w:val="en-US" w:eastAsia="zh-CN" w:bidi="ar-SA"/>
    </w:rPr>
  </w:style>
  <w:style w:type="paragraph" w:customStyle="1" w:styleId="789">
    <w:name w:val="表头四号"/>
    <w:basedOn w:val="66"/>
    <w:qFormat/>
    <w:uiPriority w:val="0"/>
    <w:pPr>
      <w:adjustRightInd w:val="0"/>
      <w:snapToGrid w:val="0"/>
      <w:spacing w:beforeLines="50" w:line="500" w:lineRule="atLeast"/>
      <w:ind w:left="0" w:firstLine="0" w:firstLineChars="0"/>
      <w:contextualSpacing w:val="0"/>
    </w:pPr>
    <w:rPr>
      <w:rFonts w:ascii="宋体" w:hAnsi="宋体" w:cs="宋体"/>
      <w:b/>
      <w:sz w:val="28"/>
    </w:rPr>
  </w:style>
  <w:style w:type="paragraph" w:customStyle="1" w:styleId="790">
    <w:name w:val="样式 标题 2节标题 1.11.1标题2b2标题20000000000000000000000000000000000..."/>
    <w:basedOn w:val="5"/>
    <w:qFormat/>
    <w:uiPriority w:val="0"/>
    <w:pPr>
      <w:keepNext w:val="0"/>
      <w:keepLines w:val="0"/>
      <w:widowControl w:val="0"/>
      <w:tabs>
        <w:tab w:val="left" w:pos="283"/>
        <w:tab w:val="clear" w:pos="1276"/>
      </w:tabs>
      <w:adjustRightInd w:val="0"/>
      <w:snapToGrid w:val="0"/>
      <w:spacing w:beforeLines="30" w:afterLines="20" w:line="240" w:lineRule="auto"/>
      <w:ind w:left="1135"/>
      <w:jc w:val="both"/>
    </w:pPr>
    <w:rPr>
      <w:rFonts w:ascii="Calibri" w:hAnsi="Calibri" w:cs="宋体"/>
      <w:b/>
      <w:bCs/>
      <w:kern w:val="2"/>
      <w:sz w:val="28"/>
      <w:szCs w:val="30"/>
    </w:rPr>
  </w:style>
  <w:style w:type="character" w:customStyle="1" w:styleId="791">
    <w:name w:val="Char Char2"/>
    <w:qFormat/>
    <w:uiPriority w:val="0"/>
    <w:rPr>
      <w:rFonts w:eastAsia="宋体"/>
      <w:kern w:val="2"/>
      <w:sz w:val="18"/>
      <w:szCs w:val="18"/>
      <w:lang w:val="en-US" w:eastAsia="zh-CN" w:bidi="ar-SA"/>
    </w:rPr>
  </w:style>
  <w:style w:type="character" w:customStyle="1" w:styleId="792">
    <w:name w:val="Char Char Char Char1"/>
    <w:qFormat/>
    <w:uiPriority w:val="0"/>
    <w:rPr>
      <w:rFonts w:eastAsia="仿宋_GB2312"/>
      <w:kern w:val="2"/>
      <w:sz w:val="18"/>
      <w:szCs w:val="18"/>
      <w:lang w:val="en-US" w:eastAsia="zh-CN" w:bidi="ar-SA"/>
    </w:rPr>
  </w:style>
  <w:style w:type="character" w:customStyle="1" w:styleId="793">
    <w:name w:val="普通文字 Char Char"/>
    <w:qFormat/>
    <w:uiPriority w:val="0"/>
    <w:rPr>
      <w:rFonts w:ascii="宋体" w:hAnsi="Courier New" w:eastAsia="宋体" w:cs="Courier New"/>
      <w:kern w:val="2"/>
      <w:sz w:val="21"/>
      <w:szCs w:val="21"/>
      <w:lang w:val="en-US" w:eastAsia="zh-CN" w:bidi="ar-SA"/>
    </w:rPr>
  </w:style>
  <w:style w:type="character" w:customStyle="1" w:styleId="794">
    <w:name w:val="正文文字缩进 Char1"/>
    <w:qFormat/>
    <w:uiPriority w:val="0"/>
    <w:rPr>
      <w:rFonts w:eastAsia="仿宋_GB2312"/>
      <w:kern w:val="2"/>
      <w:sz w:val="24"/>
      <w:szCs w:val="24"/>
      <w:lang w:val="en-US" w:eastAsia="zh-CN" w:bidi="ar-SA"/>
    </w:rPr>
  </w:style>
  <w:style w:type="character" w:customStyle="1" w:styleId="795">
    <w:name w:val="题注1 Char1"/>
    <w:qFormat/>
    <w:uiPriority w:val="0"/>
    <w:rPr>
      <w:rFonts w:eastAsia="仿宋_GB2312"/>
      <w:kern w:val="2"/>
      <w:sz w:val="28"/>
      <w:szCs w:val="24"/>
      <w:lang w:val="en-US" w:eastAsia="zh-CN" w:bidi="ar-SA"/>
    </w:rPr>
  </w:style>
  <w:style w:type="paragraph" w:customStyle="1" w:styleId="796">
    <w:name w:val="流程"/>
    <w:basedOn w:val="1"/>
    <w:qFormat/>
    <w:uiPriority w:val="0"/>
    <w:pPr>
      <w:adjustRightInd w:val="0"/>
      <w:snapToGrid w:val="0"/>
      <w:jc w:val="center"/>
    </w:pPr>
    <w:rPr>
      <w:rFonts w:ascii="宋体" w:hAnsi="宋体" w:eastAsia="仿宋_GB2312" w:cs="宋体"/>
      <w:color w:val="000000"/>
    </w:rPr>
  </w:style>
  <w:style w:type="paragraph" w:customStyle="1" w:styleId="797">
    <w:name w:val="基准标题"/>
    <w:basedOn w:val="35"/>
    <w:next w:val="35"/>
    <w:qFormat/>
    <w:uiPriority w:val="0"/>
    <w:pPr>
      <w:widowControl/>
      <w:spacing w:after="0" w:line="360" w:lineRule="exact"/>
      <w:jc w:val="left"/>
    </w:pPr>
    <w:rPr>
      <w:rFonts w:ascii="宋体" w:hAnsi="Garamond" w:cs="宋体"/>
      <w:kern w:val="0"/>
    </w:rPr>
  </w:style>
  <w:style w:type="character" w:customStyle="1" w:styleId="798">
    <w:name w:val="正文  首行缩进: 2 字符 Char"/>
    <w:link w:val="799"/>
    <w:qFormat/>
    <w:uiPriority w:val="0"/>
    <w:rPr>
      <w:rFonts w:ascii="Arial" w:hAnsi="Arial" w:cs="Arial"/>
      <w:kern w:val="2"/>
      <w:sz w:val="24"/>
      <w:szCs w:val="24"/>
    </w:rPr>
  </w:style>
  <w:style w:type="paragraph" w:customStyle="1" w:styleId="799">
    <w:name w:val="正文  首行缩进: 2 字符"/>
    <w:basedOn w:val="1"/>
    <w:link w:val="798"/>
    <w:qFormat/>
    <w:uiPriority w:val="0"/>
    <w:pPr>
      <w:snapToGrid w:val="0"/>
      <w:spacing w:line="360" w:lineRule="auto"/>
      <w:ind w:firstLine="480" w:firstLineChars="200"/>
    </w:pPr>
    <w:rPr>
      <w:rFonts w:ascii="Arial" w:hAnsi="Arial" w:cs="Arial"/>
      <w:sz w:val="24"/>
    </w:rPr>
  </w:style>
  <w:style w:type="paragraph" w:customStyle="1" w:styleId="800">
    <w:name w:val="标题 3  标题1.1.1"/>
    <w:basedOn w:val="1"/>
    <w:qFormat/>
    <w:uiPriority w:val="0"/>
    <w:pPr>
      <w:keepNext/>
      <w:keepLines/>
      <w:adjustRightInd w:val="0"/>
      <w:snapToGrid w:val="0"/>
      <w:spacing w:beforeLines="50" w:afterLines="50"/>
      <w:ind w:right="-176" w:rightChars="-84"/>
      <w:textAlignment w:val="baseline"/>
      <w:outlineLvl w:val="2"/>
    </w:pPr>
    <w:rPr>
      <w:rFonts w:ascii="黑体" w:hAnsi="宋体" w:eastAsia="黑体" w:cs="宋体"/>
      <w:color w:val="000000"/>
      <w:kern w:val="0"/>
      <w:sz w:val="24"/>
    </w:rPr>
  </w:style>
  <w:style w:type="paragraph" w:customStyle="1" w:styleId="801">
    <w:name w:val="表标"/>
    <w:basedOn w:val="1"/>
    <w:next w:val="1"/>
    <w:qFormat/>
    <w:uiPriority w:val="0"/>
    <w:pPr>
      <w:adjustRightInd w:val="0"/>
      <w:snapToGrid w:val="0"/>
      <w:spacing w:line="320" w:lineRule="exact"/>
      <w:ind w:right="315" w:rightChars="150"/>
      <w:jc w:val="center"/>
    </w:pPr>
    <w:rPr>
      <w:rFonts w:ascii="黑体" w:hAnsi="宋体" w:eastAsia="黑体" w:cs="宋体"/>
      <w:kern w:val="0"/>
      <w:sz w:val="24"/>
    </w:rPr>
  </w:style>
  <w:style w:type="character" w:customStyle="1" w:styleId="802">
    <w:name w:val="宋体四号 Char"/>
    <w:link w:val="803"/>
    <w:qFormat/>
    <w:uiPriority w:val="0"/>
    <w:rPr>
      <w:kern w:val="2"/>
      <w:sz w:val="28"/>
      <w:szCs w:val="28"/>
    </w:rPr>
  </w:style>
  <w:style w:type="paragraph" w:customStyle="1" w:styleId="803">
    <w:name w:val="宋体四号"/>
    <w:basedOn w:val="1"/>
    <w:link w:val="802"/>
    <w:qFormat/>
    <w:uiPriority w:val="0"/>
    <w:pPr>
      <w:spacing w:line="360" w:lineRule="auto"/>
      <w:ind w:firstLine="200" w:firstLineChars="200"/>
    </w:pPr>
    <w:rPr>
      <w:sz w:val="28"/>
      <w:szCs w:val="28"/>
    </w:rPr>
  </w:style>
  <w:style w:type="paragraph" w:customStyle="1" w:styleId="804">
    <w:name w:val="hhcwt表格内文字"/>
    <w:basedOn w:val="1"/>
    <w:link w:val="805"/>
    <w:qFormat/>
    <w:uiPriority w:val="0"/>
    <w:pPr>
      <w:jc w:val="center"/>
    </w:pPr>
    <w:rPr>
      <w:rFonts w:ascii="Calibri" w:hAnsi="Calibri" w:eastAsia="仿宋_GB2312" w:cs="宋体"/>
      <w:szCs w:val="21"/>
    </w:rPr>
  </w:style>
  <w:style w:type="character" w:customStyle="1" w:styleId="805">
    <w:name w:val="hhcwt表格内文字 Char"/>
    <w:link w:val="804"/>
    <w:qFormat/>
    <w:uiPriority w:val="0"/>
    <w:rPr>
      <w:rFonts w:ascii="Calibri" w:hAnsi="Calibri" w:eastAsia="仿宋_GB2312" w:cs="宋体"/>
      <w:kern w:val="2"/>
      <w:sz w:val="21"/>
      <w:szCs w:val="21"/>
    </w:rPr>
  </w:style>
  <w:style w:type="character" w:customStyle="1" w:styleId="806">
    <w:name w:val="ht1"/>
    <w:qFormat/>
    <w:uiPriority w:val="0"/>
    <w:rPr>
      <w:rFonts w:ascii="黑体" w:eastAsia="黑体"/>
      <w:b/>
      <w:bCs/>
      <w:kern w:val="2"/>
      <w:sz w:val="28"/>
      <w:szCs w:val="28"/>
      <w:lang w:val="en-US" w:eastAsia="zh-CN" w:bidi="ar-SA"/>
    </w:rPr>
  </w:style>
  <w:style w:type="character" w:customStyle="1" w:styleId="807">
    <w:name w:val="l12"/>
    <w:qFormat/>
    <w:uiPriority w:val="0"/>
    <w:rPr>
      <w:rFonts w:eastAsia="宋体"/>
      <w:kern w:val="2"/>
      <w:sz w:val="28"/>
      <w:szCs w:val="28"/>
      <w:lang w:val="en-US" w:eastAsia="zh-CN" w:bidi="ar-SA"/>
    </w:rPr>
  </w:style>
  <w:style w:type="paragraph" w:customStyle="1" w:styleId="808">
    <w:name w:val="11 Char Char Char Char Char Char Char Char Char Char"/>
    <w:basedOn w:val="1"/>
    <w:qFormat/>
    <w:uiPriority w:val="0"/>
    <w:pPr>
      <w:snapToGrid w:val="0"/>
      <w:spacing w:line="360" w:lineRule="auto"/>
      <w:ind w:firstLine="200" w:firstLineChars="200"/>
    </w:pPr>
    <w:rPr>
      <w:rFonts w:ascii="宋体" w:hAnsi="宋体" w:eastAsia="仿宋_GB2312" w:cs="宋体"/>
      <w:sz w:val="24"/>
    </w:rPr>
  </w:style>
  <w:style w:type="paragraph" w:customStyle="1" w:styleId="809">
    <w:name w:val="Char Char Char Char Char Char Char Char Char Char Char Char Char Char Char Char Char Char Char Char Char Char Char Char Char"/>
    <w:basedOn w:val="1"/>
    <w:qFormat/>
    <w:uiPriority w:val="0"/>
    <w:rPr>
      <w:rFonts w:ascii="宋体" w:hAnsi="宋体" w:cs="宋体"/>
    </w:rPr>
  </w:style>
  <w:style w:type="paragraph" w:customStyle="1" w:styleId="810">
    <w:name w:val="样式 表格文字 + 居中"/>
    <w:basedOn w:val="199"/>
    <w:qFormat/>
    <w:uiPriority w:val="0"/>
    <w:pPr>
      <w:widowControl w:val="0"/>
      <w:spacing w:line="400" w:lineRule="exact"/>
    </w:pPr>
    <w:rPr>
      <w:rFonts w:ascii="Times New Roman" w:hAnsi="Times New Roman"/>
      <w:kern w:val="2"/>
      <w:sz w:val="28"/>
    </w:rPr>
  </w:style>
  <w:style w:type="paragraph" w:customStyle="1" w:styleId="811">
    <w:name w:val="样式 报告书表格 + 居中"/>
    <w:basedOn w:val="301"/>
    <w:qFormat/>
    <w:uiPriority w:val="0"/>
    <w:pPr>
      <w:spacing w:before="0" w:after="0" w:line="360" w:lineRule="exact"/>
      <w:ind w:firstLine="4" w:firstLineChars="2"/>
    </w:pPr>
    <w:rPr>
      <w:rFonts w:ascii="Times New Roman" w:eastAsia="仿宋_GB2312"/>
      <w:color w:val="000000"/>
      <w:kern w:val="0"/>
      <w:sz w:val="28"/>
      <w:szCs w:val="20"/>
    </w:rPr>
  </w:style>
  <w:style w:type="paragraph" w:customStyle="1" w:styleId="812">
    <w:name w:val="样式 报告书表格 + 居中1"/>
    <w:basedOn w:val="301"/>
    <w:qFormat/>
    <w:uiPriority w:val="0"/>
    <w:pPr>
      <w:spacing w:before="0" w:after="0" w:line="360" w:lineRule="exact"/>
      <w:ind w:firstLine="4" w:firstLineChars="2"/>
    </w:pPr>
    <w:rPr>
      <w:rFonts w:ascii="Times New Roman" w:eastAsia="仿宋_GB2312"/>
      <w:color w:val="000000"/>
      <w:kern w:val="0"/>
      <w:sz w:val="28"/>
      <w:szCs w:val="20"/>
    </w:rPr>
  </w:style>
  <w:style w:type="paragraph" w:customStyle="1" w:styleId="813">
    <w:name w:val="样式 报告书表格 + 居中2"/>
    <w:basedOn w:val="301"/>
    <w:qFormat/>
    <w:uiPriority w:val="0"/>
    <w:pPr>
      <w:spacing w:before="0" w:after="0" w:line="360" w:lineRule="exact"/>
      <w:ind w:firstLine="4" w:firstLineChars="2"/>
    </w:pPr>
    <w:rPr>
      <w:rFonts w:ascii="Times New Roman" w:eastAsia="仿宋_GB2312"/>
      <w:color w:val="000000"/>
      <w:kern w:val="0"/>
      <w:sz w:val="28"/>
      <w:szCs w:val="20"/>
    </w:rPr>
  </w:style>
  <w:style w:type="paragraph" w:customStyle="1" w:styleId="814">
    <w:name w:val="Char4 Char Char Char Char Char Char Char Char Char Char Char Char Char Char Char Char Char1 Char1"/>
    <w:basedOn w:val="1"/>
    <w:qFormat/>
    <w:uiPriority w:val="0"/>
    <w:pPr>
      <w:ind w:firstLine="200" w:firstLineChars="200"/>
    </w:pPr>
    <w:rPr>
      <w:rFonts w:ascii="宋体" w:hAnsi="宋体" w:cs="宋体"/>
      <w:sz w:val="28"/>
      <w:szCs w:val="28"/>
    </w:rPr>
  </w:style>
  <w:style w:type="paragraph" w:customStyle="1" w:styleId="815">
    <w:name w:val="T表格"/>
    <w:qFormat/>
    <w:uiPriority w:val="0"/>
    <w:pPr>
      <w:jc w:val="center"/>
    </w:pPr>
    <w:rPr>
      <w:rFonts w:ascii="仿宋_GB2312" w:hAnsi="Times New Roman" w:eastAsia="仿宋_GB2312" w:cs="Times New Roman"/>
      <w:kern w:val="2"/>
      <w:sz w:val="21"/>
      <w:lang w:val="en-US" w:eastAsia="zh-CN" w:bidi="ar-SA"/>
    </w:rPr>
  </w:style>
  <w:style w:type="paragraph" w:customStyle="1" w:styleId="816">
    <w:name w:val="表中字"/>
    <w:qFormat/>
    <w:uiPriority w:val="0"/>
    <w:pPr>
      <w:widowControl w:val="0"/>
      <w:adjustRightInd w:val="0"/>
      <w:snapToGrid w:val="0"/>
      <w:jc w:val="center"/>
    </w:pPr>
    <w:rPr>
      <w:rFonts w:ascii="Times New Roman" w:hAnsi="Times New Roman" w:eastAsia="宋体" w:cs="Times New Roman"/>
      <w:w w:val="90"/>
      <w:sz w:val="21"/>
      <w:lang w:val="en-US" w:eastAsia="zh-CN" w:bidi="ar-SA"/>
    </w:rPr>
  </w:style>
  <w:style w:type="paragraph" w:customStyle="1" w:styleId="817">
    <w:name w:val="表格文字居中 Char"/>
    <w:basedOn w:val="86"/>
    <w:qFormat/>
    <w:uiPriority w:val="0"/>
    <w:pPr>
      <w:keepNext/>
      <w:widowControl w:val="0"/>
      <w:tabs>
        <w:tab w:val="left" w:pos="628"/>
        <w:tab w:val="left" w:pos="1727"/>
        <w:tab w:val="left" w:pos="1884"/>
        <w:tab w:val="left" w:pos="2660"/>
        <w:tab w:val="left" w:pos="5460"/>
      </w:tabs>
      <w:spacing w:before="100" w:beforeAutospacing="1" w:after="0"/>
      <w:ind w:firstLine="0" w:firstLineChars="0"/>
      <w:jc w:val="center"/>
    </w:pPr>
    <w:rPr>
      <w:rFonts w:hAnsi="Calibri"/>
      <w:bCs/>
      <w:color w:val="000000"/>
      <w:sz w:val="24"/>
    </w:rPr>
  </w:style>
  <w:style w:type="paragraph" w:customStyle="1" w:styleId="818">
    <w:name w:val="p6"/>
    <w:basedOn w:val="1"/>
    <w:qFormat/>
    <w:uiPriority w:val="0"/>
    <w:pPr>
      <w:tabs>
        <w:tab w:val="left" w:pos="4720"/>
      </w:tabs>
      <w:spacing w:line="240" w:lineRule="atLeast"/>
      <w:ind w:left="3280"/>
      <w:jc w:val="left"/>
    </w:pPr>
    <w:rPr>
      <w:rFonts w:ascii="Arial" w:hAnsi="Arial" w:cs="宋体"/>
      <w:snapToGrid w:val="0"/>
      <w:kern w:val="0"/>
      <w:sz w:val="24"/>
      <w:lang w:eastAsia="en-US"/>
    </w:rPr>
  </w:style>
  <w:style w:type="paragraph" w:customStyle="1" w:styleId="819">
    <w:name w:val="中文表内容1"/>
    <w:basedOn w:val="1"/>
    <w:next w:val="1"/>
    <w:qFormat/>
    <w:uiPriority w:val="0"/>
    <w:pPr>
      <w:spacing w:line="440" w:lineRule="exact"/>
      <w:jc w:val="center"/>
    </w:pPr>
    <w:rPr>
      <w:rFonts w:ascii="宋体" w:hAnsi="宋体" w:eastAsia="楷体_GB2312" w:cs="宋体"/>
      <w:sz w:val="28"/>
    </w:rPr>
  </w:style>
  <w:style w:type="paragraph" w:customStyle="1" w:styleId="820">
    <w:name w:val="font12"/>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821">
    <w:name w:val="font13"/>
    <w:basedOn w:val="1"/>
    <w:qFormat/>
    <w:uiPriority w:val="0"/>
    <w:pPr>
      <w:widowControl/>
      <w:spacing w:before="100" w:beforeAutospacing="1" w:after="100" w:afterAutospacing="1"/>
      <w:jc w:val="left"/>
    </w:pPr>
    <w:rPr>
      <w:rFonts w:ascii="宋体" w:hAnsi="宋体" w:cs="宋体"/>
      <w:kern w:val="0"/>
      <w:sz w:val="24"/>
    </w:rPr>
  </w:style>
  <w:style w:type="paragraph" w:customStyle="1" w:styleId="822">
    <w:name w:val="font14"/>
    <w:basedOn w:val="1"/>
    <w:qFormat/>
    <w:uiPriority w:val="0"/>
    <w:pPr>
      <w:widowControl/>
      <w:spacing w:before="100" w:beforeAutospacing="1" w:after="100" w:afterAutospacing="1"/>
      <w:jc w:val="left"/>
    </w:pPr>
    <w:rPr>
      <w:rFonts w:hint="eastAsia" w:ascii="宋体" w:hAnsi="宋体" w:cs="宋体"/>
      <w:kern w:val="0"/>
      <w:sz w:val="24"/>
    </w:rPr>
  </w:style>
  <w:style w:type="paragraph" w:customStyle="1" w:styleId="823">
    <w:name w:val="font15"/>
    <w:basedOn w:val="1"/>
    <w:qFormat/>
    <w:uiPriority w:val="0"/>
    <w:pPr>
      <w:widowControl/>
      <w:spacing w:before="100" w:beforeAutospacing="1" w:after="100" w:afterAutospacing="1"/>
      <w:jc w:val="left"/>
    </w:pPr>
    <w:rPr>
      <w:rFonts w:hint="eastAsia" w:ascii="仿宋_GB2312" w:hAnsi="宋体" w:eastAsia="仿宋_GB2312" w:cs="宋体"/>
      <w:kern w:val="0"/>
      <w:sz w:val="24"/>
    </w:rPr>
  </w:style>
  <w:style w:type="paragraph" w:customStyle="1" w:styleId="824">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仿宋_GB2312" w:hAnsi="宋体" w:eastAsia="仿宋_GB2312" w:cs="宋体"/>
      <w:kern w:val="0"/>
      <w:sz w:val="24"/>
    </w:rPr>
  </w:style>
  <w:style w:type="paragraph" w:customStyle="1" w:styleId="825">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hint="eastAsia" w:ascii="仿宋_GB2312" w:hAnsi="宋体" w:eastAsia="仿宋_GB2312" w:cs="宋体"/>
      <w:kern w:val="0"/>
      <w:sz w:val="24"/>
    </w:rPr>
  </w:style>
  <w:style w:type="paragraph" w:customStyle="1" w:styleId="826">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827">
    <w:name w:val="xl4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24"/>
    </w:rPr>
  </w:style>
  <w:style w:type="paragraph" w:customStyle="1" w:styleId="828">
    <w:name w:val="xl4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829">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30">
    <w:name w:val="xl5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16"/>
      <w:szCs w:val="16"/>
    </w:rPr>
  </w:style>
  <w:style w:type="paragraph" w:customStyle="1" w:styleId="831">
    <w:name w:val="xl5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16"/>
      <w:szCs w:val="16"/>
    </w:rPr>
  </w:style>
  <w:style w:type="paragraph" w:customStyle="1" w:styleId="832">
    <w:name w:val="xl5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6"/>
      <w:szCs w:val="16"/>
    </w:rPr>
  </w:style>
  <w:style w:type="paragraph" w:customStyle="1" w:styleId="833">
    <w:name w:val="xl5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6"/>
      <w:szCs w:val="16"/>
    </w:rPr>
  </w:style>
  <w:style w:type="paragraph" w:customStyle="1" w:styleId="834">
    <w:name w:val="xl56"/>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835">
    <w:name w:val="xl5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836">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6"/>
      <w:szCs w:val="16"/>
    </w:rPr>
  </w:style>
  <w:style w:type="paragraph" w:customStyle="1" w:styleId="837">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6"/>
      <w:szCs w:val="16"/>
    </w:rPr>
  </w:style>
  <w:style w:type="paragraph" w:customStyle="1" w:styleId="838">
    <w:name w:val="xl60"/>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39">
    <w:name w:val="xl61"/>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40">
    <w:name w:val="xl6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kern w:val="0"/>
      <w:sz w:val="16"/>
      <w:szCs w:val="16"/>
    </w:rPr>
  </w:style>
  <w:style w:type="paragraph" w:customStyle="1" w:styleId="841">
    <w:name w:val="xl64"/>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42">
    <w:name w:val="xl66"/>
    <w:basedOn w:val="1"/>
    <w:qFormat/>
    <w:uiPriority w:val="0"/>
    <w:pPr>
      <w:widowControl/>
      <w:pBdr>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43">
    <w:name w:val="xl67"/>
    <w:basedOn w:val="1"/>
    <w:qFormat/>
    <w:uiPriority w:val="0"/>
    <w:pPr>
      <w:widowControl/>
      <w:pBdr>
        <w:lef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44">
    <w:name w:val="xl68"/>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45">
    <w:name w:val="xl69"/>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46">
    <w:name w:val="xl70"/>
    <w:basedOn w:val="1"/>
    <w:qFormat/>
    <w:uiPriority w:val="0"/>
    <w:pPr>
      <w:widowControl/>
      <w:pBdr>
        <w:top w:val="single" w:color="auto" w:sz="8"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847">
    <w:name w:val="xl71"/>
    <w:basedOn w:val="1"/>
    <w:qFormat/>
    <w:uiPriority w:val="0"/>
    <w:pPr>
      <w:widowControl/>
      <w:pBdr>
        <w:top w:val="single" w:color="auto" w:sz="8" w:space="0"/>
        <w:bottom w:val="single" w:color="auto" w:sz="4" w:space="0"/>
      </w:pBdr>
      <w:spacing w:before="100" w:beforeAutospacing="1" w:after="100" w:afterAutospacing="1"/>
      <w:jc w:val="left"/>
      <w:textAlignment w:val="center"/>
    </w:pPr>
    <w:rPr>
      <w:rFonts w:hint="eastAsia" w:ascii="仿宋_GB2312" w:hAnsi="宋体" w:eastAsia="仿宋_GB2312" w:cs="宋体"/>
      <w:kern w:val="0"/>
      <w:sz w:val="24"/>
    </w:rPr>
  </w:style>
  <w:style w:type="paragraph" w:customStyle="1" w:styleId="848">
    <w:name w:val="xl72"/>
    <w:basedOn w:val="1"/>
    <w:qFormat/>
    <w:uiPriority w:val="0"/>
    <w:pPr>
      <w:widowControl/>
      <w:pBdr>
        <w:top w:val="single" w:color="auto" w:sz="8" w:space="0"/>
        <w:bottom w:val="single" w:color="auto" w:sz="4" w:space="0"/>
        <w:right w:val="single" w:color="auto" w:sz="8" w:space="0"/>
      </w:pBdr>
      <w:spacing w:before="100" w:beforeAutospacing="1" w:after="100" w:afterAutospacing="1"/>
      <w:jc w:val="left"/>
      <w:textAlignment w:val="center"/>
    </w:pPr>
    <w:rPr>
      <w:rFonts w:hint="eastAsia" w:ascii="仿宋_GB2312" w:hAnsi="宋体" w:eastAsia="仿宋_GB2312" w:cs="宋体"/>
      <w:kern w:val="0"/>
      <w:sz w:val="24"/>
    </w:rPr>
  </w:style>
  <w:style w:type="paragraph" w:customStyle="1" w:styleId="849">
    <w:name w:val="xl73"/>
    <w:basedOn w:val="1"/>
    <w:qFormat/>
    <w:uiPriority w:val="0"/>
    <w:pPr>
      <w:widowControl/>
      <w:pBdr>
        <w:lef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850">
    <w:name w:val="xl74"/>
    <w:basedOn w:val="1"/>
    <w:qFormat/>
    <w:uiPriority w:val="0"/>
    <w:pPr>
      <w:widowControl/>
      <w:spacing w:before="100" w:beforeAutospacing="1" w:after="100" w:afterAutospacing="1"/>
      <w:jc w:val="center"/>
      <w:textAlignment w:val="center"/>
    </w:pPr>
    <w:rPr>
      <w:rFonts w:ascii="宋体" w:hAnsi="宋体" w:cs="宋体"/>
      <w:b/>
      <w:bCs/>
      <w:kern w:val="0"/>
      <w:sz w:val="24"/>
    </w:rPr>
  </w:style>
  <w:style w:type="paragraph" w:customStyle="1" w:styleId="851">
    <w:name w:val="xl75"/>
    <w:basedOn w:val="1"/>
    <w:qFormat/>
    <w:uiPriority w:val="0"/>
    <w:pPr>
      <w:widowControl/>
      <w:pBdr>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852">
    <w:name w:val="xl76"/>
    <w:basedOn w:val="1"/>
    <w:qFormat/>
    <w:uiPriority w:val="0"/>
    <w:pPr>
      <w:widowControl/>
      <w:pBdr>
        <w:lef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853">
    <w:name w:val="xl77"/>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854">
    <w:name w:val="xl78"/>
    <w:basedOn w:val="1"/>
    <w:qFormat/>
    <w:uiPriority w:val="0"/>
    <w:pPr>
      <w:widowControl/>
      <w:pBdr>
        <w:bottom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855">
    <w:name w:val="xl79"/>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856">
    <w:name w:val="xl80"/>
    <w:basedOn w:val="1"/>
    <w:qFormat/>
    <w:uiPriority w:val="0"/>
    <w:pPr>
      <w:widowControl/>
      <w:pBdr>
        <w:left w:val="single" w:color="auto" w:sz="4" w:space="0"/>
        <w:bottom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857">
    <w:name w:val="xl81"/>
    <w:basedOn w:val="1"/>
    <w:qFormat/>
    <w:uiPriority w:val="0"/>
    <w:pPr>
      <w:widowControl/>
      <w:pBdr>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858">
    <w:name w:val="xl8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859">
    <w:name w:val="xl8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860">
    <w:name w:val="xl8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61">
    <w:name w:val="xl85"/>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862">
    <w:name w:val="xl86"/>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63">
    <w:name w:val="xl87"/>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kern w:val="0"/>
      <w:sz w:val="24"/>
    </w:rPr>
  </w:style>
  <w:style w:type="paragraph" w:customStyle="1" w:styleId="864">
    <w:name w:val="xl88"/>
    <w:basedOn w:val="1"/>
    <w:qFormat/>
    <w:uiPriority w:val="0"/>
    <w:pPr>
      <w:widowControl/>
      <w:pBdr>
        <w:left w:val="single" w:color="auto" w:sz="4" w:space="0"/>
        <w:bottom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865">
    <w:name w:val="xl89"/>
    <w:basedOn w:val="1"/>
    <w:qFormat/>
    <w:uiPriority w:val="0"/>
    <w:pPr>
      <w:widowControl/>
      <w:pBdr>
        <w:bottom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866">
    <w:name w:val="xl90"/>
    <w:basedOn w:val="1"/>
    <w:qFormat/>
    <w:uiPriority w:val="0"/>
    <w:pPr>
      <w:widowControl/>
      <w:pBdr>
        <w:bottom w:val="single" w:color="auto" w:sz="4" w:space="0"/>
        <w:right w:val="single" w:color="auto" w:sz="8" w:space="0"/>
      </w:pBdr>
      <w:spacing w:before="100" w:beforeAutospacing="1" w:after="100" w:afterAutospacing="1"/>
      <w:jc w:val="left"/>
      <w:textAlignment w:val="center"/>
    </w:pPr>
    <w:rPr>
      <w:rFonts w:ascii="宋体" w:hAnsi="宋体" w:cs="宋体"/>
      <w:kern w:val="0"/>
      <w:sz w:val="24"/>
    </w:rPr>
  </w:style>
  <w:style w:type="paragraph" w:customStyle="1" w:styleId="867">
    <w:name w:val="xl91"/>
    <w:basedOn w:val="1"/>
    <w:qFormat/>
    <w:uiPriority w:val="0"/>
    <w:pPr>
      <w:widowControl/>
      <w:pBdr>
        <w:top w:val="single" w:color="auto" w:sz="8"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68">
    <w:name w:val="xl92"/>
    <w:basedOn w:val="1"/>
    <w:qFormat/>
    <w:uiPriority w:val="0"/>
    <w:pPr>
      <w:widowControl/>
      <w:pBdr>
        <w:top w:val="single" w:color="auto" w:sz="8"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69">
    <w:name w:val="xl93"/>
    <w:basedOn w:val="1"/>
    <w:qFormat/>
    <w:uiPriority w:val="0"/>
    <w:pPr>
      <w:widowControl/>
      <w:pBdr>
        <w:top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70">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71">
    <w:name w:val="xl95"/>
    <w:basedOn w:val="1"/>
    <w:qFormat/>
    <w:uiPriority w:val="0"/>
    <w:pPr>
      <w:widowControl/>
      <w:pBdr>
        <w:top w:val="single" w:color="auto" w:sz="8" w:space="0"/>
        <w:left w:val="single" w:color="auto" w:sz="8" w:space="0"/>
      </w:pBdr>
      <w:spacing w:before="100" w:beforeAutospacing="1" w:after="100" w:afterAutospacing="1"/>
      <w:jc w:val="center"/>
      <w:textAlignment w:val="center"/>
    </w:pPr>
    <w:rPr>
      <w:rFonts w:ascii="宋体" w:hAnsi="宋体" w:cs="宋体"/>
      <w:kern w:val="0"/>
      <w:sz w:val="24"/>
    </w:rPr>
  </w:style>
  <w:style w:type="paragraph" w:customStyle="1" w:styleId="872">
    <w:name w:val="xl96"/>
    <w:basedOn w:val="1"/>
    <w:qFormat/>
    <w:uiPriority w:val="0"/>
    <w:pPr>
      <w:widowControl/>
      <w:pBdr>
        <w:top w:val="single" w:color="auto" w:sz="8" w:space="0"/>
      </w:pBdr>
      <w:spacing w:before="100" w:beforeAutospacing="1" w:after="100" w:afterAutospacing="1"/>
      <w:jc w:val="center"/>
      <w:textAlignment w:val="center"/>
    </w:pPr>
    <w:rPr>
      <w:rFonts w:ascii="宋体" w:hAnsi="宋体" w:cs="宋体"/>
      <w:kern w:val="0"/>
      <w:sz w:val="24"/>
    </w:rPr>
  </w:style>
  <w:style w:type="paragraph" w:customStyle="1" w:styleId="873">
    <w:name w:val="xl97"/>
    <w:basedOn w:val="1"/>
    <w:qFormat/>
    <w:uiPriority w:val="0"/>
    <w:pPr>
      <w:widowControl/>
      <w:pBdr>
        <w:top w:val="single" w:color="auto" w:sz="8" w:space="0"/>
      </w:pBdr>
      <w:spacing w:before="100" w:beforeAutospacing="1" w:after="100" w:afterAutospacing="1"/>
      <w:jc w:val="left"/>
    </w:pPr>
    <w:rPr>
      <w:rFonts w:ascii="宋体" w:hAnsi="宋体" w:cs="宋体"/>
      <w:kern w:val="0"/>
      <w:sz w:val="24"/>
    </w:rPr>
  </w:style>
  <w:style w:type="paragraph" w:customStyle="1" w:styleId="874">
    <w:name w:val="xl98"/>
    <w:basedOn w:val="1"/>
    <w:qFormat/>
    <w:uiPriority w:val="0"/>
    <w:pPr>
      <w:widowControl/>
      <w:pBdr>
        <w:top w:val="single" w:color="auto" w:sz="8" w:space="0"/>
        <w:right w:val="single" w:color="auto" w:sz="4" w:space="0"/>
      </w:pBdr>
      <w:spacing w:before="100" w:beforeAutospacing="1" w:after="100" w:afterAutospacing="1"/>
      <w:jc w:val="left"/>
    </w:pPr>
    <w:rPr>
      <w:rFonts w:ascii="宋体" w:hAnsi="宋体" w:cs="宋体"/>
      <w:kern w:val="0"/>
      <w:sz w:val="24"/>
    </w:rPr>
  </w:style>
  <w:style w:type="paragraph" w:customStyle="1" w:styleId="875">
    <w:name w:val="xl99"/>
    <w:basedOn w:val="1"/>
    <w:qFormat/>
    <w:uiPriority w:val="0"/>
    <w:pPr>
      <w:widowControl/>
      <w:pBdr>
        <w:left w:val="single" w:color="auto" w:sz="8" w:space="0"/>
        <w:bottom w:val="single" w:color="auto" w:sz="4" w:space="0"/>
      </w:pBdr>
      <w:spacing w:before="100" w:beforeAutospacing="1" w:after="100" w:afterAutospacing="1"/>
      <w:jc w:val="left"/>
    </w:pPr>
    <w:rPr>
      <w:rFonts w:ascii="宋体" w:hAnsi="宋体" w:cs="宋体"/>
      <w:kern w:val="0"/>
      <w:sz w:val="24"/>
    </w:rPr>
  </w:style>
  <w:style w:type="paragraph" w:customStyle="1" w:styleId="876">
    <w:name w:val="xl100"/>
    <w:basedOn w:val="1"/>
    <w:qFormat/>
    <w:uiPriority w:val="0"/>
    <w:pPr>
      <w:widowControl/>
      <w:pBdr>
        <w:bottom w:val="single" w:color="auto" w:sz="4" w:space="0"/>
      </w:pBdr>
      <w:spacing w:before="100" w:beforeAutospacing="1" w:after="100" w:afterAutospacing="1"/>
      <w:jc w:val="left"/>
    </w:pPr>
    <w:rPr>
      <w:rFonts w:ascii="宋体" w:hAnsi="宋体" w:cs="宋体"/>
      <w:kern w:val="0"/>
      <w:sz w:val="24"/>
    </w:rPr>
  </w:style>
  <w:style w:type="paragraph" w:customStyle="1" w:styleId="877">
    <w:name w:val="xl101"/>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878">
    <w:name w:val="xl10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879">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880">
    <w:name w:val="xl104"/>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81">
    <w:name w:val="xl105"/>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82">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character" w:customStyle="1" w:styleId="883">
    <w:name w:val="content1"/>
    <w:qFormat/>
    <w:uiPriority w:val="0"/>
    <w:rPr>
      <w:rFonts w:eastAsia="宋体"/>
      <w:color w:val="000000"/>
      <w:kern w:val="2"/>
      <w:sz w:val="21"/>
      <w:szCs w:val="28"/>
      <w:lang w:val="en-US" w:eastAsia="zh-CN" w:bidi="ar-SA"/>
    </w:rPr>
  </w:style>
  <w:style w:type="character" w:customStyle="1" w:styleId="884">
    <w:name w:val="tpc_content1"/>
    <w:qFormat/>
    <w:uiPriority w:val="0"/>
    <w:rPr>
      <w:rFonts w:eastAsia="宋体"/>
      <w:kern w:val="2"/>
      <w:sz w:val="20"/>
      <w:szCs w:val="28"/>
      <w:lang w:val="en-US" w:eastAsia="zh-CN" w:bidi="ar-SA"/>
    </w:rPr>
  </w:style>
  <w:style w:type="character" w:customStyle="1" w:styleId="885">
    <w:name w:val="样式 标题 4 + 图案: 清除 (白色)1 Char"/>
    <w:qFormat/>
    <w:uiPriority w:val="0"/>
    <w:rPr>
      <w:rFonts w:ascii="Arial Narrow" w:hAnsi="Arial Narrow" w:eastAsia="仿宋_GB2312"/>
      <w:kern w:val="2"/>
      <w:sz w:val="24"/>
      <w:szCs w:val="28"/>
      <w:shd w:val="clear" w:color="auto" w:fill="FFFFFF"/>
      <w:lang w:val="en-US" w:eastAsia="zh-CN" w:bidi="ar-SA"/>
    </w:rPr>
  </w:style>
  <w:style w:type="character" w:customStyle="1" w:styleId="886">
    <w:name w:val="attach-title1"/>
    <w:qFormat/>
    <w:uiPriority w:val="0"/>
    <w:rPr>
      <w:rFonts w:eastAsia="宋体"/>
      <w:b/>
      <w:color w:val="008080"/>
      <w:kern w:val="2"/>
      <w:sz w:val="27"/>
      <w:szCs w:val="28"/>
      <w:lang w:val="en-US" w:eastAsia="zh-CN" w:bidi="ar-SA"/>
    </w:rPr>
  </w:style>
  <w:style w:type="paragraph" w:customStyle="1" w:styleId="887">
    <w:name w:val="ISO标题3内文"/>
    <w:qFormat/>
    <w:uiPriority w:val="0"/>
    <w:pPr>
      <w:ind w:left="1620"/>
    </w:pPr>
    <w:rPr>
      <w:rFonts w:ascii="宋体" w:hAnsi="宋体" w:eastAsia="宋体" w:cs="Times New Roman"/>
      <w:color w:val="000000"/>
      <w:sz w:val="24"/>
      <w:lang w:val="en-US" w:eastAsia="zh-CN" w:bidi="ar-SA"/>
    </w:rPr>
  </w:style>
  <w:style w:type="paragraph" w:customStyle="1" w:styleId="888">
    <w:name w:val="Char1 Char Char3"/>
    <w:basedOn w:val="1"/>
    <w:qFormat/>
    <w:uiPriority w:val="0"/>
    <w:rPr>
      <w:rFonts w:ascii="宋体" w:hAnsi="宋体" w:cs="宋体"/>
    </w:rPr>
  </w:style>
  <w:style w:type="paragraph" w:customStyle="1" w:styleId="889">
    <w:name w:val="环评正文1"/>
    <w:basedOn w:val="333"/>
    <w:qFormat/>
    <w:uiPriority w:val="0"/>
    <w:pPr>
      <w:ind w:firstLine="0" w:firstLineChars="0"/>
    </w:pPr>
  </w:style>
  <w:style w:type="paragraph" w:customStyle="1" w:styleId="890">
    <w:name w:val="样式 标题 1 + 段前: 1.5 行 段后: 1.5 行"/>
    <w:basedOn w:val="4"/>
    <w:qFormat/>
    <w:uiPriority w:val="0"/>
    <w:pPr>
      <w:keepLines/>
      <w:widowControl w:val="0"/>
      <w:numPr>
        <w:numId w:val="0"/>
      </w:numPr>
      <w:tabs>
        <w:tab w:val="left" w:pos="432"/>
      </w:tabs>
      <w:adjustRightInd w:val="0"/>
      <w:snapToGrid w:val="0"/>
      <w:spacing w:before="100" w:after="100" w:line="300" w:lineRule="auto"/>
      <w:ind w:left="431" w:hanging="431"/>
      <w:jc w:val="both"/>
    </w:pPr>
    <w:rPr>
      <w:rFonts w:ascii="仿宋_GB2312" w:hAnsi="Calibri" w:eastAsia="仿宋_GB2312"/>
      <w:b/>
      <w:kern w:val="44"/>
      <w:szCs w:val="20"/>
    </w:rPr>
  </w:style>
  <w:style w:type="paragraph" w:customStyle="1" w:styleId="891">
    <w:name w:val="Print- From: To: Subject: Date:"/>
    <w:basedOn w:val="1"/>
    <w:qFormat/>
    <w:uiPriority w:val="0"/>
    <w:pPr>
      <w:pBdr>
        <w:left w:val="single" w:color="auto" w:sz="18" w:space="1"/>
      </w:pBdr>
      <w:adjustRightInd w:val="0"/>
      <w:spacing w:line="360" w:lineRule="atLeast"/>
      <w:jc w:val="left"/>
      <w:textAlignment w:val="baseline"/>
    </w:pPr>
    <w:rPr>
      <w:rFonts w:ascii="宋体" w:hAnsi="宋体" w:eastAsia="PMingLiU" w:cs="宋体"/>
      <w:kern w:val="0"/>
      <w:sz w:val="24"/>
      <w:lang w:eastAsia="zh-TW"/>
    </w:rPr>
  </w:style>
  <w:style w:type="paragraph" w:customStyle="1" w:styleId="892">
    <w:name w:val="Char1 Char Char Char Char Char"/>
    <w:basedOn w:val="1"/>
    <w:qFormat/>
    <w:uiPriority w:val="0"/>
    <w:rPr>
      <w:rFonts w:ascii="宋体" w:hAnsi="宋体" w:cs="宋体"/>
    </w:rPr>
  </w:style>
  <w:style w:type="paragraph" w:customStyle="1" w:styleId="893">
    <w:name w:val="註解方塊文字"/>
    <w:basedOn w:val="1"/>
    <w:qFormat/>
    <w:uiPriority w:val="0"/>
    <w:rPr>
      <w:rFonts w:ascii="Arial" w:hAnsi="Arial" w:eastAsia="PMingLiU" w:cs="宋体"/>
      <w:sz w:val="18"/>
    </w:rPr>
  </w:style>
  <w:style w:type="paragraph" w:customStyle="1" w:styleId="894">
    <w:name w:val="ISO标题5"/>
    <w:qFormat/>
    <w:uiPriority w:val="0"/>
    <w:pPr>
      <w:tabs>
        <w:tab w:val="left" w:pos="1800"/>
      </w:tabs>
      <w:ind w:left="420" w:hanging="420"/>
      <w:outlineLvl w:val="4"/>
    </w:pPr>
    <w:rPr>
      <w:rFonts w:ascii="宋体" w:hAnsi="宋体" w:eastAsia="宋体" w:cs="Times New Roman"/>
      <w:color w:val="000000"/>
      <w:sz w:val="24"/>
      <w:lang w:val="en-US" w:eastAsia="zh-CN" w:bidi="ar-SA"/>
    </w:rPr>
  </w:style>
  <w:style w:type="paragraph" w:customStyle="1" w:styleId="895">
    <w:name w:val="ISO标题2"/>
    <w:basedOn w:val="896"/>
    <w:qFormat/>
    <w:uiPriority w:val="0"/>
    <w:pPr>
      <w:tabs>
        <w:tab w:val="left" w:pos="360"/>
        <w:tab w:val="left" w:pos="425"/>
      </w:tabs>
      <w:ind w:left="567" w:hanging="567"/>
      <w:outlineLvl w:val="1"/>
    </w:pPr>
  </w:style>
  <w:style w:type="paragraph" w:customStyle="1" w:styleId="896">
    <w:name w:val="ISO标题1."/>
    <w:qFormat/>
    <w:uiPriority w:val="0"/>
    <w:pPr>
      <w:tabs>
        <w:tab w:val="left" w:pos="425"/>
      </w:tabs>
      <w:autoSpaceDE w:val="0"/>
      <w:autoSpaceDN w:val="0"/>
      <w:adjustRightInd w:val="0"/>
      <w:ind w:left="425" w:hanging="425"/>
      <w:outlineLvl w:val="0"/>
    </w:pPr>
    <w:rPr>
      <w:rFonts w:ascii="宋体" w:hAnsi="宋体" w:eastAsia="宋体" w:cs="Times New Roman"/>
      <w:color w:val="000000"/>
      <w:sz w:val="24"/>
      <w:lang w:val="en-US" w:eastAsia="zh-CN" w:bidi="ar-SA"/>
    </w:rPr>
  </w:style>
  <w:style w:type="paragraph" w:customStyle="1" w:styleId="897">
    <w:name w:val="ISO标题3"/>
    <w:basedOn w:val="895"/>
    <w:qFormat/>
    <w:uiPriority w:val="0"/>
    <w:pPr>
      <w:ind w:left="709" w:hanging="709"/>
      <w:outlineLvl w:val="2"/>
    </w:pPr>
  </w:style>
  <w:style w:type="paragraph" w:customStyle="1" w:styleId="898">
    <w:name w:val="ISO标题4"/>
    <w:qFormat/>
    <w:uiPriority w:val="0"/>
    <w:pPr>
      <w:tabs>
        <w:tab w:val="left" w:pos="1440"/>
      </w:tabs>
      <w:ind w:left="420" w:hanging="420"/>
      <w:outlineLvl w:val="3"/>
    </w:pPr>
    <w:rPr>
      <w:rFonts w:ascii="宋体" w:hAnsi="宋体" w:eastAsia="宋体" w:cs="Times New Roman"/>
      <w:color w:val="000000"/>
      <w:sz w:val="24"/>
      <w:lang w:val="en-US" w:eastAsia="zh-CN" w:bidi="ar-SA"/>
    </w:rPr>
  </w:style>
  <w:style w:type="paragraph" w:customStyle="1" w:styleId="899">
    <w:name w:val="样式 标题 4 + 图案: 清除 (白色)1"/>
    <w:basedOn w:val="8"/>
    <w:qFormat/>
    <w:uiPriority w:val="0"/>
    <w:pPr>
      <w:widowControl w:val="0"/>
      <w:tabs>
        <w:tab w:val="left" w:pos="980"/>
        <w:tab w:val="left" w:pos="1704"/>
        <w:tab w:val="clear" w:pos="1276"/>
      </w:tabs>
      <w:adjustRightInd w:val="0"/>
      <w:snapToGrid w:val="0"/>
      <w:spacing w:line="300" w:lineRule="auto"/>
      <w:ind w:left="1704" w:hanging="864"/>
    </w:pPr>
    <w:rPr>
      <w:rFonts w:ascii="Arial Narrow" w:hAnsi="Arial Narrow" w:eastAsia="仿宋_GB2312"/>
      <w:b w:val="0"/>
      <w:bCs w:val="0"/>
      <w:kern w:val="2"/>
      <w:szCs w:val="20"/>
      <w:shd w:val="clear" w:color="auto" w:fill="FFFFFF"/>
    </w:rPr>
  </w:style>
  <w:style w:type="paragraph" w:customStyle="1" w:styleId="900">
    <w:name w:val="Char Char Char1 Char1"/>
    <w:basedOn w:val="1"/>
    <w:qFormat/>
    <w:uiPriority w:val="0"/>
    <w:rPr>
      <w:rFonts w:ascii="宋体" w:hAnsi="宋体" w:cs="宋体"/>
    </w:rPr>
  </w:style>
  <w:style w:type="paragraph" w:customStyle="1" w:styleId="901">
    <w:name w:val="表格的文字"/>
    <w:basedOn w:val="1"/>
    <w:qFormat/>
    <w:uiPriority w:val="0"/>
    <w:pPr>
      <w:spacing w:line="300" w:lineRule="exact"/>
      <w:jc w:val="center"/>
    </w:pPr>
    <w:rPr>
      <w:rFonts w:ascii="仿宋_GB2312" w:hAnsi="宋体" w:eastAsia="仿宋_GB2312" w:cs="宋体"/>
      <w:bCs/>
    </w:rPr>
  </w:style>
  <w:style w:type="paragraph" w:customStyle="1" w:styleId="902">
    <w:name w:val="五号字表格"/>
    <w:basedOn w:val="344"/>
    <w:qFormat/>
    <w:uiPriority w:val="0"/>
    <w:pPr>
      <w:spacing w:line="240" w:lineRule="auto"/>
    </w:pPr>
    <w:rPr>
      <w:rFonts w:ascii="宋体" w:hAnsi="Times New Roman"/>
      <w:sz w:val="21"/>
    </w:rPr>
  </w:style>
  <w:style w:type="paragraph" w:customStyle="1" w:styleId="903">
    <w:name w:val="五号表格"/>
    <w:next w:val="1"/>
    <w:qFormat/>
    <w:uiPriority w:val="0"/>
    <w:rPr>
      <w:rFonts w:ascii="宋体" w:hAnsi="Times New Roman" w:eastAsia="宋体" w:cs="Times New Roman"/>
      <w:sz w:val="21"/>
      <w:lang w:val="en-US" w:eastAsia="zh-CN" w:bidi="ar-SA"/>
    </w:rPr>
  </w:style>
  <w:style w:type="paragraph" w:customStyle="1" w:styleId="904">
    <w:name w:val="文本居中"/>
    <w:basedOn w:val="1"/>
    <w:qFormat/>
    <w:uiPriority w:val="0"/>
    <w:pPr>
      <w:adjustRightInd w:val="0"/>
      <w:spacing w:line="360" w:lineRule="auto"/>
      <w:jc w:val="center"/>
    </w:pPr>
    <w:rPr>
      <w:rFonts w:ascii="宋体" w:hAnsi="宋体" w:cs="宋体"/>
      <w:sz w:val="28"/>
    </w:rPr>
  </w:style>
  <w:style w:type="paragraph" w:customStyle="1" w:styleId="905">
    <w:name w:val="正文居中"/>
    <w:basedOn w:val="59"/>
    <w:qFormat/>
    <w:uiPriority w:val="0"/>
    <w:pPr>
      <w:widowControl w:val="0"/>
      <w:adjustRightInd w:val="0"/>
      <w:spacing w:before="120" w:after="120" w:line="360" w:lineRule="auto"/>
      <w:jc w:val="center"/>
    </w:pPr>
    <w:rPr>
      <w:rFonts w:hAnsi="Arial" w:eastAsia="宋体"/>
      <w:b w:val="0"/>
      <w:bCs/>
      <w:caps/>
      <w:kern w:val="2"/>
      <w:sz w:val="28"/>
      <w:szCs w:val="28"/>
    </w:rPr>
  </w:style>
  <w:style w:type="paragraph" w:customStyle="1" w:styleId="906">
    <w:name w:val="表字"/>
    <w:basedOn w:val="1"/>
    <w:qFormat/>
    <w:uiPriority w:val="0"/>
    <w:pPr>
      <w:jc w:val="center"/>
    </w:pPr>
    <w:rPr>
      <w:rFonts w:ascii="宋体" w:hAnsi="宋体" w:cs="宋体"/>
    </w:rPr>
  </w:style>
  <w:style w:type="paragraph" w:customStyle="1" w:styleId="907">
    <w:name w:val="注"/>
    <w:basedOn w:val="1"/>
    <w:next w:val="1"/>
    <w:qFormat/>
    <w:uiPriority w:val="0"/>
    <w:pPr>
      <w:widowControl/>
      <w:spacing w:before="60" w:after="60" w:line="312" w:lineRule="auto"/>
    </w:pPr>
    <w:rPr>
      <w:rFonts w:ascii="宋体" w:hAnsi="宋体" w:eastAsia="黑体" w:cs="宋体"/>
      <w:kern w:val="0"/>
    </w:rPr>
  </w:style>
  <w:style w:type="paragraph" w:customStyle="1" w:styleId="908">
    <w:name w:val="表1"/>
    <w:basedOn w:val="1"/>
    <w:qFormat/>
    <w:uiPriority w:val="0"/>
    <w:pPr>
      <w:jc w:val="center"/>
    </w:pPr>
    <w:rPr>
      <w:rFonts w:ascii="宋体" w:hAnsi="宋体" w:cs="宋体"/>
      <w:color w:val="000000"/>
    </w:rPr>
  </w:style>
  <w:style w:type="paragraph" w:customStyle="1" w:styleId="909">
    <w:name w:val="正文首行缩进1"/>
    <w:basedOn w:val="1"/>
    <w:next w:val="1"/>
    <w:qFormat/>
    <w:uiPriority w:val="0"/>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rFonts w:ascii="宋体" w:hAnsi="宋体" w:cs="宋体"/>
      <w:kern w:val="0"/>
      <w:sz w:val="28"/>
    </w:rPr>
  </w:style>
  <w:style w:type="paragraph" w:customStyle="1" w:styleId="910">
    <w:name w:val="样式 标题 1 + 两端对齐"/>
    <w:basedOn w:val="4"/>
    <w:qFormat/>
    <w:uiPriority w:val="0"/>
    <w:pPr>
      <w:keepNext w:val="0"/>
      <w:pageBreakBefore/>
      <w:numPr>
        <w:numId w:val="0"/>
      </w:numPr>
      <w:tabs>
        <w:tab w:val="left" w:pos="420"/>
      </w:tabs>
      <w:adjustRightInd w:val="0"/>
      <w:snapToGrid w:val="0"/>
      <w:spacing w:line="300" w:lineRule="auto"/>
      <w:jc w:val="center"/>
    </w:pPr>
    <w:rPr>
      <w:rFonts w:ascii="仿宋_GB2312" w:hAnsi="Calibri" w:eastAsia="仿宋_GB2312"/>
      <w:snapToGrid w:val="0"/>
      <w:szCs w:val="32"/>
    </w:rPr>
  </w:style>
  <w:style w:type="paragraph" w:customStyle="1" w:styleId="911">
    <w:name w:val="图框文字"/>
    <w:basedOn w:val="1"/>
    <w:qFormat/>
    <w:uiPriority w:val="0"/>
    <w:pPr>
      <w:jc w:val="center"/>
      <w:textAlignment w:val="center"/>
    </w:pPr>
    <w:rPr>
      <w:rFonts w:ascii="宋体" w:hAnsi="宋体" w:cs="宋体"/>
    </w:rPr>
  </w:style>
  <w:style w:type="paragraph" w:customStyle="1" w:styleId="912">
    <w:name w:val="字元 字元1"/>
    <w:basedOn w:val="1"/>
    <w:qFormat/>
    <w:uiPriority w:val="0"/>
    <w:rPr>
      <w:rFonts w:ascii="宋体" w:hAnsi="宋体" w:cs="宋体"/>
      <w:sz w:val="24"/>
    </w:rPr>
  </w:style>
  <w:style w:type="paragraph" w:customStyle="1" w:styleId="913">
    <w:name w:val="列表项目"/>
    <w:basedOn w:val="25"/>
    <w:qFormat/>
    <w:uiPriority w:val="0"/>
    <w:pPr>
      <w:widowControl w:val="0"/>
      <w:spacing w:before="360" w:line="360" w:lineRule="auto"/>
      <w:ind w:left="0" w:firstLine="0"/>
      <w:contextualSpacing w:val="0"/>
      <w:jc w:val="center"/>
      <w:outlineLvl w:val="0"/>
    </w:pPr>
    <w:rPr>
      <w:rFonts w:ascii="黑体" w:eastAsia="黑体"/>
      <w:b/>
      <w:kern w:val="2"/>
      <w:sz w:val="32"/>
      <w:szCs w:val="32"/>
    </w:rPr>
  </w:style>
  <w:style w:type="character" w:customStyle="1" w:styleId="914">
    <w:name w:val="style611"/>
    <w:qFormat/>
    <w:uiPriority w:val="0"/>
    <w:rPr>
      <w:rFonts w:eastAsia="宋体"/>
      <w:color w:val="000000"/>
      <w:kern w:val="2"/>
      <w:sz w:val="28"/>
      <w:szCs w:val="28"/>
      <w:lang w:val="en-US" w:eastAsia="zh-CN" w:bidi="ar-SA"/>
    </w:rPr>
  </w:style>
  <w:style w:type="paragraph" w:customStyle="1" w:styleId="915">
    <w:name w:val="表格文字1"/>
    <w:basedOn w:val="1"/>
    <w:qFormat/>
    <w:uiPriority w:val="0"/>
    <w:pPr>
      <w:tabs>
        <w:tab w:val="left" w:pos="0"/>
      </w:tabs>
      <w:autoSpaceDE w:val="0"/>
      <w:autoSpaceDN w:val="0"/>
      <w:adjustRightInd w:val="0"/>
      <w:spacing w:before="60"/>
      <w:ind w:left="57" w:right="57"/>
      <w:jc w:val="center"/>
      <w:textAlignment w:val="baseline"/>
    </w:pPr>
    <w:rPr>
      <w:rFonts w:ascii="宋体" w:hAnsi="宋体" w:cs="宋体"/>
    </w:rPr>
  </w:style>
  <w:style w:type="paragraph" w:customStyle="1" w:styleId="916">
    <w:name w:val="依据文字"/>
    <w:basedOn w:val="87"/>
    <w:qFormat/>
    <w:uiPriority w:val="0"/>
    <w:pPr>
      <w:tabs>
        <w:tab w:val="left" w:pos="420"/>
        <w:tab w:val="left" w:pos="870"/>
        <w:tab w:val="left" w:pos="3150"/>
      </w:tabs>
      <w:autoSpaceDE w:val="0"/>
      <w:autoSpaceDN w:val="0"/>
      <w:adjustRightInd w:val="0"/>
      <w:spacing w:beforeLines="25" w:line="336" w:lineRule="auto"/>
      <w:ind w:firstLine="527" w:firstLineChars="0"/>
      <w:textAlignment w:val="baseline"/>
    </w:pPr>
    <w:rPr>
      <w:rFonts w:ascii="宋体" w:hAnsi="Calibri" w:eastAsia="宋体" w:cs="宋体"/>
      <w:sz w:val="24"/>
      <w:szCs w:val="28"/>
    </w:rPr>
  </w:style>
  <w:style w:type="paragraph" w:customStyle="1" w:styleId="917">
    <w:name w:val="表格样式"/>
    <w:basedOn w:val="1"/>
    <w:qFormat/>
    <w:uiPriority w:val="99"/>
    <w:pPr>
      <w:adjustRightInd w:val="0"/>
      <w:snapToGrid w:val="0"/>
      <w:jc w:val="center"/>
      <w:textAlignment w:val="baseline"/>
    </w:pPr>
    <w:rPr>
      <w:rFonts w:ascii="宋体" w:hAnsi="宋体" w:cs="宋体"/>
      <w:snapToGrid w:val="0"/>
      <w:color w:val="000000"/>
      <w:kern w:val="0"/>
      <w:sz w:val="24"/>
    </w:rPr>
  </w:style>
  <w:style w:type="paragraph" w:customStyle="1" w:styleId="918">
    <w:name w:val="基准篇眉"/>
    <w:basedOn w:val="1"/>
    <w:qFormat/>
    <w:uiPriority w:val="0"/>
    <w:pPr>
      <w:keepLines/>
      <w:widowControl/>
      <w:tabs>
        <w:tab w:val="center" w:pos="7200"/>
        <w:tab w:val="right" w:pos="14400"/>
      </w:tabs>
      <w:overflowPunct w:val="0"/>
      <w:autoSpaceDE w:val="0"/>
      <w:autoSpaceDN w:val="0"/>
      <w:adjustRightInd w:val="0"/>
      <w:jc w:val="center"/>
      <w:textAlignment w:val="baseline"/>
    </w:pPr>
    <w:rPr>
      <w:rFonts w:ascii="宋体" w:hAnsi="宋体" w:cs="宋体"/>
      <w:spacing w:val="80"/>
      <w:kern w:val="0"/>
      <w:sz w:val="24"/>
    </w:rPr>
  </w:style>
  <w:style w:type="character" w:customStyle="1" w:styleId="919">
    <w:name w:val="edit"/>
    <w:qFormat/>
    <w:uiPriority w:val="0"/>
    <w:rPr>
      <w:rFonts w:eastAsia="宋体"/>
      <w:kern w:val="2"/>
      <w:sz w:val="28"/>
      <w:szCs w:val="28"/>
      <w:lang w:val="en-US" w:eastAsia="zh-CN" w:bidi="ar-SA"/>
    </w:rPr>
  </w:style>
  <w:style w:type="paragraph" w:customStyle="1" w:styleId="920">
    <w:name w:val="样式 标题 3 + 小四 行距: 1.5 倍行距"/>
    <w:basedOn w:val="7"/>
    <w:qFormat/>
    <w:uiPriority w:val="0"/>
    <w:pPr>
      <w:tabs>
        <w:tab w:val="left" w:pos="720"/>
      </w:tabs>
      <w:spacing w:before="0" w:after="0" w:line="360" w:lineRule="auto"/>
      <w:ind w:left="720" w:hanging="720"/>
    </w:pPr>
    <w:rPr>
      <w:rFonts w:ascii="Calibri" w:hAnsi="Calibri" w:cs="宋体"/>
      <w:b w:val="0"/>
      <w:bCs w:val="0"/>
      <w:snapToGrid w:val="0"/>
      <w:color w:val="000000"/>
      <w:kern w:val="0"/>
      <w:sz w:val="28"/>
      <w:szCs w:val="20"/>
    </w:rPr>
  </w:style>
  <w:style w:type="character" w:customStyle="1" w:styleId="921">
    <w:name w:val="p111"/>
    <w:qFormat/>
    <w:uiPriority w:val="0"/>
    <w:rPr>
      <w:rFonts w:eastAsia="宋体"/>
      <w:kern w:val="2"/>
      <w:sz w:val="28"/>
      <w:szCs w:val="28"/>
      <w:lang w:val="en-US" w:eastAsia="zh-CN" w:bidi="ar-SA"/>
    </w:rPr>
  </w:style>
  <w:style w:type="character" w:customStyle="1" w:styleId="922">
    <w:name w:val="f14b1"/>
    <w:qFormat/>
    <w:uiPriority w:val="0"/>
    <w:rPr>
      <w:rFonts w:eastAsia="宋体"/>
      <w:b/>
      <w:bCs/>
      <w:kern w:val="2"/>
      <w:sz w:val="23"/>
      <w:szCs w:val="23"/>
      <w:lang w:val="en-US" w:eastAsia="zh-CN" w:bidi="ar-SA"/>
    </w:rPr>
  </w:style>
  <w:style w:type="paragraph" w:customStyle="1" w:styleId="923">
    <w:name w:val="表8"/>
    <w:basedOn w:val="1"/>
    <w:qFormat/>
    <w:uiPriority w:val="0"/>
    <w:pPr>
      <w:tabs>
        <w:tab w:val="left" w:pos="1200"/>
      </w:tabs>
      <w:ind w:left="1200" w:hanging="360"/>
      <w:jc w:val="center"/>
    </w:pPr>
    <w:rPr>
      <w:rFonts w:ascii="宋体" w:hAnsi="宋体" w:cs="宋体"/>
      <w:b/>
      <w:szCs w:val="21"/>
    </w:rPr>
  </w:style>
  <w:style w:type="character" w:customStyle="1" w:styleId="924">
    <w:name w:val="zhengwen1"/>
    <w:qFormat/>
    <w:uiPriority w:val="0"/>
    <w:rPr>
      <w:rFonts w:eastAsia="宋体"/>
      <w:color w:val="333333"/>
      <w:kern w:val="2"/>
      <w:sz w:val="18"/>
      <w:szCs w:val="18"/>
      <w:u w:val="none"/>
      <w:lang w:val="en-US" w:eastAsia="zh-CN" w:bidi="ar-SA"/>
    </w:rPr>
  </w:style>
  <w:style w:type="paragraph" w:customStyle="1" w:styleId="925">
    <w:name w:val="表12"/>
    <w:basedOn w:val="1"/>
    <w:qFormat/>
    <w:uiPriority w:val="0"/>
    <w:pPr>
      <w:tabs>
        <w:tab w:val="left" w:pos="840"/>
        <w:tab w:val="left" w:pos="2479"/>
      </w:tabs>
      <w:spacing w:line="360" w:lineRule="auto"/>
      <w:ind w:left="840" w:hanging="360"/>
      <w:jc w:val="center"/>
    </w:pPr>
    <w:rPr>
      <w:rFonts w:ascii="宋体" w:hAnsi="宋体" w:cs="宋体"/>
      <w:b/>
      <w:sz w:val="24"/>
    </w:rPr>
  </w:style>
  <w:style w:type="character" w:customStyle="1" w:styleId="926">
    <w:name w:val="td7"/>
    <w:qFormat/>
    <w:uiPriority w:val="0"/>
    <w:rPr>
      <w:rFonts w:eastAsia="宋体"/>
      <w:kern w:val="2"/>
      <w:sz w:val="28"/>
      <w:szCs w:val="28"/>
      <w:lang w:val="en-US" w:eastAsia="zh-CN" w:bidi="ar-SA"/>
    </w:rPr>
  </w:style>
  <w:style w:type="character" w:customStyle="1" w:styleId="927">
    <w:name w:val="announ-title"/>
    <w:qFormat/>
    <w:uiPriority w:val="0"/>
    <w:rPr>
      <w:rFonts w:eastAsia="宋体"/>
      <w:kern w:val="2"/>
      <w:sz w:val="28"/>
      <w:szCs w:val="28"/>
      <w:lang w:val="en-US" w:eastAsia="zh-CN" w:bidi="ar-SA"/>
    </w:rPr>
  </w:style>
  <w:style w:type="character" w:customStyle="1" w:styleId="928">
    <w:name w:val="副标题1"/>
    <w:qFormat/>
    <w:uiPriority w:val="0"/>
    <w:rPr>
      <w:rFonts w:eastAsia="宋体"/>
      <w:kern w:val="2"/>
      <w:sz w:val="28"/>
      <w:szCs w:val="28"/>
      <w:lang w:val="en-US" w:eastAsia="zh-CN" w:bidi="ar-SA"/>
    </w:rPr>
  </w:style>
  <w:style w:type="character" w:customStyle="1" w:styleId="929">
    <w:name w:val="style211"/>
    <w:qFormat/>
    <w:uiPriority w:val="0"/>
    <w:rPr>
      <w:rFonts w:eastAsia="宋体"/>
      <w:color w:val="000000"/>
      <w:kern w:val="2"/>
      <w:sz w:val="28"/>
      <w:szCs w:val="28"/>
      <w:lang w:val="en-US" w:eastAsia="zh-CN" w:bidi="ar-SA"/>
    </w:rPr>
  </w:style>
  <w:style w:type="paragraph" w:customStyle="1" w:styleId="930">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rPr>
  </w:style>
  <w:style w:type="character" w:customStyle="1" w:styleId="931">
    <w:name w:val="catalog1"/>
    <w:qFormat/>
    <w:uiPriority w:val="0"/>
    <w:rPr>
      <w:rFonts w:eastAsia="宋体"/>
      <w:color w:val="000000"/>
      <w:kern w:val="2"/>
      <w:sz w:val="15"/>
      <w:szCs w:val="15"/>
      <w:u w:val="none"/>
      <w:lang w:val="en-US" w:eastAsia="zh-CN" w:bidi="ar-SA"/>
    </w:rPr>
  </w:style>
  <w:style w:type="paragraph" w:customStyle="1" w:styleId="932">
    <w:name w:val="样式 标题 2 + 四号"/>
    <w:basedOn w:val="5"/>
    <w:qFormat/>
    <w:uiPriority w:val="0"/>
    <w:pPr>
      <w:widowControl w:val="0"/>
      <w:tabs>
        <w:tab w:val="left" w:pos="576"/>
        <w:tab w:val="clear" w:pos="1276"/>
      </w:tabs>
      <w:spacing w:after="260" w:line="416" w:lineRule="auto"/>
      <w:ind w:left="576" w:hanging="576"/>
      <w:jc w:val="both"/>
    </w:pPr>
    <w:rPr>
      <w:rFonts w:ascii="Calibri" w:hAnsi="宋体" w:cs="宋体"/>
      <w:bCs/>
      <w:color w:val="000000"/>
      <w:kern w:val="2"/>
      <w:sz w:val="28"/>
      <w:szCs w:val="28"/>
    </w:rPr>
  </w:style>
  <w:style w:type="character" w:customStyle="1" w:styleId="933">
    <w:name w:val="td71"/>
    <w:qFormat/>
    <w:uiPriority w:val="0"/>
    <w:rPr>
      <w:rFonts w:eastAsia="宋体"/>
      <w:color w:val="3B3B3B"/>
      <w:kern w:val="2"/>
      <w:sz w:val="18"/>
      <w:szCs w:val="18"/>
      <w:lang w:val="en-US" w:eastAsia="zh-CN" w:bidi="ar-SA"/>
    </w:rPr>
  </w:style>
  <w:style w:type="character" w:customStyle="1" w:styleId="934">
    <w:name w:val="font_cn_14"/>
    <w:qFormat/>
    <w:uiPriority w:val="0"/>
    <w:rPr>
      <w:rFonts w:eastAsia="宋体"/>
      <w:kern w:val="2"/>
      <w:sz w:val="28"/>
      <w:szCs w:val="28"/>
      <w:lang w:val="en-US" w:eastAsia="zh-CN" w:bidi="ar-SA"/>
    </w:rPr>
  </w:style>
  <w:style w:type="paragraph" w:customStyle="1" w:styleId="935">
    <w:name w:val="B"/>
    <w:basedOn w:val="66"/>
    <w:qFormat/>
    <w:uiPriority w:val="0"/>
    <w:pPr>
      <w:spacing w:beforeLines="20" w:afterLines="20"/>
      <w:ind w:left="0" w:firstLine="0" w:firstLineChars="0"/>
      <w:contextualSpacing w:val="0"/>
      <w:jc w:val="center"/>
    </w:pPr>
    <w:rPr>
      <w:rFonts w:hAnsi="宋体" w:cs="宋体"/>
      <w:b/>
      <w:szCs w:val="21"/>
    </w:rPr>
  </w:style>
  <w:style w:type="paragraph" w:customStyle="1" w:styleId="936">
    <w:name w:val="cucd-0"/>
    <w:link w:val="937"/>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937">
    <w:name w:val="cucd-0 Char"/>
    <w:link w:val="936"/>
    <w:qFormat/>
    <w:uiPriority w:val="0"/>
    <w:rPr>
      <w:kern w:val="2"/>
      <w:sz w:val="24"/>
      <w:szCs w:val="24"/>
    </w:rPr>
  </w:style>
  <w:style w:type="character" w:customStyle="1" w:styleId="938">
    <w:name w:val="节标题 1.1 Char1"/>
    <w:qFormat/>
    <w:uiPriority w:val="0"/>
    <w:rPr>
      <w:rFonts w:ascii="Cambria" w:hAnsi="Cambria" w:eastAsia="宋体" w:cs="Times New Roman"/>
      <w:b/>
      <w:bCs/>
      <w:spacing w:val="10"/>
      <w:kern w:val="44"/>
      <w:sz w:val="32"/>
      <w:szCs w:val="32"/>
      <w:lang w:val="en-US" w:eastAsia="zh-CN" w:bidi="ar-SA"/>
    </w:rPr>
  </w:style>
  <w:style w:type="character" w:customStyle="1" w:styleId="939">
    <w:name w:val="标题 7 Char2"/>
    <w:qFormat/>
    <w:uiPriority w:val="0"/>
    <w:rPr>
      <w:b/>
      <w:bCs/>
      <w:kern w:val="2"/>
      <w:sz w:val="24"/>
      <w:szCs w:val="24"/>
    </w:rPr>
  </w:style>
  <w:style w:type="character" w:customStyle="1" w:styleId="940">
    <w:name w:val="标题 9 Char3"/>
    <w:qFormat/>
    <w:uiPriority w:val="0"/>
    <w:rPr>
      <w:rFonts w:ascii="Arial" w:hAnsi="Arial" w:eastAsia="黑体"/>
      <w:kern w:val="2"/>
      <w:sz w:val="21"/>
      <w:szCs w:val="21"/>
    </w:rPr>
  </w:style>
  <w:style w:type="character" w:customStyle="1" w:styleId="941">
    <w:name w:val="Char Char19"/>
    <w:qFormat/>
    <w:uiPriority w:val="0"/>
    <w:rPr>
      <w:rFonts w:ascii="Times New Roman" w:hAnsi="Times New Roman" w:eastAsia="仿宋_GB2312" w:cs="Times New Roman"/>
      <w:b/>
      <w:spacing w:val="10"/>
      <w:kern w:val="44"/>
      <w:sz w:val="18"/>
      <w:szCs w:val="20"/>
      <w:lang w:val="en-US" w:eastAsia="zh-CN" w:bidi="ar-SA"/>
    </w:rPr>
  </w:style>
  <w:style w:type="character" w:customStyle="1" w:styleId="942">
    <w:name w:val="正文首行缩进 Char Char1"/>
    <w:qFormat/>
    <w:uiPriority w:val="0"/>
    <w:rPr>
      <w:rFonts w:eastAsia="宋体"/>
      <w:kern w:val="2"/>
      <w:sz w:val="21"/>
      <w:szCs w:val="24"/>
      <w:lang w:val="en-US" w:eastAsia="zh-CN" w:bidi="ar-SA"/>
    </w:rPr>
  </w:style>
  <w:style w:type="paragraph" w:customStyle="1" w:styleId="943">
    <w:name w:val="style3"/>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944">
    <w:name w:val="样式 报告表格 + 小四"/>
    <w:basedOn w:val="1"/>
    <w:qFormat/>
    <w:uiPriority w:val="0"/>
    <w:pPr>
      <w:autoSpaceDE w:val="0"/>
      <w:autoSpaceDN w:val="0"/>
      <w:adjustRightInd w:val="0"/>
      <w:spacing w:line="400" w:lineRule="exact"/>
      <w:jc w:val="center"/>
      <w:textAlignment w:val="bottom"/>
    </w:pPr>
    <w:rPr>
      <w:rFonts w:ascii="宋体" w:hAnsi="宋体" w:cs="宋体"/>
      <w:kern w:val="0"/>
      <w:szCs w:val="21"/>
    </w:rPr>
  </w:style>
  <w:style w:type="paragraph" w:customStyle="1" w:styleId="945">
    <w:name w:val="Char Char Char2 Char Char Char Char Char Char Char Char Char Char Char Char Char Char Char Char Char Char Char Char Char Char Char Char"/>
    <w:basedOn w:val="1"/>
    <w:qFormat/>
    <w:uiPriority w:val="0"/>
    <w:rPr>
      <w:rFonts w:ascii="黑体" w:hAnsi="黑体" w:eastAsia="黑体" w:cs="宋体"/>
      <w:b/>
      <w:spacing w:val="10"/>
      <w:kern w:val="44"/>
      <w:sz w:val="28"/>
    </w:rPr>
  </w:style>
  <w:style w:type="paragraph" w:customStyle="1" w:styleId="946">
    <w:name w:val="Char Char21 Char Char Char Char Char Char Char"/>
    <w:basedOn w:val="1"/>
    <w:qFormat/>
    <w:uiPriority w:val="0"/>
    <w:rPr>
      <w:rFonts w:ascii="黑体" w:hAnsi="黑体" w:eastAsia="黑体" w:cs="宋体"/>
      <w:b/>
      <w:spacing w:val="10"/>
      <w:kern w:val="44"/>
      <w:sz w:val="28"/>
    </w:rPr>
  </w:style>
  <w:style w:type="paragraph" w:customStyle="1" w:styleId="947">
    <w:name w:val="Char Char7 Char Char1 Char Char Char1 Char Char Char Char Char1 Char Char Char"/>
    <w:basedOn w:val="1"/>
    <w:qFormat/>
    <w:uiPriority w:val="0"/>
    <w:rPr>
      <w:rFonts w:ascii="宋体" w:hAnsi="宋体" w:cs="宋体"/>
      <w:szCs w:val="21"/>
    </w:rPr>
  </w:style>
  <w:style w:type="paragraph" w:customStyle="1" w:styleId="948">
    <w:name w:val="Char Char5 Char Char Char Char Char Char"/>
    <w:basedOn w:val="1"/>
    <w:qFormat/>
    <w:uiPriority w:val="0"/>
    <w:rPr>
      <w:rFonts w:ascii="宋体" w:hAnsi="宋体" w:cs="宋体"/>
      <w:sz w:val="24"/>
    </w:rPr>
  </w:style>
  <w:style w:type="paragraph" w:customStyle="1" w:styleId="949">
    <w:name w:val="正文首行缩进  2字符"/>
    <w:basedOn w:val="1"/>
    <w:qFormat/>
    <w:uiPriority w:val="0"/>
    <w:pPr>
      <w:spacing w:line="360" w:lineRule="auto"/>
      <w:ind w:firstLine="480" w:firstLineChars="200"/>
    </w:pPr>
    <w:rPr>
      <w:rFonts w:ascii="宋体" w:hAnsi="宋体" w:cs="宋体"/>
      <w:sz w:val="24"/>
    </w:rPr>
  </w:style>
  <w:style w:type="paragraph" w:customStyle="1" w:styleId="950">
    <w:name w:val="样式 标题 2 + 黑体 小三 段前: 0 磅 段后: 0 磅 行距: 最小值 27 磅2"/>
    <w:basedOn w:val="5"/>
    <w:link w:val="951"/>
    <w:qFormat/>
    <w:uiPriority w:val="0"/>
    <w:pPr>
      <w:widowControl w:val="0"/>
      <w:tabs>
        <w:tab w:val="clear" w:pos="1276"/>
      </w:tabs>
      <w:adjustRightInd w:val="0"/>
      <w:snapToGrid w:val="0"/>
      <w:spacing w:line="540" w:lineRule="atLeast"/>
      <w:ind w:left="0" w:firstLine="0"/>
      <w:jc w:val="both"/>
    </w:pPr>
    <w:rPr>
      <w:rFonts w:ascii="黑体" w:eastAsia="黑体" w:cs="宋体"/>
      <w:b/>
      <w:bCs/>
      <w:spacing w:val="8"/>
      <w:kern w:val="2"/>
      <w:szCs w:val="24"/>
    </w:rPr>
  </w:style>
  <w:style w:type="character" w:customStyle="1" w:styleId="951">
    <w:name w:val="样式 标题 2 + 黑体 小三 段前: 0 磅 段后: 0 磅 行距: 最小值 27 磅2 Char"/>
    <w:link w:val="950"/>
    <w:qFormat/>
    <w:uiPriority w:val="0"/>
    <w:rPr>
      <w:rFonts w:ascii="黑体" w:hAnsi="Arial" w:eastAsia="黑体" w:cs="宋体"/>
      <w:b/>
      <w:bCs/>
      <w:spacing w:val="8"/>
      <w:kern w:val="2"/>
      <w:sz w:val="30"/>
      <w:szCs w:val="24"/>
    </w:rPr>
  </w:style>
  <w:style w:type="paragraph" w:customStyle="1" w:styleId="952">
    <w:name w:val="4级标题"/>
    <w:basedOn w:val="84"/>
    <w:qFormat/>
    <w:uiPriority w:val="99"/>
    <w:pPr>
      <w:widowControl w:val="0"/>
      <w:spacing w:before="0" w:after="0" w:line="480" w:lineRule="exact"/>
      <w:jc w:val="left"/>
      <w:outlineLvl w:val="3"/>
    </w:pPr>
    <w:rPr>
      <w:rFonts w:ascii="宋体" w:hAnsi="宋体" w:cs="Arial"/>
      <w:kern w:val="2"/>
      <w:sz w:val="24"/>
      <w:szCs w:val="24"/>
    </w:rPr>
  </w:style>
  <w:style w:type="paragraph" w:customStyle="1" w:styleId="953">
    <w:name w:val="Char Char21 Char Char Char Char"/>
    <w:basedOn w:val="1"/>
    <w:qFormat/>
    <w:uiPriority w:val="0"/>
    <w:rPr>
      <w:rFonts w:ascii="黑体" w:hAnsi="黑体" w:eastAsia="黑体" w:cs="宋体"/>
      <w:b/>
      <w:spacing w:val="10"/>
      <w:kern w:val="44"/>
      <w:sz w:val="28"/>
    </w:rPr>
  </w:style>
  <w:style w:type="paragraph" w:customStyle="1" w:styleId="954">
    <w:name w:val="样式 表格文字 + (中文) 仿宋_GB2312"/>
    <w:basedOn w:val="199"/>
    <w:qFormat/>
    <w:uiPriority w:val="0"/>
    <w:pPr>
      <w:snapToGrid w:val="0"/>
      <w:jc w:val="left"/>
    </w:pPr>
    <w:rPr>
      <w:rFonts w:hAnsi="仿宋_GB2312"/>
      <w:color w:val="800080"/>
      <w:kern w:val="0"/>
      <w:lang w:val="zh-CN"/>
    </w:rPr>
  </w:style>
  <w:style w:type="paragraph" w:customStyle="1" w:styleId="955">
    <w:name w:val="图形"/>
    <w:basedOn w:val="1"/>
    <w:qFormat/>
    <w:uiPriority w:val="0"/>
    <w:pPr>
      <w:widowControl/>
      <w:spacing w:before="240" w:afterLines="50"/>
      <w:jc w:val="left"/>
    </w:pPr>
    <w:rPr>
      <w:rFonts w:ascii="仿宋_GB2312" w:hAnsi="仿宋_GB2312" w:eastAsia="黑体" w:cs="宋体"/>
      <w:kern w:val="0"/>
      <w:sz w:val="24"/>
      <w:lang w:val="zh-CN"/>
    </w:rPr>
  </w:style>
  <w:style w:type="paragraph" w:customStyle="1" w:styleId="956">
    <w:name w:val="图型标题"/>
    <w:basedOn w:val="1"/>
    <w:qFormat/>
    <w:uiPriority w:val="0"/>
    <w:pPr>
      <w:widowControl/>
      <w:spacing w:beforeLines="50" w:afterLines="50"/>
      <w:ind w:firstLine="200" w:firstLineChars="200"/>
      <w:jc w:val="center"/>
    </w:pPr>
    <w:rPr>
      <w:rFonts w:ascii="黑体" w:hAnsi="仿宋_GB2312" w:eastAsia="黑体" w:cs="宋体"/>
      <w:kern w:val="0"/>
      <w:sz w:val="24"/>
      <w:lang w:val="zh-CN"/>
    </w:rPr>
  </w:style>
  <w:style w:type="paragraph" w:customStyle="1" w:styleId="957">
    <w:name w:val="样式 表格文字 + (中文) 仿宋_GB2312 首行缩进:  0.85 厘米"/>
    <w:basedOn w:val="199"/>
    <w:qFormat/>
    <w:uiPriority w:val="0"/>
    <w:pPr>
      <w:jc w:val="left"/>
    </w:pPr>
    <w:rPr>
      <w:rFonts w:hAnsi="仿宋_GB2312"/>
      <w:color w:val="800080"/>
      <w:kern w:val="0"/>
      <w:lang w:val="zh-CN"/>
    </w:rPr>
  </w:style>
  <w:style w:type="paragraph" w:customStyle="1" w:styleId="958">
    <w:name w:val="样式 表格文字 + (中文) 仿宋_GB23121"/>
    <w:basedOn w:val="199"/>
    <w:qFormat/>
    <w:uiPriority w:val="0"/>
    <w:pPr>
      <w:jc w:val="left"/>
    </w:pPr>
    <w:rPr>
      <w:rFonts w:hAnsi="仿宋_GB2312"/>
      <w:color w:val="800080"/>
      <w:kern w:val="0"/>
      <w:lang w:val="zh-CN"/>
    </w:rPr>
  </w:style>
  <w:style w:type="character" w:customStyle="1" w:styleId="959">
    <w:name w:val="样式 表格文字 + (中文) 仿宋_GB23121 Char"/>
    <w:qFormat/>
    <w:uiPriority w:val="0"/>
    <w:rPr>
      <w:rFonts w:ascii="仿宋_GB2312" w:hAnsi="仿宋_GB2312" w:eastAsia="仿宋_GB2312"/>
      <w:spacing w:val="10"/>
      <w:kern w:val="44"/>
      <w:sz w:val="24"/>
      <w:szCs w:val="24"/>
      <w:lang w:val="zh-CN" w:eastAsia="zh-CN" w:bidi="ar-SA"/>
    </w:rPr>
  </w:style>
  <w:style w:type="character" w:customStyle="1" w:styleId="960">
    <w:name w:val="e91"/>
    <w:qFormat/>
    <w:uiPriority w:val="0"/>
    <w:rPr>
      <w:rFonts w:hint="default" w:ascii="Arial" w:hAnsi="Arial" w:eastAsia="仿宋_GB2312" w:cs="Arial"/>
      <w:spacing w:val="10"/>
      <w:kern w:val="2"/>
      <w:sz w:val="21"/>
      <w:szCs w:val="21"/>
      <w:lang w:val="zh-CN" w:eastAsia="zh-CN" w:bidi="ar-SA"/>
    </w:rPr>
  </w:style>
  <w:style w:type="paragraph" w:customStyle="1" w:styleId="961">
    <w:name w:val="正文aa"/>
    <w:basedOn w:val="1"/>
    <w:qFormat/>
    <w:uiPriority w:val="0"/>
    <w:pPr>
      <w:widowControl/>
      <w:spacing w:line="360" w:lineRule="auto"/>
      <w:ind w:firstLine="200" w:firstLineChars="200"/>
      <w:jc w:val="left"/>
    </w:pPr>
    <w:rPr>
      <w:rFonts w:ascii="宋体" w:hAnsi="宋体" w:cs="宋体"/>
      <w:sz w:val="24"/>
    </w:rPr>
  </w:style>
  <w:style w:type="character" w:customStyle="1" w:styleId="962">
    <w:name w:val="正文aa Char"/>
    <w:qFormat/>
    <w:uiPriority w:val="0"/>
    <w:rPr>
      <w:rFonts w:ascii="仿宋_GB2312" w:hAnsi="黑体" w:eastAsia="宋体"/>
      <w:spacing w:val="10"/>
      <w:kern w:val="2"/>
      <w:sz w:val="24"/>
      <w:szCs w:val="24"/>
      <w:lang w:val="en-US" w:eastAsia="zh-CN" w:bidi="ar-SA"/>
    </w:rPr>
  </w:style>
  <w:style w:type="paragraph" w:customStyle="1" w:styleId="963">
    <w:name w:val="C"/>
    <w:basedOn w:val="935"/>
    <w:next w:val="961"/>
    <w:qFormat/>
    <w:uiPriority w:val="0"/>
    <w:pPr>
      <w:keepNext/>
      <w:keepLines/>
      <w:widowControl/>
      <w:tabs>
        <w:tab w:val="left" w:pos="720"/>
      </w:tabs>
      <w:spacing w:beforeLines="0" w:afterLines="0" w:line="360" w:lineRule="auto"/>
      <w:ind w:left="720" w:hanging="720"/>
      <w:jc w:val="left"/>
      <w:outlineLvl w:val="2"/>
    </w:pPr>
    <w:rPr>
      <w:b w:val="0"/>
      <w:bCs/>
      <w:kern w:val="44"/>
      <w:sz w:val="24"/>
      <w:szCs w:val="24"/>
    </w:rPr>
  </w:style>
  <w:style w:type="paragraph" w:customStyle="1" w:styleId="964">
    <w:name w:val="D"/>
    <w:basedOn w:val="963"/>
    <w:next w:val="1"/>
    <w:qFormat/>
    <w:uiPriority w:val="0"/>
    <w:pPr>
      <w:tabs>
        <w:tab w:val="left" w:pos="1770"/>
        <w:tab w:val="clear" w:pos="720"/>
      </w:tabs>
      <w:ind w:left="1770" w:hanging="864"/>
      <w:outlineLvl w:val="3"/>
    </w:pPr>
  </w:style>
  <w:style w:type="paragraph" w:customStyle="1" w:styleId="965">
    <w:name w:val="xd"/>
    <w:basedOn w:val="1"/>
    <w:qFormat/>
    <w:uiPriority w:val="0"/>
    <w:pPr>
      <w:widowControl/>
      <w:spacing w:line="400" w:lineRule="exact"/>
      <w:jc w:val="left"/>
    </w:pPr>
    <w:rPr>
      <w:rFonts w:ascii="仿宋_GB2312" w:hAnsi="仿宋_GB2312" w:eastAsia="仿宋_GB2312" w:cs="宋体"/>
      <w:color w:val="000000"/>
      <w:kern w:val="0"/>
      <w:sz w:val="24"/>
      <w:lang w:val="zh-CN"/>
    </w:rPr>
  </w:style>
  <w:style w:type="character" w:customStyle="1" w:styleId="966">
    <w:name w:val="C Char"/>
    <w:qFormat/>
    <w:uiPriority w:val="0"/>
    <w:rPr>
      <w:rFonts w:ascii="仿宋_GB2312" w:hAnsi="黑体" w:eastAsia="宋体"/>
      <w:b/>
      <w:bCs/>
      <w:spacing w:val="10"/>
      <w:kern w:val="44"/>
      <w:sz w:val="24"/>
      <w:szCs w:val="24"/>
      <w:lang w:val="en-US" w:eastAsia="zh-CN" w:bidi="ar-SA"/>
    </w:rPr>
  </w:style>
  <w:style w:type="paragraph" w:customStyle="1" w:styleId="967">
    <w:name w:val="表内式样"/>
    <w:qFormat/>
    <w:uiPriority w:val="0"/>
    <w:pPr>
      <w:widowControl w:val="0"/>
      <w:spacing w:line="240" w:lineRule="exact"/>
      <w:jc w:val="center"/>
    </w:pPr>
    <w:rPr>
      <w:rFonts w:ascii="Times New Roman" w:hAnsi="Times New Roman" w:eastAsia="宋体" w:cs="Times New Roman"/>
      <w:kern w:val="2"/>
      <w:sz w:val="21"/>
      <w:szCs w:val="24"/>
      <w:lang w:val="en-US" w:eastAsia="zh-CN" w:bidi="ar-SA"/>
    </w:rPr>
  </w:style>
  <w:style w:type="character" w:customStyle="1" w:styleId="968">
    <w:name w:val="zw1"/>
    <w:qFormat/>
    <w:uiPriority w:val="0"/>
    <w:rPr>
      <w:rFonts w:hint="eastAsia" w:ascii="宋体" w:hAnsi="宋体" w:eastAsia="宋体"/>
      <w:spacing w:val="400"/>
      <w:kern w:val="2"/>
      <w:sz w:val="22"/>
      <w:szCs w:val="22"/>
      <w:lang w:val="en-US" w:eastAsia="zh-CN" w:bidi="ar-SA"/>
    </w:rPr>
  </w:style>
  <w:style w:type="character" w:customStyle="1" w:styleId="969">
    <w:name w:val="bt21"/>
    <w:qFormat/>
    <w:uiPriority w:val="0"/>
    <w:rPr>
      <w:rFonts w:hint="eastAsia" w:ascii="黑体" w:eastAsia="黑体"/>
      <w:spacing w:val="400"/>
      <w:kern w:val="2"/>
      <w:sz w:val="24"/>
      <w:szCs w:val="24"/>
      <w:lang w:val="en-US" w:eastAsia="zh-CN" w:bidi="ar-SA"/>
    </w:rPr>
  </w:style>
  <w:style w:type="paragraph" w:customStyle="1" w:styleId="970">
    <w:name w:val="我的样式5"/>
    <w:basedOn w:val="1"/>
    <w:next w:val="1"/>
    <w:qFormat/>
    <w:uiPriority w:val="0"/>
    <w:pPr>
      <w:tabs>
        <w:tab w:val="left" w:pos="360"/>
        <w:tab w:val="left" w:pos="900"/>
      </w:tabs>
      <w:spacing w:line="520" w:lineRule="exact"/>
    </w:pPr>
    <w:rPr>
      <w:rFonts w:ascii="宋体" w:hAnsi="宋体" w:cs="宋体"/>
      <w:sz w:val="24"/>
    </w:rPr>
  </w:style>
  <w:style w:type="paragraph" w:customStyle="1" w:styleId="971">
    <w:name w:val="项目符号1"/>
    <w:basedOn w:val="1"/>
    <w:qFormat/>
    <w:uiPriority w:val="0"/>
    <w:pPr>
      <w:tabs>
        <w:tab w:val="left" w:pos="360"/>
        <w:tab w:val="left" w:pos="935"/>
      </w:tabs>
      <w:snapToGrid w:val="0"/>
      <w:spacing w:before="120" w:after="120" w:line="312" w:lineRule="auto"/>
      <w:ind w:left="935" w:hanging="360" w:hangingChars="200"/>
    </w:pPr>
    <w:rPr>
      <w:rFonts w:ascii="Arial" w:hAnsi="Arial" w:eastAsia="楷体_GB2312" w:cs="宋体"/>
      <w:b/>
      <w:sz w:val="28"/>
    </w:rPr>
  </w:style>
  <w:style w:type="paragraph" w:customStyle="1" w:styleId="972">
    <w:name w:val="正文样式1"/>
    <w:basedOn w:val="1"/>
    <w:qFormat/>
    <w:uiPriority w:val="0"/>
    <w:pPr>
      <w:adjustRightInd w:val="0"/>
      <w:spacing w:line="360" w:lineRule="auto"/>
      <w:ind w:firstLine="480" w:firstLineChars="200"/>
      <w:textAlignment w:val="baseline"/>
    </w:pPr>
    <w:rPr>
      <w:rFonts w:ascii="Arial" w:hAnsi="Arial" w:cs="Arial"/>
      <w:kern w:val="0"/>
      <w:sz w:val="24"/>
    </w:rPr>
  </w:style>
  <w:style w:type="character" w:customStyle="1" w:styleId="973">
    <w:name w:val="12font1"/>
    <w:qFormat/>
    <w:uiPriority w:val="0"/>
    <w:rPr>
      <w:rFonts w:eastAsia="宋体"/>
      <w:kern w:val="2"/>
      <w:sz w:val="18"/>
      <w:szCs w:val="18"/>
      <w:lang w:val="en-US" w:eastAsia="zh-CN" w:bidi="ar-SA"/>
    </w:rPr>
  </w:style>
  <w:style w:type="character" w:customStyle="1" w:styleId="974">
    <w:name w:val="dectext1"/>
    <w:qFormat/>
    <w:uiPriority w:val="0"/>
    <w:rPr>
      <w:rFonts w:hint="eastAsia" w:ascii="宋体" w:hAnsi="宋体" w:eastAsia="宋体"/>
      <w:color w:val="333333"/>
      <w:kern w:val="2"/>
      <w:sz w:val="28"/>
      <w:szCs w:val="28"/>
      <w:u w:val="none"/>
      <w:lang w:val="en-US" w:eastAsia="zh-CN" w:bidi="ar-SA"/>
    </w:rPr>
  </w:style>
  <w:style w:type="paragraph" w:customStyle="1" w:styleId="975">
    <w:name w:val="表格，五宋"/>
    <w:qFormat/>
    <w:uiPriority w:val="0"/>
    <w:pPr>
      <w:adjustRightInd w:val="0"/>
      <w:spacing w:line="360" w:lineRule="exact"/>
      <w:jc w:val="center"/>
    </w:pPr>
    <w:rPr>
      <w:rFonts w:ascii="Times New Roman" w:hAnsi="Times New Roman" w:eastAsia="宋体" w:cs="Times New Roman"/>
      <w:sz w:val="21"/>
      <w:lang w:val="en-US" w:eastAsia="zh-CN" w:bidi="ar-SA"/>
    </w:rPr>
  </w:style>
  <w:style w:type="paragraph" w:customStyle="1" w:styleId="976">
    <w:name w:val="自定义正文"/>
    <w:basedOn w:val="1"/>
    <w:qFormat/>
    <w:uiPriority w:val="0"/>
    <w:pPr>
      <w:adjustRightInd w:val="0"/>
      <w:snapToGrid w:val="0"/>
      <w:spacing w:line="360" w:lineRule="auto"/>
      <w:ind w:firstLine="560" w:firstLineChars="200"/>
      <w:textAlignment w:val="baseline"/>
    </w:pPr>
    <w:rPr>
      <w:rFonts w:ascii="宋体" w:hAnsi="宋体" w:cs="宋体"/>
      <w:kern w:val="0"/>
      <w:sz w:val="24"/>
    </w:rPr>
  </w:style>
  <w:style w:type="paragraph" w:customStyle="1" w:styleId="977">
    <w:name w:val="xl340"/>
    <w:basedOn w:val="1"/>
    <w:qFormat/>
    <w:uiPriority w:val="0"/>
    <w:pPr>
      <w:widowControl/>
      <w:snapToGrid w:val="0"/>
      <w:spacing w:before="100" w:after="100" w:line="360" w:lineRule="auto"/>
      <w:ind w:firstLine="590" w:firstLineChars="200"/>
      <w:textAlignment w:val="center"/>
    </w:pPr>
    <w:rPr>
      <w:rFonts w:ascii="宋体" w:hAnsi="宋体" w:cs="宋体"/>
      <w:kern w:val="0"/>
      <w:sz w:val="24"/>
    </w:rPr>
  </w:style>
  <w:style w:type="character" w:customStyle="1" w:styleId="978">
    <w:name w:val="unnamed31"/>
    <w:qFormat/>
    <w:uiPriority w:val="0"/>
    <w:rPr>
      <w:rFonts w:eastAsia="宋体"/>
      <w:color w:val="000000"/>
      <w:spacing w:val="408"/>
      <w:kern w:val="2"/>
      <w:sz w:val="20"/>
      <w:szCs w:val="20"/>
      <w:u w:val="none"/>
      <w:lang w:val="en-US" w:eastAsia="zh-CN" w:bidi="ar-SA"/>
    </w:rPr>
  </w:style>
  <w:style w:type="paragraph" w:customStyle="1" w:styleId="979">
    <w:name w:val="表目录"/>
    <w:basedOn w:val="1"/>
    <w:qFormat/>
    <w:uiPriority w:val="0"/>
    <w:pPr>
      <w:adjustRightInd w:val="0"/>
      <w:snapToGrid w:val="0"/>
      <w:spacing w:line="360" w:lineRule="auto"/>
    </w:pPr>
    <w:rPr>
      <w:rFonts w:ascii="黑体" w:hAnsi="宋体" w:eastAsia="黑体" w:cs="宋体"/>
      <w:szCs w:val="21"/>
    </w:rPr>
  </w:style>
  <w:style w:type="character" w:customStyle="1" w:styleId="980">
    <w:name w:val="f9wen1"/>
    <w:qFormat/>
    <w:uiPriority w:val="0"/>
    <w:rPr>
      <w:rFonts w:eastAsia="宋体"/>
      <w:spacing w:val="12"/>
      <w:kern w:val="2"/>
      <w:sz w:val="18"/>
      <w:szCs w:val="18"/>
      <w:u w:val="none"/>
      <w:lang w:val="en-US" w:eastAsia="zh-CN" w:bidi="ar-SA"/>
    </w:rPr>
  </w:style>
  <w:style w:type="paragraph" w:customStyle="1" w:styleId="981">
    <w:name w:val="自正文1"/>
    <w:basedOn w:val="1"/>
    <w:qFormat/>
    <w:uiPriority w:val="0"/>
    <w:pPr>
      <w:tabs>
        <w:tab w:val="left" w:pos="5670"/>
      </w:tabs>
      <w:textAlignment w:val="baseline"/>
    </w:pPr>
    <w:rPr>
      <w:rFonts w:ascii="宋体" w:hAnsi="宋体" w:cs="宋体"/>
      <w:kern w:val="24"/>
      <w:sz w:val="30"/>
    </w:rPr>
  </w:style>
  <w:style w:type="character" w:customStyle="1" w:styleId="982">
    <w:name w:val="a11"/>
    <w:qFormat/>
    <w:uiPriority w:val="0"/>
    <w:rPr>
      <w:rFonts w:eastAsia="宋体"/>
      <w:spacing w:val="360"/>
      <w:kern w:val="2"/>
      <w:sz w:val="20"/>
      <w:szCs w:val="20"/>
      <w:lang w:val="en-US" w:eastAsia="zh-CN" w:bidi="ar-SA"/>
    </w:rPr>
  </w:style>
  <w:style w:type="paragraph" w:customStyle="1" w:styleId="983">
    <w:name w:val="图表名称"/>
    <w:basedOn w:val="1"/>
    <w:qFormat/>
    <w:uiPriority w:val="0"/>
    <w:pPr>
      <w:autoSpaceDE w:val="0"/>
      <w:autoSpaceDN w:val="0"/>
      <w:adjustRightInd w:val="0"/>
      <w:snapToGrid w:val="0"/>
      <w:spacing w:beforeLines="50" w:afterLines="50" w:line="360" w:lineRule="auto"/>
      <w:ind w:firstLine="2933" w:firstLineChars="1490"/>
      <w:jc w:val="left"/>
      <w:textAlignment w:val="baseline"/>
    </w:pPr>
    <w:rPr>
      <w:rFonts w:ascii="宋体" w:hAnsi="宋体" w:cs="宋体"/>
      <w:b/>
      <w:bCs/>
      <w:kern w:val="0"/>
    </w:rPr>
  </w:style>
  <w:style w:type="paragraph" w:customStyle="1" w:styleId="984">
    <w:name w:val="wtext"/>
    <w:basedOn w:val="1"/>
    <w:qFormat/>
    <w:uiPriority w:val="0"/>
    <w:pPr>
      <w:widowControl/>
      <w:snapToGrid w:val="0"/>
      <w:spacing w:before="100" w:beforeAutospacing="1" w:after="100" w:afterAutospacing="1" w:line="360" w:lineRule="auto"/>
      <w:jc w:val="left"/>
    </w:pPr>
    <w:rPr>
      <w:rFonts w:ascii="Arial Unicode MS" w:hAnsi="Arial Unicode MS" w:eastAsia="Arial Unicode MS" w:cs="宋体"/>
      <w:kern w:val="0"/>
      <w:sz w:val="24"/>
    </w:rPr>
  </w:style>
  <w:style w:type="character" w:customStyle="1" w:styleId="985">
    <w:name w:val="row1"/>
    <w:qFormat/>
    <w:uiPriority w:val="0"/>
    <w:rPr>
      <w:rFonts w:eastAsia="宋体"/>
      <w:color w:val="333333"/>
      <w:spacing w:val="480"/>
      <w:kern w:val="2"/>
      <w:sz w:val="18"/>
      <w:szCs w:val="18"/>
      <w:u w:val="none"/>
      <w:lang w:val="en-US" w:eastAsia="zh-CN" w:bidi="ar-SA"/>
    </w:rPr>
  </w:style>
  <w:style w:type="paragraph" w:customStyle="1" w:styleId="986">
    <w:name w:val="图表说明"/>
    <w:basedOn w:val="981"/>
    <w:qFormat/>
    <w:uiPriority w:val="0"/>
    <w:pPr>
      <w:tabs>
        <w:tab w:val="left" w:pos="0"/>
      </w:tabs>
      <w:spacing w:line="400" w:lineRule="exact"/>
      <w:ind w:firstLine="3600" w:firstLineChars="1500"/>
    </w:pPr>
    <w:rPr>
      <w:rFonts w:hAnsi="Times New Roman"/>
      <w:sz w:val="24"/>
    </w:rPr>
  </w:style>
  <w:style w:type="paragraph" w:customStyle="1" w:styleId="987">
    <w:name w:val="样式 标题 3 + (中文) 黑体 小四 非加粗"/>
    <w:basedOn w:val="7"/>
    <w:qFormat/>
    <w:uiPriority w:val="0"/>
    <w:pPr>
      <w:tabs>
        <w:tab w:val="left" w:pos="7200"/>
      </w:tabs>
      <w:spacing w:before="120" w:after="120" w:line="360" w:lineRule="auto"/>
    </w:pPr>
    <w:rPr>
      <w:rFonts w:ascii="楷体_GB2312" w:hAnsi="Calibri" w:eastAsia="楷体_GB2312" w:cs="宋体"/>
      <w:bCs w:val="0"/>
      <w:sz w:val="30"/>
      <w:szCs w:val="30"/>
    </w:rPr>
  </w:style>
  <w:style w:type="paragraph" w:customStyle="1" w:styleId="988">
    <w:name w:val="456"/>
    <w:basedOn w:val="8"/>
    <w:qFormat/>
    <w:uiPriority w:val="0"/>
    <w:pPr>
      <w:widowControl w:val="0"/>
      <w:tabs>
        <w:tab w:val="clear" w:pos="1276"/>
      </w:tabs>
      <w:spacing w:beforeLines="50" w:afterLines="50" w:line="376" w:lineRule="auto"/>
      <w:ind w:left="0" w:firstLine="0"/>
      <w:jc w:val="both"/>
    </w:pPr>
    <w:rPr>
      <w:rFonts w:eastAsia="黑体"/>
      <w:b w:val="0"/>
      <w:kern w:val="2"/>
      <w:sz w:val="30"/>
      <w:szCs w:val="30"/>
    </w:rPr>
  </w:style>
  <w:style w:type="paragraph" w:customStyle="1" w:styleId="989">
    <w:name w:val="我的正文 Char Char"/>
    <w:basedOn w:val="1"/>
    <w:qFormat/>
    <w:uiPriority w:val="0"/>
    <w:pPr>
      <w:spacing w:line="480" w:lineRule="exact"/>
      <w:ind w:firstLine="200" w:firstLineChars="200"/>
    </w:pPr>
    <w:rPr>
      <w:rFonts w:ascii="宋体" w:hAnsi="宋体" w:cs="宋体"/>
      <w:sz w:val="24"/>
    </w:rPr>
  </w:style>
  <w:style w:type="paragraph" w:customStyle="1" w:styleId="990">
    <w:name w:val="我的正文"/>
    <w:basedOn w:val="36"/>
    <w:qFormat/>
    <w:uiPriority w:val="0"/>
    <w:pPr>
      <w:adjustRightInd w:val="0"/>
      <w:spacing w:after="0" w:line="480" w:lineRule="exact"/>
      <w:ind w:left="0" w:leftChars="0" w:firstLine="200" w:firstLineChars="200"/>
      <w:textAlignment w:val="baseline"/>
    </w:pPr>
    <w:rPr>
      <w:rFonts w:ascii="Calibri" w:hAnsi="Calibri" w:cs="宋体"/>
      <w:kern w:val="0"/>
      <w:sz w:val="28"/>
    </w:rPr>
  </w:style>
  <w:style w:type="paragraph" w:customStyle="1" w:styleId="991">
    <w:name w:val="四级目录"/>
    <w:basedOn w:val="1"/>
    <w:qFormat/>
    <w:uiPriority w:val="0"/>
    <w:pPr>
      <w:spacing w:line="500" w:lineRule="exact"/>
      <w:ind w:left="200" w:leftChars="200" w:firstLine="200" w:firstLineChars="200"/>
    </w:pPr>
    <w:rPr>
      <w:rFonts w:ascii="宋体" w:hAnsi="宋体" w:cs="宋体"/>
      <w:sz w:val="28"/>
      <w:szCs w:val="28"/>
    </w:rPr>
  </w:style>
  <w:style w:type="paragraph" w:customStyle="1" w:styleId="992">
    <w:name w:val="正文首行缩进2字符"/>
    <w:basedOn w:val="1"/>
    <w:qFormat/>
    <w:uiPriority w:val="0"/>
    <w:pPr>
      <w:spacing w:line="500" w:lineRule="exact"/>
      <w:ind w:firstLine="200" w:firstLineChars="200"/>
    </w:pPr>
    <w:rPr>
      <w:rFonts w:ascii="宋体" w:hAnsi="宋体" w:cs="宋体"/>
      <w:sz w:val="28"/>
      <w:szCs w:val="28"/>
    </w:rPr>
  </w:style>
  <w:style w:type="paragraph" w:customStyle="1" w:styleId="993">
    <w:name w:val="三级目录"/>
    <w:basedOn w:val="7"/>
    <w:qFormat/>
    <w:uiPriority w:val="0"/>
    <w:pPr>
      <w:spacing w:before="0" w:after="0" w:line="360" w:lineRule="auto"/>
      <w:ind w:firstLine="200" w:firstLineChars="200"/>
    </w:pPr>
    <w:rPr>
      <w:rFonts w:ascii="宋体" w:hAnsi="宋体" w:cs="宋体"/>
      <w:sz w:val="28"/>
      <w:szCs w:val="28"/>
    </w:rPr>
  </w:style>
  <w:style w:type="paragraph" w:customStyle="1" w:styleId="994">
    <w:name w:val="正文首行缩进6字符"/>
    <w:basedOn w:val="991"/>
    <w:qFormat/>
    <w:uiPriority w:val="0"/>
    <w:pPr>
      <w:ind w:left="400" w:leftChars="400"/>
    </w:pPr>
  </w:style>
  <w:style w:type="paragraph" w:customStyle="1" w:styleId="995">
    <w:name w:val="环标1"/>
    <w:basedOn w:val="4"/>
    <w:qFormat/>
    <w:uiPriority w:val="0"/>
    <w:pPr>
      <w:keepNext w:val="0"/>
      <w:widowControl w:val="0"/>
      <w:numPr>
        <w:numId w:val="0"/>
      </w:numPr>
      <w:adjustRightInd w:val="0"/>
      <w:spacing w:after="120" w:line="312" w:lineRule="atLeast"/>
      <w:textAlignment w:val="baseline"/>
    </w:pPr>
    <w:rPr>
      <w:rFonts w:ascii="黑体" w:hAnsi="Courier New" w:eastAsia="黑体"/>
      <w:kern w:val="44"/>
      <w:szCs w:val="20"/>
    </w:rPr>
  </w:style>
  <w:style w:type="character" w:customStyle="1" w:styleId="996">
    <w:name w:val="apple-style-span"/>
    <w:qFormat/>
    <w:uiPriority w:val="0"/>
    <w:rPr>
      <w:rFonts w:eastAsia="宋体"/>
      <w:kern w:val="2"/>
      <w:sz w:val="28"/>
      <w:szCs w:val="28"/>
      <w:lang w:val="en-US" w:eastAsia="zh-CN" w:bidi="ar-SA"/>
    </w:rPr>
  </w:style>
  <w:style w:type="character" w:customStyle="1" w:styleId="997">
    <w:name w:val="color2"/>
    <w:qFormat/>
    <w:uiPriority w:val="0"/>
    <w:rPr>
      <w:rFonts w:eastAsia="宋体"/>
      <w:kern w:val="2"/>
      <w:sz w:val="28"/>
      <w:szCs w:val="28"/>
      <w:lang w:val="en-US" w:eastAsia="zh-CN" w:bidi="ar-SA"/>
    </w:rPr>
  </w:style>
  <w:style w:type="paragraph" w:customStyle="1" w:styleId="998">
    <w:name w:val="样式 标题 3标2标题 3 Char Char Char + 段前: 0.5 行1"/>
    <w:basedOn w:val="7"/>
    <w:qFormat/>
    <w:uiPriority w:val="0"/>
    <w:pPr>
      <w:keepLines w:val="0"/>
      <w:widowControl/>
      <w:tabs>
        <w:tab w:val="left" w:pos="907"/>
      </w:tabs>
      <w:spacing w:beforeLines="50" w:after="0" w:line="360" w:lineRule="auto"/>
      <w:ind w:left="907" w:hanging="907"/>
      <w:jc w:val="left"/>
    </w:pPr>
    <w:rPr>
      <w:rFonts w:ascii="Arial" w:hAnsi="Arial" w:eastAsia="黑体" w:cs="宋体"/>
      <w:b w:val="0"/>
      <w:bCs w:val="0"/>
      <w:kern w:val="0"/>
      <w:sz w:val="24"/>
      <w:szCs w:val="20"/>
    </w:rPr>
  </w:style>
  <w:style w:type="paragraph" w:customStyle="1" w:styleId="999">
    <w:name w:val="标题6"/>
    <w:basedOn w:val="1"/>
    <w:qFormat/>
    <w:uiPriority w:val="0"/>
    <w:pPr>
      <w:tabs>
        <w:tab w:val="left" w:pos="709"/>
      </w:tabs>
      <w:ind w:left="709" w:hanging="709"/>
    </w:pPr>
    <w:rPr>
      <w:rFonts w:ascii="宋体" w:hAnsi="宋体" w:cs="宋体"/>
    </w:rPr>
  </w:style>
  <w:style w:type="paragraph" w:customStyle="1" w:styleId="1000">
    <w:name w:val="标题5"/>
    <w:basedOn w:val="1"/>
    <w:qFormat/>
    <w:uiPriority w:val="0"/>
    <w:pPr>
      <w:widowControl/>
      <w:tabs>
        <w:tab w:val="left" w:pos="9000"/>
      </w:tabs>
      <w:autoSpaceDE w:val="0"/>
      <w:autoSpaceDN w:val="0"/>
      <w:snapToGrid w:val="0"/>
      <w:spacing w:line="360" w:lineRule="auto"/>
      <w:textAlignment w:val="bottom"/>
    </w:pPr>
    <w:rPr>
      <w:rFonts w:ascii="宋体" w:hAnsi="宋体" w:cs="宋体"/>
      <w:sz w:val="28"/>
    </w:rPr>
  </w:style>
  <w:style w:type="paragraph" w:customStyle="1" w:styleId="1001">
    <w:name w:val="首行缩进2+小四"/>
    <w:basedOn w:val="1"/>
    <w:qFormat/>
    <w:uiPriority w:val="0"/>
    <w:pPr>
      <w:spacing w:line="360" w:lineRule="auto"/>
      <w:ind w:firstLine="480" w:firstLineChars="200"/>
    </w:pPr>
    <w:rPr>
      <w:rFonts w:ascii="Arial" w:hAnsi="Arial" w:cs="宋体"/>
      <w:sz w:val="24"/>
    </w:rPr>
  </w:style>
  <w:style w:type="paragraph" w:customStyle="1" w:styleId="1002">
    <w:name w:val="正文0712"/>
    <w:basedOn w:val="6"/>
    <w:qFormat/>
    <w:uiPriority w:val="0"/>
    <w:pPr>
      <w:adjustRightInd/>
      <w:snapToGrid/>
      <w:spacing w:line="360" w:lineRule="auto"/>
      <w:ind w:right="-157" w:rightChars="-157"/>
    </w:pPr>
    <w:rPr>
      <w:rFonts w:ascii="Calibri" w:hAnsi="Calibri" w:eastAsia="宋体" w:cs="宋体"/>
      <w:color w:val="auto"/>
      <w:sz w:val="24"/>
    </w:rPr>
  </w:style>
  <w:style w:type="character" w:customStyle="1" w:styleId="1003">
    <w:name w:val="章节 Char5"/>
    <w:qFormat/>
    <w:uiPriority w:val="0"/>
    <w:rPr>
      <w:rFonts w:ascii="楷体_GB2312" w:eastAsia="楷体_GB2312"/>
      <w:b/>
      <w:kern w:val="44"/>
      <w:sz w:val="30"/>
      <w:szCs w:val="24"/>
      <w:lang w:val="en-US" w:eastAsia="zh-CN" w:bidi="ar-SA"/>
    </w:rPr>
  </w:style>
  <w:style w:type="character" w:customStyle="1" w:styleId="1004">
    <w:name w:val="第一章 标题 2 Char"/>
    <w:qFormat/>
    <w:uiPriority w:val="0"/>
    <w:rPr>
      <w:rFonts w:eastAsia="仿宋_GB2312"/>
      <w:b/>
      <w:bCs/>
      <w:kern w:val="2"/>
      <w:sz w:val="28"/>
      <w:szCs w:val="32"/>
      <w:lang w:val="en-US" w:eastAsia="zh-CN" w:bidi="ar-SA"/>
    </w:rPr>
  </w:style>
  <w:style w:type="character" w:customStyle="1" w:styleId="1005">
    <w:name w:val="第二层条 Char3"/>
    <w:qFormat/>
    <w:uiPriority w:val="0"/>
    <w:rPr>
      <w:rFonts w:ascii="仿宋_GB2312" w:eastAsia="仿宋_GB2312"/>
      <w:kern w:val="2"/>
      <w:sz w:val="28"/>
      <w:szCs w:val="24"/>
      <w:lang w:val="en-US" w:eastAsia="zh-CN" w:bidi="ar-SA"/>
    </w:rPr>
  </w:style>
  <w:style w:type="character" w:customStyle="1" w:styleId="1006">
    <w:name w:val="第四层条 Char2"/>
    <w:qFormat/>
    <w:uiPriority w:val="0"/>
    <w:rPr>
      <w:rFonts w:eastAsia="宋体"/>
      <w:spacing w:val="5"/>
      <w:kern w:val="2"/>
      <w:sz w:val="28"/>
      <w:szCs w:val="24"/>
      <w:lang w:val="en-US" w:eastAsia="zh-CN" w:bidi="ar-SA"/>
    </w:rPr>
  </w:style>
  <w:style w:type="character" w:customStyle="1" w:styleId="1007">
    <w:name w:val="项标题(1) Char2"/>
    <w:qFormat/>
    <w:uiPriority w:val="0"/>
    <w:rPr>
      <w:rFonts w:eastAsia="宋体"/>
      <w:spacing w:val="5"/>
      <w:kern w:val="2"/>
      <w:sz w:val="28"/>
      <w:szCs w:val="24"/>
      <w:lang w:val="en-US" w:eastAsia="zh-CN" w:bidi="ar-SA"/>
    </w:rPr>
  </w:style>
  <w:style w:type="character" w:customStyle="1" w:styleId="1008">
    <w:name w:val="work4"/>
    <w:qFormat/>
    <w:uiPriority w:val="0"/>
    <w:rPr>
      <w:spacing w:val="360"/>
      <w:sz w:val="18"/>
      <w:szCs w:val="18"/>
      <w:u w:val="none"/>
    </w:rPr>
  </w:style>
  <w:style w:type="paragraph" w:customStyle="1" w:styleId="1009">
    <w:name w:val="中表格"/>
    <w:basedOn w:val="1"/>
    <w:qFormat/>
    <w:uiPriority w:val="0"/>
    <w:pPr>
      <w:spacing w:line="420" w:lineRule="exact"/>
      <w:jc w:val="center"/>
    </w:pPr>
    <w:rPr>
      <w:rFonts w:ascii="宋体" w:hAnsi="Arial" w:cs="宋体"/>
      <w:sz w:val="24"/>
    </w:rPr>
  </w:style>
  <w:style w:type="paragraph" w:customStyle="1" w:styleId="1010">
    <w:name w:val="大表格"/>
    <w:basedOn w:val="1009"/>
    <w:qFormat/>
    <w:uiPriority w:val="0"/>
    <w:pPr>
      <w:spacing w:line="480" w:lineRule="exact"/>
    </w:pPr>
    <w:rPr>
      <w:sz w:val="28"/>
    </w:rPr>
  </w:style>
  <w:style w:type="paragraph" w:customStyle="1" w:styleId="1011">
    <w:name w:val="正文图小五"/>
    <w:basedOn w:val="1"/>
    <w:qFormat/>
    <w:uiPriority w:val="0"/>
    <w:pPr>
      <w:adjustRightInd w:val="0"/>
      <w:snapToGrid w:val="0"/>
      <w:jc w:val="center"/>
    </w:pPr>
    <w:rPr>
      <w:rFonts w:ascii="宋体" w:hAnsi="宋体" w:eastAsia="黑体" w:cs="宋体"/>
      <w:spacing w:val="6"/>
    </w:rPr>
  </w:style>
  <w:style w:type="paragraph" w:customStyle="1" w:styleId="1012">
    <w:name w:val="正文图小四"/>
    <w:basedOn w:val="1"/>
    <w:qFormat/>
    <w:uiPriority w:val="0"/>
    <w:pPr>
      <w:adjustRightInd w:val="0"/>
      <w:snapToGrid w:val="0"/>
      <w:jc w:val="center"/>
      <w:textAlignment w:val="baseline"/>
    </w:pPr>
    <w:rPr>
      <w:rFonts w:ascii="宋体" w:hAnsi="宋体" w:cs="宋体"/>
      <w:kern w:val="0"/>
      <w:sz w:val="24"/>
    </w:rPr>
  </w:style>
  <w:style w:type="paragraph" w:customStyle="1" w:styleId="1013">
    <w:name w:val="正文图五"/>
    <w:basedOn w:val="1"/>
    <w:qFormat/>
    <w:uiPriority w:val="0"/>
    <w:pPr>
      <w:adjustRightInd w:val="0"/>
      <w:snapToGrid w:val="0"/>
      <w:spacing w:line="220" w:lineRule="exact"/>
      <w:jc w:val="center"/>
    </w:pPr>
    <w:rPr>
      <w:rFonts w:ascii="Arial" w:hAnsi="Arial" w:eastAsia="仿宋_GB2312" w:cs="宋体"/>
      <w:snapToGrid w:val="0"/>
      <w:spacing w:val="6"/>
      <w:szCs w:val="21"/>
    </w:rPr>
  </w:style>
  <w:style w:type="paragraph" w:customStyle="1" w:styleId="1014">
    <w:name w:val="正文图 Char"/>
    <w:basedOn w:val="1"/>
    <w:link w:val="1015"/>
    <w:qFormat/>
    <w:uiPriority w:val="0"/>
    <w:pPr>
      <w:adjustRightInd w:val="0"/>
      <w:snapToGrid w:val="0"/>
      <w:jc w:val="center"/>
      <w:textAlignment w:val="baseline"/>
    </w:pPr>
    <w:rPr>
      <w:rFonts w:ascii="宋体" w:hAnsi="Calibri" w:cs="宋体"/>
      <w:sz w:val="24"/>
    </w:rPr>
  </w:style>
  <w:style w:type="character" w:customStyle="1" w:styleId="1015">
    <w:name w:val="正文图 Char Char"/>
    <w:link w:val="1014"/>
    <w:qFormat/>
    <w:uiPriority w:val="0"/>
    <w:rPr>
      <w:rFonts w:ascii="宋体" w:hAnsi="Calibri" w:cs="宋体"/>
      <w:kern w:val="2"/>
      <w:sz w:val="24"/>
      <w:szCs w:val="24"/>
    </w:rPr>
  </w:style>
  <w:style w:type="paragraph" w:customStyle="1" w:styleId="1016">
    <w:name w:val="文本框文字"/>
    <w:basedOn w:val="1"/>
    <w:qFormat/>
    <w:uiPriority w:val="0"/>
    <w:pPr>
      <w:adjustRightInd w:val="0"/>
      <w:jc w:val="center"/>
      <w:textAlignment w:val="baseline"/>
    </w:pPr>
    <w:rPr>
      <w:rFonts w:ascii="宋体" w:hAnsi="宋体" w:cs="宋体"/>
      <w:kern w:val="0"/>
    </w:rPr>
  </w:style>
  <w:style w:type="character" w:customStyle="1" w:styleId="1017">
    <w:name w:val="标题 2 Char Char"/>
    <w:qFormat/>
    <w:uiPriority w:val="0"/>
    <w:rPr>
      <w:rFonts w:ascii="仿宋_GB2312" w:hAnsi="宋体" w:eastAsia="仿宋_GB2312"/>
      <w:sz w:val="30"/>
    </w:rPr>
  </w:style>
  <w:style w:type="paragraph" w:customStyle="1" w:styleId="1018">
    <w:name w:val="表格文字小四"/>
    <w:basedOn w:val="1"/>
    <w:qFormat/>
    <w:uiPriority w:val="0"/>
    <w:pPr>
      <w:adjustRightInd w:val="0"/>
      <w:snapToGrid w:val="0"/>
      <w:spacing w:beforeLines="10" w:afterLines="10"/>
      <w:jc w:val="center"/>
    </w:pPr>
    <w:rPr>
      <w:rFonts w:ascii="Arial" w:hAnsi="Arial" w:cs="Arial"/>
      <w:snapToGrid w:val="0"/>
      <w:kern w:val="0"/>
      <w:sz w:val="24"/>
    </w:rPr>
  </w:style>
  <w:style w:type="paragraph" w:customStyle="1" w:styleId="1019">
    <w:name w:val="表格文字五"/>
    <w:basedOn w:val="1"/>
    <w:qFormat/>
    <w:uiPriority w:val="0"/>
    <w:pPr>
      <w:adjustRightInd w:val="0"/>
      <w:snapToGrid w:val="0"/>
      <w:spacing w:beforeLines="20" w:afterLines="20"/>
      <w:jc w:val="center"/>
    </w:pPr>
    <w:rPr>
      <w:rFonts w:ascii="宋体" w:hAnsi="宋体" w:eastAsia="仿宋_GB2312" w:cs="宋体"/>
      <w:snapToGrid w:val="0"/>
      <w:szCs w:val="21"/>
    </w:rPr>
  </w:style>
  <w:style w:type="paragraph" w:customStyle="1" w:styleId="1020">
    <w:name w:val="样式 (西文) 仿宋_GB2312 (中文) 仿宋_GB2312 四号 首行缩进:  0.98 厘米 行距: 固定值 2..."/>
    <w:basedOn w:val="27"/>
    <w:next w:val="27"/>
    <w:qFormat/>
    <w:uiPriority w:val="0"/>
    <w:pPr>
      <w:spacing w:line="480" w:lineRule="exact"/>
      <w:ind w:firstLine="555"/>
    </w:pPr>
    <w:rPr>
      <w:rFonts w:ascii="仿宋_GB2312" w:hAnsi="Calibri" w:eastAsia="仿宋_GB2312" w:cs="宋体"/>
      <w:sz w:val="44"/>
      <w:szCs w:val="24"/>
    </w:rPr>
  </w:style>
  <w:style w:type="character" w:customStyle="1" w:styleId="1021">
    <w:name w:val="s11"/>
    <w:qFormat/>
    <w:uiPriority w:val="0"/>
    <w:rPr>
      <w:color w:val="000000"/>
      <w:sz w:val="20"/>
      <w:szCs w:val="20"/>
      <w:u w:val="none"/>
    </w:rPr>
  </w:style>
  <w:style w:type="character" w:customStyle="1" w:styleId="1022">
    <w:name w:val="标题 4 Char3"/>
    <w:qFormat/>
    <w:uiPriority w:val="0"/>
    <w:rPr>
      <w:rFonts w:ascii="Arial" w:hAnsi="Arial" w:eastAsia="黑体"/>
      <w:b/>
      <w:bCs/>
      <w:kern w:val="2"/>
      <w:sz w:val="28"/>
      <w:szCs w:val="28"/>
      <w:lang w:val="en-US" w:eastAsia="zh-CN" w:bidi="ar-SA"/>
    </w:rPr>
  </w:style>
  <w:style w:type="character" w:customStyle="1" w:styleId="1023">
    <w:name w:val="标题 4 Char2"/>
    <w:qFormat/>
    <w:uiPriority w:val="0"/>
    <w:rPr>
      <w:rFonts w:ascii="Arial" w:hAnsi="Arial" w:eastAsia="黑体"/>
      <w:b/>
      <w:bCs/>
      <w:kern w:val="2"/>
      <w:sz w:val="28"/>
      <w:szCs w:val="28"/>
      <w:lang w:val="en-US" w:eastAsia="zh-CN" w:bidi="ar-SA"/>
    </w:rPr>
  </w:style>
  <w:style w:type="character" w:customStyle="1" w:styleId="1024">
    <w:name w:val="标题 4 Char2 Char"/>
    <w:qFormat/>
    <w:uiPriority w:val="0"/>
    <w:rPr>
      <w:rFonts w:ascii="Arial" w:hAnsi="Arial" w:eastAsia="黑体"/>
      <w:b/>
      <w:bCs/>
      <w:kern w:val="2"/>
      <w:sz w:val="28"/>
      <w:szCs w:val="28"/>
      <w:lang w:val="en-US" w:eastAsia="zh-CN" w:bidi="ar-SA"/>
    </w:rPr>
  </w:style>
  <w:style w:type="character" w:customStyle="1" w:styleId="1025">
    <w:name w:val="sect 1.23 Char"/>
    <w:qFormat/>
    <w:uiPriority w:val="0"/>
    <w:rPr>
      <w:rFonts w:ascii="仿宋_GB2312" w:hAnsi="Times New Roman" w:eastAsia="仿宋_GB2312" w:cs="Times New Roman"/>
      <w:b/>
      <w:sz w:val="28"/>
      <w:szCs w:val="20"/>
    </w:rPr>
  </w:style>
  <w:style w:type="character" w:customStyle="1" w:styleId="1026">
    <w:name w:val="H23 Char1"/>
    <w:qFormat/>
    <w:uiPriority w:val="0"/>
    <w:rPr>
      <w:rFonts w:ascii="仿宋_GB2312" w:eastAsia="仿宋_GB2312"/>
      <w:b/>
      <w:kern w:val="2"/>
      <w:sz w:val="28"/>
      <w:lang w:val="en-US" w:eastAsia="zh-CN" w:bidi="ar-SA"/>
    </w:rPr>
  </w:style>
  <w:style w:type="character" w:customStyle="1" w:styleId="1027">
    <w:name w:val="HTS 1 Char"/>
    <w:qFormat/>
    <w:uiPriority w:val="0"/>
    <w:rPr>
      <w:rFonts w:ascii="楷体_GB2312" w:eastAsia="楷体_GB2312"/>
      <w:b/>
      <w:kern w:val="44"/>
      <w:sz w:val="30"/>
      <w:lang w:val="en-US" w:eastAsia="zh-CN" w:bidi="ar-SA"/>
    </w:rPr>
  </w:style>
  <w:style w:type="paragraph" w:customStyle="1" w:styleId="1028">
    <w:name w:val="正文文本缩进 21"/>
    <w:basedOn w:val="1"/>
    <w:qFormat/>
    <w:uiPriority w:val="0"/>
    <w:pPr>
      <w:adjustRightInd w:val="0"/>
      <w:ind w:firstLine="432"/>
      <w:textAlignment w:val="baseline"/>
    </w:pPr>
    <w:rPr>
      <w:rFonts w:ascii="宋体" w:hAnsi="宋体" w:cs="宋体"/>
      <w:sz w:val="24"/>
    </w:rPr>
  </w:style>
  <w:style w:type="paragraph" w:customStyle="1" w:styleId="1029">
    <w:name w:val="sss"/>
    <w:basedOn w:val="1"/>
    <w:qFormat/>
    <w:uiPriority w:val="0"/>
    <w:pPr>
      <w:tabs>
        <w:tab w:val="left" w:pos="480"/>
        <w:tab w:val="left" w:pos="648"/>
      </w:tabs>
      <w:autoSpaceDE w:val="0"/>
      <w:autoSpaceDN w:val="0"/>
      <w:adjustRightInd w:val="0"/>
      <w:ind w:left="432" w:hanging="144"/>
    </w:pPr>
    <w:rPr>
      <w:rFonts w:ascii="Bookman Old Style" w:hAnsi="Bookman Old Style" w:cs="Arial"/>
      <w:bCs/>
      <w:kern w:val="0"/>
      <w:sz w:val="22"/>
    </w:rPr>
  </w:style>
  <w:style w:type="paragraph" w:customStyle="1" w:styleId="1030">
    <w:name w:val="日期1"/>
    <w:basedOn w:val="1"/>
    <w:next w:val="1"/>
    <w:qFormat/>
    <w:uiPriority w:val="0"/>
    <w:pPr>
      <w:adjustRightInd w:val="0"/>
      <w:textAlignment w:val="baseline"/>
    </w:pPr>
    <w:rPr>
      <w:rFonts w:ascii="宋体" w:hAnsi="宋体" w:cs="宋体"/>
    </w:rPr>
  </w:style>
  <w:style w:type="character" w:customStyle="1" w:styleId="1031">
    <w:name w:val="p21"/>
    <w:qFormat/>
    <w:uiPriority w:val="0"/>
    <w:rPr>
      <w:rFonts w:hint="default"/>
      <w:color w:val="0000A0"/>
    </w:rPr>
  </w:style>
  <w:style w:type="character" w:customStyle="1" w:styleId="1032">
    <w:name w:val="标准 Char"/>
    <w:qFormat/>
    <w:uiPriority w:val="0"/>
    <w:rPr>
      <w:rFonts w:ascii="宋体" w:eastAsia="宋体"/>
      <w:sz w:val="28"/>
      <w:lang w:val="en-US" w:eastAsia="zh-CN" w:bidi="ar-SA"/>
    </w:rPr>
  </w:style>
  <w:style w:type="paragraph" w:customStyle="1" w:styleId="1033">
    <w:name w:val="表内"/>
    <w:basedOn w:val="1"/>
    <w:next w:val="1"/>
    <w:qFormat/>
    <w:uiPriority w:val="0"/>
    <w:pPr>
      <w:adjustRightInd w:val="0"/>
      <w:snapToGrid w:val="0"/>
      <w:spacing w:before="120" w:after="120" w:line="288" w:lineRule="auto"/>
      <w:jc w:val="center"/>
    </w:pPr>
    <w:rPr>
      <w:rFonts w:ascii="宋体" w:hAnsi="宋体" w:cs="宋体"/>
      <w:snapToGrid w:val="0"/>
    </w:rPr>
  </w:style>
  <w:style w:type="paragraph" w:customStyle="1" w:styleId="1034">
    <w:name w:val="小五 Char Char"/>
    <w:link w:val="1035"/>
    <w:qFormat/>
    <w:uiPriority w:val="0"/>
    <w:pPr>
      <w:autoSpaceDE w:val="0"/>
      <w:autoSpaceDN w:val="0"/>
      <w:adjustRightInd w:val="0"/>
      <w:snapToGrid w:val="0"/>
      <w:spacing w:line="360" w:lineRule="auto"/>
      <w:jc w:val="both"/>
    </w:pPr>
    <w:rPr>
      <w:rFonts w:ascii="宋体" w:hAnsi="宋体" w:eastAsia="宋体" w:cs="Times New Roman"/>
      <w:kern w:val="2"/>
      <w:sz w:val="21"/>
      <w:szCs w:val="21"/>
      <w:lang w:val="en-US" w:eastAsia="zh-CN" w:bidi="ar-SA"/>
    </w:rPr>
  </w:style>
  <w:style w:type="character" w:customStyle="1" w:styleId="1035">
    <w:name w:val="小五 Char Char Char"/>
    <w:link w:val="1034"/>
    <w:qFormat/>
    <w:uiPriority w:val="0"/>
    <w:rPr>
      <w:rFonts w:ascii="宋体" w:hAnsi="宋体"/>
      <w:kern w:val="2"/>
      <w:sz w:val="21"/>
      <w:szCs w:val="21"/>
    </w:rPr>
  </w:style>
  <w:style w:type="paragraph" w:customStyle="1" w:styleId="1036">
    <w:name w:val="正文表头"/>
    <w:basedOn w:val="1"/>
    <w:next w:val="637"/>
    <w:qFormat/>
    <w:uiPriority w:val="0"/>
    <w:pPr>
      <w:keepNext/>
      <w:tabs>
        <w:tab w:val="center" w:pos="4253"/>
        <w:tab w:val="right" w:pos="8505"/>
      </w:tabs>
      <w:overflowPunct w:val="0"/>
      <w:adjustRightInd w:val="0"/>
      <w:spacing w:before="120" w:line="360" w:lineRule="auto"/>
      <w:jc w:val="center"/>
      <w:textAlignment w:val="baseline"/>
    </w:pPr>
    <w:rPr>
      <w:rFonts w:ascii="宋体" w:hAnsi="宋体" w:eastAsia="黑体" w:cs="宋体"/>
      <w:kern w:val="0"/>
      <w:sz w:val="28"/>
    </w:rPr>
  </w:style>
  <w:style w:type="paragraph" w:customStyle="1" w:styleId="1037">
    <w:name w:val="样式 标题 2节 + 宋体 加粗"/>
    <w:basedOn w:val="5"/>
    <w:qFormat/>
    <w:uiPriority w:val="0"/>
    <w:pPr>
      <w:widowControl w:val="0"/>
      <w:tabs>
        <w:tab w:val="left" w:pos="1505"/>
        <w:tab w:val="clear" w:pos="1276"/>
      </w:tabs>
      <w:adjustRightInd w:val="0"/>
      <w:snapToGrid w:val="0"/>
      <w:ind w:left="200" w:hanging="200" w:hangingChars="200"/>
      <w:jc w:val="both"/>
    </w:pPr>
    <w:rPr>
      <w:rFonts w:ascii="宋体" w:hAnsi="宋体" w:cs="宋体"/>
      <w:b/>
      <w:kern w:val="2"/>
      <w:sz w:val="28"/>
      <w:szCs w:val="24"/>
    </w:rPr>
  </w:style>
  <w:style w:type="paragraph" w:customStyle="1" w:styleId="1038">
    <w:name w:val="样式 标题 2节 + 宋体 左 Char"/>
    <w:basedOn w:val="5"/>
    <w:link w:val="1039"/>
    <w:qFormat/>
    <w:uiPriority w:val="0"/>
    <w:pPr>
      <w:widowControl w:val="0"/>
      <w:tabs>
        <w:tab w:val="left" w:pos="567"/>
        <w:tab w:val="clear" w:pos="1276"/>
      </w:tabs>
    </w:pPr>
    <w:rPr>
      <w:rFonts w:ascii="宋体" w:hAnsi="宋体" w:cs="宋体"/>
      <w:b/>
      <w:bCs/>
      <w:kern w:val="2"/>
      <w:sz w:val="28"/>
      <w:szCs w:val="24"/>
    </w:rPr>
  </w:style>
  <w:style w:type="character" w:customStyle="1" w:styleId="1039">
    <w:name w:val="样式 标题 2节 + 宋体 左 Char Char"/>
    <w:link w:val="1038"/>
    <w:qFormat/>
    <w:uiPriority w:val="0"/>
    <w:rPr>
      <w:rFonts w:ascii="宋体" w:hAnsi="宋体" w:cs="宋体"/>
      <w:b/>
      <w:bCs/>
      <w:kern w:val="2"/>
      <w:sz w:val="28"/>
      <w:szCs w:val="24"/>
    </w:rPr>
  </w:style>
  <w:style w:type="paragraph" w:customStyle="1" w:styleId="1040">
    <w:name w:val="重钢院"/>
    <w:basedOn w:val="1"/>
    <w:qFormat/>
    <w:uiPriority w:val="0"/>
    <w:pPr>
      <w:adjustRightInd w:val="0"/>
      <w:spacing w:line="372" w:lineRule="auto"/>
      <w:textAlignment w:val="baseline"/>
    </w:pPr>
    <w:rPr>
      <w:rFonts w:ascii="宋体" w:hAnsi="宋体" w:cs="宋体"/>
      <w:spacing w:val="10"/>
      <w:kern w:val="0"/>
      <w:sz w:val="28"/>
    </w:rPr>
  </w:style>
  <w:style w:type="paragraph" w:customStyle="1" w:styleId="1041">
    <w:name w:val="封面"/>
    <w:basedOn w:val="4"/>
    <w:next w:val="1"/>
    <w:qFormat/>
    <w:uiPriority w:val="0"/>
    <w:pPr>
      <w:keepNext w:val="0"/>
      <w:widowControl w:val="0"/>
      <w:numPr>
        <w:numId w:val="0"/>
      </w:numPr>
      <w:adjustRightInd w:val="0"/>
      <w:snapToGrid w:val="0"/>
      <w:spacing w:line="348" w:lineRule="auto"/>
      <w:jc w:val="center"/>
    </w:pPr>
    <w:rPr>
      <w:rFonts w:ascii="Calibri" w:hAnsi="Calibri"/>
      <w:snapToGrid w:val="0"/>
      <w:kern w:val="2"/>
      <w:sz w:val="28"/>
      <w:szCs w:val="24"/>
    </w:rPr>
  </w:style>
  <w:style w:type="paragraph" w:customStyle="1" w:styleId="1042">
    <w:name w:val="正文楷体"/>
    <w:basedOn w:val="1"/>
    <w:qFormat/>
    <w:uiPriority w:val="0"/>
    <w:rPr>
      <w:rFonts w:ascii="宋体" w:hAnsi="宋体" w:eastAsia="楷体_GB2312" w:cs="宋体"/>
    </w:rPr>
  </w:style>
  <w:style w:type="paragraph" w:customStyle="1" w:styleId="1043">
    <w:name w:val="居中"/>
    <w:basedOn w:val="1"/>
    <w:qFormat/>
    <w:uiPriority w:val="0"/>
    <w:pPr>
      <w:spacing w:line="440" w:lineRule="exact"/>
      <w:jc w:val="center"/>
    </w:pPr>
    <w:rPr>
      <w:rFonts w:ascii="宋体" w:hAnsi="宋体" w:cs="宋体"/>
      <w:sz w:val="24"/>
    </w:rPr>
  </w:style>
  <w:style w:type="paragraph" w:customStyle="1" w:styleId="1044">
    <w:name w:val="tian"/>
    <w:basedOn w:val="1"/>
    <w:qFormat/>
    <w:uiPriority w:val="0"/>
    <w:rPr>
      <w:rFonts w:ascii="宋体" w:hAnsi="宋体" w:cs="宋体"/>
      <w:sz w:val="24"/>
    </w:rPr>
  </w:style>
  <w:style w:type="character" w:customStyle="1" w:styleId="1045">
    <w:name w:val="9 Char Char"/>
    <w:qFormat/>
    <w:uiPriority w:val="0"/>
    <w:rPr>
      <w:rFonts w:eastAsia="宋体"/>
      <w:kern w:val="2"/>
      <w:sz w:val="28"/>
      <w:szCs w:val="28"/>
      <w:lang w:val="en-US" w:eastAsia="zh-CN" w:bidi="ar-SA"/>
    </w:rPr>
  </w:style>
  <w:style w:type="paragraph" w:customStyle="1" w:styleId="1046">
    <w:name w:val="Char Char Char Char Char Char Char Char Char Char1 Char Char"/>
    <w:basedOn w:val="1"/>
    <w:qFormat/>
    <w:uiPriority w:val="0"/>
    <w:pPr>
      <w:ind w:firstLine="200" w:firstLineChars="200"/>
    </w:pPr>
    <w:rPr>
      <w:rFonts w:ascii="宋体" w:hAnsi="宋体" w:cs="宋体"/>
      <w:sz w:val="28"/>
      <w:szCs w:val="28"/>
    </w:rPr>
  </w:style>
  <w:style w:type="paragraph" w:customStyle="1" w:styleId="1047">
    <w:name w:val="Char Char Char Char Char Char Char Char Char Char Char Char Char Char Char Char Char Char Char Char Char"/>
    <w:basedOn w:val="1"/>
    <w:qFormat/>
    <w:uiPriority w:val="0"/>
    <w:pPr>
      <w:ind w:firstLine="200" w:firstLineChars="200"/>
    </w:pPr>
    <w:rPr>
      <w:rFonts w:ascii="宋体" w:hAnsi="宋体" w:cs="宋体"/>
      <w:sz w:val="28"/>
      <w:szCs w:val="28"/>
    </w:rPr>
  </w:style>
  <w:style w:type="paragraph" w:customStyle="1" w:styleId="1048">
    <w:name w:val="目录5"/>
    <w:basedOn w:val="1"/>
    <w:qFormat/>
    <w:uiPriority w:val="0"/>
    <w:rPr>
      <w:rFonts w:ascii="宋体" w:hAnsi="宋体" w:cs="宋体"/>
      <w:szCs w:val="21"/>
    </w:rPr>
  </w:style>
  <w:style w:type="paragraph" w:customStyle="1" w:styleId="1049">
    <w:name w:val="小五"/>
    <w:qFormat/>
    <w:uiPriority w:val="0"/>
    <w:pPr>
      <w:autoSpaceDE w:val="0"/>
      <w:autoSpaceDN w:val="0"/>
      <w:adjustRightInd w:val="0"/>
      <w:snapToGrid w:val="0"/>
      <w:spacing w:line="360" w:lineRule="auto"/>
      <w:jc w:val="both"/>
    </w:pPr>
    <w:rPr>
      <w:rFonts w:ascii="Times New Roman" w:hAnsi="Times New Roman" w:eastAsia="仿宋_GB2312" w:cs="Times New Roman"/>
      <w:sz w:val="21"/>
      <w:szCs w:val="21"/>
      <w:lang w:val="en-US" w:eastAsia="zh-CN" w:bidi="ar-SA"/>
    </w:rPr>
  </w:style>
  <w:style w:type="paragraph" w:customStyle="1" w:styleId="1050">
    <w:name w:val="9 Char Char Char"/>
    <w:basedOn w:val="1"/>
    <w:qFormat/>
    <w:uiPriority w:val="0"/>
    <w:pPr>
      <w:ind w:firstLine="200" w:firstLineChars="200"/>
    </w:pPr>
    <w:rPr>
      <w:rFonts w:ascii="宋体" w:hAnsi="宋体" w:cs="宋体"/>
      <w:sz w:val="28"/>
      <w:szCs w:val="28"/>
    </w:rPr>
  </w:style>
  <w:style w:type="paragraph" w:customStyle="1" w:styleId="1051">
    <w:name w:val="9 Char Char Char1"/>
    <w:basedOn w:val="1"/>
    <w:qFormat/>
    <w:uiPriority w:val="0"/>
    <w:pPr>
      <w:ind w:firstLine="200" w:firstLineChars="200"/>
    </w:pPr>
    <w:rPr>
      <w:rFonts w:ascii="宋体" w:hAnsi="宋体" w:cs="宋体"/>
      <w:sz w:val="28"/>
      <w:szCs w:val="28"/>
    </w:rPr>
  </w:style>
  <w:style w:type="character" w:customStyle="1" w:styleId="1052">
    <w:name w:val="H23 Char Char"/>
    <w:qFormat/>
    <w:uiPriority w:val="0"/>
    <w:rPr>
      <w:rFonts w:ascii="仿宋_GB2312" w:eastAsia="仿宋_GB2312"/>
      <w:b/>
      <w:kern w:val="2"/>
      <w:sz w:val="28"/>
      <w:lang w:val="en-US" w:eastAsia="zh-CN" w:bidi="ar-SA"/>
    </w:rPr>
  </w:style>
  <w:style w:type="character" w:customStyle="1" w:styleId="1053">
    <w:name w:val="第三层条 Char3"/>
    <w:qFormat/>
    <w:uiPriority w:val="0"/>
    <w:rPr>
      <w:rFonts w:eastAsia="宋体"/>
      <w:spacing w:val="5"/>
      <w:kern w:val="2"/>
      <w:sz w:val="28"/>
      <w:szCs w:val="24"/>
      <w:lang w:val="en-US" w:eastAsia="zh-CN" w:bidi="ar-SA"/>
    </w:rPr>
  </w:style>
  <w:style w:type="character" w:customStyle="1" w:styleId="1054">
    <w:name w:val="样式 标题 2节 + 宋体 左 Char Char1"/>
    <w:qFormat/>
    <w:uiPriority w:val="0"/>
    <w:rPr>
      <w:rFonts w:ascii="宋体" w:hAnsi="宋体" w:eastAsia="宋体" w:cs="宋体"/>
      <w:b/>
      <w:bCs/>
      <w:kern w:val="2"/>
      <w:sz w:val="28"/>
      <w:szCs w:val="24"/>
      <w:lang w:val="en-US" w:eastAsia="zh-CN" w:bidi="ar-SA"/>
    </w:rPr>
  </w:style>
  <w:style w:type="character" w:customStyle="1" w:styleId="1055">
    <w:name w:val="小五 Char Char Char1"/>
    <w:qFormat/>
    <w:uiPriority w:val="0"/>
    <w:rPr>
      <w:rFonts w:ascii="宋体" w:hAnsi="宋体" w:eastAsia="宋体"/>
      <w:kern w:val="2"/>
      <w:sz w:val="21"/>
      <w:szCs w:val="21"/>
      <w:lang w:val="en-US" w:eastAsia="zh-CN" w:bidi="ar-SA"/>
    </w:rPr>
  </w:style>
  <w:style w:type="character" w:customStyle="1" w:styleId="1056">
    <w:name w:val="正文图 Char Char1"/>
    <w:qFormat/>
    <w:uiPriority w:val="0"/>
    <w:rPr>
      <w:rFonts w:ascii="宋体" w:eastAsia="宋体"/>
      <w:sz w:val="24"/>
      <w:lang w:val="en-US" w:eastAsia="zh-CN" w:bidi="ar-SA"/>
    </w:rPr>
  </w:style>
  <w:style w:type="paragraph" w:customStyle="1" w:styleId="1057">
    <w:name w:val="9 Char Char Char2"/>
    <w:basedOn w:val="1"/>
    <w:qFormat/>
    <w:uiPriority w:val="0"/>
    <w:pPr>
      <w:ind w:firstLine="200" w:firstLineChars="200"/>
    </w:pPr>
    <w:rPr>
      <w:rFonts w:ascii="宋体" w:hAnsi="宋体" w:cs="宋体"/>
      <w:sz w:val="28"/>
      <w:szCs w:val="28"/>
    </w:rPr>
  </w:style>
  <w:style w:type="character" w:customStyle="1" w:styleId="1058">
    <w:name w:val="第一层条 Char2"/>
    <w:qFormat/>
    <w:uiPriority w:val="0"/>
    <w:rPr>
      <w:rFonts w:ascii="仿宋_GB2312" w:eastAsia="仿宋_GB2312"/>
      <w:b/>
      <w:kern w:val="2"/>
      <w:sz w:val="28"/>
      <w:lang w:val="en-US" w:eastAsia="zh-CN" w:bidi="ar-SA"/>
    </w:rPr>
  </w:style>
  <w:style w:type="character" w:customStyle="1" w:styleId="1059">
    <w:name w:val="标题 41"/>
    <w:qFormat/>
    <w:uiPriority w:val="0"/>
    <w:rPr>
      <w:rFonts w:eastAsia="宋体"/>
      <w:spacing w:val="5"/>
      <w:kern w:val="2"/>
      <w:sz w:val="28"/>
      <w:lang w:val="en-US" w:eastAsia="zh-CN" w:bidi="ar-SA"/>
    </w:rPr>
  </w:style>
  <w:style w:type="character" w:customStyle="1" w:styleId="1060">
    <w:name w:val="标题 21"/>
    <w:qFormat/>
    <w:uiPriority w:val="0"/>
    <w:rPr>
      <w:rFonts w:ascii="仿宋_GB2312" w:eastAsia="仿宋_GB2312"/>
      <w:b/>
      <w:kern w:val="2"/>
      <w:sz w:val="28"/>
      <w:lang w:val="en-US" w:eastAsia="zh-CN" w:bidi="ar-SA"/>
    </w:rPr>
  </w:style>
  <w:style w:type="paragraph" w:customStyle="1" w:styleId="1061">
    <w:name w:val="9 Char Char Char3"/>
    <w:basedOn w:val="1"/>
    <w:qFormat/>
    <w:uiPriority w:val="0"/>
    <w:pPr>
      <w:ind w:firstLine="200" w:firstLineChars="200"/>
    </w:pPr>
    <w:rPr>
      <w:rFonts w:ascii="宋体" w:hAnsi="宋体" w:cs="宋体"/>
      <w:sz w:val="28"/>
      <w:szCs w:val="28"/>
    </w:rPr>
  </w:style>
  <w:style w:type="paragraph" w:customStyle="1" w:styleId="1062">
    <w:name w:val="列表 2B"/>
    <w:basedOn w:val="38"/>
    <w:qFormat/>
    <w:uiPriority w:val="0"/>
    <w:pPr>
      <w:widowControl w:val="0"/>
      <w:tabs>
        <w:tab w:val="left" w:pos="737"/>
      </w:tabs>
      <w:spacing w:line="288" w:lineRule="auto"/>
      <w:ind w:left="0" w:leftChars="0" w:firstLine="0" w:firstLineChars="0"/>
      <w:contextualSpacing w:val="0"/>
      <w:jc w:val="both"/>
    </w:pPr>
    <w:rPr>
      <w:rFonts w:ascii="Arial" w:hAnsi="Arial" w:cs="宋体"/>
      <w:color w:val="FFFF99"/>
      <w:kern w:val="2"/>
      <w:sz w:val="21"/>
      <w:szCs w:val="24"/>
    </w:rPr>
  </w:style>
  <w:style w:type="character" w:customStyle="1" w:styleId="1063">
    <w:name w:val="章节 Char2"/>
    <w:qFormat/>
    <w:uiPriority w:val="0"/>
    <w:rPr>
      <w:rFonts w:ascii="楷体_GB2312" w:eastAsia="楷体_GB2312"/>
      <w:b/>
      <w:kern w:val="44"/>
      <w:sz w:val="30"/>
      <w:lang w:val="en-US" w:eastAsia="zh-CN" w:bidi="ar-SA"/>
    </w:rPr>
  </w:style>
  <w:style w:type="paragraph" w:customStyle="1" w:styleId="1064">
    <w:name w:val="9 Char Char Char4"/>
    <w:basedOn w:val="1"/>
    <w:qFormat/>
    <w:uiPriority w:val="0"/>
    <w:pPr>
      <w:ind w:firstLine="200" w:firstLineChars="200"/>
    </w:pPr>
    <w:rPr>
      <w:rFonts w:ascii="宋体" w:hAnsi="宋体" w:cs="宋体"/>
      <w:sz w:val="28"/>
      <w:szCs w:val="28"/>
    </w:rPr>
  </w:style>
  <w:style w:type="character" w:customStyle="1" w:styleId="1065">
    <w:name w:val="第一层条 Char3"/>
    <w:qFormat/>
    <w:uiPriority w:val="0"/>
    <w:rPr>
      <w:rFonts w:ascii="仿宋_GB2312" w:eastAsia="仿宋_GB2312"/>
      <w:b/>
      <w:kern w:val="2"/>
      <w:sz w:val="28"/>
      <w:lang w:val="en-US" w:eastAsia="zh-CN" w:bidi="ar-SA"/>
    </w:rPr>
  </w:style>
  <w:style w:type="paragraph" w:customStyle="1" w:styleId="1066">
    <w:name w:val="Char Char Char Char Char Char Char Char Char Char Char"/>
    <w:basedOn w:val="1"/>
    <w:qFormat/>
    <w:uiPriority w:val="0"/>
    <w:rPr>
      <w:rFonts w:ascii="宋体" w:hAnsi="宋体" w:cs="宋体"/>
      <w:szCs w:val="21"/>
    </w:rPr>
  </w:style>
  <w:style w:type="paragraph" w:customStyle="1" w:styleId="1067">
    <w:name w:val="Char4 Char Char Char Char"/>
    <w:basedOn w:val="1"/>
    <w:qFormat/>
    <w:uiPriority w:val="0"/>
    <w:rPr>
      <w:rFonts w:ascii="宋体" w:hAnsi="宋体" w:cs="宋体"/>
      <w:sz w:val="24"/>
    </w:rPr>
  </w:style>
  <w:style w:type="paragraph" w:customStyle="1" w:styleId="1068">
    <w:name w:val="9 Char Char Char6"/>
    <w:basedOn w:val="1"/>
    <w:qFormat/>
    <w:uiPriority w:val="0"/>
    <w:pPr>
      <w:ind w:firstLine="200" w:firstLineChars="200"/>
    </w:pPr>
    <w:rPr>
      <w:rFonts w:ascii="宋体" w:hAnsi="宋体" w:cs="宋体"/>
      <w:sz w:val="28"/>
      <w:szCs w:val="28"/>
    </w:rPr>
  </w:style>
  <w:style w:type="character" w:customStyle="1" w:styleId="1069">
    <w:name w:val="第一层条 Char5"/>
    <w:qFormat/>
    <w:uiPriority w:val="0"/>
    <w:rPr>
      <w:rFonts w:ascii="仿宋_GB2312" w:eastAsia="仿宋_GB2312"/>
      <w:b/>
      <w:kern w:val="2"/>
      <w:sz w:val="28"/>
      <w:lang w:val="en-US" w:eastAsia="zh-CN" w:bidi="ar-SA"/>
    </w:rPr>
  </w:style>
  <w:style w:type="paragraph" w:customStyle="1" w:styleId="1070">
    <w:name w:val="正文图"/>
    <w:basedOn w:val="1"/>
    <w:qFormat/>
    <w:uiPriority w:val="0"/>
    <w:pPr>
      <w:adjustRightInd w:val="0"/>
      <w:snapToGrid w:val="0"/>
      <w:jc w:val="center"/>
      <w:textAlignment w:val="baseline"/>
    </w:pPr>
    <w:rPr>
      <w:rFonts w:ascii="宋体" w:hAnsi="宋体" w:cs="宋体"/>
      <w:kern w:val="0"/>
      <w:sz w:val="24"/>
    </w:rPr>
  </w:style>
  <w:style w:type="paragraph" w:customStyle="1" w:styleId="1071">
    <w:name w:val="小五 Char"/>
    <w:qFormat/>
    <w:uiPriority w:val="0"/>
    <w:pPr>
      <w:autoSpaceDE w:val="0"/>
      <w:autoSpaceDN w:val="0"/>
      <w:adjustRightInd w:val="0"/>
      <w:snapToGrid w:val="0"/>
      <w:spacing w:line="360" w:lineRule="auto"/>
      <w:jc w:val="both"/>
    </w:pPr>
    <w:rPr>
      <w:rFonts w:ascii="宋体" w:hAnsi="宋体" w:eastAsia="宋体" w:cs="Times New Roman"/>
      <w:kern w:val="2"/>
      <w:sz w:val="21"/>
      <w:szCs w:val="21"/>
      <w:lang w:val="en-US" w:eastAsia="zh-CN" w:bidi="ar-SA"/>
    </w:rPr>
  </w:style>
  <w:style w:type="paragraph" w:customStyle="1" w:styleId="1072">
    <w:name w:val="样式 标题 2节 + 宋体 左"/>
    <w:basedOn w:val="5"/>
    <w:qFormat/>
    <w:uiPriority w:val="0"/>
    <w:pPr>
      <w:widowControl w:val="0"/>
      <w:tabs>
        <w:tab w:val="left" w:pos="567"/>
        <w:tab w:val="clear" w:pos="1276"/>
      </w:tabs>
    </w:pPr>
    <w:rPr>
      <w:rFonts w:ascii="宋体" w:hAnsi="宋体" w:cs="宋体"/>
      <w:b/>
      <w:bCs/>
      <w:kern w:val="2"/>
      <w:sz w:val="28"/>
      <w:szCs w:val="24"/>
    </w:rPr>
  </w:style>
  <w:style w:type="paragraph" w:customStyle="1" w:styleId="1073">
    <w:name w:val="表格文本 Char"/>
    <w:basedOn w:val="1"/>
    <w:next w:val="1"/>
    <w:link w:val="1074"/>
    <w:qFormat/>
    <w:uiPriority w:val="0"/>
    <w:pPr>
      <w:spacing w:before="60" w:after="60" w:line="312" w:lineRule="auto"/>
      <w:jc w:val="center"/>
    </w:pPr>
    <w:rPr>
      <w:rFonts w:ascii="Arial" w:hAnsi="Arial" w:cs="宋体"/>
    </w:rPr>
  </w:style>
  <w:style w:type="character" w:customStyle="1" w:styleId="1074">
    <w:name w:val="表格文本 Char Char"/>
    <w:link w:val="1073"/>
    <w:qFormat/>
    <w:uiPriority w:val="0"/>
    <w:rPr>
      <w:rFonts w:ascii="Arial" w:hAnsi="Arial" w:cs="宋体"/>
      <w:kern w:val="2"/>
      <w:sz w:val="21"/>
      <w:szCs w:val="24"/>
    </w:rPr>
  </w:style>
  <w:style w:type="paragraph" w:customStyle="1" w:styleId="1075">
    <w:name w:val="表格结尾"/>
    <w:basedOn w:val="1"/>
    <w:qFormat/>
    <w:uiPriority w:val="0"/>
    <w:pPr>
      <w:snapToGrid w:val="0"/>
      <w:spacing w:line="0" w:lineRule="atLeast"/>
    </w:pPr>
    <w:rPr>
      <w:rFonts w:ascii="宋体" w:hAnsi="宋体" w:cs="宋体"/>
      <w:kern w:val="0"/>
      <w:sz w:val="10"/>
    </w:rPr>
  </w:style>
  <w:style w:type="paragraph" w:customStyle="1" w:styleId="1076">
    <w:name w:val="表格标题2 Char"/>
    <w:basedOn w:val="1"/>
    <w:link w:val="1077"/>
    <w:qFormat/>
    <w:uiPriority w:val="0"/>
    <w:pPr>
      <w:tabs>
        <w:tab w:val="center" w:pos="6832"/>
        <w:tab w:val="right" w:pos="13608"/>
      </w:tabs>
      <w:spacing w:after="60" w:line="312" w:lineRule="auto"/>
    </w:pPr>
    <w:rPr>
      <w:rFonts w:ascii="Arial" w:hAnsi="Arial" w:cs="宋体"/>
      <w:sz w:val="28"/>
    </w:rPr>
  </w:style>
  <w:style w:type="character" w:customStyle="1" w:styleId="1077">
    <w:name w:val="表格标题2 Char Char"/>
    <w:link w:val="1076"/>
    <w:qFormat/>
    <w:uiPriority w:val="0"/>
    <w:rPr>
      <w:rFonts w:ascii="Arial" w:hAnsi="Arial" w:cs="宋体"/>
      <w:kern w:val="2"/>
      <w:sz w:val="28"/>
      <w:szCs w:val="24"/>
    </w:rPr>
  </w:style>
  <w:style w:type="paragraph" w:customStyle="1" w:styleId="1078">
    <w:name w:val="表格文本"/>
    <w:basedOn w:val="1"/>
    <w:next w:val="1"/>
    <w:qFormat/>
    <w:uiPriority w:val="0"/>
    <w:pPr>
      <w:spacing w:before="60" w:after="60" w:line="312" w:lineRule="auto"/>
      <w:jc w:val="center"/>
    </w:pPr>
    <w:rPr>
      <w:rFonts w:ascii="Arial" w:hAnsi="Arial" w:cs="宋体"/>
      <w:kern w:val="0"/>
    </w:rPr>
  </w:style>
  <w:style w:type="character" w:customStyle="1" w:styleId="1079">
    <w:name w:val="第一层条 Char4"/>
    <w:qFormat/>
    <w:uiPriority w:val="0"/>
    <w:rPr>
      <w:rFonts w:ascii="仿宋_GB2312" w:eastAsia="仿宋_GB2312"/>
      <w:b/>
      <w:kern w:val="2"/>
      <w:sz w:val="28"/>
      <w:lang w:val="en-US" w:eastAsia="zh-CN" w:bidi="ar-SA"/>
    </w:rPr>
  </w:style>
  <w:style w:type="character" w:customStyle="1" w:styleId="1080">
    <w:name w:val="章节 Char3"/>
    <w:qFormat/>
    <w:uiPriority w:val="0"/>
    <w:rPr>
      <w:rFonts w:ascii="楷体_GB2312" w:eastAsia="楷体_GB2312"/>
      <w:b/>
      <w:kern w:val="44"/>
      <w:sz w:val="30"/>
      <w:lang w:val="en-US" w:eastAsia="zh-CN" w:bidi="ar-SA"/>
    </w:rPr>
  </w:style>
  <w:style w:type="paragraph" w:customStyle="1" w:styleId="1081">
    <w:name w:val="9 Char Char Char5"/>
    <w:basedOn w:val="1"/>
    <w:qFormat/>
    <w:uiPriority w:val="0"/>
    <w:pPr>
      <w:ind w:firstLine="200" w:firstLineChars="200"/>
    </w:pPr>
    <w:rPr>
      <w:rFonts w:ascii="宋体" w:hAnsi="宋体" w:cs="宋体"/>
      <w:sz w:val="28"/>
      <w:szCs w:val="28"/>
    </w:rPr>
  </w:style>
  <w:style w:type="paragraph" w:customStyle="1" w:styleId="1082">
    <w:name w:val="样式 样式 首行缩进:  2 字符 + 首行缩进:  2 字符2"/>
    <w:basedOn w:val="1"/>
    <w:qFormat/>
    <w:uiPriority w:val="0"/>
    <w:pPr>
      <w:spacing w:line="440" w:lineRule="exact"/>
      <w:ind w:firstLine="584" w:firstLineChars="200"/>
    </w:pPr>
    <w:rPr>
      <w:rFonts w:ascii="宋体" w:hAnsi="宋体" w:eastAsia="楷体_GB2312" w:cs="宋体"/>
      <w:spacing w:val="6"/>
      <w:kern w:val="0"/>
      <w:sz w:val="28"/>
      <w:szCs w:val="28"/>
    </w:rPr>
  </w:style>
  <w:style w:type="character" w:customStyle="1" w:styleId="1083">
    <w:name w:val="text_14px1"/>
    <w:qFormat/>
    <w:uiPriority w:val="0"/>
    <w:rPr>
      <w:color w:val="000000"/>
      <w:sz w:val="21"/>
      <w:szCs w:val="21"/>
    </w:rPr>
  </w:style>
  <w:style w:type="character" w:customStyle="1" w:styleId="1084">
    <w:name w:val="章节 Char4"/>
    <w:qFormat/>
    <w:uiPriority w:val="0"/>
    <w:rPr>
      <w:rFonts w:ascii="楷体_GB2312" w:eastAsia="楷体_GB2312"/>
      <w:b/>
      <w:kern w:val="44"/>
      <w:sz w:val="30"/>
      <w:lang w:val="en-US" w:eastAsia="zh-CN" w:bidi="ar-SA"/>
    </w:rPr>
  </w:style>
  <w:style w:type="character" w:customStyle="1" w:styleId="1085">
    <w:name w:val="第一层条 Char6"/>
    <w:qFormat/>
    <w:uiPriority w:val="0"/>
    <w:rPr>
      <w:rFonts w:ascii="仿宋_GB2312" w:eastAsia="仿宋_GB2312"/>
      <w:b/>
      <w:kern w:val="2"/>
      <w:sz w:val="28"/>
      <w:lang w:val="en-US" w:eastAsia="zh-CN" w:bidi="ar-SA"/>
    </w:rPr>
  </w:style>
  <w:style w:type="paragraph" w:customStyle="1" w:styleId="1086">
    <w:name w:val="9 Char Char Char6 Char"/>
    <w:basedOn w:val="1"/>
    <w:qFormat/>
    <w:uiPriority w:val="0"/>
    <w:pPr>
      <w:ind w:firstLine="200" w:firstLineChars="200"/>
    </w:pPr>
    <w:rPr>
      <w:rFonts w:ascii="宋体" w:hAnsi="宋体" w:cs="宋体"/>
      <w:sz w:val="28"/>
      <w:szCs w:val="28"/>
    </w:rPr>
  </w:style>
  <w:style w:type="paragraph" w:customStyle="1" w:styleId="1087">
    <w:name w:val="Char1 Char Char Char Char Char Char Char Char"/>
    <w:basedOn w:val="1"/>
    <w:qFormat/>
    <w:uiPriority w:val="0"/>
    <w:pPr>
      <w:widowControl/>
      <w:spacing w:before="100" w:beforeAutospacing="1" w:after="100" w:afterAutospacing="1"/>
      <w:ind w:firstLine="200" w:firstLineChars="200"/>
      <w:jc w:val="left"/>
    </w:pPr>
    <w:rPr>
      <w:rFonts w:ascii="Verdana" w:hAnsi="Verdana" w:eastAsia="仿宋_GB2312" w:cs="宋体"/>
      <w:kern w:val="0"/>
      <w:sz w:val="24"/>
      <w:szCs w:val="21"/>
      <w:lang w:eastAsia="en-US"/>
    </w:rPr>
  </w:style>
  <w:style w:type="paragraph" w:customStyle="1" w:styleId="1088">
    <w:name w:val="Char Char1 Char Char Char Char Char Char"/>
    <w:basedOn w:val="1"/>
    <w:qFormat/>
    <w:uiPriority w:val="0"/>
    <w:rPr>
      <w:rFonts w:ascii="宋体" w:hAnsi="宋体" w:cs="宋体"/>
      <w:sz w:val="24"/>
    </w:rPr>
  </w:style>
  <w:style w:type="paragraph" w:customStyle="1" w:styleId="1089">
    <w:name w:val="9 Char Char Char7"/>
    <w:basedOn w:val="1"/>
    <w:qFormat/>
    <w:uiPriority w:val="0"/>
    <w:pPr>
      <w:ind w:firstLine="200" w:firstLineChars="200"/>
    </w:pPr>
    <w:rPr>
      <w:rFonts w:ascii="宋体" w:hAnsi="宋体" w:cs="宋体"/>
      <w:sz w:val="28"/>
      <w:szCs w:val="28"/>
    </w:rPr>
  </w:style>
  <w:style w:type="paragraph" w:customStyle="1" w:styleId="1090">
    <w:name w:val="Char Char Char Char Char Char Char Char Char Char Char Char Char Char Char Char Char1 Char Char Char Char Char Char Char Char"/>
    <w:basedOn w:val="1"/>
    <w:qFormat/>
    <w:uiPriority w:val="0"/>
    <w:rPr>
      <w:rFonts w:ascii="宋体" w:hAnsi="宋体" w:cs="宋体"/>
      <w:szCs w:val="21"/>
    </w:rPr>
  </w:style>
  <w:style w:type="paragraph" w:customStyle="1" w:styleId="1091">
    <w:name w:val="9 Char"/>
    <w:basedOn w:val="1"/>
    <w:qFormat/>
    <w:uiPriority w:val="0"/>
    <w:pPr>
      <w:ind w:firstLine="200" w:firstLineChars="200"/>
    </w:pPr>
    <w:rPr>
      <w:rFonts w:ascii="宋体" w:hAnsi="宋体" w:cs="宋体"/>
      <w:sz w:val="28"/>
      <w:szCs w:val="28"/>
    </w:rPr>
  </w:style>
  <w:style w:type="paragraph" w:customStyle="1" w:styleId="1092">
    <w:name w:val="Char Char7 Char Char1 Char Char Char1 Char"/>
    <w:basedOn w:val="1"/>
    <w:qFormat/>
    <w:uiPriority w:val="0"/>
    <w:pPr>
      <w:ind w:firstLine="200" w:firstLineChars="200"/>
    </w:pPr>
    <w:rPr>
      <w:rFonts w:ascii="宋体" w:hAnsi="宋体" w:cs="宋体"/>
      <w:sz w:val="28"/>
      <w:szCs w:val="28"/>
    </w:rPr>
  </w:style>
  <w:style w:type="paragraph" w:customStyle="1" w:styleId="1093">
    <w:name w:val="Char Char7 Char Char"/>
    <w:basedOn w:val="1"/>
    <w:qFormat/>
    <w:uiPriority w:val="0"/>
    <w:pPr>
      <w:ind w:firstLine="200" w:firstLineChars="200"/>
    </w:pPr>
    <w:rPr>
      <w:rFonts w:ascii="宋体" w:hAnsi="宋体" w:cs="宋体"/>
      <w:sz w:val="28"/>
      <w:szCs w:val="28"/>
    </w:rPr>
  </w:style>
  <w:style w:type="paragraph" w:customStyle="1" w:styleId="1094">
    <w:name w:val="Char Char7 Char Char1 Char Char Char"/>
    <w:basedOn w:val="1"/>
    <w:qFormat/>
    <w:uiPriority w:val="0"/>
    <w:pPr>
      <w:ind w:firstLine="200" w:firstLineChars="200"/>
    </w:pPr>
    <w:rPr>
      <w:rFonts w:ascii="宋体" w:hAnsi="宋体" w:cs="宋体"/>
      <w:sz w:val="28"/>
      <w:szCs w:val="28"/>
    </w:rPr>
  </w:style>
  <w:style w:type="paragraph" w:customStyle="1" w:styleId="1095">
    <w:name w:val="Char3 Char Char"/>
    <w:basedOn w:val="1"/>
    <w:qFormat/>
    <w:uiPriority w:val="0"/>
    <w:pPr>
      <w:spacing w:line="360" w:lineRule="auto"/>
      <w:ind w:firstLine="200" w:firstLineChars="200"/>
    </w:pPr>
    <w:rPr>
      <w:rFonts w:ascii="宋体" w:hAnsi="宋体" w:cs="宋体"/>
      <w:sz w:val="24"/>
    </w:rPr>
  </w:style>
  <w:style w:type="paragraph" w:customStyle="1" w:styleId="1096">
    <w:name w:val="谏壁标题4(chen)"/>
    <w:basedOn w:val="1"/>
    <w:qFormat/>
    <w:uiPriority w:val="0"/>
    <w:pPr>
      <w:snapToGrid w:val="0"/>
      <w:spacing w:beforeLines="50" w:line="360" w:lineRule="auto"/>
      <w:outlineLvl w:val="3"/>
    </w:pPr>
    <w:rPr>
      <w:rFonts w:ascii="宋体" w:hAnsi="宋体" w:eastAsia="楷体_GB2312" w:cs="宋体"/>
      <w:sz w:val="28"/>
    </w:rPr>
  </w:style>
  <w:style w:type="paragraph" w:customStyle="1" w:styleId="1097">
    <w:name w:val="Char Char7 Char Char1 Char Char Char1 Char Char Char Char Char Char Char Char Char Char Char Char"/>
    <w:basedOn w:val="1"/>
    <w:qFormat/>
    <w:uiPriority w:val="0"/>
    <w:pPr>
      <w:ind w:firstLine="200" w:firstLineChars="200"/>
    </w:pPr>
    <w:rPr>
      <w:rFonts w:ascii="宋体" w:hAnsi="宋体" w:cs="宋体"/>
      <w:sz w:val="28"/>
      <w:szCs w:val="28"/>
    </w:rPr>
  </w:style>
  <w:style w:type="paragraph" w:customStyle="1" w:styleId="1098">
    <w:name w:val="Char Char7 Char Char1"/>
    <w:basedOn w:val="1"/>
    <w:qFormat/>
    <w:uiPriority w:val="0"/>
    <w:pPr>
      <w:ind w:firstLine="200" w:firstLineChars="200"/>
    </w:pPr>
    <w:rPr>
      <w:rFonts w:ascii="宋体" w:hAnsi="宋体" w:cs="宋体"/>
      <w:sz w:val="28"/>
      <w:szCs w:val="28"/>
    </w:rPr>
  </w:style>
  <w:style w:type="paragraph" w:customStyle="1" w:styleId="1099">
    <w:name w:val="样式 标题 2 + Times New Roman 加粗"/>
    <w:basedOn w:val="5"/>
    <w:link w:val="1100"/>
    <w:qFormat/>
    <w:uiPriority w:val="0"/>
    <w:pPr>
      <w:widowControl w:val="0"/>
      <w:tabs>
        <w:tab w:val="clear" w:pos="1276"/>
      </w:tabs>
      <w:spacing w:line="240" w:lineRule="auto"/>
      <w:ind w:left="0" w:firstLine="0"/>
      <w:jc w:val="both"/>
    </w:pPr>
    <w:rPr>
      <w:rFonts w:ascii="Calibri" w:hAnsi="Calibri" w:cs="宋体"/>
      <w:bCs/>
      <w:kern w:val="44"/>
      <w:sz w:val="28"/>
      <w:szCs w:val="32"/>
    </w:rPr>
  </w:style>
  <w:style w:type="character" w:customStyle="1" w:styleId="1100">
    <w:name w:val="样式 标题 2 + Times New Roman 加粗 Char"/>
    <w:link w:val="1099"/>
    <w:qFormat/>
    <w:uiPriority w:val="0"/>
    <w:rPr>
      <w:rFonts w:ascii="Calibri" w:hAnsi="Calibri" w:cs="宋体"/>
      <w:bCs/>
      <w:kern w:val="44"/>
      <w:sz w:val="28"/>
      <w:szCs w:val="32"/>
    </w:rPr>
  </w:style>
  <w:style w:type="paragraph" w:customStyle="1" w:styleId="1101">
    <w:name w:val="Char4 Char Char Char Char Char Char Char Char Char Char Char Char Char Char Char Char Char1 Char Char Char Char Char Char"/>
    <w:basedOn w:val="1"/>
    <w:qFormat/>
    <w:uiPriority w:val="0"/>
    <w:pPr>
      <w:ind w:firstLine="200" w:firstLineChars="200"/>
    </w:pPr>
    <w:rPr>
      <w:rFonts w:ascii="宋体" w:hAnsi="宋体" w:cs="宋体"/>
      <w:sz w:val="28"/>
      <w:szCs w:val="28"/>
    </w:rPr>
  </w:style>
  <w:style w:type="paragraph" w:customStyle="1" w:styleId="1102">
    <w:name w:val="Char Char Char Char11"/>
    <w:basedOn w:val="1"/>
    <w:qFormat/>
    <w:uiPriority w:val="0"/>
    <w:rPr>
      <w:rFonts w:ascii="宋体" w:hAnsi="宋体" w:cs="宋体"/>
      <w:szCs w:val="21"/>
    </w:rPr>
  </w:style>
  <w:style w:type="paragraph" w:customStyle="1" w:styleId="1103">
    <w:name w:val="Char Char6 Char Char Char Char Char Char Char Char Char Char Char Char Char Char Char Char Char Char Char Char"/>
    <w:basedOn w:val="1"/>
    <w:qFormat/>
    <w:uiPriority w:val="0"/>
    <w:rPr>
      <w:rFonts w:ascii="宋体" w:hAnsi="宋体" w:cs="宋体"/>
      <w:szCs w:val="21"/>
    </w:rPr>
  </w:style>
  <w:style w:type="paragraph" w:customStyle="1" w:styleId="1104">
    <w:name w:val="Char Char7 Char Char1 Char Char Char1 Char Char Char Char Char Char Char Char"/>
    <w:basedOn w:val="1"/>
    <w:qFormat/>
    <w:uiPriority w:val="0"/>
    <w:pPr>
      <w:ind w:firstLine="200" w:firstLineChars="200"/>
    </w:pPr>
    <w:rPr>
      <w:rFonts w:ascii="宋体" w:hAnsi="宋体" w:cs="宋体"/>
      <w:sz w:val="28"/>
      <w:szCs w:val="28"/>
    </w:rPr>
  </w:style>
  <w:style w:type="paragraph" w:customStyle="1" w:styleId="1105">
    <w:name w:val="Char3 Char Char Char1 Char Char1 Char Char Char1 Char Char Char Char Char Char Char Char Char"/>
    <w:basedOn w:val="1"/>
    <w:qFormat/>
    <w:uiPriority w:val="0"/>
    <w:rPr>
      <w:rFonts w:ascii="宋体" w:hAnsi="宋体" w:cs="宋体"/>
      <w:szCs w:val="21"/>
    </w:rPr>
  </w:style>
  <w:style w:type="paragraph" w:customStyle="1" w:styleId="1106">
    <w:name w:val="Char Char Char2 Char Char Char Char Char Char Char Char Char Char Char Char Char Char Char Char Char Char Char Char Char Char Char"/>
    <w:basedOn w:val="1"/>
    <w:qFormat/>
    <w:uiPriority w:val="0"/>
    <w:rPr>
      <w:rFonts w:ascii="宋体" w:hAnsi="宋体" w:cs="宋体"/>
      <w:szCs w:val="21"/>
    </w:rPr>
  </w:style>
  <w:style w:type="character" w:customStyle="1" w:styleId="1107">
    <w:name w:val="title6"/>
    <w:basedOn w:val="91"/>
    <w:qFormat/>
    <w:uiPriority w:val="0"/>
  </w:style>
  <w:style w:type="paragraph" w:customStyle="1" w:styleId="1108">
    <w:name w:val="新表"/>
    <w:basedOn w:val="1"/>
    <w:qFormat/>
    <w:uiPriority w:val="0"/>
    <w:pPr>
      <w:spacing w:line="360" w:lineRule="exact"/>
    </w:pPr>
    <w:rPr>
      <w:rFonts w:ascii="宋体" w:hAnsi="宋体" w:eastAsia="仿宋_GB2312" w:cs="宋体"/>
      <w:bCs/>
      <w:kern w:val="0"/>
      <w:sz w:val="24"/>
    </w:rPr>
  </w:style>
  <w:style w:type="paragraph" w:customStyle="1" w:styleId="1109">
    <w:name w:val="缩进2个字"/>
    <w:basedOn w:val="1"/>
    <w:qFormat/>
    <w:uiPriority w:val="0"/>
    <w:pPr>
      <w:spacing w:line="0" w:lineRule="atLeast"/>
      <w:jc w:val="center"/>
    </w:pPr>
    <w:rPr>
      <w:rFonts w:ascii="宋体" w:hAnsi="宋体" w:cs="宋体"/>
      <w:snapToGrid w:val="0"/>
      <w:spacing w:val="12"/>
      <w:kern w:val="24"/>
    </w:rPr>
  </w:style>
  <w:style w:type="paragraph" w:customStyle="1" w:styleId="1110">
    <w:name w:val="样式 Arial 行距: 多倍行距 1.45 字行"/>
    <w:basedOn w:val="1"/>
    <w:qFormat/>
    <w:uiPriority w:val="0"/>
    <w:pPr>
      <w:spacing w:line="500" w:lineRule="exact"/>
      <w:ind w:firstLine="560" w:firstLineChars="200"/>
      <w:jc w:val="center"/>
    </w:pPr>
    <w:rPr>
      <w:rFonts w:ascii="仿宋_GB2312" w:hAnsi="宋体" w:eastAsia="仿宋_GB2312" w:cs="宋体"/>
      <w:sz w:val="28"/>
    </w:rPr>
  </w:style>
  <w:style w:type="character" w:customStyle="1" w:styleId="1111">
    <w:name w:val="main"/>
    <w:basedOn w:val="91"/>
    <w:qFormat/>
    <w:uiPriority w:val="0"/>
  </w:style>
  <w:style w:type="paragraph" w:customStyle="1" w:styleId="1112">
    <w:name w:val="Char 字元 字元"/>
    <w:basedOn w:val="1"/>
    <w:qFormat/>
    <w:uiPriority w:val="0"/>
    <w:rPr>
      <w:rFonts w:ascii="宋体" w:hAnsi="宋体" w:cs="宋体"/>
      <w:sz w:val="24"/>
    </w:rPr>
  </w:style>
  <w:style w:type="paragraph" w:customStyle="1" w:styleId="1113">
    <w:name w:val="样式 样式 正文缩进正文（首行缩进两字）文本条款 + 段前: 0.4 行 + 非加粗"/>
    <w:basedOn w:val="1"/>
    <w:qFormat/>
    <w:uiPriority w:val="0"/>
    <w:pPr>
      <w:tabs>
        <w:tab w:val="left" w:pos="3150"/>
      </w:tabs>
      <w:spacing w:beforeLines="30" w:line="288" w:lineRule="auto"/>
      <w:ind w:left="3150" w:hanging="420"/>
      <w:outlineLvl w:val="6"/>
    </w:pPr>
    <w:rPr>
      <w:rFonts w:ascii="宋体" w:hAnsi="宋体" w:cs="宋体"/>
      <w:sz w:val="24"/>
    </w:rPr>
  </w:style>
  <w:style w:type="paragraph" w:customStyle="1" w:styleId="1114">
    <w:name w:val="正文1-1"/>
    <w:basedOn w:val="1"/>
    <w:link w:val="1115"/>
    <w:qFormat/>
    <w:uiPriority w:val="0"/>
    <w:pPr>
      <w:widowControl/>
      <w:snapToGrid w:val="0"/>
      <w:spacing w:line="360" w:lineRule="auto"/>
      <w:ind w:firstLine="200" w:firstLineChars="200"/>
      <w:jc w:val="left"/>
    </w:pPr>
    <w:rPr>
      <w:rFonts w:ascii="宋体" w:hAnsi="宋体" w:eastAsia="仿宋_GB2312" w:cs="宋体"/>
      <w:sz w:val="28"/>
    </w:rPr>
  </w:style>
  <w:style w:type="character" w:customStyle="1" w:styleId="1115">
    <w:name w:val="正文1-1 Char"/>
    <w:link w:val="1114"/>
    <w:qFormat/>
    <w:uiPriority w:val="0"/>
    <w:rPr>
      <w:rFonts w:ascii="宋体" w:hAnsi="宋体" w:eastAsia="仿宋_GB2312" w:cs="宋体"/>
      <w:kern w:val="2"/>
      <w:sz w:val="28"/>
      <w:szCs w:val="24"/>
    </w:rPr>
  </w:style>
  <w:style w:type="paragraph" w:customStyle="1" w:styleId="1116">
    <w:name w:val="表格标题新"/>
    <w:basedOn w:val="171"/>
    <w:link w:val="1117"/>
    <w:qFormat/>
    <w:uiPriority w:val="0"/>
    <w:pPr>
      <w:tabs>
        <w:tab w:val="left" w:pos="0"/>
      </w:tabs>
      <w:adjustRightInd w:val="0"/>
      <w:snapToGrid w:val="0"/>
      <w:spacing w:before="0" w:after="0" w:line="240" w:lineRule="auto"/>
    </w:pPr>
    <w:rPr>
      <w:rFonts w:ascii="宋体" w:hAnsi="宋体" w:cs="宋体"/>
      <w:snapToGrid w:val="0"/>
      <w:sz w:val="28"/>
      <w:szCs w:val="28"/>
    </w:rPr>
  </w:style>
  <w:style w:type="character" w:customStyle="1" w:styleId="1117">
    <w:name w:val="表格标题新 Char"/>
    <w:link w:val="1116"/>
    <w:qFormat/>
    <w:uiPriority w:val="0"/>
    <w:rPr>
      <w:rFonts w:ascii="宋体" w:hAnsi="宋体" w:cs="宋体"/>
      <w:snapToGrid w:val="0"/>
      <w:spacing w:val="10"/>
      <w:kern w:val="2"/>
      <w:sz w:val="28"/>
      <w:szCs w:val="28"/>
    </w:rPr>
  </w:style>
  <w:style w:type="paragraph" w:customStyle="1" w:styleId="1118">
    <w:name w:val="11 Char Char Char Char Char Char Char Char Char Char Char Char Char"/>
    <w:basedOn w:val="1"/>
    <w:qFormat/>
    <w:uiPriority w:val="0"/>
    <w:pPr>
      <w:snapToGrid w:val="0"/>
      <w:spacing w:line="360" w:lineRule="auto"/>
      <w:ind w:firstLine="200" w:firstLineChars="200"/>
    </w:pPr>
    <w:rPr>
      <w:rFonts w:ascii="宋体" w:hAnsi="宋体" w:eastAsia="仿宋_GB2312" w:cs="宋体"/>
      <w:sz w:val="24"/>
    </w:rPr>
  </w:style>
  <w:style w:type="paragraph" w:customStyle="1" w:styleId="1119">
    <w:name w:val="样式 样式 首行缩进:  2 字符1 + 首行缩进:  2 字符 段前: 0.2 行"/>
    <w:basedOn w:val="1"/>
    <w:qFormat/>
    <w:uiPriority w:val="0"/>
    <w:pPr>
      <w:spacing w:line="440" w:lineRule="exact"/>
      <w:ind w:firstLine="200" w:firstLineChars="200"/>
    </w:pPr>
    <w:rPr>
      <w:rFonts w:ascii="宋体" w:hAnsi="宋体" w:cs="宋体"/>
      <w:sz w:val="24"/>
    </w:rPr>
  </w:style>
  <w:style w:type="paragraph" w:customStyle="1" w:styleId="1120">
    <w:name w:val="表X"/>
    <w:basedOn w:val="46"/>
    <w:qFormat/>
    <w:uiPriority w:val="0"/>
    <w:pPr>
      <w:keepNext/>
      <w:widowControl w:val="0"/>
      <w:tabs>
        <w:tab w:val="left" w:pos="920"/>
      </w:tabs>
      <w:adjustRightInd w:val="0"/>
      <w:spacing w:before="240"/>
      <w:ind w:left="920" w:hanging="360"/>
      <w:outlineLvl w:val="8"/>
    </w:pPr>
    <w:rPr>
      <w:rFonts w:ascii="Courier New" w:cs="Times New Roman"/>
      <w:kern w:val="2"/>
      <w:sz w:val="28"/>
      <w:szCs w:val="20"/>
    </w:rPr>
  </w:style>
  <w:style w:type="paragraph" w:customStyle="1" w:styleId="1121">
    <w:name w:val="文本123-II"/>
    <w:basedOn w:val="8"/>
    <w:qFormat/>
    <w:uiPriority w:val="0"/>
    <w:pPr>
      <w:keepNext w:val="0"/>
      <w:keepLines w:val="0"/>
      <w:widowControl w:val="0"/>
      <w:tabs>
        <w:tab w:val="left" w:pos="3990"/>
        <w:tab w:val="clear" w:pos="1276"/>
      </w:tabs>
      <w:spacing w:beforeLines="50" w:line="240" w:lineRule="auto"/>
      <w:ind w:left="3990" w:hanging="420"/>
      <w:jc w:val="both"/>
    </w:pPr>
    <w:rPr>
      <w:rFonts w:ascii="Calibri" w:hAnsi="Calibri"/>
      <w:b w:val="0"/>
      <w:bCs w:val="0"/>
      <w:kern w:val="2"/>
      <w:szCs w:val="24"/>
    </w:rPr>
  </w:style>
  <w:style w:type="paragraph" w:customStyle="1" w:styleId="1122">
    <w:name w:val="样式 正文缩进正文（首行缩进两字）文本条款 + 段前: 0.4 行"/>
    <w:basedOn w:val="6"/>
    <w:qFormat/>
    <w:uiPriority w:val="0"/>
    <w:pPr>
      <w:adjustRightInd/>
      <w:snapToGrid/>
      <w:spacing w:beforeLines="30" w:line="288" w:lineRule="auto"/>
      <w:ind w:firstLine="0" w:firstLineChars="0"/>
      <w:outlineLvl w:val="6"/>
    </w:pPr>
    <w:rPr>
      <w:rFonts w:ascii="Calibri" w:hAnsi="Calibri" w:eastAsia="黑体" w:cs="宋体"/>
      <w:b/>
      <w:color w:val="auto"/>
      <w:szCs w:val="20"/>
    </w:rPr>
  </w:style>
  <w:style w:type="paragraph" w:customStyle="1" w:styleId="1123">
    <w:name w:val="样式 文本123 + 段前: 0.2 行1"/>
    <w:basedOn w:val="561"/>
    <w:qFormat/>
    <w:uiPriority w:val="0"/>
    <w:pPr>
      <w:tabs>
        <w:tab w:val="left" w:pos="3570"/>
        <w:tab w:val="clear" w:pos="958"/>
      </w:tabs>
      <w:snapToGrid w:val="0"/>
      <w:spacing w:beforeLines="20" w:line="480" w:lineRule="exact"/>
      <w:ind w:left="0" w:firstLine="510"/>
    </w:pPr>
  </w:style>
  <w:style w:type="paragraph" w:customStyle="1" w:styleId="1124">
    <w:name w:val="样式 表标题 + 段前: 0.5 行1"/>
    <w:basedOn w:val="5"/>
    <w:qFormat/>
    <w:uiPriority w:val="0"/>
    <w:pPr>
      <w:keepNext w:val="0"/>
      <w:keepLines w:val="0"/>
      <w:widowControl w:val="0"/>
      <w:tabs>
        <w:tab w:val="clear" w:pos="1276"/>
      </w:tabs>
      <w:adjustRightInd w:val="0"/>
      <w:snapToGrid w:val="0"/>
      <w:spacing w:beforeLines="50" w:line="480" w:lineRule="exact"/>
      <w:ind w:left="0" w:firstLine="0"/>
      <w:jc w:val="center"/>
      <w:outlineLvl w:val="9"/>
    </w:pPr>
    <w:rPr>
      <w:rFonts w:ascii="Calibri" w:hAnsi="Calibri" w:eastAsia="黑体" w:cs="宋体"/>
      <w:kern w:val="2"/>
      <w:sz w:val="28"/>
      <w:szCs w:val="24"/>
    </w:rPr>
  </w:style>
  <w:style w:type="paragraph" w:customStyle="1" w:styleId="1125">
    <w:name w:val="样式 宋体 首行缩进:  2 字符 行距: 1.5 倍行距"/>
    <w:basedOn w:val="1"/>
    <w:qFormat/>
    <w:uiPriority w:val="0"/>
    <w:pPr>
      <w:spacing w:line="360" w:lineRule="auto"/>
      <w:ind w:firstLine="480" w:firstLineChars="200"/>
    </w:pPr>
    <w:rPr>
      <w:rFonts w:ascii="宋体" w:hAnsi="宋体" w:cs="宋体"/>
      <w:sz w:val="24"/>
    </w:rPr>
  </w:style>
  <w:style w:type="paragraph" w:customStyle="1" w:styleId="1126">
    <w:name w:val="大标题"/>
    <w:basedOn w:val="4"/>
    <w:qFormat/>
    <w:uiPriority w:val="0"/>
    <w:pPr>
      <w:keepLines/>
      <w:widowControl w:val="0"/>
      <w:numPr>
        <w:numId w:val="0"/>
      </w:numPr>
      <w:tabs>
        <w:tab w:val="left" w:pos="8640"/>
      </w:tabs>
      <w:spacing w:before="340" w:afterLines="100" w:line="480" w:lineRule="auto"/>
      <w:ind w:firstLine="200" w:firstLineChars="200"/>
      <w:jc w:val="center"/>
    </w:pPr>
    <w:rPr>
      <w:rFonts w:ascii="Calibri" w:hAnsi="Calibri"/>
      <w:b/>
      <w:bCs/>
      <w:color w:val="000000"/>
      <w:kern w:val="44"/>
      <w:sz w:val="44"/>
      <w:szCs w:val="44"/>
    </w:rPr>
  </w:style>
  <w:style w:type="paragraph" w:customStyle="1" w:styleId="1127">
    <w:name w:val="my1"/>
    <w:basedOn w:val="59"/>
    <w:qFormat/>
    <w:uiPriority w:val="0"/>
    <w:pPr>
      <w:widowControl w:val="0"/>
      <w:tabs>
        <w:tab w:val="left" w:pos="450"/>
        <w:tab w:val="right" w:leader="dot" w:pos="9061"/>
      </w:tabs>
      <w:spacing w:before="120" w:after="120" w:line="300" w:lineRule="auto"/>
      <w:ind w:left="450" w:hanging="450"/>
      <w:jc w:val="center"/>
    </w:pPr>
    <w:rPr>
      <w:rFonts w:ascii="仿宋_GB2312" w:hAnsi="华文细黑" w:eastAsia="仿宋_GB2312"/>
      <w:caps/>
      <w:kern w:val="2"/>
      <w:sz w:val="28"/>
      <w:szCs w:val="28"/>
    </w:rPr>
  </w:style>
  <w:style w:type="paragraph" w:customStyle="1" w:styleId="1128">
    <w:name w:val="unnamed3"/>
    <w:basedOn w:val="1"/>
    <w:qFormat/>
    <w:uiPriority w:val="0"/>
    <w:pPr>
      <w:widowControl/>
      <w:spacing w:before="100" w:beforeAutospacing="1" w:after="100" w:afterAutospacing="1" w:line="408" w:lineRule="auto"/>
      <w:jc w:val="left"/>
    </w:pPr>
    <w:rPr>
      <w:rFonts w:ascii="Arial Unicode MS" w:hAnsi="Arial Unicode MS" w:eastAsia="Arial Unicode MS" w:cs="宋体"/>
      <w:color w:val="000000"/>
      <w:kern w:val="0"/>
      <w:sz w:val="24"/>
    </w:rPr>
  </w:style>
  <w:style w:type="paragraph" w:customStyle="1" w:styleId="1129">
    <w:name w:val="Table Title Char1 Char"/>
    <w:basedOn w:val="1"/>
    <w:qFormat/>
    <w:uiPriority w:val="0"/>
    <w:pPr>
      <w:widowControl/>
      <w:snapToGrid w:val="0"/>
      <w:spacing w:beforeLines="50" w:afterLines="50" w:line="400" w:lineRule="exact"/>
      <w:jc w:val="center"/>
    </w:pPr>
    <w:rPr>
      <w:rFonts w:ascii="宋体" w:hAnsi="宋体" w:cs="宋体"/>
      <w:sz w:val="24"/>
      <w:lang w:eastAsia="en-US"/>
    </w:rPr>
  </w:style>
  <w:style w:type="paragraph" w:customStyle="1" w:styleId="1130">
    <w:name w:val="样式 文本123 + 段前: 0.2 行"/>
    <w:basedOn w:val="561"/>
    <w:qFormat/>
    <w:uiPriority w:val="0"/>
    <w:pPr>
      <w:tabs>
        <w:tab w:val="clear" w:pos="958"/>
      </w:tabs>
      <w:adjustRightInd w:val="0"/>
      <w:snapToGrid w:val="0"/>
      <w:spacing w:beforeLines="20" w:line="480" w:lineRule="exact"/>
      <w:ind w:left="2009"/>
    </w:pPr>
    <w:rPr>
      <w:szCs w:val="24"/>
    </w:rPr>
  </w:style>
  <w:style w:type="paragraph" w:customStyle="1" w:styleId="1131">
    <w:name w:val="11 Char Char Char Char Char Char Char Char Char Char Char Char Char Char Char1 Char"/>
    <w:basedOn w:val="1"/>
    <w:qFormat/>
    <w:uiPriority w:val="0"/>
    <w:pPr>
      <w:snapToGrid w:val="0"/>
      <w:spacing w:line="360" w:lineRule="auto"/>
      <w:ind w:firstLine="200" w:firstLineChars="200"/>
    </w:pPr>
    <w:rPr>
      <w:rFonts w:ascii="宋体" w:hAnsi="宋体" w:eastAsia="仿宋_GB2312" w:cs="宋体"/>
      <w:sz w:val="24"/>
    </w:rPr>
  </w:style>
  <w:style w:type="paragraph" w:customStyle="1" w:styleId="1132">
    <w:name w:val="zheng"/>
    <w:basedOn w:val="1"/>
    <w:qFormat/>
    <w:uiPriority w:val="0"/>
    <w:pPr>
      <w:spacing w:line="440" w:lineRule="exact"/>
      <w:ind w:firstLine="480" w:firstLineChars="200"/>
    </w:pPr>
    <w:rPr>
      <w:rFonts w:ascii="宋体" w:hAnsi="宋体" w:cs="宋体"/>
      <w:sz w:val="24"/>
    </w:rPr>
  </w:style>
  <w:style w:type="paragraph" w:customStyle="1" w:styleId="1133">
    <w:name w:val="b4"/>
    <w:basedOn w:val="1"/>
    <w:next w:val="1"/>
    <w:qFormat/>
    <w:uiPriority w:val="0"/>
    <w:pPr>
      <w:spacing w:line="440" w:lineRule="exact"/>
      <w:outlineLvl w:val="3"/>
    </w:pPr>
    <w:rPr>
      <w:rFonts w:ascii="宋体" w:hAnsi="宋体" w:cs="宋体"/>
      <w:b/>
      <w:sz w:val="24"/>
    </w:rPr>
  </w:style>
  <w:style w:type="paragraph" w:customStyle="1" w:styleId="1134">
    <w:name w:val="zw"/>
    <w:basedOn w:val="1"/>
    <w:qFormat/>
    <w:uiPriority w:val="0"/>
    <w:pPr>
      <w:spacing w:line="400" w:lineRule="exact"/>
      <w:ind w:firstLine="480" w:firstLineChars="200"/>
    </w:pPr>
    <w:rPr>
      <w:rFonts w:ascii="宋体" w:hAnsi="宋体" w:cs="宋体"/>
      <w:sz w:val="24"/>
    </w:rPr>
  </w:style>
  <w:style w:type="paragraph" w:customStyle="1" w:styleId="1135">
    <w:name w:val="7表格(治)"/>
    <w:qFormat/>
    <w:uiPriority w:val="0"/>
    <w:pPr>
      <w:spacing w:line="400" w:lineRule="atLeast"/>
      <w:jc w:val="center"/>
    </w:pPr>
    <w:rPr>
      <w:rFonts w:hint="eastAsia" w:ascii="宋体" w:hAnsi="宋体" w:eastAsia="宋体" w:cs="Times New Roman"/>
      <w:sz w:val="21"/>
      <w:lang w:val="en-US" w:eastAsia="zh-CN" w:bidi="ar-SA"/>
    </w:rPr>
  </w:style>
  <w:style w:type="paragraph" w:customStyle="1" w:styleId="1136">
    <w:name w:val="样式 首行缩进:  2 字符1"/>
    <w:basedOn w:val="1"/>
    <w:qFormat/>
    <w:uiPriority w:val="0"/>
    <w:pPr>
      <w:spacing w:line="440" w:lineRule="exact"/>
      <w:ind w:firstLine="200" w:firstLineChars="200"/>
    </w:pPr>
    <w:rPr>
      <w:rFonts w:ascii="宋体" w:hAnsi="宋体" w:cs="宋体"/>
      <w:sz w:val="24"/>
    </w:rPr>
  </w:style>
  <w:style w:type="paragraph" w:customStyle="1" w:styleId="1137">
    <w:name w:val="Char Char1 Char Char Char2 Char"/>
    <w:basedOn w:val="1"/>
    <w:qFormat/>
    <w:uiPriority w:val="0"/>
    <w:rPr>
      <w:rFonts w:ascii="宋体" w:hAnsi="宋体" w:cs="宋体"/>
      <w:sz w:val="24"/>
    </w:rPr>
  </w:style>
  <w:style w:type="paragraph" w:customStyle="1" w:styleId="1138">
    <w:name w:val="Char Char Char Char Char Char Char Char Char Char Char Char Char Char Char Char Char Char Char Char Char Char Char Char Char Char Char Char Char Char Char Char Char Char Char Char Char Char Char Char Char Char Char"/>
    <w:basedOn w:val="1"/>
    <w:qFormat/>
    <w:uiPriority w:val="0"/>
    <w:rPr>
      <w:rFonts w:ascii="宋体" w:hAnsi="宋体" w:cs="宋体"/>
      <w:sz w:val="24"/>
    </w:rPr>
  </w:style>
  <w:style w:type="paragraph" w:customStyle="1" w:styleId="1139">
    <w:name w:val="Char Char Char Char Char Char Char Char Char Char Char Char Char Char Char Char Char Char Char"/>
    <w:basedOn w:val="1"/>
    <w:qFormat/>
    <w:uiPriority w:val="0"/>
    <w:rPr>
      <w:rFonts w:ascii="宋体" w:hAnsi="宋体" w:cs="宋体"/>
      <w:sz w:val="24"/>
    </w:rPr>
  </w:style>
  <w:style w:type="paragraph" w:customStyle="1" w:styleId="1140">
    <w:name w:val="正文格式42"/>
    <w:basedOn w:val="1"/>
    <w:qFormat/>
    <w:uiPriority w:val="0"/>
    <w:pPr>
      <w:spacing w:line="360" w:lineRule="auto"/>
      <w:ind w:firstLine="482"/>
    </w:pPr>
    <w:rPr>
      <w:rFonts w:ascii="宋体" w:hAnsi="宋体" w:cs="宋体"/>
      <w:sz w:val="24"/>
    </w:rPr>
  </w:style>
  <w:style w:type="paragraph" w:customStyle="1" w:styleId="1141">
    <w:name w:val="主要条文"/>
    <w:basedOn w:val="1"/>
    <w:qFormat/>
    <w:uiPriority w:val="0"/>
    <w:pPr>
      <w:tabs>
        <w:tab w:val="left" w:pos="1260"/>
      </w:tabs>
      <w:ind w:left="1260" w:hanging="420"/>
    </w:pPr>
    <w:rPr>
      <w:rFonts w:ascii="宋体" w:hAnsi="宋体" w:cs="宋体"/>
      <w:sz w:val="24"/>
    </w:rPr>
  </w:style>
  <w:style w:type="paragraph" w:customStyle="1" w:styleId="1142">
    <w:name w:val="样式 标题 2mystyle2style2 + 四号 非加粗 居中 行距: 多倍行距 1.73 字行"/>
    <w:basedOn w:val="5"/>
    <w:qFormat/>
    <w:uiPriority w:val="0"/>
    <w:pPr>
      <w:widowControl w:val="0"/>
      <w:tabs>
        <w:tab w:val="clear" w:pos="1276"/>
      </w:tabs>
      <w:spacing w:before="260" w:after="260" w:line="415" w:lineRule="auto"/>
      <w:ind w:left="0" w:firstLine="0"/>
      <w:jc w:val="center"/>
    </w:pPr>
    <w:rPr>
      <w:rFonts w:ascii="Arial" w:eastAsia="黑体" w:cs="Century"/>
      <w:kern w:val="2"/>
      <w:sz w:val="28"/>
      <w:szCs w:val="24"/>
    </w:rPr>
  </w:style>
  <w:style w:type="character" w:customStyle="1" w:styleId="1143">
    <w:name w:val="font1"/>
    <w:qFormat/>
    <w:uiPriority w:val="0"/>
    <w:rPr>
      <w:rFonts w:hint="default" w:ascii="Verdana" w:hAnsi="Verdana" w:eastAsia="宋体"/>
      <w:kern w:val="2"/>
      <w:sz w:val="18"/>
      <w:szCs w:val="18"/>
      <w:lang w:val="en-US" w:eastAsia="zh-CN" w:bidi="ar-SA"/>
    </w:rPr>
  </w:style>
  <w:style w:type="character" w:customStyle="1" w:styleId="1144">
    <w:name w:val="zjgblk1"/>
    <w:qFormat/>
    <w:uiPriority w:val="0"/>
    <w:rPr>
      <w:rFonts w:hint="default" w:eastAsia="宋体"/>
      <w:color w:val="000000"/>
      <w:spacing w:val="336"/>
      <w:kern w:val="2"/>
      <w:sz w:val="18"/>
      <w:szCs w:val="18"/>
      <w:u w:val="none"/>
      <w:lang w:val="en-US" w:eastAsia="zh-CN" w:bidi="ar-SA"/>
    </w:rPr>
  </w:style>
  <w:style w:type="paragraph" w:customStyle="1" w:styleId="1145">
    <w:name w:val="表中文字"/>
    <w:basedOn w:val="1"/>
    <w:link w:val="1146"/>
    <w:qFormat/>
    <w:uiPriority w:val="0"/>
    <w:pPr>
      <w:snapToGrid w:val="0"/>
    </w:pPr>
    <w:rPr>
      <w:rFonts w:ascii="Calibri" w:hAnsi="Calibri" w:cs="宋体"/>
    </w:rPr>
  </w:style>
  <w:style w:type="character" w:customStyle="1" w:styleId="1146">
    <w:name w:val="表中文字 Char2"/>
    <w:link w:val="1145"/>
    <w:qFormat/>
    <w:uiPriority w:val="0"/>
    <w:rPr>
      <w:rFonts w:ascii="Calibri" w:hAnsi="Calibri" w:cs="宋体"/>
      <w:kern w:val="2"/>
      <w:sz w:val="21"/>
      <w:szCs w:val="24"/>
    </w:rPr>
  </w:style>
  <w:style w:type="paragraph" w:customStyle="1" w:styleId="1147">
    <w:name w:val="－列表"/>
    <w:basedOn w:val="66"/>
    <w:qFormat/>
    <w:uiPriority w:val="0"/>
    <w:pPr>
      <w:adjustRightInd w:val="0"/>
      <w:snapToGrid w:val="0"/>
      <w:spacing w:line="360" w:lineRule="atLeast"/>
      <w:ind w:left="0" w:firstLine="0" w:firstLineChars="0"/>
      <w:contextualSpacing w:val="0"/>
      <w:textAlignment w:val="baseline"/>
    </w:pPr>
    <w:rPr>
      <w:rFonts w:ascii="宋体" w:hAnsi="宋体" w:cs="宋体"/>
      <w:snapToGrid w:val="0"/>
      <w:kern w:val="0"/>
      <w:sz w:val="22"/>
      <w:szCs w:val="22"/>
    </w:rPr>
  </w:style>
  <w:style w:type="paragraph" w:customStyle="1" w:styleId="1148">
    <w:name w:val="Char Char Char Char Char Char Char Char Char1 Char Char Char Char Char Char"/>
    <w:basedOn w:val="1"/>
    <w:qFormat/>
    <w:uiPriority w:val="0"/>
    <w:rPr>
      <w:rFonts w:ascii="宋体" w:hAnsi="宋体" w:cs="宋体"/>
      <w:szCs w:val="21"/>
    </w:rPr>
  </w:style>
  <w:style w:type="paragraph" w:customStyle="1" w:styleId="1149">
    <w:name w:val="Char Char Char Char Char Char Char Char Char1 Char Char Char Char Char Char1"/>
    <w:basedOn w:val="1"/>
    <w:qFormat/>
    <w:uiPriority w:val="0"/>
    <w:rPr>
      <w:rFonts w:ascii="宋体" w:hAnsi="宋体" w:cs="宋体"/>
      <w:szCs w:val="21"/>
    </w:rPr>
  </w:style>
  <w:style w:type="paragraph" w:customStyle="1" w:styleId="1150">
    <w:name w:val="表题2113"/>
    <w:basedOn w:val="1"/>
    <w:qFormat/>
    <w:uiPriority w:val="0"/>
    <w:pPr>
      <w:widowControl/>
      <w:adjustRightInd w:val="0"/>
      <w:snapToGrid w:val="0"/>
      <w:jc w:val="center"/>
    </w:pPr>
    <w:rPr>
      <w:rFonts w:ascii="黑体" w:hAnsi="宋体" w:eastAsia="黑体" w:cs="宋体"/>
      <w:kern w:val="0"/>
      <w:sz w:val="24"/>
    </w:rPr>
  </w:style>
  <w:style w:type="character" w:customStyle="1" w:styleId="1151">
    <w:name w:val="z1"/>
    <w:qFormat/>
    <w:uiPriority w:val="0"/>
    <w:rPr>
      <w:rFonts w:eastAsia="宋体"/>
      <w:spacing w:val="400"/>
      <w:kern w:val="2"/>
      <w:sz w:val="18"/>
      <w:szCs w:val="18"/>
      <w:lang w:val="en-US" w:eastAsia="zh-CN" w:bidi="ar-SA"/>
    </w:rPr>
  </w:style>
  <w:style w:type="paragraph" w:customStyle="1" w:styleId="1152">
    <w:name w:val="正文条目a"/>
    <w:basedOn w:val="1"/>
    <w:qFormat/>
    <w:uiPriority w:val="0"/>
    <w:pPr>
      <w:ind w:left="400" w:leftChars="300" w:hanging="100" w:hangingChars="100"/>
    </w:pPr>
    <w:rPr>
      <w:rFonts w:ascii="宋体" w:hAnsi="宋体" w:cs="宋体"/>
      <w:sz w:val="24"/>
    </w:rPr>
  </w:style>
  <w:style w:type="paragraph" w:customStyle="1" w:styleId="1153">
    <w:name w:val="Char Char Char1 Char Char Char Char Char Char1"/>
    <w:basedOn w:val="1"/>
    <w:qFormat/>
    <w:uiPriority w:val="0"/>
    <w:rPr>
      <w:rFonts w:ascii="黑体" w:hAnsi="黑体" w:eastAsia="黑体" w:cs="宋体"/>
      <w:b/>
      <w:spacing w:val="10"/>
      <w:sz w:val="28"/>
    </w:rPr>
  </w:style>
  <w:style w:type="paragraph" w:customStyle="1" w:styleId="1154">
    <w:name w:val="Char1 Char Char Char Char Char Char"/>
    <w:basedOn w:val="1"/>
    <w:qFormat/>
    <w:uiPriority w:val="0"/>
    <w:pPr>
      <w:widowControl/>
      <w:spacing w:after="160"/>
      <w:jc w:val="left"/>
    </w:pPr>
    <w:rPr>
      <w:rFonts w:ascii="Verdana" w:hAnsi="Verdana" w:cs="宋体"/>
      <w:kern w:val="0"/>
      <w:sz w:val="24"/>
      <w:lang w:eastAsia="en-US"/>
    </w:rPr>
  </w:style>
  <w:style w:type="paragraph" w:customStyle="1" w:styleId="1155">
    <w:name w:val="Char1 Char Char Char Char Char1 Char1"/>
    <w:basedOn w:val="1"/>
    <w:qFormat/>
    <w:uiPriority w:val="0"/>
    <w:rPr>
      <w:rFonts w:ascii="宋体" w:hAnsi="宋体" w:cs="宋体"/>
      <w:szCs w:val="21"/>
    </w:rPr>
  </w:style>
  <w:style w:type="paragraph" w:customStyle="1" w:styleId="1156">
    <w:name w:val="chang正文"/>
    <w:basedOn w:val="1"/>
    <w:link w:val="1157"/>
    <w:qFormat/>
    <w:uiPriority w:val="0"/>
    <w:pPr>
      <w:spacing w:line="360" w:lineRule="auto"/>
      <w:ind w:firstLine="200" w:firstLineChars="200"/>
    </w:pPr>
    <w:rPr>
      <w:rFonts w:ascii="Calibri" w:hAnsi="Calibri" w:cs="宋体"/>
      <w:sz w:val="24"/>
    </w:rPr>
  </w:style>
  <w:style w:type="character" w:customStyle="1" w:styleId="1157">
    <w:name w:val="chang正文 Char"/>
    <w:link w:val="1156"/>
    <w:qFormat/>
    <w:uiPriority w:val="0"/>
    <w:rPr>
      <w:rFonts w:ascii="Calibri" w:hAnsi="Calibri" w:cs="宋体"/>
      <w:kern w:val="2"/>
      <w:sz w:val="24"/>
      <w:szCs w:val="24"/>
    </w:rPr>
  </w:style>
  <w:style w:type="paragraph" w:customStyle="1" w:styleId="1158">
    <w:name w:val="xl749"/>
    <w:basedOn w:val="1"/>
    <w:qFormat/>
    <w:uiPriority w:val="0"/>
    <w:pPr>
      <w:widowControl/>
      <w:spacing w:before="100" w:beforeAutospacing="1" w:after="100" w:afterAutospacing="1"/>
      <w:jc w:val="center"/>
    </w:pPr>
    <w:rPr>
      <w:rFonts w:ascii="Courier New" w:hAnsi="Courier New" w:eastAsia="Arial Unicode MS" w:cs="宋体"/>
      <w:b/>
      <w:bCs/>
      <w:kern w:val="0"/>
      <w:sz w:val="44"/>
      <w:szCs w:val="44"/>
    </w:rPr>
  </w:style>
  <w:style w:type="paragraph" w:customStyle="1" w:styleId="1159">
    <w:name w:val="样式 chen + 首行缩进:  2 字符"/>
    <w:basedOn w:val="1"/>
    <w:qFormat/>
    <w:uiPriority w:val="0"/>
    <w:pPr>
      <w:spacing w:line="500" w:lineRule="exact"/>
      <w:ind w:firstLine="560" w:firstLineChars="200"/>
    </w:pPr>
    <w:rPr>
      <w:rFonts w:ascii="宋体" w:hAnsi="宋体" w:cs="宋体"/>
      <w:color w:val="000000"/>
      <w:sz w:val="28"/>
    </w:rPr>
  </w:style>
  <w:style w:type="paragraph" w:customStyle="1" w:styleId="1160">
    <w:name w:val="Char Char Char1 Char Char Char Char Char Char Char Char Char Char Char Char Char Char Char Char"/>
    <w:basedOn w:val="1"/>
    <w:qFormat/>
    <w:uiPriority w:val="0"/>
    <w:pPr>
      <w:ind w:firstLine="200" w:firstLineChars="200"/>
    </w:pPr>
    <w:rPr>
      <w:rFonts w:ascii="宋体" w:hAnsi="宋体" w:cs="宋体"/>
      <w:sz w:val="28"/>
      <w:szCs w:val="28"/>
    </w:rPr>
  </w:style>
  <w:style w:type="character" w:customStyle="1" w:styleId="1161">
    <w:name w:val="环正文 Char4"/>
    <w:qFormat/>
    <w:uiPriority w:val="0"/>
    <w:rPr>
      <w:rFonts w:eastAsia="仿宋_GB2312"/>
      <w:color w:val="FF0000"/>
      <w:kern w:val="2"/>
      <w:sz w:val="28"/>
      <w:szCs w:val="28"/>
      <w:lang w:val="en-US" w:eastAsia="zh-CN" w:bidi="ar-SA"/>
    </w:rPr>
  </w:style>
  <w:style w:type="character" w:customStyle="1" w:styleId="1162">
    <w:name w:val="环表头 Char2"/>
    <w:qFormat/>
    <w:uiPriority w:val="0"/>
    <w:rPr>
      <w:rFonts w:hAnsi="宋体" w:eastAsia="宋体"/>
      <w:color w:val="FF0000"/>
      <w:kern w:val="2"/>
      <w:sz w:val="28"/>
      <w:szCs w:val="28"/>
      <w:lang w:val="en-US" w:eastAsia="zh-CN" w:bidi="ar-SA"/>
    </w:rPr>
  </w:style>
  <w:style w:type="character" w:customStyle="1" w:styleId="1163">
    <w:name w:val="河石管道4 Char"/>
    <w:qFormat/>
    <w:uiPriority w:val="0"/>
    <w:rPr>
      <w:rFonts w:ascii="仿宋_GB2312" w:hAnsi="Arial" w:eastAsia="仿宋_GB2312"/>
      <w:bCs/>
      <w:kern w:val="2"/>
      <w:sz w:val="28"/>
      <w:szCs w:val="28"/>
      <w:lang w:val="en-US" w:eastAsia="zh-CN" w:bidi="ar-SA"/>
    </w:rPr>
  </w:style>
  <w:style w:type="character" w:customStyle="1" w:styleId="1164">
    <w:name w:val="Footer Line1 Char"/>
    <w:qFormat/>
    <w:uiPriority w:val="0"/>
    <w:rPr>
      <w:rFonts w:eastAsia="仿宋_GB2312"/>
      <w:kern w:val="2"/>
      <w:sz w:val="18"/>
      <w:lang w:val="en-US" w:eastAsia="zh-CN" w:bidi="ar-SA"/>
    </w:rPr>
  </w:style>
  <w:style w:type="paragraph" w:customStyle="1" w:styleId="1165">
    <w:name w:val="正文格式1"/>
    <w:basedOn w:val="1"/>
    <w:qFormat/>
    <w:uiPriority w:val="0"/>
    <w:pPr>
      <w:spacing w:line="360" w:lineRule="auto"/>
      <w:ind w:firstLine="482"/>
    </w:pPr>
    <w:rPr>
      <w:rFonts w:ascii="宋体" w:hAnsi="宋体" w:cs="宋体"/>
      <w:sz w:val="24"/>
    </w:rPr>
  </w:style>
  <w:style w:type="character" w:customStyle="1" w:styleId="1166">
    <w:name w:val="Char Char10"/>
    <w:qFormat/>
    <w:uiPriority w:val="0"/>
    <w:rPr>
      <w:rFonts w:eastAsia="宋体"/>
      <w:kern w:val="2"/>
      <w:sz w:val="18"/>
      <w:szCs w:val="18"/>
      <w:lang w:val="en-US" w:eastAsia="zh-CN" w:bidi="ar-SA"/>
    </w:rPr>
  </w:style>
  <w:style w:type="paragraph" w:customStyle="1" w:styleId="1167">
    <w:name w:val="表题123"/>
    <w:basedOn w:val="23"/>
    <w:qFormat/>
    <w:uiPriority w:val="0"/>
    <w:pPr>
      <w:widowControl w:val="0"/>
      <w:spacing w:line="360" w:lineRule="auto"/>
      <w:jc w:val="center"/>
    </w:pPr>
    <w:rPr>
      <w:rFonts w:ascii="黑体" w:hAnsi="Arial" w:cs="Arial"/>
      <w:kern w:val="2"/>
    </w:rPr>
  </w:style>
  <w:style w:type="paragraph" w:customStyle="1" w:styleId="1168">
    <w:name w:val="正文格式53"/>
    <w:basedOn w:val="1"/>
    <w:qFormat/>
    <w:uiPriority w:val="0"/>
    <w:pPr>
      <w:spacing w:line="360" w:lineRule="auto"/>
      <w:ind w:firstLine="482"/>
    </w:pPr>
    <w:rPr>
      <w:rFonts w:ascii="宋体" w:hAnsi="宋体" w:cs="宋体"/>
      <w:sz w:val="24"/>
    </w:rPr>
  </w:style>
  <w:style w:type="paragraph" w:customStyle="1" w:styleId="1169">
    <w:name w:val="表内宋5中14"/>
    <w:basedOn w:val="1"/>
    <w:qFormat/>
    <w:uiPriority w:val="0"/>
    <w:pPr>
      <w:adjustRightInd w:val="0"/>
      <w:snapToGrid w:val="0"/>
      <w:jc w:val="center"/>
      <w:textAlignment w:val="baseline"/>
    </w:pPr>
    <w:rPr>
      <w:rFonts w:ascii="宋体" w:hAnsi="宋体" w:cs="宋体"/>
      <w:kern w:val="0"/>
    </w:rPr>
  </w:style>
  <w:style w:type="paragraph" w:customStyle="1" w:styleId="1170">
    <w:name w:val="表内文字小113"/>
    <w:basedOn w:val="1"/>
    <w:qFormat/>
    <w:uiPriority w:val="0"/>
    <w:pPr>
      <w:adjustRightInd w:val="0"/>
      <w:snapToGrid w:val="0"/>
    </w:pPr>
    <w:rPr>
      <w:rFonts w:ascii="宋体" w:hAnsi="Times" w:cs="宋体"/>
    </w:rPr>
  </w:style>
  <w:style w:type="paragraph" w:customStyle="1" w:styleId="1171">
    <w:name w:val="表题1413"/>
    <w:basedOn w:val="1"/>
    <w:qFormat/>
    <w:uiPriority w:val="0"/>
    <w:pPr>
      <w:widowControl/>
      <w:adjustRightInd w:val="0"/>
      <w:snapToGrid w:val="0"/>
      <w:jc w:val="center"/>
    </w:pPr>
    <w:rPr>
      <w:rFonts w:ascii="黑体" w:hAnsi="宋体" w:eastAsia="黑体" w:cs="宋体"/>
      <w:kern w:val="0"/>
      <w:sz w:val="24"/>
    </w:rPr>
  </w:style>
  <w:style w:type="paragraph" w:customStyle="1" w:styleId="1172">
    <w:name w:val="表内文字小83"/>
    <w:basedOn w:val="1"/>
    <w:qFormat/>
    <w:uiPriority w:val="0"/>
    <w:pPr>
      <w:adjustRightInd w:val="0"/>
      <w:snapToGrid w:val="0"/>
      <w:jc w:val="center"/>
    </w:pPr>
    <w:rPr>
      <w:rFonts w:ascii="宋体" w:hAnsi="Times" w:cs="宋体"/>
    </w:rPr>
  </w:style>
  <w:style w:type="paragraph" w:customStyle="1" w:styleId="1173">
    <w:name w:val="Default3"/>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174">
    <w:name w:val="正文格式73"/>
    <w:basedOn w:val="1"/>
    <w:qFormat/>
    <w:uiPriority w:val="0"/>
    <w:pPr>
      <w:spacing w:line="360" w:lineRule="auto"/>
      <w:ind w:firstLine="482"/>
    </w:pPr>
    <w:rPr>
      <w:rFonts w:ascii="宋体" w:hAnsi="宋体" w:cs="宋体"/>
      <w:sz w:val="24"/>
    </w:rPr>
  </w:style>
  <w:style w:type="paragraph" w:customStyle="1" w:styleId="1175">
    <w:name w:val="表题144"/>
    <w:basedOn w:val="23"/>
    <w:qFormat/>
    <w:uiPriority w:val="0"/>
    <w:pPr>
      <w:widowControl w:val="0"/>
      <w:spacing w:line="360" w:lineRule="auto"/>
      <w:jc w:val="center"/>
    </w:pPr>
    <w:rPr>
      <w:rFonts w:ascii="黑体" w:hAnsi="Arial" w:cs="Arial"/>
      <w:b/>
      <w:kern w:val="2"/>
    </w:rPr>
  </w:style>
  <w:style w:type="paragraph" w:customStyle="1" w:styleId="1176">
    <w:name w:val="表中文字33"/>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177">
    <w:name w:val="表格内字体"/>
    <w:basedOn w:val="315"/>
    <w:next w:val="315"/>
    <w:link w:val="1178"/>
    <w:qFormat/>
    <w:uiPriority w:val="0"/>
    <w:pPr>
      <w:spacing w:line="240" w:lineRule="auto"/>
      <w:ind w:firstLine="0"/>
      <w:jc w:val="center"/>
    </w:pPr>
    <w:rPr>
      <w:rFonts w:hAnsi="宋体"/>
      <w:b w:val="0"/>
      <w:spacing w:val="0"/>
      <w:sz w:val="21"/>
    </w:rPr>
  </w:style>
  <w:style w:type="character" w:customStyle="1" w:styleId="1178">
    <w:name w:val="表格内字体 Char"/>
    <w:link w:val="1177"/>
    <w:qFormat/>
    <w:uiPriority w:val="0"/>
    <w:rPr>
      <w:rFonts w:ascii="宋体" w:hAnsi="宋体"/>
      <w:kern w:val="2"/>
      <w:sz w:val="21"/>
    </w:rPr>
  </w:style>
  <w:style w:type="character" w:customStyle="1" w:styleId="1179">
    <w:name w:val="正文首行缩进 Char4 Char"/>
    <w:qFormat/>
    <w:uiPriority w:val="0"/>
    <w:rPr>
      <w:rFonts w:eastAsia="宋体"/>
      <w:sz w:val="28"/>
      <w:lang w:val="en-US" w:eastAsia="zh-CN" w:bidi="ar-SA"/>
    </w:rPr>
  </w:style>
  <w:style w:type="paragraph" w:customStyle="1" w:styleId="1180">
    <w:name w:val="燕山正文"/>
    <w:basedOn w:val="1"/>
    <w:link w:val="1181"/>
    <w:qFormat/>
    <w:uiPriority w:val="0"/>
    <w:pPr>
      <w:tabs>
        <w:tab w:val="left" w:pos="4680"/>
      </w:tabs>
      <w:adjustRightInd w:val="0"/>
      <w:snapToGrid w:val="0"/>
      <w:spacing w:line="480" w:lineRule="exact"/>
    </w:pPr>
    <w:rPr>
      <w:rFonts w:ascii="宋体" w:hAnsi="Calibri" w:cs="宋体"/>
      <w:sz w:val="24"/>
    </w:rPr>
  </w:style>
  <w:style w:type="character" w:customStyle="1" w:styleId="1181">
    <w:name w:val="燕山正文 Char1"/>
    <w:link w:val="1180"/>
    <w:qFormat/>
    <w:uiPriority w:val="0"/>
    <w:rPr>
      <w:rFonts w:ascii="宋体" w:hAnsi="Calibri" w:cs="宋体"/>
      <w:kern w:val="2"/>
      <w:sz w:val="24"/>
      <w:szCs w:val="24"/>
    </w:rPr>
  </w:style>
  <w:style w:type="paragraph" w:customStyle="1" w:styleId="1182">
    <w:name w:val="正文修改"/>
    <w:basedOn w:val="1180"/>
    <w:link w:val="1183"/>
    <w:qFormat/>
    <w:uiPriority w:val="0"/>
    <w:rPr>
      <w:rFonts w:hAnsi="宋体"/>
      <w:color w:val="000000"/>
    </w:rPr>
  </w:style>
  <w:style w:type="character" w:customStyle="1" w:styleId="1183">
    <w:name w:val="正文修改 Char1"/>
    <w:link w:val="1182"/>
    <w:qFormat/>
    <w:uiPriority w:val="0"/>
    <w:rPr>
      <w:rFonts w:ascii="宋体" w:hAnsi="宋体" w:cs="宋体"/>
      <w:color w:val="000000"/>
      <w:kern w:val="2"/>
      <w:sz w:val="24"/>
      <w:szCs w:val="24"/>
    </w:rPr>
  </w:style>
  <w:style w:type="character" w:customStyle="1" w:styleId="1184">
    <w:name w:val="正文文字 3 Char Char"/>
    <w:qFormat/>
    <w:uiPriority w:val="0"/>
    <w:rPr>
      <w:rFonts w:eastAsia="宋体"/>
      <w:kern w:val="2"/>
      <w:sz w:val="16"/>
      <w:szCs w:val="16"/>
      <w:lang w:val="en-US" w:eastAsia="zh-CN" w:bidi="ar-SA"/>
    </w:rPr>
  </w:style>
  <w:style w:type="paragraph" w:customStyle="1" w:styleId="1185">
    <w:name w:val="图题6"/>
    <w:basedOn w:val="315"/>
    <w:next w:val="315"/>
    <w:link w:val="1186"/>
    <w:qFormat/>
    <w:uiPriority w:val="0"/>
    <w:pPr>
      <w:ind w:firstLine="0"/>
      <w:jc w:val="center"/>
    </w:pPr>
    <w:rPr>
      <w:rFonts w:ascii="黑体" w:hAnsi="宋体" w:eastAsia="黑体"/>
      <w:bCs/>
      <w:spacing w:val="0"/>
    </w:rPr>
  </w:style>
  <w:style w:type="character" w:customStyle="1" w:styleId="1186">
    <w:name w:val="图题 Char"/>
    <w:link w:val="1185"/>
    <w:qFormat/>
    <w:uiPriority w:val="0"/>
    <w:rPr>
      <w:rFonts w:ascii="黑体" w:hAnsi="宋体" w:eastAsia="黑体"/>
      <w:b/>
      <w:bCs/>
      <w:kern w:val="2"/>
      <w:sz w:val="24"/>
    </w:rPr>
  </w:style>
  <w:style w:type="paragraph" w:customStyle="1" w:styleId="1187">
    <w:name w:val="图表题"/>
    <w:basedOn w:val="315"/>
    <w:next w:val="315"/>
    <w:link w:val="1188"/>
    <w:qFormat/>
    <w:uiPriority w:val="0"/>
    <w:pPr>
      <w:ind w:firstLine="0"/>
      <w:jc w:val="center"/>
    </w:pPr>
    <w:rPr>
      <w:rFonts w:ascii="黑体" w:hAnsi="宋体" w:eastAsia="黑体"/>
      <w:bCs/>
    </w:rPr>
  </w:style>
  <w:style w:type="character" w:customStyle="1" w:styleId="1188">
    <w:name w:val="图表题 Char"/>
    <w:link w:val="1187"/>
    <w:qFormat/>
    <w:uiPriority w:val="0"/>
    <w:rPr>
      <w:rFonts w:ascii="黑体" w:hAnsi="宋体" w:eastAsia="黑体"/>
      <w:b/>
      <w:bCs/>
      <w:spacing w:val="10"/>
      <w:kern w:val="2"/>
      <w:sz w:val="24"/>
    </w:rPr>
  </w:style>
  <w:style w:type="paragraph" w:customStyle="1" w:styleId="1189">
    <w:name w:val="样式 表格内字体 +"/>
    <w:basedOn w:val="1177"/>
    <w:link w:val="1190"/>
    <w:qFormat/>
    <w:uiPriority w:val="0"/>
    <w:pPr>
      <w:spacing w:line="280" w:lineRule="exact"/>
      <w:ind w:firstLine="36"/>
      <w:jc w:val="both"/>
    </w:pPr>
  </w:style>
  <w:style w:type="character" w:customStyle="1" w:styleId="1190">
    <w:name w:val="样式 表格内字体 + Char"/>
    <w:basedOn w:val="1178"/>
    <w:link w:val="1189"/>
    <w:qFormat/>
    <w:uiPriority w:val="0"/>
  </w:style>
  <w:style w:type="paragraph" w:customStyle="1" w:styleId="1191">
    <w:name w:val="A正文"/>
    <w:basedOn w:val="1"/>
    <w:link w:val="1192"/>
    <w:qFormat/>
    <w:uiPriority w:val="0"/>
    <w:pPr>
      <w:widowControl/>
      <w:overflowPunct w:val="0"/>
      <w:autoSpaceDE w:val="0"/>
      <w:autoSpaceDN w:val="0"/>
      <w:adjustRightInd w:val="0"/>
      <w:spacing w:line="360" w:lineRule="auto"/>
      <w:ind w:firstLine="200" w:firstLineChars="200"/>
      <w:jc w:val="left"/>
      <w:textAlignment w:val="baseline"/>
    </w:pPr>
    <w:rPr>
      <w:rFonts w:ascii="Calibri" w:hAnsi="Calibri" w:eastAsia="仿宋_GB2312" w:cs="宋体"/>
      <w:sz w:val="24"/>
    </w:rPr>
  </w:style>
  <w:style w:type="character" w:customStyle="1" w:styleId="1192">
    <w:name w:val="A正文 Char"/>
    <w:link w:val="1191"/>
    <w:qFormat/>
    <w:uiPriority w:val="0"/>
    <w:rPr>
      <w:rFonts w:ascii="Calibri" w:hAnsi="Calibri" w:eastAsia="仿宋_GB2312" w:cs="宋体"/>
      <w:kern w:val="2"/>
      <w:sz w:val="24"/>
      <w:szCs w:val="24"/>
    </w:rPr>
  </w:style>
  <w:style w:type="paragraph" w:customStyle="1" w:styleId="1193">
    <w:name w:val="图题注"/>
    <w:basedOn w:val="23"/>
    <w:link w:val="1194"/>
    <w:qFormat/>
    <w:uiPriority w:val="0"/>
    <w:pPr>
      <w:widowControl w:val="0"/>
      <w:jc w:val="center"/>
    </w:pPr>
    <w:rPr>
      <w:rFonts w:ascii="黑体" w:hAnsi="Arial"/>
      <w:b/>
      <w:bCs/>
      <w:kern w:val="2"/>
    </w:rPr>
  </w:style>
  <w:style w:type="character" w:customStyle="1" w:styleId="1194">
    <w:name w:val="图题注 Char"/>
    <w:link w:val="1193"/>
    <w:qFormat/>
    <w:uiPriority w:val="0"/>
    <w:rPr>
      <w:rFonts w:ascii="黑体" w:hAnsi="Arial" w:eastAsia="黑体" w:cs="宋体"/>
      <w:b/>
      <w:bCs/>
      <w:kern w:val="2"/>
      <w:sz w:val="24"/>
      <w:szCs w:val="24"/>
    </w:rPr>
  </w:style>
  <w:style w:type="paragraph" w:customStyle="1" w:styleId="1195">
    <w:name w:val="表中文字4"/>
    <w:basedOn w:val="1"/>
    <w:link w:val="1196"/>
    <w:qFormat/>
    <w:uiPriority w:val="0"/>
    <w:pPr>
      <w:snapToGrid w:val="0"/>
      <w:spacing w:line="340" w:lineRule="exact"/>
      <w:ind w:firstLine="480" w:firstLineChars="200"/>
      <w:jc w:val="center"/>
    </w:pPr>
    <w:rPr>
      <w:rFonts w:ascii="Arial" w:hAnsi="Arial" w:cs="宋体"/>
      <w:lang w:eastAsia="zh-TW"/>
    </w:rPr>
  </w:style>
  <w:style w:type="character" w:customStyle="1" w:styleId="1196">
    <w:name w:val="表中文字 Char"/>
    <w:link w:val="1195"/>
    <w:qFormat/>
    <w:uiPriority w:val="0"/>
    <w:rPr>
      <w:rFonts w:ascii="Arial" w:hAnsi="Arial" w:cs="宋体"/>
      <w:kern w:val="2"/>
      <w:sz w:val="21"/>
      <w:szCs w:val="24"/>
      <w:lang w:eastAsia="zh-TW"/>
    </w:rPr>
  </w:style>
  <w:style w:type="paragraph" w:customStyle="1" w:styleId="1197">
    <w:name w:val="样式 正文缩进 + 宋体 黑色"/>
    <w:basedOn w:val="6"/>
    <w:link w:val="1198"/>
    <w:qFormat/>
    <w:uiPriority w:val="0"/>
    <w:pPr>
      <w:adjustRightInd/>
      <w:snapToGrid/>
      <w:spacing w:line="360" w:lineRule="auto"/>
      <w:jc w:val="left"/>
    </w:pPr>
    <w:rPr>
      <w:rFonts w:ascii="宋体" w:hAnsi="宋体" w:eastAsia="宋体" w:cs="宋体"/>
      <w:sz w:val="24"/>
    </w:rPr>
  </w:style>
  <w:style w:type="character" w:customStyle="1" w:styleId="1198">
    <w:name w:val="样式 正文缩进 + 宋体 黑色 Char"/>
    <w:link w:val="1197"/>
    <w:qFormat/>
    <w:uiPriority w:val="0"/>
    <w:rPr>
      <w:rFonts w:ascii="宋体" w:hAnsi="宋体" w:cs="宋体"/>
      <w:color w:val="000000"/>
      <w:kern w:val="2"/>
      <w:sz w:val="24"/>
      <w:szCs w:val="24"/>
    </w:rPr>
  </w:style>
  <w:style w:type="paragraph" w:customStyle="1" w:styleId="1199">
    <w:name w:val="表内51"/>
    <w:basedOn w:val="1"/>
    <w:link w:val="1200"/>
    <w:qFormat/>
    <w:uiPriority w:val="0"/>
    <w:pPr>
      <w:adjustRightInd w:val="0"/>
      <w:snapToGrid w:val="0"/>
      <w:jc w:val="center"/>
    </w:pPr>
    <w:rPr>
      <w:rFonts w:ascii="宋体" w:hAnsi="宋体" w:cs="宋体"/>
    </w:rPr>
  </w:style>
  <w:style w:type="character" w:customStyle="1" w:styleId="1200">
    <w:name w:val="表内5 Char"/>
    <w:link w:val="1199"/>
    <w:qFormat/>
    <w:uiPriority w:val="0"/>
    <w:rPr>
      <w:rFonts w:ascii="宋体" w:hAnsi="宋体" w:cs="宋体"/>
      <w:kern w:val="2"/>
      <w:sz w:val="21"/>
      <w:szCs w:val="24"/>
    </w:rPr>
  </w:style>
  <w:style w:type="paragraph" w:customStyle="1" w:styleId="1201">
    <w:name w:val="正文斜体"/>
    <w:basedOn w:val="315"/>
    <w:next w:val="315"/>
    <w:link w:val="1202"/>
    <w:qFormat/>
    <w:uiPriority w:val="0"/>
    <w:rPr>
      <w:rFonts w:hAnsi="宋体"/>
      <w:i/>
      <w:iCs/>
    </w:rPr>
  </w:style>
  <w:style w:type="character" w:customStyle="1" w:styleId="1202">
    <w:name w:val="正文斜体 Char"/>
    <w:link w:val="1201"/>
    <w:qFormat/>
    <w:uiPriority w:val="0"/>
    <w:rPr>
      <w:rFonts w:ascii="宋体" w:hAnsi="宋体"/>
      <w:b/>
      <w:i/>
      <w:iCs/>
      <w:spacing w:val="10"/>
      <w:kern w:val="2"/>
      <w:sz w:val="24"/>
    </w:rPr>
  </w:style>
  <w:style w:type="paragraph" w:customStyle="1" w:styleId="1203">
    <w:name w:val="样式 表内小5 + 黑体 加粗 倾斜 下划线"/>
    <w:basedOn w:val="1"/>
    <w:link w:val="1204"/>
    <w:qFormat/>
    <w:uiPriority w:val="0"/>
    <w:pPr>
      <w:adjustRightInd w:val="0"/>
      <w:snapToGrid w:val="0"/>
      <w:spacing w:line="300" w:lineRule="auto"/>
      <w:jc w:val="left"/>
    </w:pPr>
    <w:rPr>
      <w:rFonts w:ascii="黑体" w:hAnsi="黑体" w:eastAsia="黑体" w:cs="宋体"/>
      <w:b/>
      <w:bCs/>
      <w:i/>
      <w:iCs/>
      <w:sz w:val="18"/>
      <w:u w:val="single"/>
    </w:rPr>
  </w:style>
  <w:style w:type="character" w:customStyle="1" w:styleId="1204">
    <w:name w:val="样式 表内小5 + 黑体 加粗 倾斜 下划线 Char"/>
    <w:link w:val="1203"/>
    <w:qFormat/>
    <w:uiPriority w:val="0"/>
    <w:rPr>
      <w:rFonts w:ascii="黑体" w:hAnsi="黑体" w:eastAsia="黑体" w:cs="宋体"/>
      <w:b/>
      <w:bCs/>
      <w:i/>
      <w:iCs/>
      <w:kern w:val="2"/>
      <w:sz w:val="18"/>
      <w:szCs w:val="24"/>
      <w:u w:val="single"/>
    </w:rPr>
  </w:style>
  <w:style w:type="paragraph" w:customStyle="1" w:styleId="1205">
    <w:name w:val="福建正文缩进"/>
    <w:basedOn w:val="6"/>
    <w:link w:val="1206"/>
    <w:qFormat/>
    <w:uiPriority w:val="0"/>
    <w:pPr>
      <w:widowControl/>
      <w:tabs>
        <w:tab w:val="left" w:pos="5837"/>
      </w:tabs>
      <w:spacing w:line="480" w:lineRule="exact"/>
      <w:ind w:firstLine="0" w:firstLineChars="0"/>
    </w:pPr>
    <w:rPr>
      <w:rFonts w:ascii="宋体" w:hAnsi="宋体" w:eastAsia="宋体" w:cs="宋体"/>
      <w:sz w:val="24"/>
    </w:rPr>
  </w:style>
  <w:style w:type="character" w:customStyle="1" w:styleId="1206">
    <w:name w:val="福建正文缩进 Char"/>
    <w:link w:val="1205"/>
    <w:qFormat/>
    <w:uiPriority w:val="0"/>
    <w:rPr>
      <w:rFonts w:ascii="宋体" w:hAnsi="宋体" w:cs="宋体"/>
      <w:color w:val="000000"/>
      <w:kern w:val="2"/>
      <w:sz w:val="24"/>
      <w:szCs w:val="24"/>
    </w:rPr>
  </w:style>
  <w:style w:type="paragraph" w:customStyle="1" w:styleId="1207">
    <w:name w:val="正文.13"/>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208">
    <w:name w:val="表题15"/>
    <w:basedOn w:val="23"/>
    <w:qFormat/>
    <w:uiPriority w:val="0"/>
    <w:pPr>
      <w:widowControl w:val="0"/>
      <w:spacing w:line="360" w:lineRule="auto"/>
      <w:jc w:val="center"/>
    </w:pPr>
    <w:rPr>
      <w:rFonts w:ascii="黑体" w:hAnsi="Arial" w:cs="Arial"/>
      <w:b/>
      <w:kern w:val="2"/>
    </w:rPr>
  </w:style>
  <w:style w:type="paragraph" w:customStyle="1" w:styleId="1209">
    <w:name w:val="Char Char Char Char Char Char Char151"/>
    <w:basedOn w:val="1"/>
    <w:qFormat/>
    <w:uiPriority w:val="0"/>
    <w:rPr>
      <w:rFonts w:ascii="宋体" w:hAnsi="宋体" w:cs="宋体"/>
    </w:rPr>
  </w:style>
  <w:style w:type="paragraph" w:customStyle="1" w:styleId="1210">
    <w:name w:val="燕山正文1142"/>
    <w:basedOn w:val="1"/>
    <w:qFormat/>
    <w:uiPriority w:val="0"/>
    <w:pPr>
      <w:tabs>
        <w:tab w:val="left" w:pos="4680"/>
      </w:tabs>
      <w:adjustRightInd w:val="0"/>
      <w:snapToGrid w:val="0"/>
      <w:spacing w:line="480" w:lineRule="exact"/>
    </w:pPr>
    <w:rPr>
      <w:rFonts w:ascii="宋体" w:hAnsi="宋体" w:cs="宋体"/>
      <w:bCs/>
      <w:color w:val="000000"/>
      <w:sz w:val="24"/>
    </w:rPr>
  </w:style>
  <w:style w:type="character" w:customStyle="1" w:styleId="1211">
    <w:name w:val="三级标题 Char2"/>
    <w:qFormat/>
    <w:uiPriority w:val="0"/>
    <w:rPr>
      <w:rFonts w:ascii="黑体" w:hAnsi="宋体" w:eastAsia="黑体"/>
      <w:b/>
      <w:bCs/>
      <w:kern w:val="2"/>
      <w:sz w:val="28"/>
      <w:szCs w:val="28"/>
      <w:lang w:val="en-US" w:eastAsia="zh-CN" w:bidi="ar-SA"/>
    </w:rPr>
  </w:style>
  <w:style w:type="paragraph" w:customStyle="1" w:styleId="1212">
    <w:name w:val="表题151"/>
    <w:basedOn w:val="23"/>
    <w:qFormat/>
    <w:uiPriority w:val="0"/>
    <w:pPr>
      <w:widowControl w:val="0"/>
      <w:spacing w:line="360" w:lineRule="auto"/>
      <w:jc w:val="center"/>
    </w:pPr>
    <w:rPr>
      <w:rFonts w:ascii="黑体" w:hAnsi="Arial" w:cs="Arial"/>
      <w:b/>
      <w:kern w:val="2"/>
    </w:rPr>
  </w:style>
  <w:style w:type="character" w:customStyle="1" w:styleId="1213">
    <w:name w:val="正文修改 Char132"/>
    <w:qFormat/>
    <w:uiPriority w:val="0"/>
    <w:rPr>
      <w:rFonts w:ascii="宋体" w:hAnsi="宋体" w:eastAsia="宋体" w:cs="宋体"/>
      <w:color w:val="000000"/>
      <w:kern w:val="2"/>
      <w:sz w:val="24"/>
      <w:szCs w:val="24"/>
      <w:lang w:val="en-US" w:eastAsia="zh-CN" w:bidi="ar-SA"/>
    </w:rPr>
  </w:style>
  <w:style w:type="character" w:customStyle="1" w:styleId="1214">
    <w:name w:val="Char Char1"/>
    <w:qFormat/>
    <w:uiPriority w:val="0"/>
    <w:rPr>
      <w:rFonts w:ascii="黑体" w:hAnsi="Arial" w:eastAsia="黑体"/>
      <w:b/>
      <w:bCs/>
      <w:kern w:val="2"/>
      <w:sz w:val="30"/>
      <w:szCs w:val="30"/>
      <w:lang w:val="en-US" w:eastAsia="zh-CN" w:bidi="ar-SA"/>
    </w:rPr>
  </w:style>
  <w:style w:type="character" w:customStyle="1" w:styleId="1215">
    <w:name w:val="标题 9 Char2"/>
    <w:qFormat/>
    <w:uiPriority w:val="0"/>
    <w:rPr>
      <w:rFonts w:ascii="Arial" w:hAnsi="Arial" w:eastAsia="黑体" w:cs="Times New Roman"/>
      <w:kern w:val="2"/>
      <w:sz w:val="24"/>
      <w:szCs w:val="21"/>
      <w:lang w:val="en-US" w:eastAsia="zh-CN" w:bidi="ar-SA"/>
    </w:rPr>
  </w:style>
  <w:style w:type="paragraph" w:customStyle="1" w:styleId="1216">
    <w:name w:val="默认段落字体 Para Char3"/>
    <w:basedOn w:val="1"/>
    <w:qFormat/>
    <w:uiPriority w:val="0"/>
    <w:pPr>
      <w:spacing w:line="360" w:lineRule="auto"/>
      <w:ind w:firstLine="200" w:firstLineChars="200"/>
    </w:pPr>
    <w:rPr>
      <w:rFonts w:ascii="宋体" w:hAnsi="宋体" w:cs="宋体"/>
      <w:sz w:val="24"/>
    </w:rPr>
  </w:style>
  <w:style w:type="paragraph" w:customStyle="1" w:styleId="1217">
    <w:name w:val="23-47表名"/>
    <w:basedOn w:val="1"/>
    <w:qFormat/>
    <w:uiPriority w:val="0"/>
    <w:pPr>
      <w:spacing w:afterLines="50" w:line="440" w:lineRule="exact"/>
      <w:jc w:val="center"/>
    </w:pPr>
    <w:rPr>
      <w:rFonts w:ascii="宋体" w:hAnsi="宋体" w:cs="宋体"/>
      <w:b/>
      <w:sz w:val="24"/>
    </w:rPr>
  </w:style>
  <w:style w:type="paragraph" w:customStyle="1" w:styleId="1218">
    <w:name w:val="表题1113"/>
    <w:basedOn w:val="23"/>
    <w:qFormat/>
    <w:uiPriority w:val="0"/>
    <w:pPr>
      <w:widowControl w:val="0"/>
      <w:spacing w:line="360" w:lineRule="auto"/>
      <w:jc w:val="center"/>
    </w:pPr>
    <w:rPr>
      <w:rFonts w:ascii="黑体" w:hAnsi="Arial" w:cs="Arial"/>
      <w:kern w:val="2"/>
    </w:rPr>
  </w:style>
  <w:style w:type="paragraph" w:customStyle="1" w:styleId="1219">
    <w:name w:val="标题43132"/>
    <w:basedOn w:val="1"/>
    <w:qFormat/>
    <w:uiPriority w:val="0"/>
    <w:pPr>
      <w:adjustRightInd w:val="0"/>
      <w:snapToGrid w:val="0"/>
      <w:spacing w:line="480" w:lineRule="exact"/>
      <w:jc w:val="center"/>
    </w:pPr>
    <w:rPr>
      <w:rFonts w:ascii="宋体" w:hAnsi="宋体" w:cs="宋体"/>
      <w:sz w:val="24"/>
    </w:rPr>
  </w:style>
  <w:style w:type="paragraph" w:customStyle="1" w:styleId="1220">
    <w:name w:val="图题213"/>
    <w:basedOn w:val="315"/>
    <w:next w:val="315"/>
    <w:qFormat/>
    <w:uiPriority w:val="0"/>
    <w:pPr>
      <w:ind w:firstLine="0"/>
      <w:jc w:val="center"/>
    </w:pPr>
    <w:rPr>
      <w:rFonts w:ascii="黑体" w:hAnsi="宋体" w:eastAsia="黑体"/>
      <w:bCs/>
      <w:spacing w:val="0"/>
    </w:rPr>
  </w:style>
  <w:style w:type="paragraph" w:customStyle="1" w:styleId="1221">
    <w:name w:val="附件42"/>
    <w:basedOn w:val="4"/>
    <w:next w:val="315"/>
    <w:qFormat/>
    <w:uiPriority w:val="0"/>
    <w:pPr>
      <w:keepLines/>
      <w:widowControl w:val="0"/>
      <w:numPr>
        <w:numId w:val="0"/>
      </w:numPr>
      <w:tabs>
        <w:tab w:val="left" w:pos="1566"/>
      </w:tabs>
      <w:spacing w:after="210"/>
    </w:pPr>
    <w:rPr>
      <w:rFonts w:ascii="黑体" w:eastAsia="黑体"/>
      <w:b/>
      <w:bCs/>
      <w:kern w:val="44"/>
      <w:szCs w:val="32"/>
    </w:rPr>
  </w:style>
  <w:style w:type="paragraph" w:customStyle="1" w:styleId="1222">
    <w:name w:val="燕山正文11"/>
    <w:basedOn w:val="1"/>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1223">
    <w:name w:val="表内5313"/>
    <w:basedOn w:val="1"/>
    <w:qFormat/>
    <w:uiPriority w:val="0"/>
    <w:pPr>
      <w:adjustRightInd w:val="0"/>
      <w:snapToGrid w:val="0"/>
      <w:spacing w:line="300" w:lineRule="auto"/>
      <w:jc w:val="left"/>
    </w:pPr>
    <w:rPr>
      <w:rFonts w:ascii="宋体" w:hAnsi="宋体" w:cs="宋体"/>
    </w:rPr>
  </w:style>
  <w:style w:type="paragraph" w:customStyle="1" w:styleId="1224">
    <w:name w:val="样式 标题 4无效格式无效格式1河石管道4H4H41小小节河石管道41H42H411小小节1河石管道42...112"/>
    <w:basedOn w:val="8"/>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1225">
    <w:name w:val="Char38"/>
    <w:basedOn w:val="1"/>
    <w:qFormat/>
    <w:uiPriority w:val="0"/>
    <w:pPr>
      <w:ind w:left="-48"/>
    </w:pPr>
    <w:rPr>
      <w:rFonts w:ascii="宋体" w:hAnsi="宋体" w:cs="宋体"/>
    </w:rPr>
  </w:style>
  <w:style w:type="paragraph" w:customStyle="1" w:styleId="1226">
    <w:name w:val="样式 标题 4无效格式无效格式1河石管道4H4H41小小节河石管道41H42H411小小节1河石管道42...22"/>
    <w:basedOn w:val="8"/>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1227">
    <w:name w:val="表题31"/>
    <w:basedOn w:val="36"/>
    <w:qFormat/>
    <w:uiPriority w:val="0"/>
    <w:pPr>
      <w:tabs>
        <w:tab w:val="left" w:pos="4305"/>
      </w:tabs>
      <w:adjustRightInd w:val="0"/>
      <w:snapToGrid w:val="0"/>
      <w:spacing w:after="0" w:line="360" w:lineRule="auto"/>
      <w:ind w:left="0" w:leftChars="0" w:firstLine="561"/>
    </w:pPr>
    <w:rPr>
      <w:rFonts w:ascii="宋体" w:hAnsi="宋体" w:cs="宋体"/>
      <w:color w:val="000000"/>
      <w:sz w:val="24"/>
    </w:rPr>
  </w:style>
  <w:style w:type="paragraph" w:customStyle="1" w:styleId="1228">
    <w:name w:val="样式123"/>
    <w:basedOn w:val="1227"/>
    <w:qFormat/>
    <w:uiPriority w:val="0"/>
    <w:pPr>
      <w:spacing w:line="240" w:lineRule="auto"/>
      <w:ind w:firstLine="0"/>
      <w:jc w:val="center"/>
    </w:pPr>
    <w:rPr>
      <w:rFonts w:cs="Times New Roman"/>
      <w:b/>
      <w:color w:val="auto"/>
      <w:szCs w:val="20"/>
    </w:rPr>
  </w:style>
  <w:style w:type="paragraph" w:customStyle="1" w:styleId="1229">
    <w:name w:val="燕山正文1312"/>
    <w:basedOn w:val="1"/>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1230">
    <w:name w:val="标题431"/>
    <w:basedOn w:val="1"/>
    <w:qFormat/>
    <w:uiPriority w:val="0"/>
    <w:pPr>
      <w:adjustRightInd w:val="0"/>
      <w:snapToGrid w:val="0"/>
      <w:spacing w:line="480" w:lineRule="exact"/>
      <w:jc w:val="center"/>
    </w:pPr>
    <w:rPr>
      <w:rFonts w:ascii="宋体" w:hAnsi="宋体" w:cs="宋体"/>
      <w:sz w:val="24"/>
    </w:rPr>
  </w:style>
  <w:style w:type="paragraph" w:customStyle="1" w:styleId="1231">
    <w:name w:val="表文字523"/>
    <w:basedOn w:val="1"/>
    <w:qFormat/>
    <w:uiPriority w:val="0"/>
    <w:pPr>
      <w:adjustRightInd w:val="0"/>
      <w:jc w:val="left"/>
      <w:textAlignment w:val="baseline"/>
    </w:pPr>
    <w:rPr>
      <w:rFonts w:ascii="宋体" w:hAnsi="宋体" w:cs="宋体"/>
      <w:kern w:val="0"/>
    </w:rPr>
  </w:style>
  <w:style w:type="paragraph" w:customStyle="1" w:styleId="1232">
    <w:name w:val="样式 正文缩进 + 宋体 黑色 首行缩进:  2 字符"/>
    <w:basedOn w:val="6"/>
    <w:qFormat/>
    <w:uiPriority w:val="0"/>
    <w:pPr>
      <w:adjustRightInd/>
      <w:snapToGrid/>
      <w:spacing w:line="360" w:lineRule="auto"/>
      <w:ind w:firstLine="480"/>
      <w:jc w:val="left"/>
    </w:pPr>
    <w:rPr>
      <w:rFonts w:ascii="宋体" w:hAnsi="宋体" w:eastAsia="宋体" w:cs="宋体"/>
      <w:color w:val="FF00FF"/>
      <w:sz w:val="24"/>
      <w:szCs w:val="20"/>
    </w:rPr>
  </w:style>
  <w:style w:type="paragraph" w:customStyle="1" w:styleId="1233">
    <w:name w:val="表题41"/>
    <w:basedOn w:val="36"/>
    <w:qFormat/>
    <w:uiPriority w:val="0"/>
    <w:pPr>
      <w:tabs>
        <w:tab w:val="left" w:pos="4305"/>
      </w:tabs>
      <w:adjustRightInd w:val="0"/>
      <w:snapToGrid w:val="0"/>
      <w:spacing w:after="0" w:line="360" w:lineRule="auto"/>
      <w:ind w:left="0" w:leftChars="0" w:firstLine="561"/>
    </w:pPr>
    <w:rPr>
      <w:rFonts w:ascii="宋体" w:hAnsi="宋体" w:cs="宋体"/>
      <w:color w:val="000000"/>
      <w:sz w:val="24"/>
    </w:rPr>
  </w:style>
  <w:style w:type="paragraph" w:customStyle="1" w:styleId="1234">
    <w:name w:val="表格内字体11"/>
    <w:basedOn w:val="315"/>
    <w:qFormat/>
    <w:uiPriority w:val="0"/>
    <w:pPr>
      <w:spacing w:line="240" w:lineRule="auto"/>
      <w:ind w:firstLine="0"/>
      <w:jc w:val="center"/>
    </w:pPr>
    <w:rPr>
      <w:rFonts w:hAnsi="Times New Roman"/>
      <w:b w:val="0"/>
      <w:spacing w:val="0"/>
      <w:sz w:val="21"/>
    </w:rPr>
  </w:style>
  <w:style w:type="paragraph" w:customStyle="1" w:styleId="1235">
    <w:name w:val="附件"/>
    <w:basedOn w:val="4"/>
    <w:next w:val="315"/>
    <w:qFormat/>
    <w:uiPriority w:val="0"/>
    <w:pPr>
      <w:keepLines/>
      <w:widowControl w:val="0"/>
      <w:numPr>
        <w:numId w:val="0"/>
      </w:numPr>
      <w:tabs>
        <w:tab w:val="left" w:pos="1566"/>
      </w:tabs>
      <w:spacing w:after="210"/>
    </w:pPr>
    <w:rPr>
      <w:rFonts w:ascii="黑体" w:eastAsia="黑体"/>
      <w:b/>
      <w:bCs/>
      <w:kern w:val="44"/>
      <w:szCs w:val="32"/>
    </w:rPr>
  </w:style>
  <w:style w:type="paragraph" w:customStyle="1" w:styleId="1236">
    <w:name w:val="表内541"/>
    <w:basedOn w:val="1"/>
    <w:qFormat/>
    <w:uiPriority w:val="0"/>
    <w:pPr>
      <w:adjustRightInd w:val="0"/>
      <w:snapToGrid w:val="0"/>
      <w:spacing w:line="300" w:lineRule="auto"/>
      <w:jc w:val="center"/>
    </w:pPr>
    <w:rPr>
      <w:rFonts w:ascii="宋体" w:hAnsi="宋体" w:cs="宋体"/>
    </w:rPr>
  </w:style>
  <w:style w:type="paragraph" w:customStyle="1" w:styleId="1237">
    <w:name w:val="默认段落字体 Para Char52"/>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1238">
    <w:name w:val="表内文字小21"/>
    <w:basedOn w:val="1"/>
    <w:qFormat/>
    <w:uiPriority w:val="0"/>
    <w:pPr>
      <w:adjustRightInd w:val="0"/>
      <w:snapToGrid w:val="0"/>
      <w:jc w:val="center"/>
    </w:pPr>
    <w:rPr>
      <w:rFonts w:ascii="宋体" w:hAnsi="Times" w:cs="宋体"/>
      <w:bCs/>
      <w:color w:val="000000"/>
    </w:rPr>
  </w:style>
  <w:style w:type="paragraph" w:customStyle="1" w:styleId="1239">
    <w:name w:val="正文格式6"/>
    <w:basedOn w:val="1"/>
    <w:qFormat/>
    <w:uiPriority w:val="0"/>
    <w:pPr>
      <w:spacing w:line="360" w:lineRule="auto"/>
      <w:ind w:firstLine="482"/>
    </w:pPr>
    <w:rPr>
      <w:rFonts w:ascii="宋体" w:hAnsi="宋体" w:cs="宋体"/>
      <w:sz w:val="24"/>
    </w:rPr>
  </w:style>
  <w:style w:type="paragraph" w:customStyle="1" w:styleId="1240">
    <w:name w:val="表文字5"/>
    <w:basedOn w:val="1"/>
    <w:qFormat/>
    <w:uiPriority w:val="0"/>
    <w:pPr>
      <w:adjustRightInd w:val="0"/>
      <w:jc w:val="left"/>
      <w:textAlignment w:val="baseline"/>
    </w:pPr>
    <w:rPr>
      <w:rFonts w:ascii="宋体" w:hAnsi="宋体" w:cs="宋体"/>
      <w:kern w:val="0"/>
    </w:rPr>
  </w:style>
  <w:style w:type="character" w:customStyle="1" w:styleId="1241">
    <w:name w:val="表内5 Char2"/>
    <w:qFormat/>
    <w:uiPriority w:val="0"/>
    <w:rPr>
      <w:rFonts w:ascii="宋体" w:hAnsi="宋体" w:eastAsia="宋体" w:cs="宋体"/>
      <w:kern w:val="2"/>
      <w:sz w:val="21"/>
      <w:szCs w:val="24"/>
      <w:lang w:val="en-US" w:eastAsia="zh-CN" w:bidi="ar-SA"/>
    </w:rPr>
  </w:style>
  <w:style w:type="paragraph" w:customStyle="1" w:styleId="1242">
    <w:name w:val="表内文字小31"/>
    <w:basedOn w:val="1"/>
    <w:qFormat/>
    <w:uiPriority w:val="0"/>
    <w:pPr>
      <w:adjustRightInd w:val="0"/>
      <w:snapToGrid w:val="0"/>
      <w:jc w:val="center"/>
    </w:pPr>
    <w:rPr>
      <w:rFonts w:ascii="宋体" w:hAnsi="Times" w:cs="宋体"/>
      <w:bCs/>
      <w:color w:val="003366"/>
    </w:rPr>
  </w:style>
  <w:style w:type="paragraph" w:customStyle="1" w:styleId="1243">
    <w:name w:val="表内宋511"/>
    <w:basedOn w:val="81"/>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1244">
    <w:name w:val="正文."/>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245">
    <w:name w:val="黑体三号"/>
    <w:basedOn w:val="315"/>
    <w:qFormat/>
    <w:uiPriority w:val="0"/>
    <w:pPr>
      <w:jc w:val="center"/>
    </w:pPr>
    <w:rPr>
      <w:rFonts w:ascii="黑体" w:hAnsi="宋体" w:eastAsia="黑体"/>
      <w:bCs/>
      <w:spacing w:val="0"/>
      <w:sz w:val="32"/>
    </w:rPr>
  </w:style>
  <w:style w:type="character" w:customStyle="1" w:styleId="1246">
    <w:name w:val="样式 表内小5 + 黑体 加粗 倾斜 下划线 Char5"/>
    <w:qFormat/>
    <w:uiPriority w:val="0"/>
    <w:rPr>
      <w:rFonts w:ascii="黑体" w:hAnsi="黑体" w:eastAsia="黑体"/>
      <w:b/>
      <w:bCs/>
      <w:i/>
      <w:iCs/>
      <w:kern w:val="2"/>
      <w:sz w:val="18"/>
      <w:szCs w:val="24"/>
      <w:u w:val="single"/>
      <w:lang w:val="en-US" w:eastAsia="zh-CN" w:bidi="ar-SA"/>
    </w:rPr>
  </w:style>
  <w:style w:type="paragraph" w:customStyle="1" w:styleId="1247">
    <w:name w:val="Char235"/>
    <w:basedOn w:val="1"/>
    <w:qFormat/>
    <w:uiPriority w:val="0"/>
    <w:pPr>
      <w:ind w:left="-48"/>
    </w:pPr>
    <w:rPr>
      <w:rFonts w:ascii="宋体" w:hAnsi="宋体" w:cs="宋体"/>
    </w:rPr>
  </w:style>
  <w:style w:type="character" w:customStyle="1" w:styleId="1248">
    <w:name w:val="Char Char4"/>
    <w:qFormat/>
    <w:uiPriority w:val="0"/>
    <w:rPr>
      <w:rFonts w:ascii="黑体" w:hAnsi="Arial" w:eastAsia="黑体"/>
      <w:b/>
      <w:bCs/>
      <w:kern w:val="2"/>
      <w:sz w:val="30"/>
      <w:szCs w:val="30"/>
      <w:lang w:val="en-US" w:eastAsia="zh-CN" w:bidi="ar-SA"/>
    </w:rPr>
  </w:style>
  <w:style w:type="character" w:customStyle="1" w:styleId="1249">
    <w:name w:val="Char Char3"/>
    <w:qFormat/>
    <w:uiPriority w:val="0"/>
    <w:rPr>
      <w:rFonts w:ascii="黑体" w:hAnsi="宋体" w:eastAsia="黑体"/>
      <w:b/>
      <w:bCs/>
      <w:kern w:val="2"/>
      <w:sz w:val="28"/>
      <w:szCs w:val="28"/>
      <w:lang w:val="en-US" w:eastAsia="zh-CN" w:bidi="ar-SA"/>
    </w:rPr>
  </w:style>
  <w:style w:type="character" w:customStyle="1" w:styleId="1250">
    <w:name w:val="标题 2 Char1 Char"/>
    <w:qFormat/>
    <w:uiPriority w:val="0"/>
    <w:rPr>
      <w:rFonts w:ascii="黑体" w:hAnsi="Arial" w:eastAsia="黑体"/>
      <w:b/>
      <w:bCs/>
      <w:kern w:val="2"/>
      <w:sz w:val="30"/>
      <w:szCs w:val="30"/>
      <w:lang w:val="en-US" w:eastAsia="zh-CN" w:bidi="ar-SA"/>
    </w:rPr>
  </w:style>
  <w:style w:type="character" w:customStyle="1" w:styleId="1251">
    <w:name w:val="标题正文黑 Char"/>
    <w:qFormat/>
    <w:uiPriority w:val="0"/>
    <w:rPr>
      <w:rFonts w:ascii="黑体" w:eastAsia="黑体"/>
      <w:kern w:val="2"/>
      <w:sz w:val="28"/>
      <w:szCs w:val="28"/>
      <w:lang w:val="en-US" w:eastAsia="zh-CN" w:bidi="ar-SA"/>
    </w:rPr>
  </w:style>
  <w:style w:type="paragraph" w:customStyle="1" w:styleId="1252">
    <w:name w:val="首行缩进:  0.99 厘米 + 首行缩进:  2 字符"/>
    <w:basedOn w:val="1"/>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paragraph" w:customStyle="1" w:styleId="1253">
    <w:name w:val="表内文字边"/>
    <w:basedOn w:val="1"/>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1254">
    <w:name w:val="正文缩"/>
    <w:basedOn w:val="1"/>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character" w:customStyle="1" w:styleId="1255">
    <w:name w:val="样式 黑色"/>
    <w:qFormat/>
    <w:uiPriority w:val="0"/>
    <w:rPr>
      <w:rFonts w:eastAsia="宋体"/>
      <w:color w:val="auto"/>
      <w:kern w:val="2"/>
      <w:sz w:val="24"/>
      <w:szCs w:val="24"/>
      <w:lang w:val="en-US" w:eastAsia="zh-CN" w:bidi="ar-SA"/>
    </w:rPr>
  </w:style>
  <w:style w:type="paragraph" w:customStyle="1" w:styleId="1256">
    <w:name w:val="默认段落字体 Para Char Char Char Char Char"/>
    <w:basedOn w:val="1"/>
    <w:qFormat/>
    <w:uiPriority w:val="0"/>
    <w:rPr>
      <w:rFonts w:ascii="宋体" w:hAnsi="宋体" w:cs="宋体"/>
    </w:rPr>
  </w:style>
  <w:style w:type="paragraph" w:customStyle="1" w:styleId="1257">
    <w:name w:val="表内宋5中"/>
    <w:basedOn w:val="1"/>
    <w:qFormat/>
    <w:uiPriority w:val="0"/>
    <w:pPr>
      <w:adjustRightInd w:val="0"/>
      <w:snapToGrid w:val="0"/>
      <w:textAlignment w:val="baseline"/>
    </w:pPr>
    <w:rPr>
      <w:rFonts w:ascii="宋体" w:hAnsi="宋体" w:cs="宋体"/>
      <w:color w:val="000000"/>
      <w:kern w:val="0"/>
    </w:rPr>
  </w:style>
  <w:style w:type="paragraph" w:customStyle="1" w:styleId="1258">
    <w:name w:val="样式 标题 3 + 段前: 12 磅"/>
    <w:basedOn w:val="7"/>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1259">
    <w:name w:val="表内文字小"/>
    <w:basedOn w:val="1"/>
    <w:qFormat/>
    <w:uiPriority w:val="0"/>
    <w:pPr>
      <w:adjustRightInd w:val="0"/>
      <w:snapToGrid w:val="0"/>
      <w:jc w:val="center"/>
    </w:pPr>
    <w:rPr>
      <w:rFonts w:ascii="宋体" w:hAnsi="Times" w:cs="宋体"/>
    </w:rPr>
  </w:style>
  <w:style w:type="paragraph" w:customStyle="1" w:styleId="1260">
    <w:name w:val="表内5"/>
    <w:basedOn w:val="1"/>
    <w:qFormat/>
    <w:uiPriority w:val="0"/>
    <w:pPr>
      <w:adjustRightInd w:val="0"/>
      <w:snapToGrid w:val="0"/>
      <w:spacing w:line="300" w:lineRule="auto"/>
      <w:jc w:val="left"/>
    </w:pPr>
    <w:rPr>
      <w:rFonts w:ascii="宋体" w:hAnsi="宋体" w:cs="宋体"/>
      <w:sz w:val="18"/>
    </w:rPr>
  </w:style>
  <w:style w:type="paragraph" w:customStyle="1" w:styleId="1261">
    <w:name w:val="Char Char Char Char1 Char Char Char"/>
    <w:basedOn w:val="1"/>
    <w:qFormat/>
    <w:uiPriority w:val="0"/>
    <w:pPr>
      <w:widowControl/>
      <w:spacing w:after="160"/>
      <w:jc w:val="left"/>
    </w:pPr>
    <w:rPr>
      <w:rFonts w:ascii="Verdana" w:hAnsi="Verdana" w:cs="宋体"/>
      <w:kern w:val="0"/>
      <w:sz w:val="24"/>
      <w:lang w:eastAsia="en-US"/>
    </w:rPr>
  </w:style>
  <w:style w:type="paragraph" w:customStyle="1" w:styleId="1262">
    <w:name w:val="正文格式11"/>
    <w:basedOn w:val="1"/>
    <w:qFormat/>
    <w:uiPriority w:val="0"/>
    <w:pPr>
      <w:spacing w:line="360" w:lineRule="auto"/>
      <w:ind w:firstLine="482"/>
    </w:pPr>
    <w:rPr>
      <w:rFonts w:ascii="宋体" w:hAnsi="宋体" w:cs="宋体"/>
      <w:sz w:val="24"/>
    </w:rPr>
  </w:style>
  <w:style w:type="paragraph" w:customStyle="1" w:styleId="1263">
    <w:name w:val="图题1"/>
    <w:basedOn w:val="315"/>
    <w:next w:val="315"/>
    <w:qFormat/>
    <w:uiPriority w:val="0"/>
    <w:pPr>
      <w:ind w:firstLine="0"/>
      <w:jc w:val="center"/>
    </w:pPr>
    <w:rPr>
      <w:rFonts w:ascii="黑体" w:hAnsi="宋体" w:eastAsia="黑体"/>
      <w:bCs/>
      <w:spacing w:val="0"/>
    </w:rPr>
  </w:style>
  <w:style w:type="paragraph" w:customStyle="1" w:styleId="1264">
    <w:name w:val="表格内字体1"/>
    <w:basedOn w:val="315"/>
    <w:next w:val="315"/>
    <w:qFormat/>
    <w:uiPriority w:val="0"/>
    <w:pPr>
      <w:spacing w:line="240" w:lineRule="auto"/>
      <w:ind w:firstLine="0"/>
      <w:jc w:val="center"/>
    </w:pPr>
    <w:rPr>
      <w:rFonts w:hAnsi="宋体"/>
      <w:b w:val="0"/>
      <w:spacing w:val="0"/>
      <w:sz w:val="21"/>
    </w:rPr>
  </w:style>
  <w:style w:type="character" w:customStyle="1" w:styleId="1265">
    <w:name w:val="表格内字体 Char1"/>
    <w:qFormat/>
    <w:uiPriority w:val="0"/>
    <w:rPr>
      <w:rFonts w:ascii="宋体" w:hAnsi="宋体" w:eastAsia="宋体"/>
      <w:kern w:val="2"/>
      <w:sz w:val="21"/>
      <w:szCs w:val="24"/>
      <w:lang w:val="en-US" w:eastAsia="zh-CN" w:bidi="ar-SA"/>
    </w:rPr>
  </w:style>
  <w:style w:type="character" w:customStyle="1" w:styleId="1266">
    <w:name w:val="正文格式 Char1"/>
    <w:qFormat/>
    <w:uiPriority w:val="0"/>
    <w:rPr>
      <w:rFonts w:ascii="宋体" w:hAnsi="宋体" w:eastAsia="宋体"/>
      <w:kern w:val="2"/>
      <w:sz w:val="24"/>
      <w:szCs w:val="24"/>
      <w:lang w:val="en-US" w:eastAsia="zh-CN" w:bidi="ar-SA"/>
    </w:rPr>
  </w:style>
  <w:style w:type="character" w:customStyle="1" w:styleId="1267">
    <w:name w:val="Char Char11"/>
    <w:qFormat/>
    <w:uiPriority w:val="0"/>
    <w:rPr>
      <w:rFonts w:ascii="黑体" w:hAnsi="Arial" w:eastAsia="黑体"/>
      <w:bCs/>
      <w:kern w:val="2"/>
      <w:sz w:val="30"/>
      <w:szCs w:val="30"/>
      <w:lang w:val="en-US" w:eastAsia="zh-CN" w:bidi="ar-SA"/>
    </w:rPr>
  </w:style>
  <w:style w:type="character" w:customStyle="1" w:styleId="1268">
    <w:name w:val="Char Char5"/>
    <w:qFormat/>
    <w:uiPriority w:val="0"/>
    <w:rPr>
      <w:rFonts w:ascii="黑体" w:hAnsi="宋体" w:eastAsia="黑体"/>
      <w:bCs/>
      <w:kern w:val="2"/>
      <w:sz w:val="28"/>
      <w:szCs w:val="28"/>
      <w:lang w:val="en-US" w:eastAsia="zh-CN" w:bidi="ar-SA"/>
    </w:rPr>
  </w:style>
  <w:style w:type="paragraph" w:customStyle="1" w:styleId="1269">
    <w:name w:val="正文格式2"/>
    <w:basedOn w:val="1"/>
    <w:qFormat/>
    <w:uiPriority w:val="0"/>
    <w:pPr>
      <w:spacing w:line="360" w:lineRule="auto"/>
      <w:ind w:firstLine="482"/>
    </w:pPr>
    <w:rPr>
      <w:rFonts w:ascii="宋体" w:hAnsi="宋体" w:cs="宋体"/>
      <w:sz w:val="24"/>
    </w:rPr>
  </w:style>
  <w:style w:type="character" w:customStyle="1" w:styleId="1270">
    <w:name w:val="正文格式 Char2"/>
    <w:qFormat/>
    <w:uiPriority w:val="0"/>
    <w:rPr>
      <w:rFonts w:ascii="宋体" w:hAnsi="宋体" w:eastAsia="宋体"/>
      <w:kern w:val="2"/>
      <w:sz w:val="24"/>
      <w:szCs w:val="24"/>
      <w:lang w:val="en-US" w:eastAsia="zh-CN" w:bidi="ar-SA"/>
    </w:rPr>
  </w:style>
  <w:style w:type="paragraph" w:customStyle="1" w:styleId="1271">
    <w:name w:val="Char12"/>
    <w:basedOn w:val="1"/>
    <w:qFormat/>
    <w:uiPriority w:val="0"/>
    <w:pPr>
      <w:adjustRightInd w:val="0"/>
      <w:snapToGrid w:val="0"/>
      <w:spacing w:beforeLines="50" w:line="360" w:lineRule="auto"/>
    </w:pPr>
    <w:rPr>
      <w:rFonts w:ascii="黑体" w:hAnsi="宋体" w:eastAsia="黑体" w:cs="宋体"/>
      <w:sz w:val="32"/>
      <w:szCs w:val="32"/>
    </w:rPr>
  </w:style>
  <w:style w:type="character" w:customStyle="1" w:styleId="1272">
    <w:name w:val="标题 3 Char Char11"/>
    <w:qFormat/>
    <w:uiPriority w:val="0"/>
    <w:rPr>
      <w:rFonts w:ascii="黑体" w:hAnsi="宋体" w:eastAsia="黑体"/>
      <w:bCs/>
      <w:kern w:val="2"/>
      <w:sz w:val="28"/>
      <w:szCs w:val="28"/>
      <w:lang w:val="en-US" w:eastAsia="zh-CN" w:bidi="ar-SA"/>
    </w:rPr>
  </w:style>
  <w:style w:type="character" w:customStyle="1" w:styleId="1273">
    <w:name w:val="题注 Char1"/>
    <w:qFormat/>
    <w:uiPriority w:val="0"/>
    <w:rPr>
      <w:rFonts w:ascii="黑体" w:hAnsi="Arial" w:eastAsia="黑体" w:cs="Arial"/>
      <w:spacing w:val="10"/>
      <w:kern w:val="2"/>
      <w:sz w:val="24"/>
      <w:szCs w:val="24"/>
      <w:lang w:val="en-US" w:eastAsia="zh-CN" w:bidi="ar-SA"/>
    </w:rPr>
  </w:style>
  <w:style w:type="paragraph" w:customStyle="1" w:styleId="1274">
    <w:name w:val="图题2"/>
    <w:basedOn w:val="315"/>
    <w:next w:val="315"/>
    <w:qFormat/>
    <w:uiPriority w:val="0"/>
    <w:pPr>
      <w:ind w:firstLine="0"/>
      <w:jc w:val="center"/>
    </w:pPr>
    <w:rPr>
      <w:rFonts w:ascii="黑体" w:hAnsi="宋体" w:eastAsia="黑体"/>
      <w:bCs/>
      <w:spacing w:val="0"/>
    </w:rPr>
  </w:style>
  <w:style w:type="paragraph" w:customStyle="1" w:styleId="1275">
    <w:name w:val="表格内字体2"/>
    <w:basedOn w:val="315"/>
    <w:next w:val="315"/>
    <w:qFormat/>
    <w:uiPriority w:val="0"/>
    <w:pPr>
      <w:spacing w:line="240" w:lineRule="auto"/>
      <w:ind w:firstLine="0"/>
      <w:jc w:val="center"/>
    </w:pPr>
    <w:rPr>
      <w:rFonts w:hAnsi="宋体"/>
      <w:b w:val="0"/>
      <w:spacing w:val="0"/>
      <w:sz w:val="21"/>
    </w:rPr>
  </w:style>
  <w:style w:type="character" w:customStyle="1" w:styleId="1276">
    <w:name w:val="表格内字体 Char2"/>
    <w:qFormat/>
    <w:uiPriority w:val="0"/>
    <w:rPr>
      <w:rFonts w:ascii="宋体" w:hAnsi="宋体" w:eastAsia="宋体"/>
      <w:kern w:val="2"/>
      <w:sz w:val="21"/>
      <w:szCs w:val="24"/>
      <w:lang w:val="en-US" w:eastAsia="zh-CN" w:bidi="ar-SA"/>
    </w:rPr>
  </w:style>
  <w:style w:type="paragraph" w:customStyle="1" w:styleId="1277">
    <w:name w:val="表内5411"/>
    <w:basedOn w:val="1"/>
    <w:qFormat/>
    <w:uiPriority w:val="0"/>
    <w:pPr>
      <w:adjustRightInd w:val="0"/>
      <w:snapToGrid w:val="0"/>
      <w:spacing w:line="300" w:lineRule="auto"/>
      <w:jc w:val="center"/>
    </w:pPr>
    <w:rPr>
      <w:rFonts w:ascii="宋体" w:hAnsi="宋体" w:cs="宋体"/>
    </w:rPr>
  </w:style>
  <w:style w:type="paragraph" w:customStyle="1" w:styleId="1278">
    <w:name w:val="表内文字小211"/>
    <w:basedOn w:val="1"/>
    <w:qFormat/>
    <w:uiPriority w:val="0"/>
    <w:pPr>
      <w:adjustRightInd w:val="0"/>
      <w:snapToGrid w:val="0"/>
      <w:jc w:val="center"/>
    </w:pPr>
    <w:rPr>
      <w:rFonts w:ascii="宋体" w:hAnsi="Times" w:cs="宋体"/>
      <w:bCs/>
      <w:color w:val="000000"/>
    </w:rPr>
  </w:style>
  <w:style w:type="paragraph" w:customStyle="1" w:styleId="1279">
    <w:name w:val="表题311"/>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280">
    <w:name w:val="Char Char Char Char Char Char Char11"/>
    <w:basedOn w:val="1"/>
    <w:qFormat/>
    <w:uiPriority w:val="0"/>
    <w:rPr>
      <w:rFonts w:ascii="宋体" w:hAnsi="宋体" w:cs="宋体"/>
    </w:rPr>
  </w:style>
  <w:style w:type="paragraph" w:customStyle="1" w:styleId="1281">
    <w:name w:val="标题4311"/>
    <w:basedOn w:val="1"/>
    <w:qFormat/>
    <w:uiPriority w:val="0"/>
    <w:pPr>
      <w:adjustRightInd w:val="0"/>
      <w:snapToGrid w:val="0"/>
      <w:spacing w:line="480" w:lineRule="exact"/>
      <w:jc w:val="center"/>
    </w:pPr>
    <w:rPr>
      <w:rFonts w:ascii="宋体" w:hAnsi="宋体" w:cs="宋体"/>
      <w:sz w:val="24"/>
    </w:rPr>
  </w:style>
  <w:style w:type="paragraph" w:customStyle="1" w:styleId="1282">
    <w:name w:val="燕山正文111"/>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283">
    <w:name w:val="默认段落字体 Para Char Char Char Char1"/>
    <w:basedOn w:val="1"/>
    <w:qFormat/>
    <w:uiPriority w:val="0"/>
    <w:rPr>
      <w:rFonts w:ascii="宋体" w:hAnsi="宋体" w:cs="宋体"/>
    </w:rPr>
  </w:style>
  <w:style w:type="paragraph" w:customStyle="1" w:styleId="1284">
    <w:name w:val="附件1"/>
    <w:basedOn w:val="4"/>
    <w:next w:val="315"/>
    <w:qFormat/>
    <w:uiPriority w:val="0"/>
    <w:pPr>
      <w:keepLines/>
      <w:widowControl w:val="0"/>
      <w:numPr>
        <w:numId w:val="0"/>
      </w:numPr>
      <w:tabs>
        <w:tab w:val="left" w:pos="1566"/>
      </w:tabs>
      <w:spacing w:after="210"/>
    </w:pPr>
    <w:rPr>
      <w:rFonts w:ascii="黑体" w:eastAsia="黑体"/>
      <w:bCs/>
      <w:kern w:val="44"/>
      <w:szCs w:val="32"/>
    </w:rPr>
  </w:style>
  <w:style w:type="paragraph" w:customStyle="1" w:styleId="1285">
    <w:name w:val="黑体三号1"/>
    <w:basedOn w:val="315"/>
    <w:qFormat/>
    <w:uiPriority w:val="0"/>
    <w:pPr>
      <w:jc w:val="center"/>
    </w:pPr>
    <w:rPr>
      <w:rFonts w:ascii="黑体" w:hAnsi="宋体" w:eastAsia="黑体"/>
      <w:bCs/>
      <w:spacing w:val="0"/>
      <w:sz w:val="32"/>
    </w:rPr>
  </w:style>
  <w:style w:type="character" w:customStyle="1" w:styleId="1286">
    <w:name w:val="Char Char21"/>
    <w:qFormat/>
    <w:uiPriority w:val="0"/>
    <w:rPr>
      <w:rFonts w:ascii="黑体" w:eastAsia="宋体"/>
      <w:kern w:val="2"/>
      <w:sz w:val="16"/>
      <w:szCs w:val="16"/>
      <w:lang w:val="en-US" w:eastAsia="zh-CN" w:bidi="ar-SA"/>
    </w:rPr>
  </w:style>
  <w:style w:type="character" w:customStyle="1" w:styleId="1287">
    <w:name w:val="Char Char12"/>
    <w:qFormat/>
    <w:uiPriority w:val="0"/>
    <w:rPr>
      <w:rFonts w:ascii="黑体" w:hAnsi="Arial" w:eastAsia="黑体"/>
      <w:b/>
      <w:bCs/>
      <w:kern w:val="2"/>
      <w:sz w:val="30"/>
      <w:szCs w:val="30"/>
      <w:lang w:val="en-US" w:eastAsia="zh-CN" w:bidi="ar-SA"/>
    </w:rPr>
  </w:style>
  <w:style w:type="character" w:customStyle="1" w:styleId="1288">
    <w:name w:val="Char Char6"/>
    <w:qFormat/>
    <w:uiPriority w:val="0"/>
    <w:rPr>
      <w:rFonts w:ascii="黑体" w:eastAsia="黑体"/>
      <w:b/>
      <w:bCs/>
      <w:kern w:val="2"/>
      <w:sz w:val="28"/>
      <w:szCs w:val="28"/>
      <w:lang w:val="en-US" w:eastAsia="zh-CN" w:bidi="ar-SA"/>
    </w:rPr>
  </w:style>
  <w:style w:type="paragraph" w:customStyle="1" w:styleId="1289">
    <w:name w:val="表题11"/>
    <w:basedOn w:val="23"/>
    <w:qFormat/>
    <w:uiPriority w:val="0"/>
    <w:pPr>
      <w:widowControl w:val="0"/>
      <w:spacing w:line="360" w:lineRule="auto"/>
      <w:jc w:val="center"/>
    </w:pPr>
    <w:rPr>
      <w:rFonts w:ascii="黑体" w:hAnsi="Arial" w:cs="Arial"/>
      <w:kern w:val="2"/>
    </w:rPr>
  </w:style>
  <w:style w:type="character" w:customStyle="1" w:styleId="1290">
    <w:name w:val="表题1 Char1"/>
    <w:qFormat/>
    <w:uiPriority w:val="0"/>
    <w:rPr>
      <w:rFonts w:ascii="黑体" w:hAnsi="Arial" w:eastAsia="黑体" w:cs="Arial"/>
      <w:kern w:val="2"/>
      <w:sz w:val="24"/>
      <w:szCs w:val="24"/>
      <w:lang w:val="en-US" w:eastAsia="zh-CN" w:bidi="ar-SA"/>
    </w:rPr>
  </w:style>
  <w:style w:type="paragraph" w:customStyle="1" w:styleId="1291">
    <w:name w:val="燕山正文1"/>
    <w:basedOn w:val="1"/>
    <w:qFormat/>
    <w:uiPriority w:val="0"/>
    <w:pPr>
      <w:tabs>
        <w:tab w:val="left" w:pos="4680"/>
      </w:tabs>
      <w:adjustRightInd w:val="0"/>
      <w:snapToGrid w:val="0"/>
      <w:spacing w:line="480" w:lineRule="exact"/>
    </w:pPr>
    <w:rPr>
      <w:rFonts w:ascii="宋体" w:hAnsi="宋体" w:cs="宋体"/>
      <w:sz w:val="24"/>
    </w:rPr>
  </w:style>
  <w:style w:type="character" w:customStyle="1" w:styleId="1292">
    <w:name w:val="燕山正文 Char11"/>
    <w:qFormat/>
    <w:uiPriority w:val="0"/>
    <w:rPr>
      <w:rFonts w:ascii="宋体" w:eastAsia="宋体" w:cs="宋体"/>
      <w:kern w:val="2"/>
      <w:sz w:val="24"/>
      <w:szCs w:val="24"/>
      <w:lang w:val="en-US" w:eastAsia="zh-CN" w:bidi="ar-SA"/>
    </w:rPr>
  </w:style>
  <w:style w:type="paragraph" w:customStyle="1" w:styleId="1293">
    <w:name w:val="正文修改1"/>
    <w:basedOn w:val="1180"/>
    <w:qFormat/>
    <w:uiPriority w:val="0"/>
    <w:rPr>
      <w:rFonts w:hAnsi="宋体"/>
      <w:color w:val="000000"/>
    </w:rPr>
  </w:style>
  <w:style w:type="character" w:customStyle="1" w:styleId="1294">
    <w:name w:val="正文修改 Char11"/>
    <w:qFormat/>
    <w:uiPriority w:val="0"/>
    <w:rPr>
      <w:rFonts w:ascii="宋体" w:hAnsi="宋体" w:eastAsia="宋体" w:cs="宋体"/>
      <w:color w:val="000000"/>
      <w:kern w:val="2"/>
      <w:sz w:val="24"/>
      <w:szCs w:val="24"/>
      <w:lang w:val="en-US" w:eastAsia="zh-CN" w:bidi="ar-SA"/>
    </w:rPr>
  </w:style>
  <w:style w:type="character" w:customStyle="1" w:styleId="1295">
    <w:name w:val="表中文字 Char21"/>
    <w:qFormat/>
    <w:uiPriority w:val="0"/>
    <w:rPr>
      <w:rFonts w:ascii="宋体" w:eastAsia="宋体"/>
      <w:kern w:val="2"/>
      <w:sz w:val="21"/>
      <w:szCs w:val="21"/>
      <w:lang w:val="en-US" w:eastAsia="zh-CN" w:bidi="ar-SA"/>
    </w:rPr>
  </w:style>
  <w:style w:type="paragraph" w:customStyle="1" w:styleId="1296">
    <w:name w:val="表文字51"/>
    <w:basedOn w:val="1"/>
    <w:qFormat/>
    <w:uiPriority w:val="0"/>
    <w:pPr>
      <w:adjustRightInd w:val="0"/>
      <w:jc w:val="left"/>
      <w:textAlignment w:val="baseline"/>
    </w:pPr>
    <w:rPr>
      <w:rFonts w:ascii="宋体" w:hAnsi="宋体" w:cs="宋体"/>
      <w:kern w:val="0"/>
    </w:rPr>
  </w:style>
  <w:style w:type="paragraph" w:customStyle="1" w:styleId="1297">
    <w:name w:val="表内文字小311"/>
    <w:basedOn w:val="1"/>
    <w:qFormat/>
    <w:uiPriority w:val="0"/>
    <w:pPr>
      <w:adjustRightInd w:val="0"/>
      <w:snapToGrid w:val="0"/>
      <w:jc w:val="center"/>
    </w:pPr>
    <w:rPr>
      <w:rFonts w:ascii="宋体" w:hAnsi="Times" w:cs="宋体"/>
      <w:bCs/>
      <w:color w:val="003366"/>
    </w:rPr>
  </w:style>
  <w:style w:type="character" w:customStyle="1" w:styleId="1298">
    <w:name w:val="标题2 Char11"/>
    <w:qFormat/>
    <w:uiPriority w:val="0"/>
    <w:rPr>
      <w:rFonts w:ascii="宋体" w:hAnsi="宋体" w:eastAsia="宋体" w:cs="宋体"/>
      <w:color w:val="000000"/>
      <w:kern w:val="2"/>
      <w:sz w:val="24"/>
      <w:szCs w:val="24"/>
      <w:lang w:val="en-US" w:eastAsia="zh-CN" w:bidi="ar-SA"/>
    </w:rPr>
  </w:style>
  <w:style w:type="paragraph" w:customStyle="1" w:styleId="1299">
    <w:name w:val="Char21"/>
    <w:basedOn w:val="1"/>
    <w:qFormat/>
    <w:uiPriority w:val="0"/>
    <w:pPr>
      <w:ind w:left="-48"/>
    </w:pPr>
    <w:rPr>
      <w:rFonts w:ascii="宋体" w:hAnsi="宋体" w:cs="宋体"/>
    </w:rPr>
  </w:style>
  <w:style w:type="paragraph" w:customStyle="1" w:styleId="1300">
    <w:name w:val="表内文字小2"/>
    <w:basedOn w:val="1"/>
    <w:qFormat/>
    <w:uiPriority w:val="0"/>
    <w:pPr>
      <w:adjustRightInd w:val="0"/>
      <w:snapToGrid w:val="0"/>
      <w:jc w:val="center"/>
    </w:pPr>
    <w:rPr>
      <w:rFonts w:ascii="宋体" w:hAnsi="Times" w:cs="宋体"/>
      <w:bCs/>
      <w:color w:val="000000"/>
    </w:rPr>
  </w:style>
  <w:style w:type="paragraph" w:customStyle="1" w:styleId="1301">
    <w:name w:val="表内53"/>
    <w:basedOn w:val="1"/>
    <w:qFormat/>
    <w:uiPriority w:val="0"/>
    <w:pPr>
      <w:adjustRightInd w:val="0"/>
      <w:snapToGrid w:val="0"/>
      <w:spacing w:line="300" w:lineRule="auto"/>
      <w:jc w:val="left"/>
    </w:pPr>
    <w:rPr>
      <w:rFonts w:ascii="宋体" w:hAnsi="宋体" w:cs="宋体"/>
    </w:rPr>
  </w:style>
  <w:style w:type="paragraph" w:customStyle="1" w:styleId="1302">
    <w:name w:val="正文格式3"/>
    <w:basedOn w:val="1"/>
    <w:qFormat/>
    <w:uiPriority w:val="0"/>
    <w:pPr>
      <w:spacing w:line="360" w:lineRule="auto"/>
      <w:ind w:firstLine="482"/>
    </w:pPr>
    <w:rPr>
      <w:rFonts w:ascii="宋体" w:hAnsi="宋体" w:cs="宋体"/>
      <w:sz w:val="24"/>
    </w:rPr>
  </w:style>
  <w:style w:type="character" w:customStyle="1" w:styleId="1303">
    <w:name w:val="正文格式 Char3"/>
    <w:qFormat/>
    <w:uiPriority w:val="0"/>
    <w:rPr>
      <w:rFonts w:ascii="宋体" w:hAnsi="宋体" w:eastAsia="宋体"/>
      <w:kern w:val="2"/>
      <w:sz w:val="24"/>
      <w:szCs w:val="24"/>
      <w:lang w:val="en-US" w:eastAsia="zh-CN" w:bidi="ar-SA"/>
    </w:rPr>
  </w:style>
  <w:style w:type="paragraph" w:customStyle="1" w:styleId="1304">
    <w:name w:val="Char22"/>
    <w:basedOn w:val="1"/>
    <w:qFormat/>
    <w:uiPriority w:val="0"/>
    <w:pPr>
      <w:adjustRightInd w:val="0"/>
      <w:snapToGrid w:val="0"/>
      <w:spacing w:beforeLines="50" w:line="360" w:lineRule="auto"/>
    </w:pPr>
    <w:rPr>
      <w:rFonts w:ascii="黑体" w:hAnsi="宋体" w:eastAsia="黑体" w:cs="宋体"/>
      <w:sz w:val="32"/>
      <w:szCs w:val="32"/>
    </w:rPr>
  </w:style>
  <w:style w:type="character" w:customStyle="1" w:styleId="1305">
    <w:name w:val="题注 Char2"/>
    <w:qFormat/>
    <w:uiPriority w:val="0"/>
    <w:rPr>
      <w:rFonts w:ascii="黑体" w:hAnsi="Arial" w:eastAsia="黑体" w:cs="Arial"/>
      <w:spacing w:val="10"/>
      <w:kern w:val="2"/>
      <w:sz w:val="24"/>
      <w:szCs w:val="24"/>
      <w:lang w:val="en-US" w:eastAsia="zh-CN" w:bidi="ar-SA"/>
    </w:rPr>
  </w:style>
  <w:style w:type="paragraph" w:customStyle="1" w:styleId="1306">
    <w:name w:val="图题3"/>
    <w:basedOn w:val="315"/>
    <w:next w:val="315"/>
    <w:qFormat/>
    <w:uiPriority w:val="0"/>
    <w:pPr>
      <w:ind w:firstLine="0"/>
      <w:jc w:val="center"/>
    </w:pPr>
    <w:rPr>
      <w:rFonts w:ascii="黑体" w:hAnsi="宋体" w:eastAsia="黑体"/>
      <w:bCs/>
      <w:spacing w:val="0"/>
    </w:rPr>
  </w:style>
  <w:style w:type="paragraph" w:customStyle="1" w:styleId="1307">
    <w:name w:val="表格内字体3"/>
    <w:basedOn w:val="315"/>
    <w:next w:val="315"/>
    <w:qFormat/>
    <w:uiPriority w:val="0"/>
    <w:pPr>
      <w:spacing w:line="240" w:lineRule="auto"/>
      <w:ind w:firstLine="0"/>
      <w:jc w:val="center"/>
    </w:pPr>
    <w:rPr>
      <w:rFonts w:hAnsi="宋体"/>
      <w:b w:val="0"/>
      <w:spacing w:val="0"/>
      <w:sz w:val="21"/>
    </w:rPr>
  </w:style>
  <w:style w:type="character" w:customStyle="1" w:styleId="1308">
    <w:name w:val="表格内字体 Char3"/>
    <w:qFormat/>
    <w:uiPriority w:val="0"/>
    <w:rPr>
      <w:rFonts w:ascii="宋体" w:hAnsi="宋体" w:eastAsia="宋体"/>
      <w:kern w:val="2"/>
      <w:sz w:val="21"/>
      <w:szCs w:val="24"/>
      <w:lang w:val="en-US" w:eastAsia="zh-CN" w:bidi="ar-SA"/>
    </w:rPr>
  </w:style>
  <w:style w:type="character" w:customStyle="1" w:styleId="1309">
    <w:name w:val="正文缩进 Char4"/>
    <w:qFormat/>
    <w:uiPriority w:val="0"/>
    <w:rPr>
      <w:rFonts w:ascii="宋体" w:hAnsi="宋体" w:eastAsia="宋体" w:cs="宋体"/>
      <w:color w:val="000000"/>
      <w:kern w:val="2"/>
      <w:sz w:val="24"/>
      <w:szCs w:val="24"/>
      <w:lang w:val="en-US" w:eastAsia="zh-CN" w:bidi="ar-SA"/>
    </w:rPr>
  </w:style>
  <w:style w:type="paragraph" w:customStyle="1" w:styleId="1310">
    <w:name w:val="表内5412"/>
    <w:basedOn w:val="1"/>
    <w:qFormat/>
    <w:uiPriority w:val="0"/>
    <w:pPr>
      <w:adjustRightInd w:val="0"/>
      <w:snapToGrid w:val="0"/>
      <w:spacing w:line="300" w:lineRule="auto"/>
      <w:jc w:val="center"/>
    </w:pPr>
    <w:rPr>
      <w:rFonts w:ascii="宋体" w:hAnsi="宋体" w:cs="宋体"/>
    </w:rPr>
  </w:style>
  <w:style w:type="paragraph" w:customStyle="1" w:styleId="1311">
    <w:name w:val="表内文字小212"/>
    <w:basedOn w:val="1"/>
    <w:qFormat/>
    <w:uiPriority w:val="0"/>
    <w:pPr>
      <w:adjustRightInd w:val="0"/>
      <w:snapToGrid w:val="0"/>
      <w:jc w:val="center"/>
    </w:pPr>
    <w:rPr>
      <w:rFonts w:ascii="宋体" w:hAnsi="Times" w:cs="宋体"/>
      <w:bCs/>
      <w:color w:val="000000"/>
    </w:rPr>
  </w:style>
  <w:style w:type="paragraph" w:customStyle="1" w:styleId="1312">
    <w:name w:val="表题312"/>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313">
    <w:name w:val="标题4312"/>
    <w:basedOn w:val="1"/>
    <w:qFormat/>
    <w:uiPriority w:val="0"/>
    <w:pPr>
      <w:adjustRightInd w:val="0"/>
      <w:snapToGrid w:val="0"/>
      <w:spacing w:line="480" w:lineRule="exact"/>
      <w:jc w:val="center"/>
    </w:pPr>
    <w:rPr>
      <w:rFonts w:ascii="宋体" w:hAnsi="宋体" w:cs="宋体"/>
      <w:sz w:val="24"/>
    </w:rPr>
  </w:style>
  <w:style w:type="paragraph" w:customStyle="1" w:styleId="1314">
    <w:name w:val="燕山正文112"/>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315">
    <w:name w:val="默认段落字体 Para Char Char Char Char2"/>
    <w:basedOn w:val="1"/>
    <w:qFormat/>
    <w:uiPriority w:val="0"/>
    <w:rPr>
      <w:rFonts w:ascii="宋体" w:hAnsi="宋体" w:cs="宋体"/>
    </w:rPr>
  </w:style>
  <w:style w:type="paragraph" w:customStyle="1" w:styleId="1316">
    <w:name w:val="附件2"/>
    <w:basedOn w:val="4"/>
    <w:next w:val="315"/>
    <w:qFormat/>
    <w:uiPriority w:val="0"/>
    <w:pPr>
      <w:keepLines/>
      <w:widowControl w:val="0"/>
      <w:numPr>
        <w:numId w:val="0"/>
      </w:numPr>
      <w:tabs>
        <w:tab w:val="left" w:pos="1566"/>
      </w:tabs>
      <w:spacing w:after="210"/>
    </w:pPr>
    <w:rPr>
      <w:rFonts w:ascii="黑体" w:eastAsia="黑体"/>
      <w:bCs/>
      <w:kern w:val="44"/>
      <w:szCs w:val="32"/>
    </w:rPr>
  </w:style>
  <w:style w:type="paragraph" w:customStyle="1" w:styleId="1317">
    <w:name w:val="黑体三号2"/>
    <w:basedOn w:val="315"/>
    <w:qFormat/>
    <w:uiPriority w:val="0"/>
    <w:pPr>
      <w:jc w:val="center"/>
    </w:pPr>
    <w:rPr>
      <w:rFonts w:ascii="黑体" w:hAnsi="宋体" w:eastAsia="黑体"/>
      <w:bCs/>
      <w:spacing w:val="0"/>
      <w:sz w:val="32"/>
    </w:rPr>
  </w:style>
  <w:style w:type="paragraph" w:customStyle="1" w:styleId="1318">
    <w:name w:val="表2"/>
    <w:basedOn w:val="1"/>
    <w:qFormat/>
    <w:uiPriority w:val="0"/>
    <w:pPr>
      <w:adjustRightInd w:val="0"/>
      <w:snapToGrid w:val="0"/>
      <w:jc w:val="center"/>
    </w:pPr>
    <w:rPr>
      <w:rFonts w:ascii="宋体" w:hAnsi="宋体" w:eastAsia="仿宋_GB2312" w:cs="宋体"/>
      <w:sz w:val="24"/>
    </w:rPr>
  </w:style>
  <w:style w:type="character" w:customStyle="1" w:styleId="1319">
    <w:name w:val="正文文本缩进 3 Char1"/>
    <w:qFormat/>
    <w:uiPriority w:val="0"/>
    <w:rPr>
      <w:rFonts w:eastAsia="宋体"/>
      <w:kern w:val="2"/>
      <w:sz w:val="16"/>
      <w:szCs w:val="16"/>
      <w:lang w:val="en-US" w:eastAsia="zh-CN" w:bidi="ar-SA"/>
    </w:rPr>
  </w:style>
  <w:style w:type="paragraph" w:customStyle="1" w:styleId="1320">
    <w:name w:val="表题12"/>
    <w:basedOn w:val="23"/>
    <w:qFormat/>
    <w:uiPriority w:val="0"/>
    <w:pPr>
      <w:widowControl w:val="0"/>
      <w:spacing w:line="360" w:lineRule="auto"/>
      <w:jc w:val="center"/>
    </w:pPr>
    <w:rPr>
      <w:rFonts w:ascii="黑体" w:hAnsi="Arial" w:cs="Arial"/>
      <w:kern w:val="2"/>
    </w:rPr>
  </w:style>
  <w:style w:type="character" w:customStyle="1" w:styleId="1321">
    <w:name w:val="表题1 Char2"/>
    <w:qFormat/>
    <w:uiPriority w:val="0"/>
    <w:rPr>
      <w:rFonts w:hAnsi="Arial" w:eastAsia="宋体" w:cs="Arial"/>
      <w:kern w:val="2"/>
      <w:sz w:val="24"/>
      <w:szCs w:val="24"/>
      <w:lang w:val="en-US" w:eastAsia="zh-CN" w:bidi="ar-SA"/>
    </w:rPr>
  </w:style>
  <w:style w:type="paragraph" w:customStyle="1" w:styleId="1322">
    <w:name w:val="燕山正文2"/>
    <w:basedOn w:val="1"/>
    <w:qFormat/>
    <w:uiPriority w:val="0"/>
    <w:pPr>
      <w:tabs>
        <w:tab w:val="left" w:pos="4680"/>
      </w:tabs>
      <w:adjustRightInd w:val="0"/>
      <w:snapToGrid w:val="0"/>
      <w:spacing w:line="480" w:lineRule="exact"/>
    </w:pPr>
    <w:rPr>
      <w:rFonts w:ascii="宋体" w:hAnsi="宋体" w:cs="宋体"/>
      <w:sz w:val="24"/>
    </w:rPr>
  </w:style>
  <w:style w:type="character" w:customStyle="1" w:styleId="1323">
    <w:name w:val="燕山正文 Char12"/>
    <w:qFormat/>
    <w:uiPriority w:val="0"/>
    <w:rPr>
      <w:rFonts w:ascii="宋体" w:eastAsia="宋体" w:cs="宋体"/>
      <w:kern w:val="2"/>
      <w:sz w:val="24"/>
      <w:szCs w:val="24"/>
      <w:lang w:val="en-US" w:eastAsia="zh-CN" w:bidi="ar-SA"/>
    </w:rPr>
  </w:style>
  <w:style w:type="paragraph" w:customStyle="1" w:styleId="1324">
    <w:name w:val="正文修改2"/>
    <w:basedOn w:val="1180"/>
    <w:qFormat/>
    <w:uiPriority w:val="0"/>
    <w:rPr>
      <w:rFonts w:hAnsi="宋体"/>
      <w:color w:val="000000"/>
    </w:rPr>
  </w:style>
  <w:style w:type="character" w:customStyle="1" w:styleId="1325">
    <w:name w:val="正文修改 Char12"/>
    <w:qFormat/>
    <w:uiPriority w:val="0"/>
    <w:rPr>
      <w:rFonts w:ascii="宋体" w:hAnsi="宋体" w:eastAsia="宋体" w:cs="宋体"/>
      <w:color w:val="000000"/>
      <w:kern w:val="2"/>
      <w:sz w:val="24"/>
      <w:szCs w:val="24"/>
      <w:lang w:val="en-US" w:eastAsia="zh-CN" w:bidi="ar-SA"/>
    </w:rPr>
  </w:style>
  <w:style w:type="character" w:customStyle="1" w:styleId="1326">
    <w:name w:val="标题正文黑 Char1"/>
    <w:qFormat/>
    <w:uiPriority w:val="0"/>
    <w:rPr>
      <w:rFonts w:ascii="黑体" w:eastAsia="黑体"/>
      <w:kern w:val="2"/>
      <w:sz w:val="28"/>
      <w:szCs w:val="28"/>
      <w:lang w:val="en-US" w:eastAsia="zh-CN" w:bidi="ar-SA"/>
    </w:rPr>
  </w:style>
  <w:style w:type="paragraph" w:customStyle="1" w:styleId="1327">
    <w:name w:val="表中文字2"/>
    <w:basedOn w:val="1"/>
    <w:qFormat/>
    <w:uiPriority w:val="0"/>
    <w:pPr>
      <w:widowControl/>
      <w:adjustRightInd w:val="0"/>
      <w:spacing w:line="240" w:lineRule="atLeast"/>
      <w:ind w:right="-42" w:rightChars="-20"/>
      <w:jc w:val="center"/>
      <w:textAlignment w:val="baseline"/>
    </w:pPr>
    <w:rPr>
      <w:rFonts w:ascii="宋体" w:hAnsi="宋体" w:cs="宋体"/>
      <w:kern w:val="0"/>
      <w:szCs w:val="21"/>
    </w:rPr>
  </w:style>
  <w:style w:type="character" w:customStyle="1" w:styleId="1328">
    <w:name w:val="表中文字 Char22"/>
    <w:qFormat/>
    <w:uiPriority w:val="0"/>
    <w:rPr>
      <w:rFonts w:ascii="宋体" w:eastAsia="宋体"/>
      <w:kern w:val="2"/>
      <w:sz w:val="21"/>
      <w:szCs w:val="21"/>
      <w:lang w:val="en-US" w:eastAsia="zh-CN" w:bidi="ar-SA"/>
    </w:rPr>
  </w:style>
  <w:style w:type="paragraph" w:customStyle="1" w:styleId="1329">
    <w:name w:val="表文字52"/>
    <w:basedOn w:val="1"/>
    <w:qFormat/>
    <w:uiPriority w:val="0"/>
    <w:pPr>
      <w:adjustRightInd w:val="0"/>
      <w:jc w:val="left"/>
      <w:textAlignment w:val="baseline"/>
    </w:pPr>
    <w:rPr>
      <w:rFonts w:ascii="宋体" w:hAnsi="宋体" w:cs="宋体"/>
      <w:kern w:val="0"/>
    </w:rPr>
  </w:style>
  <w:style w:type="paragraph" w:customStyle="1" w:styleId="1330">
    <w:name w:val="表内文字小312"/>
    <w:basedOn w:val="1"/>
    <w:qFormat/>
    <w:uiPriority w:val="0"/>
    <w:pPr>
      <w:adjustRightInd w:val="0"/>
      <w:snapToGrid w:val="0"/>
      <w:jc w:val="center"/>
    </w:pPr>
    <w:rPr>
      <w:rFonts w:ascii="宋体" w:hAnsi="Times" w:cs="宋体"/>
      <w:bCs/>
      <w:color w:val="003366"/>
    </w:rPr>
  </w:style>
  <w:style w:type="paragraph" w:customStyle="1" w:styleId="1331">
    <w:name w:val="样式12"/>
    <w:basedOn w:val="1227"/>
    <w:qFormat/>
    <w:uiPriority w:val="0"/>
    <w:pPr>
      <w:spacing w:line="240" w:lineRule="auto"/>
      <w:ind w:firstLine="0"/>
      <w:jc w:val="center"/>
    </w:pPr>
    <w:rPr>
      <w:rFonts w:cs="Times New Roman"/>
      <w:b/>
      <w:color w:val="auto"/>
      <w:szCs w:val="20"/>
    </w:rPr>
  </w:style>
  <w:style w:type="character" w:customStyle="1" w:styleId="1332">
    <w:name w:val="样式 表内小5 + 黑体 加粗 倾斜 下划线 Char51"/>
    <w:qFormat/>
    <w:uiPriority w:val="0"/>
    <w:rPr>
      <w:rFonts w:ascii="黑体" w:hAnsi="黑体" w:eastAsia="黑体"/>
      <w:b/>
      <w:bCs/>
      <w:i/>
      <w:iCs/>
      <w:kern w:val="2"/>
      <w:sz w:val="18"/>
      <w:szCs w:val="24"/>
      <w:u w:val="single"/>
      <w:lang w:val="en-US" w:eastAsia="zh-CN" w:bidi="ar-SA"/>
    </w:rPr>
  </w:style>
  <w:style w:type="paragraph" w:customStyle="1" w:styleId="1333">
    <w:name w:val="Char334"/>
    <w:basedOn w:val="1"/>
    <w:qFormat/>
    <w:uiPriority w:val="0"/>
    <w:pPr>
      <w:ind w:left="-48"/>
    </w:pPr>
    <w:rPr>
      <w:rFonts w:ascii="宋体" w:hAnsi="宋体" w:cs="宋体"/>
    </w:rPr>
  </w:style>
  <w:style w:type="paragraph" w:customStyle="1" w:styleId="1334">
    <w:name w:val="表内文字小22"/>
    <w:basedOn w:val="1"/>
    <w:qFormat/>
    <w:uiPriority w:val="0"/>
    <w:pPr>
      <w:adjustRightInd w:val="0"/>
      <w:snapToGrid w:val="0"/>
      <w:jc w:val="center"/>
    </w:pPr>
    <w:rPr>
      <w:rFonts w:ascii="宋体" w:hAnsi="Times" w:cs="宋体"/>
      <w:bCs/>
      <w:color w:val="000000"/>
    </w:rPr>
  </w:style>
  <w:style w:type="paragraph" w:customStyle="1" w:styleId="1335">
    <w:name w:val="表内531"/>
    <w:basedOn w:val="1"/>
    <w:qFormat/>
    <w:uiPriority w:val="0"/>
    <w:pPr>
      <w:adjustRightInd w:val="0"/>
      <w:snapToGrid w:val="0"/>
      <w:spacing w:line="300" w:lineRule="auto"/>
      <w:jc w:val="left"/>
    </w:pPr>
    <w:rPr>
      <w:rFonts w:ascii="宋体" w:hAnsi="宋体" w:cs="宋体"/>
    </w:rPr>
  </w:style>
  <w:style w:type="paragraph" w:customStyle="1" w:styleId="1336">
    <w:name w:val="正文格式21"/>
    <w:basedOn w:val="1"/>
    <w:qFormat/>
    <w:uiPriority w:val="0"/>
    <w:pPr>
      <w:spacing w:line="360" w:lineRule="auto"/>
      <w:ind w:firstLine="482"/>
    </w:pPr>
    <w:rPr>
      <w:rFonts w:ascii="宋体" w:hAnsi="宋体" w:cs="宋体"/>
      <w:sz w:val="24"/>
    </w:rPr>
  </w:style>
  <w:style w:type="paragraph" w:customStyle="1" w:styleId="1337">
    <w:name w:val="图题21"/>
    <w:basedOn w:val="315"/>
    <w:next w:val="315"/>
    <w:qFormat/>
    <w:uiPriority w:val="0"/>
    <w:pPr>
      <w:ind w:firstLine="0"/>
      <w:jc w:val="center"/>
    </w:pPr>
    <w:rPr>
      <w:rFonts w:ascii="黑体" w:hAnsi="宋体" w:eastAsia="黑体"/>
      <w:bCs/>
      <w:spacing w:val="0"/>
    </w:rPr>
  </w:style>
  <w:style w:type="paragraph" w:customStyle="1" w:styleId="1338">
    <w:name w:val="表格内字体21"/>
    <w:basedOn w:val="315"/>
    <w:next w:val="315"/>
    <w:qFormat/>
    <w:uiPriority w:val="0"/>
    <w:pPr>
      <w:adjustRightInd w:val="0"/>
      <w:snapToGrid w:val="0"/>
      <w:spacing w:line="240" w:lineRule="auto"/>
      <w:ind w:firstLine="0"/>
      <w:jc w:val="center"/>
    </w:pPr>
    <w:rPr>
      <w:rFonts w:hAnsi="宋体"/>
      <w:b w:val="0"/>
      <w:spacing w:val="0"/>
      <w:sz w:val="21"/>
    </w:rPr>
  </w:style>
  <w:style w:type="character" w:customStyle="1" w:styleId="1339">
    <w:name w:val="Char Char61"/>
    <w:qFormat/>
    <w:uiPriority w:val="0"/>
    <w:rPr>
      <w:rFonts w:eastAsia="宋体"/>
      <w:b/>
      <w:bCs/>
      <w:kern w:val="2"/>
      <w:sz w:val="28"/>
      <w:szCs w:val="28"/>
      <w:lang w:val="en-US" w:eastAsia="zh-CN" w:bidi="ar-SA"/>
    </w:rPr>
  </w:style>
  <w:style w:type="paragraph" w:customStyle="1" w:styleId="1340">
    <w:name w:val="表题111"/>
    <w:basedOn w:val="23"/>
    <w:qFormat/>
    <w:uiPriority w:val="0"/>
    <w:pPr>
      <w:widowControl w:val="0"/>
      <w:spacing w:line="360" w:lineRule="auto"/>
      <w:jc w:val="center"/>
    </w:pPr>
    <w:rPr>
      <w:rFonts w:ascii="黑体" w:hAnsi="Arial" w:cs="Arial"/>
      <w:b/>
      <w:kern w:val="2"/>
    </w:rPr>
  </w:style>
  <w:style w:type="character" w:customStyle="1" w:styleId="1341">
    <w:name w:val="表题1 Char11"/>
    <w:qFormat/>
    <w:uiPriority w:val="0"/>
    <w:rPr>
      <w:rFonts w:hAnsi="Arial" w:eastAsia="宋体" w:cs="Arial"/>
      <w:kern w:val="2"/>
      <w:sz w:val="24"/>
      <w:szCs w:val="24"/>
      <w:lang w:val="en-US" w:eastAsia="zh-CN" w:bidi="ar-SA"/>
    </w:rPr>
  </w:style>
  <w:style w:type="paragraph" w:customStyle="1" w:styleId="1342">
    <w:name w:val="表中文字11"/>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343">
    <w:name w:val="表文字511"/>
    <w:basedOn w:val="1"/>
    <w:qFormat/>
    <w:uiPriority w:val="0"/>
    <w:pPr>
      <w:adjustRightInd w:val="0"/>
      <w:jc w:val="left"/>
      <w:textAlignment w:val="baseline"/>
    </w:pPr>
    <w:rPr>
      <w:rFonts w:ascii="宋体" w:hAnsi="宋体" w:cs="宋体"/>
      <w:kern w:val="0"/>
    </w:rPr>
  </w:style>
  <w:style w:type="character" w:customStyle="1" w:styleId="1344">
    <w:name w:val="批注框文本 Char1"/>
    <w:qFormat/>
    <w:uiPriority w:val="0"/>
    <w:rPr>
      <w:rFonts w:eastAsia="宋体"/>
      <w:kern w:val="2"/>
      <w:sz w:val="18"/>
      <w:szCs w:val="18"/>
      <w:lang w:val="en-US" w:eastAsia="zh-CN" w:bidi="ar-SA"/>
    </w:rPr>
  </w:style>
  <w:style w:type="paragraph" w:customStyle="1" w:styleId="1345">
    <w:name w:val="正文格式4"/>
    <w:basedOn w:val="1"/>
    <w:qFormat/>
    <w:uiPriority w:val="0"/>
    <w:pPr>
      <w:spacing w:line="360" w:lineRule="auto"/>
      <w:ind w:firstLine="482"/>
    </w:pPr>
    <w:rPr>
      <w:rFonts w:ascii="宋体" w:hAnsi="宋体" w:cs="宋体"/>
      <w:sz w:val="24"/>
    </w:rPr>
  </w:style>
  <w:style w:type="paragraph" w:customStyle="1" w:styleId="1346">
    <w:name w:val="图题4"/>
    <w:basedOn w:val="315"/>
    <w:next w:val="315"/>
    <w:qFormat/>
    <w:uiPriority w:val="0"/>
    <w:pPr>
      <w:ind w:firstLine="0"/>
      <w:jc w:val="center"/>
    </w:pPr>
    <w:rPr>
      <w:rFonts w:ascii="黑体" w:hAnsi="宋体" w:eastAsia="黑体"/>
      <w:bCs/>
      <w:spacing w:val="0"/>
    </w:rPr>
  </w:style>
  <w:style w:type="paragraph" w:customStyle="1" w:styleId="1347">
    <w:name w:val="表格内字体4"/>
    <w:basedOn w:val="315"/>
    <w:next w:val="315"/>
    <w:qFormat/>
    <w:uiPriority w:val="0"/>
    <w:pPr>
      <w:spacing w:line="240" w:lineRule="auto"/>
      <w:ind w:firstLine="0"/>
      <w:jc w:val="center"/>
    </w:pPr>
    <w:rPr>
      <w:rFonts w:hAnsi="宋体"/>
      <w:b w:val="0"/>
      <w:spacing w:val="0"/>
      <w:sz w:val="21"/>
    </w:rPr>
  </w:style>
  <w:style w:type="character" w:customStyle="1" w:styleId="1348">
    <w:name w:val="表格内字体 Char4"/>
    <w:qFormat/>
    <w:uiPriority w:val="0"/>
    <w:rPr>
      <w:rFonts w:ascii="宋体" w:hAnsi="宋体" w:eastAsia="宋体"/>
      <w:kern w:val="2"/>
      <w:sz w:val="21"/>
      <w:szCs w:val="24"/>
      <w:lang w:val="en-US" w:eastAsia="zh-CN" w:bidi="ar-SA"/>
    </w:rPr>
  </w:style>
  <w:style w:type="character" w:customStyle="1" w:styleId="1349">
    <w:name w:val="正文格式 Char4"/>
    <w:qFormat/>
    <w:uiPriority w:val="0"/>
    <w:rPr>
      <w:rFonts w:ascii="宋体" w:hAnsi="宋体" w:eastAsia="宋体"/>
      <w:kern w:val="2"/>
      <w:sz w:val="24"/>
      <w:szCs w:val="24"/>
      <w:lang w:val="en-US" w:eastAsia="zh-CN" w:bidi="ar-SA"/>
    </w:rPr>
  </w:style>
  <w:style w:type="character" w:customStyle="1" w:styleId="1350">
    <w:name w:val="标题 2 Char2"/>
    <w:qFormat/>
    <w:uiPriority w:val="0"/>
    <w:rPr>
      <w:rFonts w:ascii="黑体" w:hAnsi="Arial" w:eastAsia="黑体"/>
      <w:b/>
      <w:bCs/>
      <w:kern w:val="2"/>
      <w:sz w:val="30"/>
      <w:szCs w:val="30"/>
      <w:lang w:val="en-US" w:eastAsia="zh-CN" w:bidi="ar-SA"/>
    </w:rPr>
  </w:style>
  <w:style w:type="character" w:customStyle="1" w:styleId="1351">
    <w:name w:val="标题 3 Char2"/>
    <w:qFormat/>
    <w:uiPriority w:val="0"/>
    <w:rPr>
      <w:rFonts w:ascii="黑体" w:hAnsi="宋体" w:eastAsia="黑体"/>
      <w:b/>
      <w:bCs/>
      <w:kern w:val="2"/>
      <w:sz w:val="28"/>
      <w:szCs w:val="28"/>
      <w:lang w:val="en-US" w:eastAsia="zh-CN" w:bidi="ar-SA"/>
    </w:rPr>
  </w:style>
  <w:style w:type="character" w:customStyle="1" w:styleId="1352">
    <w:name w:val="Char Char111"/>
    <w:qFormat/>
    <w:uiPriority w:val="0"/>
    <w:rPr>
      <w:rFonts w:ascii="黑体" w:hAnsi="Arial" w:eastAsia="黑体"/>
      <w:b/>
      <w:bCs/>
      <w:kern w:val="2"/>
      <w:sz w:val="30"/>
      <w:szCs w:val="30"/>
      <w:lang w:val="en-US" w:eastAsia="zh-CN" w:bidi="ar-SA"/>
    </w:rPr>
  </w:style>
  <w:style w:type="character" w:customStyle="1" w:styleId="1353">
    <w:name w:val="Char Char23"/>
    <w:qFormat/>
    <w:uiPriority w:val="0"/>
    <w:rPr>
      <w:rFonts w:ascii="黑体" w:eastAsia="黑体"/>
      <w:b/>
      <w:bCs/>
      <w:kern w:val="2"/>
      <w:sz w:val="28"/>
      <w:szCs w:val="28"/>
      <w:lang w:val="en-US" w:eastAsia="zh-CN" w:bidi="ar-SA"/>
    </w:rPr>
  </w:style>
  <w:style w:type="paragraph" w:customStyle="1" w:styleId="1354">
    <w:name w:val="表题13"/>
    <w:basedOn w:val="23"/>
    <w:qFormat/>
    <w:uiPriority w:val="0"/>
    <w:pPr>
      <w:widowControl w:val="0"/>
      <w:spacing w:line="360" w:lineRule="auto"/>
      <w:jc w:val="center"/>
    </w:pPr>
    <w:rPr>
      <w:rFonts w:ascii="黑体" w:hAnsi="Arial" w:cs="Arial"/>
      <w:b/>
      <w:kern w:val="2"/>
    </w:rPr>
  </w:style>
  <w:style w:type="character" w:customStyle="1" w:styleId="1355">
    <w:name w:val="表题1 Char3"/>
    <w:qFormat/>
    <w:uiPriority w:val="0"/>
    <w:rPr>
      <w:rFonts w:ascii="黑体" w:hAnsi="Arial" w:eastAsia="黑体" w:cs="Arial"/>
      <w:b/>
      <w:kern w:val="2"/>
      <w:sz w:val="24"/>
      <w:szCs w:val="24"/>
      <w:lang w:val="en-US" w:eastAsia="zh-CN" w:bidi="ar-SA"/>
    </w:rPr>
  </w:style>
  <w:style w:type="paragraph" w:customStyle="1" w:styleId="1356">
    <w:name w:val="默认段落字体 Para Char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1357">
    <w:name w:val="Char Char Char Char Char Char Char12"/>
    <w:basedOn w:val="1"/>
    <w:qFormat/>
    <w:uiPriority w:val="0"/>
    <w:rPr>
      <w:rFonts w:ascii="宋体" w:hAnsi="宋体" w:cs="宋体"/>
    </w:rPr>
  </w:style>
  <w:style w:type="paragraph" w:customStyle="1" w:styleId="1358">
    <w:name w:val="Char510"/>
    <w:basedOn w:val="1"/>
    <w:qFormat/>
    <w:uiPriority w:val="0"/>
    <w:pPr>
      <w:adjustRightInd w:val="0"/>
      <w:snapToGrid w:val="0"/>
      <w:ind w:left="-45"/>
    </w:pPr>
    <w:rPr>
      <w:rFonts w:ascii="宋体" w:hAnsi="宋体" w:cs="宋体"/>
    </w:rPr>
  </w:style>
  <w:style w:type="paragraph" w:customStyle="1" w:styleId="1359">
    <w:name w:val="燕山正文113"/>
    <w:basedOn w:val="1"/>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character" w:customStyle="1" w:styleId="1360">
    <w:name w:val="批注框文本 Char2"/>
    <w:qFormat/>
    <w:uiPriority w:val="0"/>
    <w:rPr>
      <w:rFonts w:eastAsia="宋体"/>
      <w:kern w:val="2"/>
      <w:sz w:val="18"/>
      <w:szCs w:val="18"/>
      <w:lang w:val="en-US" w:eastAsia="zh-CN" w:bidi="ar-SA"/>
    </w:rPr>
  </w:style>
  <w:style w:type="paragraph" w:customStyle="1" w:styleId="1361">
    <w:name w:val="正文格式5"/>
    <w:basedOn w:val="1"/>
    <w:qFormat/>
    <w:uiPriority w:val="0"/>
    <w:pPr>
      <w:spacing w:line="360" w:lineRule="auto"/>
      <w:ind w:firstLine="482"/>
    </w:pPr>
    <w:rPr>
      <w:rFonts w:ascii="宋体" w:hAnsi="宋体" w:cs="宋体"/>
      <w:sz w:val="24"/>
    </w:rPr>
  </w:style>
  <w:style w:type="character" w:customStyle="1" w:styleId="1362">
    <w:name w:val="正文格式 Char5"/>
    <w:qFormat/>
    <w:uiPriority w:val="0"/>
    <w:rPr>
      <w:rFonts w:ascii="宋体" w:hAnsi="宋体" w:eastAsia="宋体"/>
      <w:kern w:val="2"/>
      <w:sz w:val="24"/>
      <w:szCs w:val="24"/>
      <w:lang w:val="en-US" w:eastAsia="zh-CN" w:bidi="ar-SA"/>
    </w:rPr>
  </w:style>
  <w:style w:type="character" w:customStyle="1" w:styleId="1363">
    <w:name w:val="标题 2 Char3"/>
    <w:qFormat/>
    <w:uiPriority w:val="0"/>
    <w:rPr>
      <w:rFonts w:ascii="黑体" w:hAnsi="Arial" w:eastAsia="黑体"/>
      <w:bCs/>
      <w:kern w:val="2"/>
      <w:sz w:val="30"/>
      <w:szCs w:val="30"/>
      <w:lang w:val="en-US" w:eastAsia="zh-CN" w:bidi="ar-SA"/>
    </w:rPr>
  </w:style>
  <w:style w:type="character" w:customStyle="1" w:styleId="1364">
    <w:name w:val="标题 3 Char3"/>
    <w:qFormat/>
    <w:uiPriority w:val="0"/>
    <w:rPr>
      <w:rFonts w:ascii="黑体" w:hAnsi="宋体" w:eastAsia="黑体"/>
      <w:b/>
      <w:bCs/>
      <w:kern w:val="2"/>
      <w:sz w:val="28"/>
      <w:szCs w:val="28"/>
      <w:lang w:val="en-US" w:eastAsia="zh-CN" w:bidi="ar-SA"/>
    </w:rPr>
  </w:style>
  <w:style w:type="paragraph" w:customStyle="1" w:styleId="1365">
    <w:name w:val="Char31"/>
    <w:basedOn w:val="1"/>
    <w:qFormat/>
    <w:uiPriority w:val="0"/>
    <w:pPr>
      <w:ind w:left="-48"/>
    </w:pPr>
    <w:rPr>
      <w:rFonts w:ascii="宋体" w:hAnsi="宋体" w:cs="宋体"/>
    </w:rPr>
  </w:style>
  <w:style w:type="character" w:customStyle="1" w:styleId="1366">
    <w:name w:val="题注 Char3"/>
    <w:qFormat/>
    <w:uiPriority w:val="0"/>
    <w:rPr>
      <w:rFonts w:ascii="黑体" w:hAnsi="Arial" w:eastAsia="黑体" w:cs="Arial"/>
      <w:spacing w:val="10"/>
      <w:kern w:val="2"/>
      <w:sz w:val="24"/>
      <w:szCs w:val="24"/>
      <w:lang w:val="en-US" w:eastAsia="zh-CN" w:bidi="ar-SA"/>
    </w:rPr>
  </w:style>
  <w:style w:type="paragraph" w:customStyle="1" w:styleId="1367">
    <w:name w:val="图题5"/>
    <w:basedOn w:val="315"/>
    <w:next w:val="315"/>
    <w:qFormat/>
    <w:uiPriority w:val="0"/>
    <w:pPr>
      <w:ind w:firstLine="0"/>
      <w:jc w:val="center"/>
    </w:pPr>
    <w:rPr>
      <w:rFonts w:ascii="黑体" w:hAnsi="宋体" w:eastAsia="黑体"/>
      <w:bCs/>
      <w:spacing w:val="0"/>
    </w:rPr>
  </w:style>
  <w:style w:type="paragraph" w:customStyle="1" w:styleId="1368">
    <w:name w:val="表格内字体5"/>
    <w:basedOn w:val="315"/>
    <w:next w:val="315"/>
    <w:qFormat/>
    <w:uiPriority w:val="0"/>
    <w:pPr>
      <w:adjustRightInd w:val="0"/>
      <w:snapToGrid w:val="0"/>
      <w:spacing w:line="240" w:lineRule="auto"/>
      <w:ind w:firstLine="0"/>
    </w:pPr>
    <w:rPr>
      <w:rFonts w:hAnsi="宋体"/>
      <w:b w:val="0"/>
      <w:spacing w:val="0"/>
      <w:sz w:val="21"/>
    </w:rPr>
  </w:style>
  <w:style w:type="character" w:customStyle="1" w:styleId="1369">
    <w:name w:val="表格内字体 Char5"/>
    <w:qFormat/>
    <w:uiPriority w:val="0"/>
    <w:rPr>
      <w:rFonts w:ascii="宋体" w:hAnsi="宋体" w:eastAsia="宋体"/>
      <w:kern w:val="2"/>
      <w:sz w:val="21"/>
      <w:szCs w:val="24"/>
      <w:lang w:val="en-US" w:eastAsia="zh-CN" w:bidi="ar-SA"/>
    </w:rPr>
  </w:style>
  <w:style w:type="paragraph" w:customStyle="1" w:styleId="1370">
    <w:name w:val="表3"/>
    <w:basedOn w:val="1"/>
    <w:qFormat/>
    <w:uiPriority w:val="0"/>
    <w:pPr>
      <w:adjustRightInd w:val="0"/>
      <w:snapToGrid w:val="0"/>
      <w:jc w:val="center"/>
    </w:pPr>
    <w:rPr>
      <w:rFonts w:ascii="宋体" w:hAnsi="宋体" w:eastAsia="仿宋_GB2312" w:cs="宋体"/>
      <w:sz w:val="24"/>
    </w:rPr>
  </w:style>
  <w:style w:type="paragraph" w:customStyle="1" w:styleId="1371">
    <w:name w:val="正文.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372">
    <w:name w:val="文本框1"/>
    <w:basedOn w:val="1"/>
    <w:qFormat/>
    <w:uiPriority w:val="0"/>
    <w:pPr>
      <w:adjustRightInd w:val="0"/>
      <w:snapToGrid w:val="0"/>
      <w:spacing w:after="6"/>
      <w:jc w:val="center"/>
    </w:pPr>
    <w:rPr>
      <w:rFonts w:ascii="宋体" w:hAnsi="宋体" w:eastAsia="仿宋_GB2312" w:cs="宋体"/>
    </w:rPr>
  </w:style>
  <w:style w:type="paragraph" w:customStyle="1" w:styleId="1373">
    <w:name w:val="表内宋5111"/>
    <w:basedOn w:val="81"/>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1374">
    <w:name w:val="表内文字小313"/>
    <w:basedOn w:val="1"/>
    <w:qFormat/>
    <w:uiPriority w:val="0"/>
    <w:pPr>
      <w:adjustRightInd w:val="0"/>
      <w:snapToGrid w:val="0"/>
      <w:jc w:val="center"/>
    </w:pPr>
    <w:rPr>
      <w:rFonts w:ascii="宋体" w:hAnsi="Times" w:cs="宋体"/>
      <w:bCs/>
      <w:color w:val="003366"/>
    </w:rPr>
  </w:style>
  <w:style w:type="paragraph" w:customStyle="1" w:styleId="1375">
    <w:name w:val="表文字53"/>
    <w:basedOn w:val="1"/>
    <w:qFormat/>
    <w:uiPriority w:val="0"/>
    <w:pPr>
      <w:adjustRightInd w:val="0"/>
      <w:jc w:val="left"/>
      <w:textAlignment w:val="baseline"/>
    </w:pPr>
    <w:rPr>
      <w:rFonts w:ascii="宋体" w:hAnsi="宋体" w:cs="宋体"/>
      <w:kern w:val="0"/>
    </w:rPr>
  </w:style>
  <w:style w:type="paragraph" w:customStyle="1" w:styleId="1376">
    <w:name w:val="Char Char Char Char Char Char Char2"/>
    <w:basedOn w:val="1"/>
    <w:qFormat/>
    <w:uiPriority w:val="0"/>
    <w:rPr>
      <w:rFonts w:ascii="宋体" w:hAnsi="宋体" w:cs="宋体"/>
    </w:rPr>
  </w:style>
  <w:style w:type="paragraph" w:customStyle="1" w:styleId="1377">
    <w:name w:val="表题313"/>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378">
    <w:name w:val="表内文字小213"/>
    <w:basedOn w:val="1"/>
    <w:qFormat/>
    <w:uiPriority w:val="0"/>
    <w:pPr>
      <w:adjustRightInd w:val="0"/>
      <w:snapToGrid w:val="0"/>
      <w:jc w:val="center"/>
      <w:textAlignment w:val="baseline"/>
    </w:pPr>
    <w:rPr>
      <w:rFonts w:ascii="宋体" w:hAnsi="Times" w:cs="宋体"/>
      <w:bCs/>
      <w:color w:val="000000"/>
    </w:rPr>
  </w:style>
  <w:style w:type="paragraph" w:customStyle="1" w:styleId="1379">
    <w:name w:val="燕山正文3"/>
    <w:basedOn w:val="1"/>
    <w:qFormat/>
    <w:uiPriority w:val="0"/>
    <w:pPr>
      <w:tabs>
        <w:tab w:val="left" w:pos="4680"/>
      </w:tabs>
      <w:adjustRightInd w:val="0"/>
      <w:snapToGrid w:val="0"/>
      <w:spacing w:line="480" w:lineRule="exact"/>
    </w:pPr>
    <w:rPr>
      <w:rFonts w:ascii="宋体" w:hAnsi="宋体" w:cs="宋体"/>
      <w:sz w:val="24"/>
    </w:rPr>
  </w:style>
  <w:style w:type="character" w:customStyle="1" w:styleId="1380">
    <w:name w:val="燕山正文 Char13"/>
    <w:qFormat/>
    <w:uiPriority w:val="0"/>
    <w:rPr>
      <w:rFonts w:ascii="宋体" w:eastAsia="宋体" w:cs="宋体"/>
      <w:kern w:val="2"/>
      <w:sz w:val="24"/>
      <w:szCs w:val="24"/>
      <w:lang w:val="en-US" w:eastAsia="zh-CN" w:bidi="ar-SA"/>
    </w:rPr>
  </w:style>
  <w:style w:type="paragraph" w:customStyle="1" w:styleId="1381">
    <w:name w:val="正文修改3"/>
    <w:basedOn w:val="1180"/>
    <w:qFormat/>
    <w:uiPriority w:val="0"/>
    <w:rPr>
      <w:rFonts w:hAnsi="宋体"/>
      <w:color w:val="000000"/>
    </w:rPr>
  </w:style>
  <w:style w:type="character" w:customStyle="1" w:styleId="1382">
    <w:name w:val="正文修改 Char13"/>
    <w:qFormat/>
    <w:uiPriority w:val="0"/>
    <w:rPr>
      <w:rFonts w:ascii="宋体" w:hAnsi="宋体" w:eastAsia="宋体" w:cs="宋体"/>
      <w:color w:val="000000"/>
      <w:kern w:val="2"/>
      <w:sz w:val="24"/>
      <w:szCs w:val="24"/>
      <w:lang w:val="en-US" w:eastAsia="zh-CN" w:bidi="ar-SA"/>
    </w:rPr>
  </w:style>
  <w:style w:type="paragraph" w:customStyle="1" w:styleId="1383">
    <w:name w:val="表题14"/>
    <w:basedOn w:val="23"/>
    <w:qFormat/>
    <w:uiPriority w:val="0"/>
    <w:pPr>
      <w:widowControl w:val="0"/>
      <w:spacing w:line="360" w:lineRule="auto"/>
      <w:jc w:val="center"/>
    </w:pPr>
    <w:rPr>
      <w:rFonts w:ascii="黑体" w:hAnsi="Arial" w:cs="Arial"/>
      <w:b/>
      <w:kern w:val="2"/>
    </w:rPr>
  </w:style>
  <w:style w:type="character" w:customStyle="1" w:styleId="1384">
    <w:name w:val="表题1 Char4"/>
    <w:qFormat/>
    <w:uiPriority w:val="0"/>
    <w:rPr>
      <w:rFonts w:ascii="黑体" w:hAnsi="Arial" w:eastAsia="黑体" w:cs="Arial"/>
      <w:b/>
      <w:kern w:val="2"/>
      <w:sz w:val="24"/>
      <w:szCs w:val="24"/>
      <w:lang w:val="en-US" w:eastAsia="zh-CN" w:bidi="ar-SA"/>
    </w:rPr>
  </w:style>
  <w:style w:type="paragraph" w:customStyle="1" w:styleId="1385">
    <w:name w:val="表中文字3"/>
    <w:basedOn w:val="1"/>
    <w:qFormat/>
    <w:uiPriority w:val="0"/>
    <w:pPr>
      <w:widowControl/>
      <w:spacing w:line="240" w:lineRule="atLeast"/>
      <w:ind w:left="-24" w:leftChars="-10" w:right="-48" w:rightChars="-20"/>
      <w:jc w:val="center"/>
    </w:pPr>
    <w:rPr>
      <w:rFonts w:ascii="宋体" w:hAnsi="宋体" w:cs="宋体"/>
      <w:kern w:val="0"/>
      <w:szCs w:val="21"/>
    </w:rPr>
  </w:style>
  <w:style w:type="character" w:customStyle="1" w:styleId="1386">
    <w:name w:val="表中文字 Char23"/>
    <w:qFormat/>
    <w:uiPriority w:val="0"/>
    <w:rPr>
      <w:rFonts w:ascii="宋体" w:eastAsia="宋体"/>
      <w:kern w:val="2"/>
      <w:sz w:val="21"/>
      <w:szCs w:val="21"/>
      <w:lang w:val="en-US" w:eastAsia="zh-CN" w:bidi="ar-SA"/>
    </w:rPr>
  </w:style>
  <w:style w:type="paragraph" w:customStyle="1" w:styleId="1387">
    <w:name w:val="黑体三号3"/>
    <w:basedOn w:val="315"/>
    <w:qFormat/>
    <w:uiPriority w:val="0"/>
    <w:pPr>
      <w:jc w:val="center"/>
    </w:pPr>
    <w:rPr>
      <w:rFonts w:ascii="黑体" w:hAnsi="宋体" w:eastAsia="黑体"/>
      <w:bCs/>
      <w:spacing w:val="0"/>
      <w:sz w:val="32"/>
    </w:rPr>
  </w:style>
  <w:style w:type="paragraph" w:customStyle="1" w:styleId="1388">
    <w:name w:val="默认段落字体 Para Char Char Char Char3"/>
    <w:basedOn w:val="1"/>
    <w:qFormat/>
    <w:uiPriority w:val="0"/>
    <w:rPr>
      <w:rFonts w:ascii="宋体" w:hAnsi="宋体" w:cs="宋体"/>
    </w:rPr>
  </w:style>
  <w:style w:type="paragraph" w:customStyle="1" w:styleId="1389">
    <w:name w:val="表内5413"/>
    <w:basedOn w:val="1"/>
    <w:qFormat/>
    <w:uiPriority w:val="0"/>
    <w:pPr>
      <w:adjustRightInd w:val="0"/>
      <w:snapToGrid w:val="0"/>
      <w:spacing w:line="300" w:lineRule="auto"/>
      <w:jc w:val="center"/>
    </w:pPr>
    <w:rPr>
      <w:rFonts w:ascii="宋体" w:hAnsi="宋体" w:cs="宋体"/>
    </w:rPr>
  </w:style>
  <w:style w:type="paragraph" w:customStyle="1" w:styleId="1390">
    <w:name w:val="Char610"/>
    <w:basedOn w:val="1"/>
    <w:qFormat/>
    <w:uiPriority w:val="0"/>
    <w:pPr>
      <w:adjustRightInd w:val="0"/>
      <w:snapToGrid w:val="0"/>
      <w:spacing w:beforeLines="50" w:line="360" w:lineRule="auto"/>
    </w:pPr>
    <w:rPr>
      <w:rFonts w:ascii="黑体" w:hAnsi="宋体" w:eastAsia="黑体" w:cs="宋体"/>
      <w:sz w:val="32"/>
      <w:szCs w:val="32"/>
    </w:rPr>
  </w:style>
  <w:style w:type="paragraph" w:customStyle="1" w:styleId="1391">
    <w:name w:val="表题211"/>
    <w:basedOn w:val="1"/>
    <w:qFormat/>
    <w:uiPriority w:val="0"/>
    <w:pPr>
      <w:widowControl/>
      <w:adjustRightInd w:val="0"/>
      <w:snapToGrid w:val="0"/>
      <w:jc w:val="center"/>
    </w:pPr>
    <w:rPr>
      <w:rFonts w:ascii="黑体" w:hAnsi="宋体" w:eastAsia="黑体" w:cs="宋体"/>
      <w:kern w:val="0"/>
      <w:sz w:val="24"/>
    </w:rPr>
  </w:style>
  <w:style w:type="paragraph" w:customStyle="1" w:styleId="1392">
    <w:name w:val="表内宋5中11"/>
    <w:basedOn w:val="1"/>
    <w:qFormat/>
    <w:uiPriority w:val="0"/>
    <w:pPr>
      <w:adjustRightInd w:val="0"/>
      <w:snapToGrid w:val="0"/>
      <w:jc w:val="center"/>
      <w:textAlignment w:val="baseline"/>
    </w:pPr>
    <w:rPr>
      <w:rFonts w:ascii="宋体" w:hAnsi="宋体" w:cs="宋体"/>
      <w:kern w:val="0"/>
    </w:rPr>
  </w:style>
  <w:style w:type="paragraph" w:customStyle="1" w:styleId="1393">
    <w:name w:val="表内宋5中1"/>
    <w:basedOn w:val="1"/>
    <w:qFormat/>
    <w:uiPriority w:val="0"/>
    <w:pPr>
      <w:adjustRightInd w:val="0"/>
      <w:snapToGrid w:val="0"/>
      <w:jc w:val="center"/>
      <w:textAlignment w:val="baseline"/>
    </w:pPr>
    <w:rPr>
      <w:rFonts w:ascii="宋体" w:hAnsi="宋体" w:cs="宋体"/>
      <w:kern w:val="0"/>
    </w:rPr>
  </w:style>
  <w:style w:type="paragraph" w:customStyle="1" w:styleId="1394">
    <w:name w:val="表内文字小11"/>
    <w:basedOn w:val="1"/>
    <w:qFormat/>
    <w:uiPriority w:val="0"/>
    <w:pPr>
      <w:adjustRightInd w:val="0"/>
      <w:snapToGrid w:val="0"/>
    </w:pPr>
    <w:rPr>
      <w:rFonts w:ascii="宋体" w:hAnsi="Times" w:cs="宋体"/>
    </w:rPr>
  </w:style>
  <w:style w:type="paragraph" w:customStyle="1" w:styleId="1395">
    <w:name w:val="标题411"/>
    <w:basedOn w:val="1"/>
    <w:qFormat/>
    <w:uiPriority w:val="0"/>
    <w:pPr>
      <w:adjustRightInd w:val="0"/>
      <w:snapToGrid w:val="0"/>
      <w:spacing w:line="300" w:lineRule="auto"/>
      <w:jc w:val="left"/>
    </w:pPr>
    <w:rPr>
      <w:rFonts w:ascii="黑体" w:hAnsi="宋体" w:eastAsia="黑体" w:cs="宋体"/>
      <w:bCs/>
      <w:sz w:val="24"/>
    </w:rPr>
  </w:style>
  <w:style w:type="paragraph" w:customStyle="1" w:styleId="1396">
    <w:name w:val="表题141"/>
    <w:basedOn w:val="1"/>
    <w:qFormat/>
    <w:uiPriority w:val="0"/>
    <w:pPr>
      <w:widowControl/>
      <w:adjustRightInd w:val="0"/>
      <w:snapToGrid w:val="0"/>
      <w:jc w:val="center"/>
    </w:pPr>
    <w:rPr>
      <w:rFonts w:ascii="黑体" w:hAnsi="宋体" w:eastAsia="黑体" w:cs="宋体"/>
      <w:kern w:val="0"/>
      <w:sz w:val="24"/>
    </w:rPr>
  </w:style>
  <w:style w:type="paragraph" w:customStyle="1" w:styleId="1397">
    <w:name w:val="表内文字小8"/>
    <w:basedOn w:val="1"/>
    <w:qFormat/>
    <w:uiPriority w:val="0"/>
    <w:pPr>
      <w:adjustRightInd w:val="0"/>
      <w:snapToGrid w:val="0"/>
      <w:jc w:val="center"/>
    </w:pPr>
    <w:rPr>
      <w:rFonts w:ascii="宋体" w:hAnsi="Times" w:cs="宋体"/>
    </w:rPr>
  </w:style>
  <w:style w:type="paragraph" w:customStyle="1" w:styleId="1398">
    <w:name w:val="默认段落字体 Para Char2"/>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1399">
    <w:name w:val="表内5中"/>
    <w:basedOn w:val="1"/>
    <w:qFormat/>
    <w:uiPriority w:val="0"/>
    <w:pPr>
      <w:adjustRightInd w:val="0"/>
      <w:snapToGrid w:val="0"/>
      <w:jc w:val="center"/>
    </w:pPr>
    <w:rPr>
      <w:rFonts w:ascii="宋体" w:hAnsi="宋体" w:cs="Arial"/>
      <w:snapToGrid w:val="0"/>
      <w:color w:val="000000"/>
      <w:szCs w:val="21"/>
    </w:rPr>
  </w:style>
  <w:style w:type="character" w:customStyle="1" w:styleId="1400">
    <w:name w:val="标题 2 Char4"/>
    <w:qFormat/>
    <w:uiPriority w:val="0"/>
    <w:rPr>
      <w:rFonts w:ascii="黑体" w:hAnsi="Arial" w:eastAsia="黑体" w:cs="Times New Roman"/>
      <w:bCs/>
      <w:kern w:val="2"/>
      <w:sz w:val="30"/>
      <w:szCs w:val="30"/>
      <w:lang w:val="en-US" w:eastAsia="zh-CN" w:bidi="ar-SA"/>
    </w:rPr>
  </w:style>
  <w:style w:type="character" w:customStyle="1" w:styleId="1401">
    <w:name w:val="标题 3 Char9"/>
    <w:qFormat/>
    <w:uiPriority w:val="0"/>
    <w:rPr>
      <w:rFonts w:ascii="黑体" w:hAnsi="宋体" w:eastAsia="黑体" w:cs="Times New Roman"/>
      <w:b/>
      <w:bCs/>
      <w:kern w:val="2"/>
      <w:sz w:val="28"/>
      <w:szCs w:val="28"/>
      <w:lang w:val="en-US" w:eastAsia="zh-CN" w:bidi="ar-SA"/>
    </w:rPr>
  </w:style>
  <w:style w:type="character" w:customStyle="1" w:styleId="1402">
    <w:name w:val="一级项 Char1"/>
    <w:qFormat/>
    <w:uiPriority w:val="0"/>
    <w:rPr>
      <w:rFonts w:eastAsia="宋体"/>
      <w:b/>
      <w:bCs/>
      <w:kern w:val="2"/>
      <w:sz w:val="28"/>
      <w:szCs w:val="28"/>
      <w:lang w:val="en-US" w:eastAsia="zh-CN" w:bidi="ar-SA"/>
    </w:rPr>
  </w:style>
  <w:style w:type="character" w:customStyle="1" w:styleId="1403">
    <w:name w:val="二级项 Char1"/>
    <w:qFormat/>
    <w:uiPriority w:val="0"/>
    <w:rPr>
      <w:rFonts w:ascii="Arial" w:hAnsi="Arial" w:eastAsia="黑体"/>
      <w:b/>
      <w:bCs/>
      <w:kern w:val="2"/>
      <w:sz w:val="24"/>
      <w:szCs w:val="24"/>
      <w:lang w:val="en-US" w:eastAsia="zh-CN" w:bidi="ar-SA"/>
    </w:rPr>
  </w:style>
  <w:style w:type="character" w:customStyle="1" w:styleId="1404">
    <w:name w:val="无级项 Char1"/>
    <w:qFormat/>
    <w:uiPriority w:val="0"/>
    <w:rPr>
      <w:rFonts w:eastAsia="宋体"/>
      <w:b/>
      <w:bCs/>
      <w:kern w:val="2"/>
      <w:sz w:val="24"/>
      <w:szCs w:val="24"/>
      <w:lang w:val="en-US" w:eastAsia="zh-CN" w:bidi="ar-SA"/>
    </w:rPr>
  </w:style>
  <w:style w:type="character" w:customStyle="1" w:styleId="1405">
    <w:name w:val="注 Char1"/>
    <w:qFormat/>
    <w:uiPriority w:val="0"/>
    <w:rPr>
      <w:rFonts w:ascii="Arial" w:hAnsi="Arial" w:eastAsia="黑体"/>
      <w:kern w:val="2"/>
      <w:sz w:val="24"/>
      <w:szCs w:val="24"/>
      <w:lang w:val="en-US" w:eastAsia="zh-CN" w:bidi="ar-SA"/>
    </w:rPr>
  </w:style>
  <w:style w:type="character" w:customStyle="1" w:styleId="1406">
    <w:name w:val="干标题(a) Char1"/>
    <w:qFormat/>
    <w:uiPriority w:val="0"/>
    <w:rPr>
      <w:rFonts w:ascii="Arial" w:hAnsi="Arial" w:eastAsia="黑体"/>
      <w:kern w:val="2"/>
      <w:sz w:val="21"/>
      <w:szCs w:val="21"/>
      <w:lang w:val="en-US" w:eastAsia="zh-CN" w:bidi="ar-SA"/>
    </w:rPr>
  </w:style>
  <w:style w:type="character" w:customStyle="1" w:styleId="1407">
    <w:name w:val="正文格式 Char6"/>
    <w:qFormat/>
    <w:uiPriority w:val="0"/>
    <w:rPr>
      <w:rFonts w:ascii="宋体" w:hAnsi="宋体" w:eastAsia="宋体" w:cs="Times New Roman"/>
      <w:kern w:val="2"/>
      <w:sz w:val="24"/>
      <w:szCs w:val="24"/>
      <w:lang w:val="en-US" w:eastAsia="zh-CN" w:bidi="ar-SA"/>
    </w:rPr>
  </w:style>
  <w:style w:type="paragraph" w:customStyle="1" w:styleId="1408">
    <w:name w:val="附件3"/>
    <w:basedOn w:val="4"/>
    <w:next w:val="315"/>
    <w:qFormat/>
    <w:uiPriority w:val="0"/>
    <w:pPr>
      <w:keepLines/>
      <w:widowControl w:val="0"/>
      <w:numPr>
        <w:numId w:val="0"/>
      </w:numPr>
      <w:tabs>
        <w:tab w:val="left" w:pos="1566"/>
      </w:tabs>
      <w:adjustRightInd w:val="0"/>
      <w:snapToGrid w:val="0"/>
      <w:spacing w:after="120"/>
    </w:pPr>
    <w:rPr>
      <w:rFonts w:ascii="黑体" w:eastAsia="黑体"/>
      <w:bCs/>
      <w:kern w:val="44"/>
      <w:szCs w:val="32"/>
    </w:rPr>
  </w:style>
  <w:style w:type="paragraph" w:customStyle="1" w:styleId="1409">
    <w:name w:val="表格内字体6"/>
    <w:basedOn w:val="315"/>
    <w:next w:val="315"/>
    <w:qFormat/>
    <w:uiPriority w:val="0"/>
    <w:pPr>
      <w:spacing w:line="240" w:lineRule="auto"/>
      <w:ind w:firstLine="0"/>
      <w:jc w:val="center"/>
    </w:pPr>
    <w:rPr>
      <w:rFonts w:hAnsi="宋体"/>
      <w:b w:val="0"/>
      <w:spacing w:val="0"/>
      <w:sz w:val="21"/>
    </w:rPr>
  </w:style>
  <w:style w:type="character" w:customStyle="1" w:styleId="1410">
    <w:name w:val="表格内字体 Char6"/>
    <w:qFormat/>
    <w:uiPriority w:val="0"/>
    <w:rPr>
      <w:rFonts w:ascii="宋体" w:hAnsi="宋体" w:eastAsia="宋体" w:cs="Times New Roman"/>
      <w:kern w:val="2"/>
      <w:sz w:val="24"/>
      <w:szCs w:val="24"/>
      <w:lang w:val="en-US" w:eastAsia="zh-CN" w:bidi="ar-SA"/>
    </w:rPr>
  </w:style>
  <w:style w:type="paragraph" w:customStyle="1" w:styleId="1411">
    <w:name w:val="黑体三号4"/>
    <w:basedOn w:val="315"/>
    <w:qFormat/>
    <w:uiPriority w:val="0"/>
    <w:pPr>
      <w:jc w:val="center"/>
    </w:pPr>
    <w:rPr>
      <w:rFonts w:ascii="黑体" w:hAnsi="宋体" w:eastAsia="黑体"/>
      <w:bCs/>
      <w:spacing w:val="0"/>
      <w:sz w:val="32"/>
    </w:rPr>
  </w:style>
  <w:style w:type="paragraph" w:customStyle="1" w:styleId="1412">
    <w:name w:val="默认段落字体 Para Char Char Char Char4"/>
    <w:basedOn w:val="1"/>
    <w:qFormat/>
    <w:uiPriority w:val="0"/>
    <w:rPr>
      <w:rFonts w:ascii="宋体" w:hAnsi="宋体" w:cs="宋体"/>
    </w:rPr>
  </w:style>
  <w:style w:type="character" w:customStyle="1" w:styleId="1413">
    <w:name w:val="表题 Char4"/>
    <w:qFormat/>
    <w:uiPriority w:val="0"/>
    <w:rPr>
      <w:rFonts w:ascii="黑体" w:hAnsi="Arial" w:eastAsia="黑体" w:cs="Arial"/>
      <w:b/>
      <w:kern w:val="2"/>
      <w:sz w:val="24"/>
      <w:szCs w:val="24"/>
      <w:lang w:val="en-US" w:eastAsia="zh-CN" w:bidi="ar-SA"/>
    </w:rPr>
  </w:style>
  <w:style w:type="paragraph" w:customStyle="1" w:styleId="1414">
    <w:name w:val="Char7"/>
    <w:basedOn w:val="1"/>
    <w:qFormat/>
    <w:uiPriority w:val="0"/>
    <w:pPr>
      <w:ind w:left="-48"/>
    </w:pPr>
    <w:rPr>
      <w:rFonts w:ascii="宋体" w:hAnsi="宋体" w:cs="宋体"/>
    </w:rPr>
  </w:style>
  <w:style w:type="paragraph" w:customStyle="1" w:styleId="1415">
    <w:name w:val="样式 样式 宋体 + 首行缩进:  2 字符1"/>
    <w:basedOn w:val="1"/>
    <w:qFormat/>
    <w:uiPriority w:val="0"/>
    <w:pPr>
      <w:spacing w:line="360" w:lineRule="auto"/>
      <w:ind w:firstLine="480" w:firstLineChars="200"/>
      <w:jc w:val="left"/>
    </w:pPr>
    <w:rPr>
      <w:rFonts w:ascii="宋体" w:hAnsi="宋体" w:cs="宋体"/>
      <w:sz w:val="24"/>
    </w:rPr>
  </w:style>
  <w:style w:type="paragraph" w:customStyle="1" w:styleId="1416">
    <w:name w:val="表内宋5中2"/>
    <w:basedOn w:val="1"/>
    <w:qFormat/>
    <w:uiPriority w:val="0"/>
    <w:pPr>
      <w:adjustRightInd w:val="0"/>
      <w:snapToGrid w:val="0"/>
      <w:jc w:val="center"/>
      <w:textAlignment w:val="baseline"/>
    </w:pPr>
    <w:rPr>
      <w:rFonts w:ascii="宋体" w:hAnsi="宋体" w:cs="宋体"/>
      <w:kern w:val="0"/>
    </w:rPr>
  </w:style>
  <w:style w:type="character" w:customStyle="1" w:styleId="1417">
    <w:name w:val="标题 5 Char1"/>
    <w:qFormat/>
    <w:uiPriority w:val="0"/>
    <w:rPr>
      <w:rFonts w:ascii="宋体" w:hAnsi="宋体" w:eastAsia="宋体" w:cs="宋体"/>
      <w:b/>
      <w:bCs/>
      <w:kern w:val="2"/>
      <w:sz w:val="28"/>
      <w:szCs w:val="28"/>
      <w:lang w:val="en-US" w:eastAsia="zh-CN" w:bidi="ar-SA"/>
    </w:rPr>
  </w:style>
  <w:style w:type="paragraph" w:customStyle="1" w:styleId="1418">
    <w:name w:val="Fax Header"/>
    <w:basedOn w:val="1"/>
    <w:qFormat/>
    <w:uiPriority w:val="0"/>
    <w:pPr>
      <w:widowControl/>
      <w:spacing w:before="240" w:after="60"/>
      <w:jc w:val="left"/>
    </w:pPr>
    <w:rPr>
      <w:rFonts w:ascii="宋体" w:hAnsi="宋体" w:cs="宋体"/>
      <w:kern w:val="0"/>
      <w:sz w:val="24"/>
    </w:rPr>
  </w:style>
  <w:style w:type="paragraph" w:customStyle="1" w:styleId="1419">
    <w:name w:val="样式 表格内字体1 +"/>
    <w:basedOn w:val="1264"/>
    <w:next w:val="1177"/>
    <w:qFormat/>
    <w:uiPriority w:val="0"/>
    <w:rPr>
      <w:rFonts w:hAnsi="Times New Roman"/>
    </w:rPr>
  </w:style>
  <w:style w:type="paragraph" w:customStyle="1" w:styleId="1420">
    <w:name w:val="Char8"/>
    <w:basedOn w:val="1"/>
    <w:qFormat/>
    <w:uiPriority w:val="0"/>
    <w:pPr>
      <w:ind w:left="-48"/>
    </w:pPr>
    <w:rPr>
      <w:rFonts w:ascii="宋体" w:hAnsi="宋体" w:cs="宋体"/>
    </w:rPr>
  </w:style>
  <w:style w:type="paragraph" w:customStyle="1" w:styleId="1421">
    <w:name w:val="正文格式7"/>
    <w:basedOn w:val="1"/>
    <w:qFormat/>
    <w:uiPriority w:val="0"/>
    <w:pPr>
      <w:spacing w:line="360" w:lineRule="auto"/>
      <w:ind w:firstLine="482"/>
    </w:pPr>
    <w:rPr>
      <w:rFonts w:ascii="宋体" w:hAnsi="宋体" w:cs="宋体"/>
      <w:sz w:val="24"/>
    </w:rPr>
  </w:style>
  <w:style w:type="character" w:customStyle="1" w:styleId="1422">
    <w:name w:val="正文格式 Char7"/>
    <w:qFormat/>
    <w:uiPriority w:val="0"/>
    <w:rPr>
      <w:rFonts w:ascii="宋体" w:hAnsi="宋体" w:eastAsia="宋体"/>
      <w:kern w:val="2"/>
      <w:sz w:val="24"/>
      <w:szCs w:val="24"/>
      <w:lang w:val="en-US" w:eastAsia="zh-CN" w:bidi="ar-SA"/>
    </w:rPr>
  </w:style>
  <w:style w:type="character" w:customStyle="1" w:styleId="1423">
    <w:name w:val="标题 2 Char5"/>
    <w:qFormat/>
    <w:uiPriority w:val="0"/>
    <w:rPr>
      <w:rFonts w:ascii="黑体" w:hAnsi="Arial" w:eastAsia="黑体"/>
      <w:bCs/>
      <w:kern w:val="2"/>
      <w:sz w:val="30"/>
      <w:szCs w:val="30"/>
      <w:lang w:val="en-US" w:eastAsia="zh-CN" w:bidi="ar-SA"/>
    </w:rPr>
  </w:style>
  <w:style w:type="character" w:customStyle="1" w:styleId="1424">
    <w:name w:val="标题 3 Char10"/>
    <w:qFormat/>
    <w:uiPriority w:val="0"/>
    <w:rPr>
      <w:rFonts w:ascii="黑体" w:hAnsi="宋体" w:eastAsia="黑体"/>
      <w:b/>
      <w:bCs/>
      <w:kern w:val="2"/>
      <w:sz w:val="28"/>
      <w:szCs w:val="28"/>
      <w:lang w:val="en-US" w:eastAsia="zh-CN" w:bidi="ar-SA"/>
    </w:rPr>
  </w:style>
  <w:style w:type="character" w:customStyle="1" w:styleId="1425">
    <w:name w:val="题注 Char5"/>
    <w:qFormat/>
    <w:uiPriority w:val="0"/>
    <w:rPr>
      <w:rFonts w:ascii="黑体" w:hAnsi="Arial" w:eastAsia="黑体" w:cs="Arial"/>
      <w:spacing w:val="10"/>
      <w:kern w:val="2"/>
      <w:sz w:val="24"/>
      <w:szCs w:val="24"/>
      <w:lang w:val="en-US" w:eastAsia="zh-CN" w:bidi="ar-SA"/>
    </w:rPr>
  </w:style>
  <w:style w:type="paragraph" w:customStyle="1" w:styleId="1426">
    <w:name w:val="图题7"/>
    <w:basedOn w:val="315"/>
    <w:next w:val="315"/>
    <w:qFormat/>
    <w:uiPriority w:val="0"/>
    <w:pPr>
      <w:ind w:firstLine="0"/>
      <w:jc w:val="center"/>
    </w:pPr>
    <w:rPr>
      <w:rFonts w:ascii="黑体" w:hAnsi="宋体" w:eastAsia="黑体"/>
      <w:bCs/>
      <w:spacing w:val="0"/>
    </w:rPr>
  </w:style>
  <w:style w:type="paragraph" w:customStyle="1" w:styleId="1427">
    <w:name w:val="表格内字体7"/>
    <w:basedOn w:val="315"/>
    <w:next w:val="315"/>
    <w:qFormat/>
    <w:uiPriority w:val="0"/>
    <w:pPr>
      <w:spacing w:line="240" w:lineRule="auto"/>
      <w:ind w:firstLine="0"/>
      <w:jc w:val="center"/>
    </w:pPr>
    <w:rPr>
      <w:rFonts w:hAnsi="宋体"/>
      <w:b w:val="0"/>
      <w:spacing w:val="0"/>
      <w:sz w:val="21"/>
    </w:rPr>
  </w:style>
  <w:style w:type="character" w:customStyle="1" w:styleId="1428">
    <w:name w:val="表格内字体 Char7"/>
    <w:qFormat/>
    <w:uiPriority w:val="0"/>
    <w:rPr>
      <w:rFonts w:ascii="宋体" w:hAnsi="宋体" w:eastAsia="宋体"/>
      <w:kern w:val="2"/>
      <w:sz w:val="21"/>
      <w:szCs w:val="24"/>
      <w:lang w:val="en-US" w:eastAsia="zh-CN" w:bidi="ar-SA"/>
    </w:rPr>
  </w:style>
  <w:style w:type="paragraph" w:customStyle="1" w:styleId="1429">
    <w:name w:val="Char9"/>
    <w:basedOn w:val="1"/>
    <w:qFormat/>
    <w:uiPriority w:val="0"/>
    <w:pPr>
      <w:ind w:left="-48"/>
    </w:pPr>
    <w:rPr>
      <w:rFonts w:ascii="宋体" w:hAnsi="宋体" w:cs="宋体"/>
    </w:rPr>
  </w:style>
  <w:style w:type="character" w:customStyle="1" w:styleId="1430">
    <w:name w:val="正文文本缩进 3 Char2"/>
    <w:qFormat/>
    <w:uiPriority w:val="0"/>
    <w:rPr>
      <w:rFonts w:eastAsia="宋体"/>
      <w:kern w:val="2"/>
      <w:sz w:val="16"/>
      <w:szCs w:val="16"/>
      <w:lang w:val="en-US" w:eastAsia="zh-CN" w:bidi="ar-SA"/>
    </w:rPr>
  </w:style>
  <w:style w:type="character" w:customStyle="1" w:styleId="1431">
    <w:name w:val="表题1 Char6"/>
    <w:qFormat/>
    <w:uiPriority w:val="0"/>
    <w:rPr>
      <w:rFonts w:ascii="黑体" w:hAnsi="Arial" w:eastAsia="黑体" w:cs="Arial"/>
      <w:b/>
      <w:kern w:val="2"/>
      <w:sz w:val="24"/>
      <w:szCs w:val="24"/>
      <w:lang w:val="en-US" w:eastAsia="zh-CN" w:bidi="ar-SA"/>
    </w:rPr>
  </w:style>
  <w:style w:type="character" w:customStyle="1" w:styleId="1432">
    <w:name w:val="Char Char41"/>
    <w:qFormat/>
    <w:uiPriority w:val="0"/>
    <w:rPr>
      <w:rFonts w:ascii="黑体" w:hAnsi="Arial" w:eastAsia="黑体"/>
      <w:b/>
      <w:bCs/>
      <w:kern w:val="2"/>
      <w:sz w:val="30"/>
      <w:szCs w:val="30"/>
      <w:lang w:val="en-US" w:eastAsia="zh-CN" w:bidi="ar-SA"/>
    </w:rPr>
  </w:style>
  <w:style w:type="paragraph" w:customStyle="1" w:styleId="1433">
    <w:name w:val="燕山正文4"/>
    <w:basedOn w:val="1"/>
    <w:qFormat/>
    <w:uiPriority w:val="0"/>
    <w:pPr>
      <w:tabs>
        <w:tab w:val="left" w:pos="4680"/>
      </w:tabs>
      <w:adjustRightInd w:val="0"/>
      <w:snapToGrid w:val="0"/>
      <w:spacing w:line="480" w:lineRule="exact"/>
    </w:pPr>
    <w:rPr>
      <w:rFonts w:ascii="宋体" w:hAnsi="宋体" w:cs="宋体"/>
      <w:sz w:val="24"/>
    </w:rPr>
  </w:style>
  <w:style w:type="character" w:customStyle="1" w:styleId="1434">
    <w:name w:val="燕山正文 Char14"/>
    <w:qFormat/>
    <w:uiPriority w:val="0"/>
    <w:rPr>
      <w:rFonts w:ascii="宋体" w:eastAsia="宋体" w:cs="宋体"/>
      <w:kern w:val="2"/>
      <w:sz w:val="24"/>
      <w:szCs w:val="24"/>
      <w:lang w:val="en-US" w:eastAsia="zh-CN" w:bidi="ar-SA"/>
    </w:rPr>
  </w:style>
  <w:style w:type="paragraph" w:customStyle="1" w:styleId="1435">
    <w:name w:val="正文修改4"/>
    <w:basedOn w:val="1180"/>
    <w:qFormat/>
    <w:uiPriority w:val="0"/>
    <w:rPr>
      <w:rFonts w:hAnsi="宋体"/>
      <w:color w:val="000000"/>
    </w:rPr>
  </w:style>
  <w:style w:type="character" w:customStyle="1" w:styleId="1436">
    <w:name w:val="正文修改 Char14"/>
    <w:basedOn w:val="1181"/>
    <w:qFormat/>
    <w:uiPriority w:val="0"/>
  </w:style>
  <w:style w:type="paragraph" w:customStyle="1" w:styleId="1437">
    <w:name w:val="表中文字5"/>
    <w:basedOn w:val="1"/>
    <w:qFormat/>
    <w:uiPriority w:val="0"/>
    <w:pPr>
      <w:widowControl/>
      <w:spacing w:line="240" w:lineRule="atLeast"/>
      <w:ind w:left="-24" w:leftChars="-10" w:right="-48" w:rightChars="-20"/>
      <w:jc w:val="center"/>
    </w:pPr>
    <w:rPr>
      <w:rFonts w:ascii="宋体" w:hAnsi="宋体" w:cs="宋体"/>
      <w:kern w:val="0"/>
      <w:szCs w:val="21"/>
    </w:rPr>
  </w:style>
  <w:style w:type="character" w:customStyle="1" w:styleId="1438">
    <w:name w:val="表中文字 Char24"/>
    <w:qFormat/>
    <w:uiPriority w:val="0"/>
    <w:rPr>
      <w:rFonts w:ascii="宋体" w:eastAsia="宋体"/>
      <w:kern w:val="2"/>
      <w:sz w:val="21"/>
      <w:szCs w:val="21"/>
      <w:lang w:val="en-US" w:eastAsia="zh-CN" w:bidi="ar-SA"/>
    </w:rPr>
  </w:style>
  <w:style w:type="paragraph" w:customStyle="1" w:styleId="1439">
    <w:name w:val="默认段落字体 Para Char Char Char Char5"/>
    <w:basedOn w:val="1"/>
    <w:qFormat/>
    <w:uiPriority w:val="0"/>
    <w:rPr>
      <w:rFonts w:ascii="宋体" w:hAnsi="宋体" w:cs="宋体"/>
    </w:rPr>
  </w:style>
  <w:style w:type="paragraph" w:customStyle="1" w:styleId="1440">
    <w:name w:val="Char10"/>
    <w:basedOn w:val="1"/>
    <w:qFormat/>
    <w:uiPriority w:val="0"/>
    <w:pPr>
      <w:adjustRightInd w:val="0"/>
      <w:snapToGrid w:val="0"/>
      <w:spacing w:line="360" w:lineRule="auto"/>
    </w:pPr>
    <w:rPr>
      <w:rFonts w:ascii="宋体" w:hAnsi="宋体" w:cs="宋体"/>
    </w:rPr>
  </w:style>
  <w:style w:type="paragraph" w:customStyle="1" w:styleId="1441">
    <w:name w:val="表内5中1"/>
    <w:basedOn w:val="1"/>
    <w:qFormat/>
    <w:uiPriority w:val="0"/>
    <w:pPr>
      <w:adjustRightInd w:val="0"/>
      <w:snapToGrid w:val="0"/>
      <w:jc w:val="center"/>
    </w:pPr>
    <w:rPr>
      <w:rFonts w:ascii="宋体" w:hAnsi="宋体" w:cs="Arial"/>
      <w:snapToGrid w:val="0"/>
      <w:color w:val="000000"/>
      <w:szCs w:val="21"/>
    </w:rPr>
  </w:style>
  <w:style w:type="paragraph" w:customStyle="1" w:styleId="1442">
    <w:name w:val="表内5414"/>
    <w:basedOn w:val="1"/>
    <w:qFormat/>
    <w:uiPriority w:val="0"/>
    <w:pPr>
      <w:adjustRightInd w:val="0"/>
      <w:snapToGrid w:val="0"/>
      <w:spacing w:line="300" w:lineRule="auto"/>
      <w:jc w:val="center"/>
    </w:pPr>
    <w:rPr>
      <w:rFonts w:ascii="宋体" w:hAnsi="宋体" w:cs="宋体"/>
    </w:rPr>
  </w:style>
  <w:style w:type="paragraph" w:customStyle="1" w:styleId="1443">
    <w:name w:val="c"/>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1444">
    <w:name w:val="表题9"/>
    <w:basedOn w:val="46"/>
    <w:qFormat/>
    <w:uiPriority w:val="0"/>
    <w:pPr>
      <w:widowControl w:val="0"/>
      <w:adjustRightInd w:val="0"/>
      <w:snapToGrid w:val="0"/>
      <w:spacing w:line="300" w:lineRule="auto"/>
      <w:jc w:val="center"/>
    </w:pPr>
    <w:rPr>
      <w:rFonts w:ascii="黑体" w:eastAsia="黑体" w:cs="Times New Roman"/>
      <w:kern w:val="2"/>
      <w:szCs w:val="20"/>
    </w:rPr>
  </w:style>
  <w:style w:type="character" w:customStyle="1" w:styleId="1445">
    <w:name w:val="正文缩进 Char6"/>
    <w:qFormat/>
    <w:uiPriority w:val="0"/>
    <w:rPr>
      <w:rFonts w:ascii="宋体" w:hAnsi="宋体" w:eastAsia="宋体"/>
      <w:kern w:val="2"/>
      <w:sz w:val="24"/>
      <w:szCs w:val="24"/>
      <w:lang w:val="en-US" w:eastAsia="zh-CN" w:bidi="ar-SA"/>
    </w:rPr>
  </w:style>
  <w:style w:type="paragraph" w:customStyle="1" w:styleId="1446">
    <w:name w:val="表内文字小1"/>
    <w:basedOn w:val="1"/>
    <w:qFormat/>
    <w:uiPriority w:val="0"/>
    <w:pPr>
      <w:adjustRightInd w:val="0"/>
      <w:snapToGrid w:val="0"/>
      <w:jc w:val="center"/>
    </w:pPr>
    <w:rPr>
      <w:rFonts w:ascii="宋体" w:hAnsi="Times" w:cs="宋体"/>
    </w:rPr>
  </w:style>
  <w:style w:type="paragraph" w:customStyle="1" w:styleId="1447">
    <w:name w:val="表内59"/>
    <w:basedOn w:val="1"/>
    <w:qFormat/>
    <w:uiPriority w:val="0"/>
    <w:pPr>
      <w:adjustRightInd w:val="0"/>
      <w:snapToGrid w:val="0"/>
      <w:spacing w:line="300" w:lineRule="auto"/>
      <w:jc w:val="center"/>
    </w:pPr>
    <w:rPr>
      <w:rFonts w:ascii="宋体" w:hAnsi="宋体" w:cs="宋体"/>
      <w:snapToGrid w:val="0"/>
      <w:szCs w:val="21"/>
    </w:rPr>
  </w:style>
  <w:style w:type="paragraph" w:customStyle="1" w:styleId="1448">
    <w:name w:val="表内小5中"/>
    <w:basedOn w:val="1"/>
    <w:qFormat/>
    <w:uiPriority w:val="0"/>
    <w:pPr>
      <w:adjustRightInd w:val="0"/>
      <w:snapToGrid w:val="0"/>
      <w:jc w:val="center"/>
    </w:pPr>
    <w:rPr>
      <w:rFonts w:ascii="宋体" w:hAnsi="宋体" w:cs="宋体"/>
      <w:sz w:val="18"/>
    </w:rPr>
  </w:style>
  <w:style w:type="paragraph" w:customStyle="1" w:styleId="1449">
    <w:name w:val="表内5中4"/>
    <w:basedOn w:val="1"/>
    <w:qFormat/>
    <w:uiPriority w:val="0"/>
    <w:pPr>
      <w:adjustRightInd w:val="0"/>
      <w:snapToGrid w:val="0"/>
      <w:jc w:val="center"/>
    </w:pPr>
    <w:rPr>
      <w:rFonts w:ascii="宋体" w:hAnsi="宋体" w:cs="宋体"/>
      <w:bCs/>
    </w:rPr>
  </w:style>
  <w:style w:type="character" w:customStyle="1" w:styleId="1450">
    <w:name w:val="无效格式 Char"/>
    <w:qFormat/>
    <w:uiPriority w:val="0"/>
    <w:rPr>
      <w:rFonts w:ascii="黑体" w:hAnsi="Arial" w:eastAsia="黑体"/>
      <w:b/>
      <w:bCs/>
      <w:kern w:val="2"/>
      <w:sz w:val="24"/>
      <w:szCs w:val="24"/>
      <w:lang w:val="en-US" w:eastAsia="zh-CN" w:bidi="ar-SA"/>
    </w:rPr>
  </w:style>
  <w:style w:type="paragraph" w:customStyle="1" w:styleId="1451">
    <w:name w:val="默认段落字体 Para Char4"/>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1452">
    <w:name w:val="燕山正文13"/>
    <w:basedOn w:val="1"/>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character" w:customStyle="1" w:styleId="1453">
    <w:name w:val="批注框文本 Char4"/>
    <w:qFormat/>
    <w:uiPriority w:val="0"/>
    <w:rPr>
      <w:rFonts w:eastAsia="宋体"/>
      <w:kern w:val="2"/>
      <w:sz w:val="18"/>
      <w:szCs w:val="18"/>
      <w:lang w:val="en-US" w:eastAsia="zh-CN" w:bidi="ar-SA"/>
    </w:rPr>
  </w:style>
  <w:style w:type="paragraph" w:customStyle="1" w:styleId="1454">
    <w:name w:val="样式 标题 4无效格式无效格式1河石管道4H4H41小小节河石管道41H42H411小小节1河石管道42..."/>
    <w:basedOn w:val="8"/>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1455">
    <w:name w:val="样式 标题 4无效格式无效格式1河石管道4H4H41小小节河石管道41H42H411小小节1河石管道42...1"/>
    <w:basedOn w:val="8"/>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1456">
    <w:name w:val="正文格式8"/>
    <w:basedOn w:val="1"/>
    <w:qFormat/>
    <w:uiPriority w:val="0"/>
    <w:pPr>
      <w:spacing w:line="360" w:lineRule="auto"/>
      <w:ind w:firstLine="482"/>
    </w:pPr>
    <w:rPr>
      <w:rFonts w:ascii="宋体" w:hAnsi="宋体" w:cs="宋体"/>
      <w:sz w:val="24"/>
    </w:rPr>
  </w:style>
  <w:style w:type="character" w:customStyle="1" w:styleId="1457">
    <w:name w:val="正文格式 Char8"/>
    <w:qFormat/>
    <w:uiPriority w:val="0"/>
    <w:rPr>
      <w:rFonts w:ascii="宋体" w:hAnsi="宋体" w:eastAsia="宋体"/>
      <w:kern w:val="2"/>
      <w:sz w:val="24"/>
      <w:szCs w:val="24"/>
      <w:lang w:val="en-US" w:eastAsia="zh-CN" w:bidi="ar-SA"/>
    </w:rPr>
  </w:style>
  <w:style w:type="paragraph" w:customStyle="1" w:styleId="1458">
    <w:name w:val="正文格式9"/>
    <w:basedOn w:val="1"/>
    <w:qFormat/>
    <w:uiPriority w:val="0"/>
    <w:pPr>
      <w:spacing w:line="360" w:lineRule="auto"/>
      <w:ind w:firstLine="482"/>
    </w:pPr>
    <w:rPr>
      <w:rFonts w:ascii="宋体" w:hAnsi="宋体" w:cs="宋体"/>
      <w:sz w:val="24"/>
    </w:rPr>
  </w:style>
  <w:style w:type="character" w:customStyle="1" w:styleId="1459">
    <w:name w:val="正文格式 Char9"/>
    <w:qFormat/>
    <w:uiPriority w:val="0"/>
    <w:rPr>
      <w:rFonts w:ascii="宋体" w:hAnsi="宋体" w:eastAsia="宋体"/>
      <w:kern w:val="2"/>
      <w:sz w:val="24"/>
      <w:szCs w:val="24"/>
      <w:lang w:val="en-US" w:eastAsia="zh-CN" w:bidi="ar-SA"/>
    </w:rPr>
  </w:style>
  <w:style w:type="character" w:customStyle="1" w:styleId="1460">
    <w:name w:val="标题 3 Char11"/>
    <w:qFormat/>
    <w:uiPriority w:val="0"/>
    <w:rPr>
      <w:rFonts w:ascii="黑体" w:hAnsi="宋体" w:eastAsia="黑体"/>
      <w:b/>
      <w:bCs/>
      <w:kern w:val="2"/>
      <w:sz w:val="28"/>
      <w:szCs w:val="28"/>
      <w:lang w:val="en-US" w:eastAsia="zh-CN" w:bidi="ar-SA"/>
    </w:rPr>
  </w:style>
  <w:style w:type="paragraph" w:customStyle="1" w:styleId="1461">
    <w:name w:val="Char41"/>
    <w:basedOn w:val="1"/>
    <w:qFormat/>
    <w:uiPriority w:val="0"/>
    <w:pPr>
      <w:ind w:left="-48"/>
    </w:pPr>
    <w:rPr>
      <w:rFonts w:ascii="宋体" w:hAnsi="宋体" w:cs="宋体"/>
    </w:rPr>
  </w:style>
  <w:style w:type="paragraph" w:customStyle="1" w:styleId="1462">
    <w:name w:val="Char Char Char Char Char Char Char3"/>
    <w:basedOn w:val="1"/>
    <w:qFormat/>
    <w:uiPriority w:val="0"/>
    <w:rPr>
      <w:rFonts w:ascii="宋体" w:hAnsi="宋体" w:cs="宋体"/>
    </w:rPr>
  </w:style>
  <w:style w:type="paragraph" w:customStyle="1" w:styleId="1463">
    <w:name w:val="Char13"/>
    <w:basedOn w:val="1"/>
    <w:qFormat/>
    <w:uiPriority w:val="0"/>
    <w:pPr>
      <w:ind w:left="-48"/>
    </w:pPr>
    <w:rPr>
      <w:rFonts w:ascii="宋体" w:hAnsi="宋体" w:cs="宋体"/>
    </w:rPr>
  </w:style>
  <w:style w:type="character" w:customStyle="1" w:styleId="1464">
    <w:name w:val="Char Char42"/>
    <w:qFormat/>
    <w:uiPriority w:val="0"/>
    <w:rPr>
      <w:rFonts w:ascii="黑体" w:hAnsi="Arial" w:eastAsia="黑体"/>
      <w:b/>
      <w:bCs/>
      <w:kern w:val="2"/>
      <w:sz w:val="30"/>
      <w:szCs w:val="30"/>
      <w:lang w:val="en-US" w:eastAsia="zh-CN" w:bidi="ar-SA"/>
    </w:rPr>
  </w:style>
  <w:style w:type="character" w:customStyle="1" w:styleId="1465">
    <w:name w:val="Char Char31"/>
    <w:qFormat/>
    <w:uiPriority w:val="0"/>
    <w:rPr>
      <w:rFonts w:ascii="黑体" w:hAnsi="宋体" w:eastAsia="黑体"/>
      <w:b/>
      <w:bCs/>
      <w:kern w:val="2"/>
      <w:sz w:val="28"/>
      <w:szCs w:val="28"/>
      <w:lang w:val="en-US" w:eastAsia="zh-CN" w:bidi="ar-SA"/>
    </w:rPr>
  </w:style>
  <w:style w:type="paragraph" w:customStyle="1" w:styleId="1466">
    <w:name w:val="Char Char Char Char1 Char Char Char1"/>
    <w:basedOn w:val="1"/>
    <w:qFormat/>
    <w:uiPriority w:val="0"/>
    <w:pPr>
      <w:widowControl/>
      <w:spacing w:after="160"/>
      <w:jc w:val="left"/>
    </w:pPr>
    <w:rPr>
      <w:rFonts w:ascii="Verdana" w:hAnsi="Verdana" w:cs="宋体"/>
      <w:kern w:val="0"/>
      <w:sz w:val="24"/>
      <w:lang w:eastAsia="en-US"/>
    </w:rPr>
  </w:style>
  <w:style w:type="character" w:customStyle="1" w:styleId="1467">
    <w:name w:val="Char Char112"/>
    <w:qFormat/>
    <w:uiPriority w:val="0"/>
    <w:rPr>
      <w:rFonts w:ascii="黑体" w:hAnsi="Arial" w:eastAsia="黑体"/>
      <w:bCs/>
      <w:kern w:val="2"/>
      <w:sz w:val="30"/>
      <w:szCs w:val="30"/>
      <w:lang w:val="en-US" w:eastAsia="zh-CN" w:bidi="ar-SA"/>
    </w:rPr>
  </w:style>
  <w:style w:type="character" w:customStyle="1" w:styleId="1468">
    <w:name w:val="Char Char51"/>
    <w:qFormat/>
    <w:uiPriority w:val="0"/>
    <w:rPr>
      <w:rFonts w:ascii="黑体" w:hAnsi="宋体" w:eastAsia="黑体"/>
      <w:bCs/>
      <w:kern w:val="2"/>
      <w:sz w:val="28"/>
      <w:szCs w:val="28"/>
      <w:lang w:val="en-US" w:eastAsia="zh-CN" w:bidi="ar-SA"/>
    </w:rPr>
  </w:style>
  <w:style w:type="paragraph" w:customStyle="1" w:styleId="1469">
    <w:name w:val="Char14"/>
    <w:basedOn w:val="1"/>
    <w:qFormat/>
    <w:uiPriority w:val="0"/>
    <w:pPr>
      <w:ind w:left="-48"/>
    </w:pPr>
    <w:rPr>
      <w:rFonts w:ascii="宋体" w:hAnsi="宋体" w:cs="宋体"/>
    </w:rPr>
  </w:style>
  <w:style w:type="paragraph" w:customStyle="1" w:styleId="1470">
    <w:name w:val="Char Char Char Char Char Char Char13"/>
    <w:basedOn w:val="1"/>
    <w:qFormat/>
    <w:uiPriority w:val="0"/>
    <w:rPr>
      <w:rFonts w:ascii="宋体" w:hAnsi="宋体" w:cs="宋体"/>
    </w:rPr>
  </w:style>
  <w:style w:type="character" w:customStyle="1" w:styleId="1471">
    <w:name w:val="Char Char211"/>
    <w:qFormat/>
    <w:uiPriority w:val="0"/>
    <w:rPr>
      <w:rFonts w:ascii="黑体" w:eastAsia="宋体"/>
      <w:kern w:val="2"/>
      <w:sz w:val="16"/>
      <w:szCs w:val="16"/>
      <w:lang w:val="en-US" w:eastAsia="zh-CN" w:bidi="ar-SA"/>
    </w:rPr>
  </w:style>
  <w:style w:type="character" w:customStyle="1" w:styleId="1472">
    <w:name w:val="Char Char121"/>
    <w:qFormat/>
    <w:uiPriority w:val="0"/>
    <w:rPr>
      <w:rFonts w:ascii="黑体" w:hAnsi="Arial" w:eastAsia="黑体"/>
      <w:b/>
      <w:bCs/>
      <w:kern w:val="2"/>
      <w:sz w:val="30"/>
      <w:szCs w:val="30"/>
      <w:lang w:val="en-US" w:eastAsia="zh-CN" w:bidi="ar-SA"/>
    </w:rPr>
  </w:style>
  <w:style w:type="character" w:customStyle="1" w:styleId="1473">
    <w:name w:val="Char Char62"/>
    <w:qFormat/>
    <w:uiPriority w:val="0"/>
    <w:rPr>
      <w:rFonts w:ascii="黑体" w:eastAsia="黑体"/>
      <w:b/>
      <w:bCs/>
      <w:kern w:val="2"/>
      <w:sz w:val="28"/>
      <w:szCs w:val="28"/>
      <w:lang w:val="en-US" w:eastAsia="zh-CN" w:bidi="ar-SA"/>
    </w:rPr>
  </w:style>
  <w:style w:type="paragraph" w:customStyle="1" w:styleId="1474">
    <w:name w:val="Char23"/>
    <w:basedOn w:val="1"/>
    <w:qFormat/>
    <w:uiPriority w:val="0"/>
    <w:pPr>
      <w:ind w:left="-48"/>
    </w:pPr>
    <w:rPr>
      <w:rFonts w:ascii="宋体" w:hAnsi="宋体" w:cs="宋体"/>
    </w:rPr>
  </w:style>
  <w:style w:type="paragraph" w:customStyle="1" w:styleId="1475">
    <w:name w:val="Char32"/>
    <w:basedOn w:val="1"/>
    <w:qFormat/>
    <w:uiPriority w:val="0"/>
    <w:pPr>
      <w:ind w:left="-48"/>
    </w:pPr>
    <w:rPr>
      <w:rFonts w:ascii="宋体" w:hAnsi="宋体" w:cs="宋体"/>
    </w:rPr>
  </w:style>
  <w:style w:type="paragraph" w:customStyle="1" w:styleId="1476">
    <w:name w:val="Char Char Char Char Char Char Char21"/>
    <w:basedOn w:val="1"/>
    <w:qFormat/>
    <w:uiPriority w:val="0"/>
    <w:rPr>
      <w:rFonts w:ascii="宋体" w:hAnsi="宋体" w:cs="宋体"/>
    </w:rPr>
  </w:style>
  <w:style w:type="paragraph" w:customStyle="1" w:styleId="1477">
    <w:name w:val="Char42"/>
    <w:basedOn w:val="1"/>
    <w:qFormat/>
    <w:uiPriority w:val="0"/>
    <w:pPr>
      <w:ind w:left="-48"/>
    </w:pPr>
    <w:rPr>
      <w:rFonts w:ascii="宋体" w:hAnsi="宋体" w:cs="宋体"/>
    </w:rPr>
  </w:style>
  <w:style w:type="paragraph" w:customStyle="1" w:styleId="1478">
    <w:name w:val="Char Char Char Char Char Char Char4"/>
    <w:basedOn w:val="1"/>
    <w:qFormat/>
    <w:uiPriority w:val="0"/>
    <w:rPr>
      <w:rFonts w:ascii="宋体" w:hAnsi="宋体" w:cs="宋体"/>
    </w:rPr>
  </w:style>
  <w:style w:type="paragraph" w:customStyle="1" w:styleId="1479">
    <w:name w:val="Char15"/>
    <w:basedOn w:val="1"/>
    <w:qFormat/>
    <w:uiPriority w:val="0"/>
    <w:pPr>
      <w:ind w:left="-48"/>
    </w:pPr>
    <w:rPr>
      <w:rFonts w:ascii="宋体" w:hAnsi="宋体" w:cs="宋体"/>
    </w:rPr>
  </w:style>
  <w:style w:type="character" w:customStyle="1" w:styleId="1480">
    <w:name w:val="Char Char43"/>
    <w:qFormat/>
    <w:uiPriority w:val="0"/>
    <w:rPr>
      <w:rFonts w:ascii="黑体" w:hAnsi="Arial" w:eastAsia="黑体"/>
      <w:b/>
      <w:bCs/>
      <w:kern w:val="2"/>
      <w:sz w:val="30"/>
      <w:szCs w:val="30"/>
      <w:lang w:val="en-US" w:eastAsia="zh-CN" w:bidi="ar-SA"/>
    </w:rPr>
  </w:style>
  <w:style w:type="character" w:customStyle="1" w:styleId="1481">
    <w:name w:val="Char Char32"/>
    <w:qFormat/>
    <w:uiPriority w:val="0"/>
    <w:rPr>
      <w:rFonts w:ascii="黑体" w:hAnsi="宋体" w:eastAsia="黑体"/>
      <w:b/>
      <w:bCs/>
      <w:kern w:val="2"/>
      <w:sz w:val="28"/>
      <w:szCs w:val="28"/>
      <w:lang w:val="en-US" w:eastAsia="zh-CN" w:bidi="ar-SA"/>
    </w:rPr>
  </w:style>
  <w:style w:type="paragraph" w:customStyle="1" w:styleId="1482">
    <w:name w:val="Char Char Char Char1 Char Char Char2"/>
    <w:basedOn w:val="1"/>
    <w:qFormat/>
    <w:uiPriority w:val="0"/>
    <w:pPr>
      <w:widowControl/>
      <w:spacing w:after="160"/>
      <w:jc w:val="left"/>
    </w:pPr>
    <w:rPr>
      <w:rFonts w:ascii="Verdana" w:hAnsi="Verdana" w:cs="宋体"/>
      <w:kern w:val="0"/>
      <w:sz w:val="24"/>
      <w:lang w:eastAsia="en-US"/>
    </w:rPr>
  </w:style>
  <w:style w:type="character" w:customStyle="1" w:styleId="1483">
    <w:name w:val="Char Char113"/>
    <w:qFormat/>
    <w:uiPriority w:val="0"/>
    <w:rPr>
      <w:rFonts w:ascii="黑体" w:hAnsi="Arial" w:eastAsia="黑体"/>
      <w:bCs/>
      <w:kern w:val="2"/>
      <w:sz w:val="30"/>
      <w:szCs w:val="30"/>
      <w:lang w:val="en-US" w:eastAsia="zh-CN" w:bidi="ar-SA"/>
    </w:rPr>
  </w:style>
  <w:style w:type="character" w:customStyle="1" w:styleId="1484">
    <w:name w:val="Char Char52"/>
    <w:qFormat/>
    <w:uiPriority w:val="0"/>
    <w:rPr>
      <w:rFonts w:ascii="黑体" w:hAnsi="宋体" w:eastAsia="黑体"/>
      <w:bCs/>
      <w:kern w:val="2"/>
      <w:sz w:val="28"/>
      <w:szCs w:val="28"/>
      <w:lang w:val="en-US" w:eastAsia="zh-CN" w:bidi="ar-SA"/>
    </w:rPr>
  </w:style>
  <w:style w:type="paragraph" w:customStyle="1" w:styleId="1485">
    <w:name w:val="Char16"/>
    <w:basedOn w:val="1"/>
    <w:qFormat/>
    <w:uiPriority w:val="0"/>
    <w:pPr>
      <w:ind w:left="-48"/>
    </w:pPr>
    <w:rPr>
      <w:rFonts w:ascii="宋体" w:hAnsi="宋体" w:cs="宋体"/>
    </w:rPr>
  </w:style>
  <w:style w:type="paragraph" w:customStyle="1" w:styleId="1486">
    <w:name w:val="Char Char Char Char Char Char Char14"/>
    <w:basedOn w:val="1"/>
    <w:qFormat/>
    <w:uiPriority w:val="0"/>
    <w:rPr>
      <w:rFonts w:ascii="宋体" w:hAnsi="宋体" w:cs="宋体"/>
    </w:rPr>
  </w:style>
  <w:style w:type="character" w:customStyle="1" w:styleId="1487">
    <w:name w:val="Char Char212"/>
    <w:qFormat/>
    <w:uiPriority w:val="0"/>
    <w:rPr>
      <w:rFonts w:ascii="黑体" w:eastAsia="宋体"/>
      <w:kern w:val="2"/>
      <w:sz w:val="16"/>
      <w:szCs w:val="16"/>
      <w:lang w:val="en-US" w:eastAsia="zh-CN" w:bidi="ar-SA"/>
    </w:rPr>
  </w:style>
  <w:style w:type="character" w:customStyle="1" w:styleId="1488">
    <w:name w:val="Char Char122"/>
    <w:qFormat/>
    <w:uiPriority w:val="0"/>
    <w:rPr>
      <w:rFonts w:ascii="黑体" w:hAnsi="Arial" w:eastAsia="黑体"/>
      <w:b/>
      <w:bCs/>
      <w:kern w:val="2"/>
      <w:sz w:val="30"/>
      <w:szCs w:val="30"/>
      <w:lang w:val="en-US" w:eastAsia="zh-CN" w:bidi="ar-SA"/>
    </w:rPr>
  </w:style>
  <w:style w:type="character" w:customStyle="1" w:styleId="1489">
    <w:name w:val="Char Char63"/>
    <w:qFormat/>
    <w:uiPriority w:val="0"/>
    <w:rPr>
      <w:rFonts w:ascii="黑体" w:eastAsia="黑体"/>
      <w:b/>
      <w:bCs/>
      <w:kern w:val="2"/>
      <w:sz w:val="28"/>
      <w:szCs w:val="28"/>
      <w:lang w:val="en-US" w:eastAsia="zh-CN" w:bidi="ar-SA"/>
    </w:rPr>
  </w:style>
  <w:style w:type="paragraph" w:customStyle="1" w:styleId="1490">
    <w:name w:val="Char24"/>
    <w:basedOn w:val="1"/>
    <w:qFormat/>
    <w:uiPriority w:val="0"/>
    <w:pPr>
      <w:ind w:left="-48"/>
    </w:pPr>
    <w:rPr>
      <w:rFonts w:ascii="宋体" w:hAnsi="宋体" w:cs="宋体"/>
    </w:rPr>
  </w:style>
  <w:style w:type="paragraph" w:customStyle="1" w:styleId="1491">
    <w:name w:val="Char33"/>
    <w:basedOn w:val="1"/>
    <w:qFormat/>
    <w:uiPriority w:val="0"/>
    <w:pPr>
      <w:ind w:left="-48"/>
    </w:pPr>
    <w:rPr>
      <w:rFonts w:ascii="宋体" w:hAnsi="宋体" w:cs="宋体"/>
    </w:rPr>
  </w:style>
  <w:style w:type="paragraph" w:customStyle="1" w:styleId="1492">
    <w:name w:val="Char Char Char Char Char Char Char22"/>
    <w:basedOn w:val="1"/>
    <w:qFormat/>
    <w:uiPriority w:val="0"/>
    <w:rPr>
      <w:rFonts w:ascii="宋体" w:hAnsi="宋体" w:cs="宋体"/>
    </w:rPr>
  </w:style>
  <w:style w:type="paragraph" w:customStyle="1" w:styleId="1493">
    <w:name w:val="Char43"/>
    <w:basedOn w:val="1"/>
    <w:qFormat/>
    <w:uiPriority w:val="0"/>
    <w:pPr>
      <w:ind w:left="-48"/>
    </w:pPr>
    <w:rPr>
      <w:rFonts w:ascii="宋体" w:hAnsi="宋体" w:cs="宋体"/>
    </w:rPr>
  </w:style>
  <w:style w:type="paragraph" w:customStyle="1" w:styleId="1494">
    <w:name w:val="正文格式10"/>
    <w:basedOn w:val="1"/>
    <w:qFormat/>
    <w:uiPriority w:val="0"/>
    <w:pPr>
      <w:spacing w:line="360" w:lineRule="auto"/>
      <w:ind w:firstLine="482"/>
    </w:pPr>
    <w:rPr>
      <w:rFonts w:ascii="宋体" w:hAnsi="宋体" w:cs="宋体"/>
      <w:sz w:val="24"/>
    </w:rPr>
  </w:style>
  <w:style w:type="character" w:customStyle="1" w:styleId="1495">
    <w:name w:val="正文格式 Char10"/>
    <w:qFormat/>
    <w:uiPriority w:val="0"/>
    <w:rPr>
      <w:rFonts w:ascii="宋体" w:hAnsi="宋体" w:eastAsia="宋体"/>
      <w:kern w:val="2"/>
      <w:sz w:val="24"/>
      <w:szCs w:val="24"/>
      <w:lang w:val="en-US" w:eastAsia="zh-CN" w:bidi="ar-SA"/>
    </w:rPr>
  </w:style>
  <w:style w:type="character" w:customStyle="1" w:styleId="1496">
    <w:name w:val="标题 3 Char12"/>
    <w:qFormat/>
    <w:uiPriority w:val="0"/>
    <w:rPr>
      <w:rFonts w:ascii="黑体" w:hAnsi="宋体" w:eastAsia="黑体"/>
      <w:b/>
      <w:bCs/>
      <w:kern w:val="2"/>
      <w:sz w:val="28"/>
      <w:szCs w:val="28"/>
      <w:lang w:val="en-US" w:eastAsia="zh-CN" w:bidi="ar-SA"/>
    </w:rPr>
  </w:style>
  <w:style w:type="character" w:customStyle="1" w:styleId="1497">
    <w:name w:val="题注 Char6"/>
    <w:qFormat/>
    <w:uiPriority w:val="0"/>
    <w:rPr>
      <w:rFonts w:ascii="黑体" w:hAnsi="Arial" w:eastAsia="黑体" w:cs="Arial"/>
      <w:spacing w:val="10"/>
      <w:kern w:val="2"/>
      <w:sz w:val="24"/>
      <w:szCs w:val="24"/>
      <w:lang w:val="en-US" w:eastAsia="zh-CN" w:bidi="ar-SA"/>
    </w:rPr>
  </w:style>
  <w:style w:type="paragraph" w:customStyle="1" w:styleId="1498">
    <w:name w:val="图题8"/>
    <w:basedOn w:val="315"/>
    <w:next w:val="315"/>
    <w:qFormat/>
    <w:uiPriority w:val="0"/>
    <w:pPr>
      <w:ind w:firstLine="0"/>
      <w:jc w:val="center"/>
    </w:pPr>
    <w:rPr>
      <w:rFonts w:ascii="黑体" w:hAnsi="宋体" w:eastAsia="黑体"/>
      <w:bCs/>
      <w:spacing w:val="0"/>
    </w:rPr>
  </w:style>
  <w:style w:type="paragraph" w:customStyle="1" w:styleId="1499">
    <w:name w:val="表格内字体8"/>
    <w:basedOn w:val="315"/>
    <w:next w:val="315"/>
    <w:qFormat/>
    <w:uiPriority w:val="0"/>
    <w:pPr>
      <w:spacing w:line="240" w:lineRule="auto"/>
      <w:ind w:firstLine="0"/>
      <w:jc w:val="center"/>
    </w:pPr>
    <w:rPr>
      <w:rFonts w:hAnsi="宋体"/>
      <w:b w:val="0"/>
      <w:spacing w:val="0"/>
      <w:sz w:val="21"/>
    </w:rPr>
  </w:style>
  <w:style w:type="character" w:customStyle="1" w:styleId="1500">
    <w:name w:val="表格内字体 Char8"/>
    <w:qFormat/>
    <w:uiPriority w:val="0"/>
    <w:rPr>
      <w:rFonts w:ascii="宋体" w:hAnsi="宋体" w:eastAsia="宋体"/>
      <w:kern w:val="2"/>
      <w:sz w:val="21"/>
      <w:szCs w:val="24"/>
      <w:lang w:val="en-US" w:eastAsia="zh-CN" w:bidi="ar-SA"/>
    </w:rPr>
  </w:style>
  <w:style w:type="paragraph" w:customStyle="1" w:styleId="1501">
    <w:name w:val="Char111"/>
    <w:basedOn w:val="1"/>
    <w:qFormat/>
    <w:uiPriority w:val="0"/>
    <w:pPr>
      <w:ind w:left="-48"/>
    </w:pPr>
    <w:rPr>
      <w:rFonts w:ascii="宋体" w:hAnsi="宋体" w:cs="宋体"/>
    </w:rPr>
  </w:style>
  <w:style w:type="character" w:customStyle="1" w:styleId="1502">
    <w:name w:val="正文文本缩进 3 Char3"/>
    <w:qFormat/>
    <w:uiPriority w:val="0"/>
    <w:rPr>
      <w:rFonts w:eastAsia="宋体"/>
      <w:kern w:val="2"/>
      <w:sz w:val="16"/>
      <w:szCs w:val="16"/>
      <w:lang w:val="en-US" w:eastAsia="zh-CN" w:bidi="ar-SA"/>
    </w:rPr>
  </w:style>
  <w:style w:type="paragraph" w:customStyle="1" w:styleId="1503">
    <w:name w:val="表题16"/>
    <w:basedOn w:val="23"/>
    <w:qFormat/>
    <w:uiPriority w:val="0"/>
    <w:pPr>
      <w:widowControl w:val="0"/>
      <w:spacing w:line="360" w:lineRule="auto"/>
      <w:jc w:val="center"/>
    </w:pPr>
    <w:rPr>
      <w:rFonts w:ascii="黑体" w:hAnsi="Arial" w:cs="Arial"/>
      <w:b/>
      <w:kern w:val="2"/>
    </w:rPr>
  </w:style>
  <w:style w:type="character" w:customStyle="1" w:styleId="1504">
    <w:name w:val="表题1 Char7"/>
    <w:qFormat/>
    <w:uiPriority w:val="0"/>
    <w:rPr>
      <w:rFonts w:ascii="黑体" w:hAnsi="Arial" w:eastAsia="黑体" w:cs="Arial"/>
      <w:b/>
      <w:kern w:val="2"/>
      <w:sz w:val="24"/>
      <w:szCs w:val="24"/>
      <w:lang w:val="en-US" w:eastAsia="zh-CN" w:bidi="ar-SA"/>
    </w:rPr>
  </w:style>
  <w:style w:type="paragraph" w:customStyle="1" w:styleId="1505">
    <w:name w:val="燕山正文5"/>
    <w:basedOn w:val="1"/>
    <w:qFormat/>
    <w:uiPriority w:val="0"/>
    <w:pPr>
      <w:tabs>
        <w:tab w:val="left" w:pos="4680"/>
      </w:tabs>
      <w:adjustRightInd w:val="0"/>
      <w:snapToGrid w:val="0"/>
      <w:spacing w:line="480" w:lineRule="exact"/>
    </w:pPr>
    <w:rPr>
      <w:rFonts w:ascii="宋体" w:hAnsi="宋体" w:cs="宋体"/>
      <w:sz w:val="24"/>
    </w:rPr>
  </w:style>
  <w:style w:type="character" w:customStyle="1" w:styleId="1506">
    <w:name w:val="燕山正文 Char15"/>
    <w:qFormat/>
    <w:uiPriority w:val="0"/>
    <w:rPr>
      <w:rFonts w:ascii="宋体" w:eastAsia="宋体" w:cs="宋体"/>
      <w:kern w:val="2"/>
      <w:sz w:val="24"/>
      <w:szCs w:val="24"/>
      <w:lang w:val="en-US" w:eastAsia="zh-CN" w:bidi="ar-SA"/>
    </w:rPr>
  </w:style>
  <w:style w:type="paragraph" w:customStyle="1" w:styleId="1507">
    <w:name w:val="正文修改5"/>
    <w:basedOn w:val="1180"/>
    <w:qFormat/>
    <w:uiPriority w:val="0"/>
    <w:rPr>
      <w:rFonts w:hAnsi="宋体"/>
      <w:color w:val="000000"/>
    </w:rPr>
  </w:style>
  <w:style w:type="character" w:customStyle="1" w:styleId="1508">
    <w:name w:val="正文修改 Char15"/>
    <w:qFormat/>
    <w:uiPriority w:val="0"/>
    <w:rPr>
      <w:rFonts w:ascii="宋体" w:hAnsi="宋体" w:eastAsia="宋体" w:cs="宋体"/>
      <w:color w:val="000000"/>
      <w:kern w:val="2"/>
      <w:sz w:val="24"/>
      <w:szCs w:val="24"/>
      <w:lang w:val="en-US" w:eastAsia="zh-CN" w:bidi="ar-SA"/>
    </w:rPr>
  </w:style>
  <w:style w:type="paragraph" w:customStyle="1" w:styleId="1509">
    <w:name w:val="表中文字6"/>
    <w:basedOn w:val="1"/>
    <w:qFormat/>
    <w:uiPriority w:val="0"/>
    <w:pPr>
      <w:widowControl/>
      <w:spacing w:line="240" w:lineRule="atLeast"/>
      <w:ind w:left="-24" w:leftChars="-10" w:right="-48" w:rightChars="-20"/>
      <w:jc w:val="center"/>
    </w:pPr>
    <w:rPr>
      <w:rFonts w:ascii="宋体" w:hAnsi="宋体" w:cs="宋体"/>
      <w:kern w:val="0"/>
      <w:szCs w:val="21"/>
    </w:rPr>
  </w:style>
  <w:style w:type="character" w:customStyle="1" w:styleId="1510">
    <w:name w:val="表中文字 Char25"/>
    <w:qFormat/>
    <w:uiPriority w:val="0"/>
    <w:rPr>
      <w:rFonts w:ascii="宋体" w:eastAsia="宋体"/>
      <w:kern w:val="2"/>
      <w:sz w:val="21"/>
      <w:szCs w:val="21"/>
      <w:lang w:val="en-US" w:eastAsia="zh-CN" w:bidi="ar-SA"/>
    </w:rPr>
  </w:style>
  <w:style w:type="paragraph" w:customStyle="1" w:styleId="1511">
    <w:name w:val="默认段落字体 Para Char Char Char Char6"/>
    <w:basedOn w:val="1"/>
    <w:qFormat/>
    <w:uiPriority w:val="0"/>
    <w:rPr>
      <w:rFonts w:ascii="宋体" w:hAnsi="宋体" w:cs="宋体"/>
    </w:rPr>
  </w:style>
  <w:style w:type="paragraph" w:customStyle="1" w:styleId="1512">
    <w:name w:val="Char121"/>
    <w:basedOn w:val="1"/>
    <w:qFormat/>
    <w:uiPriority w:val="0"/>
    <w:pPr>
      <w:adjustRightInd w:val="0"/>
      <w:snapToGrid w:val="0"/>
      <w:spacing w:line="360" w:lineRule="auto"/>
    </w:pPr>
    <w:rPr>
      <w:rFonts w:ascii="宋体" w:hAnsi="宋体" w:cs="宋体"/>
    </w:rPr>
  </w:style>
  <w:style w:type="paragraph" w:customStyle="1" w:styleId="1513">
    <w:name w:val="封面标准文稿编辑信息1"/>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514">
    <w:name w:val="样式 表内小5 + 黑体 加粗 倾斜 下划线1"/>
    <w:basedOn w:val="1"/>
    <w:qFormat/>
    <w:uiPriority w:val="0"/>
    <w:pPr>
      <w:adjustRightInd w:val="0"/>
      <w:snapToGrid w:val="0"/>
      <w:spacing w:line="300" w:lineRule="auto"/>
      <w:jc w:val="left"/>
    </w:pPr>
    <w:rPr>
      <w:rFonts w:ascii="黑体" w:hAnsi="黑体" w:eastAsia="黑体" w:cs="宋体"/>
      <w:b/>
      <w:bCs/>
      <w:i/>
      <w:iCs/>
      <w:sz w:val="18"/>
      <w:u w:val="single"/>
    </w:rPr>
  </w:style>
  <w:style w:type="character" w:customStyle="1" w:styleId="1515">
    <w:name w:val="样式 表内小5 + 黑体 加粗 倾斜 下划线 Char1"/>
    <w:qFormat/>
    <w:uiPriority w:val="0"/>
    <w:rPr>
      <w:rFonts w:ascii="黑体" w:hAnsi="黑体" w:eastAsia="黑体"/>
      <w:b/>
      <w:bCs/>
      <w:i/>
      <w:iCs/>
      <w:kern w:val="2"/>
      <w:sz w:val="18"/>
      <w:szCs w:val="24"/>
      <w:u w:val="single"/>
      <w:lang w:val="en-US" w:eastAsia="zh-CN" w:bidi="ar-SA"/>
    </w:rPr>
  </w:style>
  <w:style w:type="paragraph" w:customStyle="1" w:styleId="1516">
    <w:name w:val="表内5中2"/>
    <w:basedOn w:val="1"/>
    <w:qFormat/>
    <w:uiPriority w:val="0"/>
    <w:pPr>
      <w:adjustRightInd w:val="0"/>
      <w:snapToGrid w:val="0"/>
      <w:jc w:val="center"/>
    </w:pPr>
    <w:rPr>
      <w:rFonts w:ascii="宋体" w:hAnsi="宋体" w:cs="Arial"/>
      <w:snapToGrid w:val="0"/>
      <w:color w:val="000000"/>
      <w:szCs w:val="21"/>
    </w:rPr>
  </w:style>
  <w:style w:type="paragraph" w:customStyle="1" w:styleId="1517">
    <w:name w:val="表内5415"/>
    <w:basedOn w:val="1"/>
    <w:qFormat/>
    <w:uiPriority w:val="0"/>
    <w:pPr>
      <w:adjustRightInd w:val="0"/>
      <w:snapToGrid w:val="0"/>
      <w:spacing w:line="300" w:lineRule="auto"/>
      <w:jc w:val="center"/>
    </w:pPr>
    <w:rPr>
      <w:rFonts w:ascii="宋体" w:hAnsi="宋体" w:cs="宋体"/>
    </w:rPr>
  </w:style>
  <w:style w:type="paragraph" w:customStyle="1" w:styleId="1518">
    <w:name w:val="表格11"/>
    <w:basedOn w:val="1"/>
    <w:qFormat/>
    <w:uiPriority w:val="0"/>
    <w:pPr>
      <w:adjustRightInd w:val="0"/>
      <w:jc w:val="center"/>
      <w:textAlignment w:val="baseline"/>
    </w:pPr>
    <w:rPr>
      <w:rFonts w:ascii="宋体" w:hAnsi="宋体" w:cs="宋体"/>
      <w:kern w:val="0"/>
      <w:sz w:val="24"/>
    </w:rPr>
  </w:style>
  <w:style w:type="paragraph" w:customStyle="1" w:styleId="1519">
    <w:name w:val="c1"/>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1520">
    <w:name w:val="表题91"/>
    <w:basedOn w:val="46"/>
    <w:qFormat/>
    <w:uiPriority w:val="0"/>
    <w:pPr>
      <w:widowControl w:val="0"/>
      <w:adjustRightInd w:val="0"/>
      <w:snapToGrid w:val="0"/>
      <w:spacing w:line="300" w:lineRule="auto"/>
      <w:jc w:val="center"/>
    </w:pPr>
    <w:rPr>
      <w:rFonts w:ascii="黑体" w:eastAsia="黑体" w:cs="Times New Roman"/>
      <w:kern w:val="2"/>
      <w:szCs w:val="20"/>
    </w:rPr>
  </w:style>
  <w:style w:type="character" w:customStyle="1" w:styleId="1521">
    <w:name w:val="正文缩进 Char7"/>
    <w:qFormat/>
    <w:uiPriority w:val="0"/>
    <w:rPr>
      <w:rFonts w:ascii="宋体" w:hAnsi="宋体" w:eastAsia="宋体"/>
      <w:kern w:val="2"/>
      <w:sz w:val="24"/>
      <w:szCs w:val="24"/>
      <w:lang w:val="en-US" w:eastAsia="zh-CN" w:bidi="ar-SA"/>
    </w:rPr>
  </w:style>
  <w:style w:type="paragraph" w:customStyle="1" w:styleId="1522">
    <w:name w:val="福建正文缩进1"/>
    <w:basedOn w:val="6"/>
    <w:qFormat/>
    <w:uiPriority w:val="0"/>
    <w:pPr>
      <w:spacing w:line="360" w:lineRule="auto"/>
      <w:ind w:firstLine="567" w:firstLineChars="0"/>
    </w:pPr>
    <w:rPr>
      <w:rFonts w:ascii="宋体" w:hAnsi="Calibri" w:eastAsia="宋体" w:cs="宋体"/>
      <w:color w:val="auto"/>
      <w:kern w:val="0"/>
      <w:sz w:val="24"/>
    </w:rPr>
  </w:style>
  <w:style w:type="character" w:customStyle="1" w:styleId="1523">
    <w:name w:val="福建正文缩进 Char1"/>
    <w:qFormat/>
    <w:uiPriority w:val="0"/>
    <w:rPr>
      <w:rFonts w:ascii="宋体" w:eastAsia="宋体"/>
      <w:kern w:val="2"/>
      <w:sz w:val="24"/>
      <w:szCs w:val="24"/>
      <w:lang w:val="en-US" w:eastAsia="zh-CN" w:bidi="ar-SA"/>
    </w:rPr>
  </w:style>
  <w:style w:type="paragraph" w:customStyle="1" w:styleId="1524">
    <w:name w:val="表内文字小3"/>
    <w:basedOn w:val="1"/>
    <w:qFormat/>
    <w:uiPriority w:val="0"/>
    <w:pPr>
      <w:adjustRightInd w:val="0"/>
      <w:snapToGrid w:val="0"/>
      <w:jc w:val="center"/>
    </w:pPr>
    <w:rPr>
      <w:rFonts w:ascii="宋体" w:hAnsi="Times" w:cs="宋体"/>
    </w:rPr>
  </w:style>
  <w:style w:type="paragraph" w:customStyle="1" w:styleId="1525">
    <w:name w:val="表内591"/>
    <w:basedOn w:val="1"/>
    <w:qFormat/>
    <w:uiPriority w:val="0"/>
    <w:pPr>
      <w:adjustRightInd w:val="0"/>
      <w:snapToGrid w:val="0"/>
      <w:spacing w:line="300" w:lineRule="auto"/>
      <w:jc w:val="center"/>
    </w:pPr>
    <w:rPr>
      <w:rFonts w:ascii="宋体" w:hAnsi="宋体" w:cs="宋体"/>
      <w:snapToGrid w:val="0"/>
      <w:szCs w:val="21"/>
    </w:rPr>
  </w:style>
  <w:style w:type="paragraph" w:customStyle="1" w:styleId="1526">
    <w:name w:val="表内小5中1"/>
    <w:basedOn w:val="1"/>
    <w:qFormat/>
    <w:uiPriority w:val="0"/>
    <w:pPr>
      <w:adjustRightInd w:val="0"/>
      <w:snapToGrid w:val="0"/>
      <w:jc w:val="center"/>
    </w:pPr>
    <w:rPr>
      <w:rFonts w:ascii="宋体" w:hAnsi="宋体" w:cs="宋体"/>
      <w:sz w:val="18"/>
    </w:rPr>
  </w:style>
  <w:style w:type="paragraph" w:customStyle="1" w:styleId="1527">
    <w:name w:val="表内5中41"/>
    <w:basedOn w:val="1"/>
    <w:qFormat/>
    <w:uiPriority w:val="0"/>
    <w:pPr>
      <w:adjustRightInd w:val="0"/>
      <w:snapToGrid w:val="0"/>
      <w:jc w:val="center"/>
    </w:pPr>
    <w:rPr>
      <w:rFonts w:ascii="宋体" w:hAnsi="宋体" w:cs="宋体"/>
      <w:bCs/>
    </w:rPr>
  </w:style>
  <w:style w:type="paragraph" w:customStyle="1" w:styleId="1528">
    <w:name w:val="默认段落字体 Para Char5"/>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1529">
    <w:name w:val="燕山正文131"/>
    <w:basedOn w:val="1"/>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character" w:customStyle="1" w:styleId="1530">
    <w:name w:val="批注框文本 Char5"/>
    <w:qFormat/>
    <w:uiPriority w:val="0"/>
    <w:rPr>
      <w:rFonts w:eastAsia="宋体"/>
      <w:kern w:val="2"/>
      <w:sz w:val="18"/>
      <w:szCs w:val="18"/>
      <w:lang w:val="en-US" w:eastAsia="zh-CN" w:bidi="ar-SA"/>
    </w:rPr>
  </w:style>
  <w:style w:type="paragraph" w:customStyle="1" w:styleId="1531">
    <w:name w:val="样式 标题 4无效格式无效格式1河石管道4H4H41小小节河石管道41H42H411小小节1河石管道42...2"/>
    <w:basedOn w:val="8"/>
    <w:qFormat/>
    <w:uiPriority w:val="0"/>
    <w:pPr>
      <w:widowControl w:val="0"/>
      <w:tabs>
        <w:tab w:val="clear" w:pos="1276"/>
      </w:tabs>
      <w:adjustRightInd w:val="0"/>
      <w:snapToGrid w:val="0"/>
      <w:ind w:left="1404" w:hanging="864"/>
      <w:jc w:val="both"/>
    </w:pPr>
    <w:rPr>
      <w:rFonts w:ascii="黑体" w:eastAsia="黑体"/>
      <w:b w:val="0"/>
      <w:bCs w:val="0"/>
      <w:kern w:val="2"/>
      <w:szCs w:val="24"/>
    </w:rPr>
  </w:style>
  <w:style w:type="paragraph" w:customStyle="1" w:styleId="1532">
    <w:name w:val="样式 标题 4无效格式无效格式1河石管道4H4H41小小节河石管道41H42H411小小节1河石管道42...11"/>
    <w:basedOn w:val="8"/>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1533">
    <w:name w:val="附件4"/>
    <w:basedOn w:val="4"/>
    <w:next w:val="315"/>
    <w:qFormat/>
    <w:uiPriority w:val="0"/>
    <w:pPr>
      <w:keepLines/>
      <w:widowControl w:val="0"/>
      <w:numPr>
        <w:numId w:val="0"/>
      </w:numPr>
      <w:tabs>
        <w:tab w:val="left" w:pos="1566"/>
      </w:tabs>
      <w:spacing w:after="210"/>
    </w:pPr>
    <w:rPr>
      <w:rFonts w:ascii="黑体" w:eastAsia="黑体"/>
      <w:b/>
      <w:bCs/>
      <w:kern w:val="44"/>
      <w:szCs w:val="32"/>
    </w:rPr>
  </w:style>
  <w:style w:type="paragraph" w:customStyle="1" w:styleId="1534">
    <w:name w:val="标题4313"/>
    <w:basedOn w:val="1"/>
    <w:qFormat/>
    <w:uiPriority w:val="0"/>
    <w:pPr>
      <w:adjustRightInd w:val="0"/>
      <w:snapToGrid w:val="0"/>
      <w:spacing w:line="480" w:lineRule="exact"/>
      <w:jc w:val="center"/>
    </w:pPr>
    <w:rPr>
      <w:rFonts w:ascii="宋体" w:hAnsi="宋体" w:cs="宋体"/>
      <w:sz w:val="24"/>
    </w:rPr>
  </w:style>
  <w:style w:type="paragraph" w:customStyle="1" w:styleId="1535">
    <w:name w:val="燕山正文114"/>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536">
    <w:name w:val="表题411"/>
    <w:basedOn w:val="36"/>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1537">
    <w:name w:val="表内文字小214"/>
    <w:basedOn w:val="1"/>
    <w:qFormat/>
    <w:uiPriority w:val="0"/>
    <w:pPr>
      <w:adjustRightInd w:val="0"/>
      <w:snapToGrid w:val="0"/>
      <w:jc w:val="center"/>
    </w:pPr>
    <w:rPr>
      <w:rFonts w:ascii="宋体" w:hAnsi="Times" w:cs="宋体"/>
      <w:bCs/>
      <w:color w:val="000000"/>
    </w:rPr>
  </w:style>
  <w:style w:type="paragraph" w:customStyle="1" w:styleId="1538">
    <w:name w:val="表题314"/>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539">
    <w:name w:val="Char Char Char Char Char Char Char31"/>
    <w:basedOn w:val="1"/>
    <w:qFormat/>
    <w:uiPriority w:val="0"/>
    <w:rPr>
      <w:rFonts w:ascii="宋体" w:hAnsi="宋体" w:cs="宋体"/>
    </w:rPr>
  </w:style>
  <w:style w:type="paragraph" w:customStyle="1" w:styleId="1540">
    <w:name w:val="表文字54"/>
    <w:basedOn w:val="1"/>
    <w:qFormat/>
    <w:uiPriority w:val="0"/>
    <w:pPr>
      <w:adjustRightInd w:val="0"/>
      <w:jc w:val="left"/>
      <w:textAlignment w:val="baseline"/>
    </w:pPr>
    <w:rPr>
      <w:rFonts w:ascii="宋体" w:hAnsi="宋体" w:cs="宋体"/>
      <w:kern w:val="0"/>
    </w:rPr>
  </w:style>
  <w:style w:type="paragraph" w:customStyle="1" w:styleId="1541">
    <w:name w:val="表内文字小314"/>
    <w:basedOn w:val="1"/>
    <w:qFormat/>
    <w:uiPriority w:val="0"/>
    <w:pPr>
      <w:adjustRightInd w:val="0"/>
      <w:snapToGrid w:val="0"/>
      <w:jc w:val="center"/>
    </w:pPr>
    <w:rPr>
      <w:rFonts w:ascii="宋体" w:hAnsi="Times" w:cs="宋体"/>
      <w:bCs/>
      <w:color w:val="003366"/>
    </w:rPr>
  </w:style>
  <w:style w:type="paragraph" w:customStyle="1" w:styleId="1542">
    <w:name w:val="表内宋5112"/>
    <w:basedOn w:val="81"/>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1543">
    <w:name w:val="文本框2"/>
    <w:basedOn w:val="1"/>
    <w:qFormat/>
    <w:uiPriority w:val="0"/>
    <w:pPr>
      <w:adjustRightInd w:val="0"/>
      <w:snapToGrid w:val="0"/>
      <w:spacing w:after="6"/>
      <w:jc w:val="center"/>
    </w:pPr>
    <w:rPr>
      <w:rFonts w:ascii="宋体" w:hAnsi="宋体" w:eastAsia="仿宋_GB2312" w:cs="宋体"/>
    </w:rPr>
  </w:style>
  <w:style w:type="paragraph" w:customStyle="1" w:styleId="1544">
    <w:name w:val="正文.2"/>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545">
    <w:name w:val="表4"/>
    <w:basedOn w:val="1"/>
    <w:qFormat/>
    <w:uiPriority w:val="0"/>
    <w:pPr>
      <w:adjustRightInd w:val="0"/>
      <w:snapToGrid w:val="0"/>
      <w:jc w:val="center"/>
    </w:pPr>
    <w:rPr>
      <w:rFonts w:ascii="宋体" w:hAnsi="宋体" w:eastAsia="仿宋_GB2312" w:cs="宋体"/>
      <w:sz w:val="24"/>
    </w:rPr>
  </w:style>
  <w:style w:type="paragraph" w:customStyle="1" w:styleId="1546">
    <w:name w:val="黑体三号5"/>
    <w:basedOn w:val="315"/>
    <w:qFormat/>
    <w:uiPriority w:val="0"/>
    <w:pPr>
      <w:jc w:val="center"/>
    </w:pPr>
    <w:rPr>
      <w:rFonts w:ascii="黑体" w:hAnsi="宋体" w:eastAsia="黑体"/>
      <w:bCs/>
      <w:spacing w:val="0"/>
      <w:sz w:val="32"/>
    </w:rPr>
  </w:style>
  <w:style w:type="paragraph" w:customStyle="1" w:styleId="1547">
    <w:name w:val="Char131"/>
    <w:basedOn w:val="1"/>
    <w:qFormat/>
    <w:uiPriority w:val="0"/>
    <w:pPr>
      <w:ind w:left="-48"/>
    </w:pPr>
    <w:rPr>
      <w:rFonts w:ascii="宋体" w:hAnsi="宋体" w:cs="宋体"/>
    </w:rPr>
  </w:style>
  <w:style w:type="paragraph" w:customStyle="1" w:styleId="1548">
    <w:name w:val="样式13"/>
    <w:basedOn w:val="1227"/>
    <w:qFormat/>
    <w:uiPriority w:val="0"/>
    <w:pPr>
      <w:spacing w:line="240" w:lineRule="auto"/>
      <w:ind w:firstLine="0"/>
      <w:jc w:val="center"/>
    </w:pPr>
    <w:rPr>
      <w:rFonts w:cs="Times New Roman"/>
      <w:b/>
      <w:color w:val="auto"/>
      <w:szCs w:val="20"/>
    </w:rPr>
  </w:style>
  <w:style w:type="paragraph" w:customStyle="1" w:styleId="1549">
    <w:name w:val="首行缩进:  0.99 厘米 + 首行缩进:  2 字符1"/>
    <w:basedOn w:val="1"/>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character" w:customStyle="1" w:styleId="1550">
    <w:name w:val="正文文本 3 Char1"/>
    <w:qFormat/>
    <w:uiPriority w:val="0"/>
    <w:rPr>
      <w:rFonts w:eastAsia="宋体"/>
      <w:kern w:val="2"/>
      <w:sz w:val="16"/>
      <w:szCs w:val="16"/>
      <w:lang w:val="en-US" w:eastAsia="zh-CN" w:bidi="ar-SA"/>
    </w:rPr>
  </w:style>
  <w:style w:type="paragraph" w:customStyle="1" w:styleId="1551">
    <w:name w:val="图表名称1"/>
    <w:basedOn w:val="86"/>
    <w:qFormat/>
    <w:uiPriority w:val="0"/>
    <w:pPr>
      <w:adjustRightInd w:val="0"/>
      <w:snapToGrid w:val="0"/>
      <w:spacing w:after="0" w:line="480" w:lineRule="exact"/>
      <w:ind w:firstLine="0" w:firstLineChars="0"/>
      <w:jc w:val="center"/>
    </w:pPr>
    <w:rPr>
      <w:bCs/>
      <w:kern w:val="2"/>
      <w:sz w:val="24"/>
    </w:rPr>
  </w:style>
  <w:style w:type="paragraph" w:customStyle="1" w:styleId="1552">
    <w:name w:val="表内文字边1"/>
    <w:basedOn w:val="1"/>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1553">
    <w:name w:val="正文缩1"/>
    <w:basedOn w:val="1"/>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1554">
    <w:name w:val="样式21"/>
    <w:basedOn w:val="1"/>
    <w:qFormat/>
    <w:uiPriority w:val="0"/>
    <w:pPr>
      <w:adjustRightInd w:val="0"/>
      <w:spacing w:line="360" w:lineRule="auto"/>
      <w:jc w:val="center"/>
      <w:textAlignment w:val="baseline"/>
      <w:outlineLvl w:val="0"/>
    </w:pPr>
    <w:rPr>
      <w:rFonts w:ascii="宋体" w:hAnsi="宋体" w:cs="宋体"/>
      <w:kern w:val="0"/>
    </w:rPr>
  </w:style>
  <w:style w:type="paragraph" w:customStyle="1" w:styleId="1555">
    <w:name w:val="默认段落字体 Para Char Char Char Char Char1"/>
    <w:basedOn w:val="1"/>
    <w:qFormat/>
    <w:uiPriority w:val="0"/>
    <w:rPr>
      <w:rFonts w:ascii="宋体" w:hAnsi="宋体" w:cs="宋体"/>
    </w:rPr>
  </w:style>
  <w:style w:type="paragraph" w:customStyle="1" w:styleId="1556">
    <w:name w:val="表内宋5中3"/>
    <w:basedOn w:val="1"/>
    <w:qFormat/>
    <w:uiPriority w:val="0"/>
    <w:pPr>
      <w:adjustRightInd w:val="0"/>
      <w:snapToGrid w:val="0"/>
      <w:textAlignment w:val="baseline"/>
    </w:pPr>
    <w:rPr>
      <w:rFonts w:ascii="宋体" w:hAnsi="宋体" w:cs="宋体"/>
      <w:color w:val="000000"/>
      <w:kern w:val="0"/>
    </w:rPr>
  </w:style>
  <w:style w:type="paragraph" w:customStyle="1" w:styleId="1557">
    <w:name w:val="样式 标题 3 + 段前: 12 磅1"/>
    <w:basedOn w:val="7"/>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1558">
    <w:name w:val="表内52"/>
    <w:basedOn w:val="1"/>
    <w:qFormat/>
    <w:uiPriority w:val="0"/>
    <w:pPr>
      <w:adjustRightInd w:val="0"/>
      <w:snapToGrid w:val="0"/>
      <w:spacing w:line="300" w:lineRule="auto"/>
      <w:jc w:val="left"/>
    </w:pPr>
    <w:rPr>
      <w:rFonts w:ascii="宋体" w:hAnsi="宋体" w:cs="宋体"/>
      <w:sz w:val="18"/>
    </w:rPr>
  </w:style>
  <w:style w:type="paragraph" w:customStyle="1" w:styleId="1559">
    <w:name w:val="Char Char Char Char1 Char Char Char11"/>
    <w:basedOn w:val="1"/>
    <w:qFormat/>
    <w:uiPriority w:val="0"/>
    <w:pPr>
      <w:widowControl/>
      <w:spacing w:after="160"/>
      <w:jc w:val="left"/>
    </w:pPr>
    <w:rPr>
      <w:rFonts w:ascii="Verdana" w:hAnsi="Verdana" w:cs="宋体"/>
      <w:kern w:val="0"/>
      <w:sz w:val="24"/>
      <w:lang w:eastAsia="en-US"/>
    </w:rPr>
  </w:style>
  <w:style w:type="paragraph" w:customStyle="1" w:styleId="1560">
    <w:name w:val="正文格式111"/>
    <w:basedOn w:val="1"/>
    <w:qFormat/>
    <w:uiPriority w:val="0"/>
    <w:pPr>
      <w:spacing w:line="360" w:lineRule="auto"/>
      <w:ind w:firstLine="482"/>
    </w:pPr>
    <w:rPr>
      <w:rFonts w:ascii="宋体" w:hAnsi="宋体" w:cs="宋体"/>
      <w:sz w:val="24"/>
    </w:rPr>
  </w:style>
  <w:style w:type="paragraph" w:customStyle="1" w:styleId="1561">
    <w:name w:val="图题11"/>
    <w:basedOn w:val="315"/>
    <w:next w:val="315"/>
    <w:qFormat/>
    <w:uiPriority w:val="0"/>
    <w:pPr>
      <w:ind w:firstLine="0"/>
      <w:jc w:val="center"/>
    </w:pPr>
    <w:rPr>
      <w:rFonts w:ascii="黑体" w:hAnsi="宋体" w:eastAsia="黑体"/>
      <w:bCs/>
      <w:spacing w:val="0"/>
    </w:rPr>
  </w:style>
  <w:style w:type="paragraph" w:customStyle="1" w:styleId="1562">
    <w:name w:val="表格内字体12"/>
    <w:basedOn w:val="315"/>
    <w:next w:val="315"/>
    <w:qFormat/>
    <w:uiPriority w:val="0"/>
    <w:pPr>
      <w:spacing w:line="240" w:lineRule="auto"/>
      <w:ind w:firstLine="0"/>
      <w:jc w:val="center"/>
    </w:pPr>
    <w:rPr>
      <w:rFonts w:hAnsi="宋体"/>
      <w:b w:val="0"/>
      <w:spacing w:val="0"/>
      <w:sz w:val="21"/>
    </w:rPr>
  </w:style>
  <w:style w:type="character" w:customStyle="1" w:styleId="1563">
    <w:name w:val="Char Char1111"/>
    <w:qFormat/>
    <w:uiPriority w:val="0"/>
    <w:rPr>
      <w:rFonts w:ascii="黑体" w:hAnsi="Arial" w:eastAsia="黑体"/>
      <w:bCs/>
      <w:kern w:val="2"/>
      <w:sz w:val="30"/>
      <w:szCs w:val="30"/>
      <w:lang w:val="en-US" w:eastAsia="zh-CN" w:bidi="ar-SA"/>
    </w:rPr>
  </w:style>
  <w:style w:type="paragraph" w:customStyle="1" w:styleId="1564">
    <w:name w:val="Char141"/>
    <w:basedOn w:val="1"/>
    <w:qFormat/>
    <w:uiPriority w:val="0"/>
    <w:pPr>
      <w:ind w:left="-48"/>
    </w:pPr>
    <w:rPr>
      <w:rFonts w:ascii="宋体" w:hAnsi="宋体" w:cs="宋体"/>
    </w:rPr>
  </w:style>
  <w:style w:type="paragraph" w:customStyle="1" w:styleId="1565">
    <w:name w:val="正文格式22"/>
    <w:basedOn w:val="1"/>
    <w:qFormat/>
    <w:uiPriority w:val="0"/>
    <w:pPr>
      <w:spacing w:line="360" w:lineRule="auto"/>
      <w:ind w:firstLine="482"/>
    </w:pPr>
    <w:rPr>
      <w:rFonts w:ascii="宋体" w:hAnsi="宋体" w:cs="宋体"/>
      <w:sz w:val="24"/>
    </w:rPr>
  </w:style>
  <w:style w:type="paragraph" w:customStyle="1" w:styleId="1566">
    <w:name w:val="Char151"/>
    <w:basedOn w:val="1"/>
    <w:qFormat/>
    <w:uiPriority w:val="0"/>
    <w:pPr>
      <w:adjustRightInd w:val="0"/>
      <w:snapToGrid w:val="0"/>
      <w:spacing w:beforeLines="50" w:line="360" w:lineRule="auto"/>
    </w:pPr>
    <w:rPr>
      <w:rFonts w:ascii="黑体" w:hAnsi="宋体" w:eastAsia="黑体" w:cs="宋体"/>
      <w:sz w:val="32"/>
      <w:szCs w:val="32"/>
    </w:rPr>
  </w:style>
  <w:style w:type="character" w:customStyle="1" w:styleId="1567">
    <w:name w:val="题注 Char11"/>
    <w:qFormat/>
    <w:uiPriority w:val="0"/>
    <w:rPr>
      <w:rFonts w:ascii="黑体" w:hAnsi="Arial" w:eastAsia="黑体" w:cs="Arial"/>
      <w:spacing w:val="10"/>
      <w:kern w:val="2"/>
      <w:sz w:val="24"/>
      <w:szCs w:val="24"/>
      <w:lang w:val="en-US" w:eastAsia="zh-CN" w:bidi="ar-SA"/>
    </w:rPr>
  </w:style>
  <w:style w:type="paragraph" w:customStyle="1" w:styleId="1568">
    <w:name w:val="图题22"/>
    <w:basedOn w:val="315"/>
    <w:next w:val="315"/>
    <w:qFormat/>
    <w:uiPriority w:val="0"/>
    <w:pPr>
      <w:ind w:firstLine="0"/>
      <w:jc w:val="center"/>
    </w:pPr>
    <w:rPr>
      <w:rFonts w:ascii="黑体" w:hAnsi="宋体" w:eastAsia="黑体"/>
      <w:bCs/>
      <w:spacing w:val="0"/>
    </w:rPr>
  </w:style>
  <w:style w:type="paragraph" w:customStyle="1" w:styleId="1569">
    <w:name w:val="表格内字体22"/>
    <w:basedOn w:val="315"/>
    <w:next w:val="315"/>
    <w:qFormat/>
    <w:uiPriority w:val="0"/>
    <w:pPr>
      <w:spacing w:line="240" w:lineRule="auto"/>
      <w:ind w:firstLine="0"/>
      <w:jc w:val="center"/>
    </w:pPr>
    <w:rPr>
      <w:rFonts w:hAnsi="宋体"/>
      <w:b w:val="0"/>
      <w:spacing w:val="0"/>
      <w:sz w:val="21"/>
    </w:rPr>
  </w:style>
  <w:style w:type="paragraph" w:customStyle="1" w:styleId="1570">
    <w:name w:val="表内54111"/>
    <w:basedOn w:val="1"/>
    <w:qFormat/>
    <w:uiPriority w:val="0"/>
    <w:pPr>
      <w:adjustRightInd w:val="0"/>
      <w:snapToGrid w:val="0"/>
      <w:spacing w:line="300" w:lineRule="auto"/>
      <w:jc w:val="center"/>
    </w:pPr>
    <w:rPr>
      <w:rFonts w:ascii="宋体" w:hAnsi="宋体" w:cs="宋体"/>
    </w:rPr>
  </w:style>
  <w:style w:type="paragraph" w:customStyle="1" w:styleId="1571">
    <w:name w:val="表内文字小2111"/>
    <w:basedOn w:val="1"/>
    <w:qFormat/>
    <w:uiPriority w:val="0"/>
    <w:pPr>
      <w:adjustRightInd w:val="0"/>
      <w:snapToGrid w:val="0"/>
      <w:jc w:val="center"/>
    </w:pPr>
    <w:rPr>
      <w:rFonts w:ascii="宋体" w:hAnsi="Times" w:cs="宋体"/>
      <w:bCs/>
      <w:color w:val="000000"/>
    </w:rPr>
  </w:style>
  <w:style w:type="paragraph" w:customStyle="1" w:styleId="1572">
    <w:name w:val="表题3111"/>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573">
    <w:name w:val="Char Char Char Char Char Char Char111"/>
    <w:basedOn w:val="1"/>
    <w:qFormat/>
    <w:uiPriority w:val="0"/>
    <w:rPr>
      <w:rFonts w:ascii="宋体" w:hAnsi="宋体" w:cs="宋体"/>
    </w:rPr>
  </w:style>
  <w:style w:type="paragraph" w:customStyle="1" w:styleId="1574">
    <w:name w:val="标题43111"/>
    <w:basedOn w:val="1"/>
    <w:qFormat/>
    <w:uiPriority w:val="0"/>
    <w:pPr>
      <w:adjustRightInd w:val="0"/>
      <w:snapToGrid w:val="0"/>
      <w:spacing w:line="480" w:lineRule="exact"/>
      <w:jc w:val="center"/>
    </w:pPr>
    <w:rPr>
      <w:rFonts w:ascii="宋体" w:hAnsi="宋体" w:cs="宋体"/>
      <w:sz w:val="24"/>
    </w:rPr>
  </w:style>
  <w:style w:type="paragraph" w:customStyle="1" w:styleId="1575">
    <w:name w:val="燕山正文1111"/>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576">
    <w:name w:val="默认段落字体 Para Char Char Char Char11"/>
    <w:basedOn w:val="1"/>
    <w:qFormat/>
    <w:uiPriority w:val="0"/>
    <w:rPr>
      <w:rFonts w:ascii="宋体" w:hAnsi="宋体" w:cs="宋体"/>
    </w:rPr>
  </w:style>
  <w:style w:type="paragraph" w:customStyle="1" w:styleId="1577">
    <w:name w:val="附件11"/>
    <w:basedOn w:val="4"/>
    <w:next w:val="315"/>
    <w:qFormat/>
    <w:uiPriority w:val="0"/>
    <w:pPr>
      <w:keepLines/>
      <w:widowControl w:val="0"/>
      <w:numPr>
        <w:numId w:val="0"/>
      </w:numPr>
      <w:tabs>
        <w:tab w:val="left" w:pos="1566"/>
      </w:tabs>
      <w:spacing w:after="210"/>
    </w:pPr>
    <w:rPr>
      <w:rFonts w:ascii="黑体" w:eastAsia="黑体"/>
      <w:bCs/>
      <w:kern w:val="44"/>
      <w:szCs w:val="32"/>
    </w:rPr>
  </w:style>
  <w:style w:type="paragraph" w:customStyle="1" w:styleId="1578">
    <w:name w:val="黑体三号11"/>
    <w:basedOn w:val="315"/>
    <w:qFormat/>
    <w:uiPriority w:val="0"/>
    <w:pPr>
      <w:jc w:val="center"/>
    </w:pPr>
    <w:rPr>
      <w:rFonts w:ascii="黑体" w:hAnsi="宋体" w:eastAsia="黑体"/>
      <w:bCs/>
      <w:spacing w:val="0"/>
      <w:sz w:val="32"/>
    </w:rPr>
  </w:style>
  <w:style w:type="paragraph" w:customStyle="1" w:styleId="1579">
    <w:name w:val="表11"/>
    <w:basedOn w:val="1"/>
    <w:qFormat/>
    <w:uiPriority w:val="0"/>
    <w:pPr>
      <w:adjustRightInd w:val="0"/>
      <w:snapToGrid w:val="0"/>
      <w:jc w:val="center"/>
    </w:pPr>
    <w:rPr>
      <w:rFonts w:ascii="宋体" w:hAnsi="宋体" w:eastAsia="仿宋_GB2312" w:cs="宋体"/>
      <w:sz w:val="24"/>
    </w:rPr>
  </w:style>
  <w:style w:type="character" w:customStyle="1" w:styleId="1580">
    <w:name w:val="Char Char611"/>
    <w:qFormat/>
    <w:uiPriority w:val="0"/>
    <w:rPr>
      <w:rFonts w:ascii="黑体" w:eastAsia="黑体"/>
      <w:b/>
      <w:bCs/>
      <w:kern w:val="2"/>
      <w:sz w:val="28"/>
      <w:szCs w:val="28"/>
      <w:lang w:val="en-US" w:eastAsia="zh-CN" w:bidi="ar-SA"/>
    </w:rPr>
  </w:style>
  <w:style w:type="paragraph" w:customStyle="1" w:styleId="1581">
    <w:name w:val="表题112"/>
    <w:basedOn w:val="23"/>
    <w:qFormat/>
    <w:uiPriority w:val="0"/>
    <w:pPr>
      <w:widowControl w:val="0"/>
      <w:spacing w:line="360" w:lineRule="auto"/>
      <w:jc w:val="center"/>
    </w:pPr>
    <w:rPr>
      <w:rFonts w:ascii="黑体" w:hAnsi="Arial" w:cs="Arial"/>
      <w:kern w:val="2"/>
    </w:rPr>
  </w:style>
  <w:style w:type="paragraph" w:customStyle="1" w:styleId="1582">
    <w:name w:val="燕山正文12"/>
    <w:basedOn w:val="1"/>
    <w:qFormat/>
    <w:uiPriority w:val="0"/>
    <w:pPr>
      <w:tabs>
        <w:tab w:val="left" w:pos="4680"/>
      </w:tabs>
      <w:adjustRightInd w:val="0"/>
      <w:snapToGrid w:val="0"/>
      <w:spacing w:line="480" w:lineRule="exact"/>
    </w:pPr>
    <w:rPr>
      <w:rFonts w:ascii="宋体" w:hAnsi="宋体" w:cs="宋体"/>
      <w:sz w:val="24"/>
    </w:rPr>
  </w:style>
  <w:style w:type="paragraph" w:customStyle="1" w:styleId="1583">
    <w:name w:val="正文修改11"/>
    <w:basedOn w:val="1180"/>
    <w:qFormat/>
    <w:uiPriority w:val="0"/>
    <w:rPr>
      <w:rFonts w:hAnsi="宋体"/>
      <w:color w:val="000000"/>
    </w:rPr>
  </w:style>
  <w:style w:type="character" w:customStyle="1" w:styleId="1584">
    <w:name w:val="正文修改 Char111"/>
    <w:qFormat/>
    <w:uiPriority w:val="0"/>
    <w:rPr>
      <w:rFonts w:ascii="宋体" w:hAnsi="宋体" w:eastAsia="宋体" w:cs="宋体"/>
      <w:color w:val="000000"/>
      <w:kern w:val="2"/>
      <w:sz w:val="24"/>
      <w:szCs w:val="24"/>
      <w:lang w:val="en-US" w:eastAsia="zh-CN" w:bidi="ar-SA"/>
    </w:rPr>
  </w:style>
  <w:style w:type="paragraph" w:customStyle="1" w:styleId="1585">
    <w:name w:val="表中文字12"/>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586">
    <w:name w:val="表文字512"/>
    <w:basedOn w:val="1"/>
    <w:qFormat/>
    <w:uiPriority w:val="0"/>
    <w:pPr>
      <w:adjustRightInd w:val="0"/>
      <w:jc w:val="left"/>
      <w:textAlignment w:val="baseline"/>
    </w:pPr>
    <w:rPr>
      <w:rFonts w:ascii="宋体" w:hAnsi="宋体" w:cs="宋体"/>
      <w:kern w:val="0"/>
    </w:rPr>
  </w:style>
  <w:style w:type="paragraph" w:customStyle="1" w:styleId="1587">
    <w:name w:val="表内文字小3111"/>
    <w:basedOn w:val="1"/>
    <w:qFormat/>
    <w:uiPriority w:val="0"/>
    <w:pPr>
      <w:adjustRightInd w:val="0"/>
      <w:snapToGrid w:val="0"/>
      <w:jc w:val="center"/>
    </w:pPr>
    <w:rPr>
      <w:rFonts w:ascii="宋体" w:hAnsi="Times" w:cs="宋体"/>
      <w:bCs/>
      <w:color w:val="003366"/>
    </w:rPr>
  </w:style>
  <w:style w:type="paragraph" w:customStyle="1" w:styleId="1588">
    <w:name w:val="样式111"/>
    <w:basedOn w:val="1227"/>
    <w:qFormat/>
    <w:uiPriority w:val="0"/>
    <w:pPr>
      <w:spacing w:line="240" w:lineRule="auto"/>
      <w:ind w:firstLine="0"/>
      <w:jc w:val="center"/>
    </w:pPr>
    <w:rPr>
      <w:rFonts w:cs="Times New Roman"/>
      <w:b/>
      <w:color w:val="auto"/>
      <w:szCs w:val="20"/>
    </w:rPr>
  </w:style>
  <w:style w:type="paragraph" w:customStyle="1" w:styleId="1589">
    <w:name w:val="Char211"/>
    <w:basedOn w:val="1"/>
    <w:qFormat/>
    <w:uiPriority w:val="0"/>
    <w:pPr>
      <w:ind w:left="-48"/>
    </w:pPr>
    <w:rPr>
      <w:rFonts w:ascii="宋体" w:hAnsi="宋体" w:cs="宋体"/>
    </w:rPr>
  </w:style>
  <w:style w:type="paragraph" w:customStyle="1" w:styleId="1590">
    <w:name w:val="表内文字小23"/>
    <w:basedOn w:val="1"/>
    <w:qFormat/>
    <w:uiPriority w:val="0"/>
    <w:pPr>
      <w:adjustRightInd w:val="0"/>
      <w:snapToGrid w:val="0"/>
      <w:jc w:val="center"/>
    </w:pPr>
    <w:rPr>
      <w:rFonts w:ascii="宋体" w:hAnsi="Times" w:cs="宋体"/>
      <w:bCs/>
      <w:color w:val="000000"/>
    </w:rPr>
  </w:style>
  <w:style w:type="paragraph" w:customStyle="1" w:styleId="1591">
    <w:name w:val="表内532"/>
    <w:basedOn w:val="1"/>
    <w:qFormat/>
    <w:uiPriority w:val="0"/>
    <w:pPr>
      <w:adjustRightInd w:val="0"/>
      <w:snapToGrid w:val="0"/>
      <w:spacing w:line="300" w:lineRule="auto"/>
      <w:jc w:val="left"/>
    </w:pPr>
    <w:rPr>
      <w:rFonts w:ascii="宋体" w:hAnsi="宋体" w:cs="宋体"/>
    </w:rPr>
  </w:style>
  <w:style w:type="paragraph" w:customStyle="1" w:styleId="1592">
    <w:name w:val="正文格式31"/>
    <w:basedOn w:val="1"/>
    <w:qFormat/>
    <w:uiPriority w:val="0"/>
    <w:pPr>
      <w:spacing w:line="360" w:lineRule="auto"/>
      <w:ind w:firstLine="482"/>
    </w:pPr>
    <w:rPr>
      <w:rFonts w:ascii="宋体" w:hAnsi="宋体" w:cs="宋体"/>
      <w:sz w:val="24"/>
    </w:rPr>
  </w:style>
  <w:style w:type="paragraph" w:customStyle="1" w:styleId="1593">
    <w:name w:val="Char221"/>
    <w:basedOn w:val="1"/>
    <w:qFormat/>
    <w:uiPriority w:val="0"/>
    <w:pPr>
      <w:adjustRightInd w:val="0"/>
      <w:snapToGrid w:val="0"/>
      <w:spacing w:beforeLines="50" w:line="360" w:lineRule="auto"/>
    </w:pPr>
    <w:rPr>
      <w:rFonts w:ascii="黑体" w:hAnsi="宋体" w:eastAsia="黑体" w:cs="宋体"/>
      <w:sz w:val="32"/>
      <w:szCs w:val="32"/>
    </w:rPr>
  </w:style>
  <w:style w:type="character" w:customStyle="1" w:styleId="1594">
    <w:name w:val="题注 Char21"/>
    <w:qFormat/>
    <w:uiPriority w:val="0"/>
    <w:rPr>
      <w:rFonts w:ascii="黑体" w:hAnsi="Arial" w:eastAsia="黑体" w:cs="Arial"/>
      <w:spacing w:val="10"/>
      <w:kern w:val="2"/>
      <w:sz w:val="24"/>
      <w:szCs w:val="24"/>
      <w:lang w:val="en-US" w:eastAsia="zh-CN" w:bidi="ar-SA"/>
    </w:rPr>
  </w:style>
  <w:style w:type="paragraph" w:customStyle="1" w:styleId="1595">
    <w:name w:val="图题31"/>
    <w:basedOn w:val="315"/>
    <w:next w:val="315"/>
    <w:qFormat/>
    <w:uiPriority w:val="0"/>
    <w:pPr>
      <w:ind w:firstLine="0"/>
      <w:jc w:val="center"/>
    </w:pPr>
    <w:rPr>
      <w:rFonts w:ascii="黑体" w:hAnsi="宋体" w:eastAsia="黑体"/>
      <w:bCs/>
      <w:spacing w:val="0"/>
    </w:rPr>
  </w:style>
  <w:style w:type="paragraph" w:customStyle="1" w:styleId="1596">
    <w:name w:val="表格内字体31"/>
    <w:basedOn w:val="315"/>
    <w:next w:val="315"/>
    <w:qFormat/>
    <w:uiPriority w:val="0"/>
    <w:pPr>
      <w:spacing w:line="240" w:lineRule="auto"/>
      <w:ind w:firstLine="0"/>
      <w:jc w:val="center"/>
    </w:pPr>
    <w:rPr>
      <w:rFonts w:hAnsi="宋体"/>
      <w:b w:val="0"/>
      <w:spacing w:val="0"/>
      <w:sz w:val="21"/>
    </w:rPr>
  </w:style>
  <w:style w:type="paragraph" w:customStyle="1" w:styleId="1597">
    <w:name w:val="表内54121"/>
    <w:basedOn w:val="1"/>
    <w:qFormat/>
    <w:uiPriority w:val="0"/>
    <w:pPr>
      <w:adjustRightInd w:val="0"/>
      <w:snapToGrid w:val="0"/>
      <w:spacing w:line="300" w:lineRule="auto"/>
      <w:jc w:val="center"/>
    </w:pPr>
    <w:rPr>
      <w:rFonts w:ascii="宋体" w:hAnsi="宋体" w:cs="宋体"/>
    </w:rPr>
  </w:style>
  <w:style w:type="paragraph" w:customStyle="1" w:styleId="1598">
    <w:name w:val="表内文字小2121"/>
    <w:basedOn w:val="1"/>
    <w:qFormat/>
    <w:uiPriority w:val="0"/>
    <w:pPr>
      <w:adjustRightInd w:val="0"/>
      <w:snapToGrid w:val="0"/>
      <w:jc w:val="center"/>
    </w:pPr>
    <w:rPr>
      <w:rFonts w:ascii="宋体" w:hAnsi="Times" w:cs="宋体"/>
      <w:bCs/>
      <w:color w:val="000000"/>
    </w:rPr>
  </w:style>
  <w:style w:type="paragraph" w:customStyle="1" w:styleId="1599">
    <w:name w:val="表题3121"/>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600">
    <w:name w:val="Char Char Char Char Char Char Char41"/>
    <w:basedOn w:val="1"/>
    <w:qFormat/>
    <w:uiPriority w:val="0"/>
    <w:rPr>
      <w:rFonts w:ascii="宋体" w:hAnsi="宋体" w:cs="宋体"/>
    </w:rPr>
  </w:style>
  <w:style w:type="paragraph" w:customStyle="1" w:styleId="1601">
    <w:name w:val="标题43121"/>
    <w:basedOn w:val="1"/>
    <w:qFormat/>
    <w:uiPriority w:val="0"/>
    <w:pPr>
      <w:adjustRightInd w:val="0"/>
      <w:snapToGrid w:val="0"/>
      <w:spacing w:line="480" w:lineRule="exact"/>
      <w:jc w:val="center"/>
    </w:pPr>
    <w:rPr>
      <w:rFonts w:ascii="宋体" w:hAnsi="宋体" w:cs="宋体"/>
      <w:sz w:val="24"/>
    </w:rPr>
  </w:style>
  <w:style w:type="paragraph" w:customStyle="1" w:styleId="1602">
    <w:name w:val="燕山正文1121"/>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603">
    <w:name w:val="默认段落字体 Para Char Char Char Char21"/>
    <w:basedOn w:val="1"/>
    <w:qFormat/>
    <w:uiPriority w:val="0"/>
    <w:rPr>
      <w:rFonts w:ascii="宋体" w:hAnsi="宋体" w:cs="宋体"/>
    </w:rPr>
  </w:style>
  <w:style w:type="paragraph" w:customStyle="1" w:styleId="1604">
    <w:name w:val="附件21"/>
    <w:basedOn w:val="4"/>
    <w:next w:val="315"/>
    <w:qFormat/>
    <w:uiPriority w:val="0"/>
    <w:pPr>
      <w:keepLines/>
      <w:widowControl w:val="0"/>
      <w:numPr>
        <w:numId w:val="0"/>
      </w:numPr>
      <w:tabs>
        <w:tab w:val="left" w:pos="1566"/>
      </w:tabs>
      <w:spacing w:after="210"/>
    </w:pPr>
    <w:rPr>
      <w:rFonts w:ascii="黑体" w:eastAsia="黑体"/>
      <w:bCs/>
      <w:kern w:val="44"/>
      <w:szCs w:val="32"/>
    </w:rPr>
  </w:style>
  <w:style w:type="paragraph" w:customStyle="1" w:styleId="1605">
    <w:name w:val="黑体三号21"/>
    <w:basedOn w:val="315"/>
    <w:qFormat/>
    <w:uiPriority w:val="0"/>
    <w:pPr>
      <w:jc w:val="center"/>
    </w:pPr>
    <w:rPr>
      <w:rFonts w:ascii="黑体" w:hAnsi="宋体" w:eastAsia="黑体"/>
      <w:bCs/>
      <w:spacing w:val="0"/>
      <w:sz w:val="32"/>
    </w:rPr>
  </w:style>
  <w:style w:type="paragraph" w:customStyle="1" w:styleId="1606">
    <w:name w:val="表21"/>
    <w:basedOn w:val="1"/>
    <w:qFormat/>
    <w:uiPriority w:val="0"/>
    <w:pPr>
      <w:adjustRightInd w:val="0"/>
      <w:snapToGrid w:val="0"/>
      <w:jc w:val="center"/>
    </w:pPr>
    <w:rPr>
      <w:rFonts w:ascii="宋体" w:hAnsi="宋体" w:eastAsia="仿宋_GB2312" w:cs="宋体"/>
      <w:sz w:val="24"/>
    </w:rPr>
  </w:style>
  <w:style w:type="paragraph" w:customStyle="1" w:styleId="1607">
    <w:name w:val="表题121"/>
    <w:basedOn w:val="23"/>
    <w:qFormat/>
    <w:uiPriority w:val="0"/>
    <w:pPr>
      <w:widowControl w:val="0"/>
      <w:spacing w:line="360" w:lineRule="auto"/>
      <w:jc w:val="center"/>
    </w:pPr>
    <w:rPr>
      <w:rFonts w:ascii="黑体" w:hAnsi="Arial" w:cs="Arial"/>
      <w:kern w:val="2"/>
    </w:rPr>
  </w:style>
  <w:style w:type="paragraph" w:customStyle="1" w:styleId="1608">
    <w:name w:val="燕山正文21"/>
    <w:basedOn w:val="1"/>
    <w:qFormat/>
    <w:uiPriority w:val="0"/>
    <w:pPr>
      <w:tabs>
        <w:tab w:val="left" w:pos="4680"/>
      </w:tabs>
      <w:adjustRightInd w:val="0"/>
      <w:snapToGrid w:val="0"/>
      <w:spacing w:line="480" w:lineRule="exact"/>
    </w:pPr>
    <w:rPr>
      <w:rFonts w:ascii="宋体" w:hAnsi="宋体" w:cs="宋体"/>
      <w:sz w:val="24"/>
    </w:rPr>
  </w:style>
  <w:style w:type="paragraph" w:customStyle="1" w:styleId="1609">
    <w:name w:val="正文修改21"/>
    <w:basedOn w:val="1180"/>
    <w:qFormat/>
    <w:uiPriority w:val="0"/>
    <w:rPr>
      <w:rFonts w:hAnsi="宋体"/>
      <w:color w:val="000000"/>
    </w:rPr>
  </w:style>
  <w:style w:type="character" w:customStyle="1" w:styleId="1610">
    <w:name w:val="正文修改 Char121"/>
    <w:qFormat/>
    <w:uiPriority w:val="0"/>
    <w:rPr>
      <w:rFonts w:ascii="宋体" w:hAnsi="宋体" w:eastAsia="宋体" w:cs="宋体"/>
      <w:color w:val="000000"/>
      <w:kern w:val="2"/>
      <w:sz w:val="24"/>
      <w:szCs w:val="24"/>
      <w:lang w:val="en-US" w:eastAsia="zh-CN" w:bidi="ar-SA"/>
    </w:rPr>
  </w:style>
  <w:style w:type="paragraph" w:customStyle="1" w:styleId="1611">
    <w:name w:val="表中文字21"/>
    <w:basedOn w:val="1"/>
    <w:qFormat/>
    <w:uiPriority w:val="0"/>
    <w:pPr>
      <w:widowControl/>
      <w:adjustRightInd w:val="0"/>
      <w:spacing w:line="240" w:lineRule="atLeast"/>
      <w:ind w:right="-42" w:rightChars="-20"/>
      <w:jc w:val="center"/>
      <w:textAlignment w:val="baseline"/>
    </w:pPr>
    <w:rPr>
      <w:rFonts w:ascii="宋体" w:hAnsi="宋体" w:cs="宋体"/>
      <w:kern w:val="0"/>
      <w:szCs w:val="21"/>
    </w:rPr>
  </w:style>
  <w:style w:type="paragraph" w:customStyle="1" w:styleId="1612">
    <w:name w:val="表文字521"/>
    <w:basedOn w:val="1"/>
    <w:qFormat/>
    <w:uiPriority w:val="0"/>
    <w:pPr>
      <w:adjustRightInd w:val="0"/>
      <w:jc w:val="left"/>
      <w:textAlignment w:val="baseline"/>
    </w:pPr>
    <w:rPr>
      <w:rFonts w:ascii="宋体" w:hAnsi="宋体" w:cs="宋体"/>
      <w:kern w:val="0"/>
    </w:rPr>
  </w:style>
  <w:style w:type="paragraph" w:customStyle="1" w:styleId="1613">
    <w:name w:val="表内文字小3121"/>
    <w:basedOn w:val="1"/>
    <w:qFormat/>
    <w:uiPriority w:val="0"/>
    <w:pPr>
      <w:adjustRightInd w:val="0"/>
      <w:snapToGrid w:val="0"/>
      <w:jc w:val="center"/>
    </w:pPr>
    <w:rPr>
      <w:rFonts w:ascii="宋体" w:hAnsi="Times" w:cs="宋体"/>
      <w:bCs/>
      <w:color w:val="003366"/>
    </w:rPr>
  </w:style>
  <w:style w:type="paragraph" w:customStyle="1" w:styleId="1614">
    <w:name w:val="样式121"/>
    <w:basedOn w:val="1227"/>
    <w:qFormat/>
    <w:uiPriority w:val="0"/>
    <w:pPr>
      <w:spacing w:line="240" w:lineRule="auto"/>
      <w:ind w:firstLine="0"/>
      <w:jc w:val="center"/>
    </w:pPr>
    <w:rPr>
      <w:rFonts w:cs="Times New Roman"/>
      <w:b/>
      <w:color w:val="auto"/>
      <w:szCs w:val="20"/>
    </w:rPr>
  </w:style>
  <w:style w:type="paragraph" w:customStyle="1" w:styleId="1615">
    <w:name w:val="Char311"/>
    <w:basedOn w:val="1"/>
    <w:qFormat/>
    <w:uiPriority w:val="0"/>
    <w:pPr>
      <w:ind w:left="-48"/>
    </w:pPr>
    <w:rPr>
      <w:rFonts w:ascii="宋体" w:hAnsi="宋体" w:cs="宋体"/>
    </w:rPr>
  </w:style>
  <w:style w:type="paragraph" w:customStyle="1" w:styleId="1616">
    <w:name w:val="表内文字小221"/>
    <w:basedOn w:val="1"/>
    <w:qFormat/>
    <w:uiPriority w:val="0"/>
    <w:pPr>
      <w:adjustRightInd w:val="0"/>
      <w:snapToGrid w:val="0"/>
      <w:jc w:val="center"/>
    </w:pPr>
    <w:rPr>
      <w:rFonts w:ascii="宋体" w:hAnsi="Times" w:cs="宋体"/>
      <w:bCs/>
      <w:color w:val="000000"/>
    </w:rPr>
  </w:style>
  <w:style w:type="paragraph" w:customStyle="1" w:styleId="1617">
    <w:name w:val="表内5311"/>
    <w:basedOn w:val="1"/>
    <w:qFormat/>
    <w:uiPriority w:val="0"/>
    <w:pPr>
      <w:adjustRightInd w:val="0"/>
      <w:snapToGrid w:val="0"/>
      <w:spacing w:line="300" w:lineRule="auto"/>
      <w:jc w:val="left"/>
    </w:pPr>
    <w:rPr>
      <w:rFonts w:ascii="宋体" w:hAnsi="宋体" w:cs="宋体"/>
    </w:rPr>
  </w:style>
  <w:style w:type="paragraph" w:customStyle="1" w:styleId="1618">
    <w:name w:val="正文格式211"/>
    <w:basedOn w:val="1"/>
    <w:qFormat/>
    <w:uiPriority w:val="0"/>
    <w:pPr>
      <w:spacing w:line="360" w:lineRule="auto"/>
      <w:ind w:firstLine="482"/>
    </w:pPr>
    <w:rPr>
      <w:rFonts w:ascii="宋体" w:hAnsi="宋体" w:cs="宋体"/>
      <w:sz w:val="24"/>
    </w:rPr>
  </w:style>
  <w:style w:type="paragraph" w:customStyle="1" w:styleId="1619">
    <w:name w:val="图题211"/>
    <w:basedOn w:val="315"/>
    <w:next w:val="315"/>
    <w:qFormat/>
    <w:uiPriority w:val="0"/>
    <w:pPr>
      <w:ind w:firstLine="0"/>
      <w:jc w:val="center"/>
    </w:pPr>
    <w:rPr>
      <w:rFonts w:ascii="黑体" w:hAnsi="宋体" w:eastAsia="黑体"/>
      <w:bCs/>
      <w:spacing w:val="0"/>
    </w:rPr>
  </w:style>
  <w:style w:type="paragraph" w:customStyle="1" w:styleId="1620">
    <w:name w:val="表格内字体211"/>
    <w:basedOn w:val="315"/>
    <w:next w:val="315"/>
    <w:qFormat/>
    <w:uiPriority w:val="0"/>
    <w:pPr>
      <w:spacing w:line="240" w:lineRule="auto"/>
      <w:ind w:firstLine="0"/>
      <w:jc w:val="center"/>
    </w:pPr>
    <w:rPr>
      <w:rFonts w:hAnsi="宋体"/>
      <w:b w:val="0"/>
      <w:spacing w:val="0"/>
      <w:sz w:val="21"/>
    </w:rPr>
  </w:style>
  <w:style w:type="paragraph" w:customStyle="1" w:styleId="1621">
    <w:name w:val="表题1111"/>
    <w:basedOn w:val="23"/>
    <w:qFormat/>
    <w:uiPriority w:val="0"/>
    <w:pPr>
      <w:widowControl w:val="0"/>
      <w:spacing w:line="360" w:lineRule="auto"/>
      <w:jc w:val="center"/>
    </w:pPr>
    <w:rPr>
      <w:rFonts w:ascii="黑体" w:hAnsi="Arial" w:cs="Arial"/>
      <w:kern w:val="2"/>
    </w:rPr>
  </w:style>
  <w:style w:type="paragraph" w:customStyle="1" w:styleId="1622">
    <w:name w:val="表中文字111"/>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623">
    <w:name w:val="表文字5111"/>
    <w:basedOn w:val="1"/>
    <w:qFormat/>
    <w:uiPriority w:val="0"/>
    <w:pPr>
      <w:adjustRightInd w:val="0"/>
      <w:jc w:val="left"/>
      <w:textAlignment w:val="baseline"/>
    </w:pPr>
    <w:rPr>
      <w:rFonts w:ascii="宋体" w:hAnsi="宋体" w:cs="宋体"/>
      <w:kern w:val="0"/>
    </w:rPr>
  </w:style>
  <w:style w:type="paragraph" w:customStyle="1" w:styleId="1624">
    <w:name w:val="正文格式41"/>
    <w:basedOn w:val="1"/>
    <w:qFormat/>
    <w:uiPriority w:val="0"/>
    <w:pPr>
      <w:spacing w:line="360" w:lineRule="auto"/>
      <w:ind w:firstLine="482"/>
    </w:pPr>
    <w:rPr>
      <w:rFonts w:ascii="宋体" w:hAnsi="宋体" w:cs="宋体"/>
      <w:sz w:val="24"/>
    </w:rPr>
  </w:style>
  <w:style w:type="paragraph" w:customStyle="1" w:styleId="1625">
    <w:name w:val="图题41"/>
    <w:basedOn w:val="315"/>
    <w:next w:val="315"/>
    <w:qFormat/>
    <w:uiPriority w:val="0"/>
    <w:pPr>
      <w:ind w:firstLine="0"/>
      <w:jc w:val="center"/>
    </w:pPr>
    <w:rPr>
      <w:rFonts w:ascii="黑体" w:hAnsi="宋体" w:eastAsia="黑体"/>
      <w:bCs/>
      <w:spacing w:val="0"/>
    </w:rPr>
  </w:style>
  <w:style w:type="paragraph" w:customStyle="1" w:styleId="1626">
    <w:name w:val="表格内字体41"/>
    <w:basedOn w:val="315"/>
    <w:next w:val="315"/>
    <w:qFormat/>
    <w:uiPriority w:val="0"/>
    <w:pPr>
      <w:spacing w:line="240" w:lineRule="auto"/>
      <w:ind w:firstLine="0"/>
      <w:jc w:val="center"/>
    </w:pPr>
    <w:rPr>
      <w:rFonts w:hAnsi="宋体"/>
      <w:b w:val="0"/>
      <w:spacing w:val="0"/>
      <w:sz w:val="21"/>
    </w:rPr>
  </w:style>
  <w:style w:type="paragraph" w:customStyle="1" w:styleId="1627">
    <w:name w:val="Char411"/>
    <w:basedOn w:val="1"/>
    <w:qFormat/>
    <w:uiPriority w:val="0"/>
    <w:pPr>
      <w:ind w:left="-48"/>
    </w:pPr>
    <w:rPr>
      <w:rFonts w:ascii="宋体" w:hAnsi="宋体" w:cs="宋体"/>
    </w:rPr>
  </w:style>
  <w:style w:type="paragraph" w:customStyle="1" w:styleId="1628">
    <w:name w:val="表题131"/>
    <w:basedOn w:val="23"/>
    <w:qFormat/>
    <w:uiPriority w:val="0"/>
    <w:pPr>
      <w:widowControl w:val="0"/>
      <w:spacing w:line="360" w:lineRule="auto"/>
      <w:jc w:val="center"/>
    </w:pPr>
    <w:rPr>
      <w:rFonts w:ascii="黑体" w:hAnsi="Arial" w:cs="Arial"/>
      <w:b/>
      <w:kern w:val="2"/>
    </w:rPr>
  </w:style>
  <w:style w:type="paragraph" w:customStyle="1" w:styleId="1629">
    <w:name w:val="默认段落字体 Para Char1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1630">
    <w:name w:val="23-47表名1"/>
    <w:basedOn w:val="1"/>
    <w:qFormat/>
    <w:uiPriority w:val="0"/>
    <w:pPr>
      <w:spacing w:afterLines="50" w:line="440" w:lineRule="exact"/>
      <w:jc w:val="center"/>
    </w:pPr>
    <w:rPr>
      <w:rFonts w:ascii="宋体" w:hAnsi="宋体" w:cs="宋体"/>
      <w:b/>
      <w:sz w:val="24"/>
    </w:rPr>
  </w:style>
  <w:style w:type="paragraph" w:customStyle="1" w:styleId="1631">
    <w:name w:val="xl241"/>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1632">
    <w:name w:val="Char Char Char Char Char Char Char121"/>
    <w:basedOn w:val="1"/>
    <w:qFormat/>
    <w:uiPriority w:val="0"/>
    <w:rPr>
      <w:rFonts w:ascii="宋体" w:hAnsi="宋体" w:cs="宋体"/>
    </w:rPr>
  </w:style>
  <w:style w:type="paragraph" w:customStyle="1" w:styleId="1633">
    <w:name w:val="Char51"/>
    <w:basedOn w:val="1"/>
    <w:qFormat/>
    <w:uiPriority w:val="0"/>
    <w:pPr>
      <w:adjustRightInd w:val="0"/>
      <w:snapToGrid w:val="0"/>
      <w:ind w:left="-45"/>
    </w:pPr>
    <w:rPr>
      <w:rFonts w:ascii="宋体" w:hAnsi="宋体" w:cs="宋体"/>
    </w:rPr>
  </w:style>
  <w:style w:type="paragraph" w:customStyle="1" w:styleId="1634">
    <w:name w:val="燕山正文1131"/>
    <w:basedOn w:val="1"/>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1635">
    <w:name w:val="正文格式51"/>
    <w:basedOn w:val="1"/>
    <w:qFormat/>
    <w:uiPriority w:val="0"/>
    <w:pPr>
      <w:spacing w:line="360" w:lineRule="auto"/>
      <w:ind w:firstLine="482"/>
    </w:pPr>
    <w:rPr>
      <w:rFonts w:ascii="宋体" w:hAnsi="宋体" w:cs="宋体"/>
      <w:sz w:val="24"/>
    </w:rPr>
  </w:style>
  <w:style w:type="paragraph" w:customStyle="1" w:styleId="1636">
    <w:name w:val="Char321"/>
    <w:basedOn w:val="1"/>
    <w:qFormat/>
    <w:uiPriority w:val="0"/>
    <w:pPr>
      <w:ind w:left="-48"/>
    </w:pPr>
    <w:rPr>
      <w:rFonts w:ascii="宋体" w:hAnsi="宋体" w:cs="宋体"/>
    </w:rPr>
  </w:style>
  <w:style w:type="character" w:customStyle="1" w:styleId="1637">
    <w:name w:val="题注 Char31"/>
    <w:qFormat/>
    <w:uiPriority w:val="0"/>
    <w:rPr>
      <w:rFonts w:ascii="黑体" w:hAnsi="Arial" w:eastAsia="黑体" w:cs="Arial"/>
      <w:spacing w:val="10"/>
      <w:kern w:val="2"/>
      <w:sz w:val="24"/>
      <w:szCs w:val="24"/>
      <w:lang w:val="en-US" w:eastAsia="zh-CN" w:bidi="ar-SA"/>
    </w:rPr>
  </w:style>
  <w:style w:type="paragraph" w:customStyle="1" w:styleId="1638">
    <w:name w:val="图题51"/>
    <w:basedOn w:val="315"/>
    <w:next w:val="315"/>
    <w:qFormat/>
    <w:uiPriority w:val="0"/>
    <w:pPr>
      <w:ind w:firstLine="0"/>
      <w:jc w:val="center"/>
    </w:pPr>
    <w:rPr>
      <w:rFonts w:ascii="黑体" w:hAnsi="宋体" w:eastAsia="黑体"/>
      <w:bCs/>
      <w:spacing w:val="0"/>
    </w:rPr>
  </w:style>
  <w:style w:type="paragraph" w:customStyle="1" w:styleId="1639">
    <w:name w:val="表格内字体51"/>
    <w:basedOn w:val="315"/>
    <w:next w:val="315"/>
    <w:qFormat/>
    <w:uiPriority w:val="0"/>
    <w:pPr>
      <w:adjustRightInd w:val="0"/>
      <w:snapToGrid w:val="0"/>
      <w:spacing w:line="240" w:lineRule="auto"/>
      <w:ind w:firstLine="0"/>
    </w:pPr>
    <w:rPr>
      <w:rFonts w:hAnsi="宋体"/>
      <w:b w:val="0"/>
      <w:spacing w:val="0"/>
      <w:sz w:val="21"/>
    </w:rPr>
  </w:style>
  <w:style w:type="paragraph" w:customStyle="1" w:styleId="1640">
    <w:name w:val="表31"/>
    <w:basedOn w:val="1"/>
    <w:qFormat/>
    <w:uiPriority w:val="0"/>
    <w:pPr>
      <w:adjustRightInd w:val="0"/>
      <w:snapToGrid w:val="0"/>
      <w:jc w:val="center"/>
    </w:pPr>
    <w:rPr>
      <w:rFonts w:ascii="宋体" w:hAnsi="宋体" w:eastAsia="仿宋_GB2312" w:cs="宋体"/>
      <w:sz w:val="24"/>
    </w:rPr>
  </w:style>
  <w:style w:type="paragraph" w:customStyle="1" w:styleId="1641">
    <w:name w:val="正文.1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642">
    <w:name w:val="文本框11"/>
    <w:basedOn w:val="1"/>
    <w:qFormat/>
    <w:uiPriority w:val="0"/>
    <w:pPr>
      <w:adjustRightInd w:val="0"/>
      <w:snapToGrid w:val="0"/>
      <w:spacing w:after="6"/>
      <w:jc w:val="center"/>
    </w:pPr>
    <w:rPr>
      <w:rFonts w:ascii="宋体" w:hAnsi="宋体" w:eastAsia="仿宋_GB2312" w:cs="宋体"/>
    </w:rPr>
  </w:style>
  <w:style w:type="paragraph" w:customStyle="1" w:styleId="1643">
    <w:name w:val="表内宋51111"/>
    <w:basedOn w:val="81"/>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1644">
    <w:name w:val="表内文字小3131"/>
    <w:basedOn w:val="1"/>
    <w:qFormat/>
    <w:uiPriority w:val="0"/>
    <w:pPr>
      <w:adjustRightInd w:val="0"/>
      <w:snapToGrid w:val="0"/>
      <w:jc w:val="center"/>
    </w:pPr>
    <w:rPr>
      <w:rFonts w:ascii="宋体" w:hAnsi="Times" w:cs="宋体"/>
      <w:bCs/>
      <w:color w:val="003366"/>
    </w:rPr>
  </w:style>
  <w:style w:type="paragraph" w:customStyle="1" w:styleId="1645">
    <w:name w:val="表文字531"/>
    <w:basedOn w:val="1"/>
    <w:qFormat/>
    <w:uiPriority w:val="0"/>
    <w:pPr>
      <w:adjustRightInd w:val="0"/>
      <w:jc w:val="left"/>
      <w:textAlignment w:val="baseline"/>
    </w:pPr>
    <w:rPr>
      <w:rFonts w:ascii="宋体" w:hAnsi="宋体" w:cs="宋体"/>
      <w:kern w:val="0"/>
    </w:rPr>
  </w:style>
  <w:style w:type="paragraph" w:customStyle="1" w:styleId="1646">
    <w:name w:val="Char Char Char Char Char Char Char211"/>
    <w:basedOn w:val="1"/>
    <w:qFormat/>
    <w:uiPriority w:val="0"/>
    <w:rPr>
      <w:rFonts w:ascii="宋体" w:hAnsi="宋体" w:cs="宋体"/>
    </w:rPr>
  </w:style>
  <w:style w:type="paragraph" w:customStyle="1" w:styleId="1647">
    <w:name w:val="表题3131"/>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648">
    <w:name w:val="表内文字小2131"/>
    <w:basedOn w:val="1"/>
    <w:qFormat/>
    <w:uiPriority w:val="0"/>
    <w:pPr>
      <w:adjustRightInd w:val="0"/>
      <w:snapToGrid w:val="0"/>
      <w:jc w:val="center"/>
      <w:textAlignment w:val="baseline"/>
    </w:pPr>
    <w:rPr>
      <w:rFonts w:ascii="宋体" w:hAnsi="Times" w:cs="宋体"/>
      <w:bCs/>
      <w:color w:val="000000"/>
    </w:rPr>
  </w:style>
  <w:style w:type="character" w:customStyle="1" w:styleId="1649">
    <w:name w:val="文档结构图 Char2"/>
    <w:qFormat/>
    <w:uiPriority w:val="0"/>
    <w:rPr>
      <w:rFonts w:eastAsia="宋体"/>
      <w:kern w:val="2"/>
      <w:sz w:val="21"/>
      <w:szCs w:val="24"/>
      <w:shd w:val="clear" w:color="auto" w:fill="000080"/>
      <w:lang w:val="en-US" w:eastAsia="zh-CN" w:bidi="ar-SA"/>
    </w:rPr>
  </w:style>
  <w:style w:type="paragraph" w:customStyle="1" w:styleId="1650">
    <w:name w:val="燕山正文31"/>
    <w:basedOn w:val="1"/>
    <w:qFormat/>
    <w:uiPriority w:val="0"/>
    <w:pPr>
      <w:tabs>
        <w:tab w:val="left" w:pos="4680"/>
      </w:tabs>
      <w:adjustRightInd w:val="0"/>
      <w:snapToGrid w:val="0"/>
      <w:spacing w:line="480" w:lineRule="exact"/>
    </w:pPr>
    <w:rPr>
      <w:rFonts w:ascii="宋体" w:hAnsi="宋体" w:cs="宋体"/>
      <w:sz w:val="24"/>
    </w:rPr>
  </w:style>
  <w:style w:type="paragraph" w:customStyle="1" w:styleId="1651">
    <w:name w:val="正文修改31"/>
    <w:basedOn w:val="1180"/>
    <w:qFormat/>
    <w:uiPriority w:val="0"/>
    <w:rPr>
      <w:rFonts w:hAnsi="宋体"/>
      <w:color w:val="000000"/>
    </w:rPr>
  </w:style>
  <w:style w:type="character" w:customStyle="1" w:styleId="1652">
    <w:name w:val="正文修改 Char131"/>
    <w:qFormat/>
    <w:uiPriority w:val="0"/>
    <w:rPr>
      <w:rFonts w:ascii="宋体" w:hAnsi="宋体" w:eastAsia="宋体" w:cs="宋体"/>
      <w:color w:val="000000"/>
      <w:kern w:val="2"/>
      <w:sz w:val="24"/>
      <w:szCs w:val="24"/>
      <w:lang w:val="en-US" w:eastAsia="zh-CN" w:bidi="ar-SA"/>
    </w:rPr>
  </w:style>
  <w:style w:type="paragraph" w:customStyle="1" w:styleId="1653">
    <w:name w:val="表题142"/>
    <w:basedOn w:val="23"/>
    <w:qFormat/>
    <w:uiPriority w:val="0"/>
    <w:pPr>
      <w:widowControl w:val="0"/>
      <w:spacing w:line="360" w:lineRule="auto"/>
      <w:jc w:val="center"/>
    </w:pPr>
    <w:rPr>
      <w:rFonts w:ascii="黑体" w:hAnsi="Arial" w:cs="Arial"/>
      <w:b/>
      <w:kern w:val="2"/>
    </w:rPr>
  </w:style>
  <w:style w:type="character" w:customStyle="1" w:styleId="1654">
    <w:name w:val="表题1 Char41"/>
    <w:qFormat/>
    <w:uiPriority w:val="0"/>
    <w:rPr>
      <w:rFonts w:ascii="黑体" w:hAnsi="Arial" w:eastAsia="黑体" w:cs="Arial"/>
      <w:b/>
      <w:kern w:val="2"/>
      <w:sz w:val="24"/>
      <w:szCs w:val="24"/>
      <w:lang w:val="en-US" w:eastAsia="zh-CN" w:bidi="ar-SA"/>
    </w:rPr>
  </w:style>
  <w:style w:type="paragraph" w:customStyle="1" w:styleId="1655">
    <w:name w:val="表中文字31"/>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656">
    <w:name w:val="黑体三号31"/>
    <w:basedOn w:val="315"/>
    <w:qFormat/>
    <w:uiPriority w:val="0"/>
    <w:pPr>
      <w:jc w:val="center"/>
    </w:pPr>
    <w:rPr>
      <w:rFonts w:ascii="黑体" w:hAnsi="宋体" w:eastAsia="黑体"/>
      <w:bCs/>
      <w:spacing w:val="0"/>
      <w:sz w:val="32"/>
    </w:rPr>
  </w:style>
  <w:style w:type="paragraph" w:customStyle="1" w:styleId="1657">
    <w:name w:val="默认段落字体 Para Char Char Char Char31"/>
    <w:basedOn w:val="1"/>
    <w:qFormat/>
    <w:uiPriority w:val="0"/>
    <w:rPr>
      <w:rFonts w:ascii="宋体" w:hAnsi="宋体" w:cs="宋体"/>
    </w:rPr>
  </w:style>
  <w:style w:type="paragraph" w:customStyle="1" w:styleId="1658">
    <w:name w:val="表内54131"/>
    <w:basedOn w:val="1"/>
    <w:qFormat/>
    <w:uiPriority w:val="0"/>
    <w:pPr>
      <w:adjustRightInd w:val="0"/>
      <w:snapToGrid w:val="0"/>
      <w:spacing w:line="300" w:lineRule="auto"/>
      <w:jc w:val="center"/>
    </w:pPr>
    <w:rPr>
      <w:rFonts w:ascii="宋体" w:hAnsi="宋体" w:cs="宋体"/>
    </w:rPr>
  </w:style>
  <w:style w:type="paragraph" w:customStyle="1" w:styleId="1659">
    <w:name w:val="Char61"/>
    <w:basedOn w:val="1"/>
    <w:qFormat/>
    <w:uiPriority w:val="0"/>
    <w:pPr>
      <w:adjustRightInd w:val="0"/>
      <w:snapToGrid w:val="0"/>
      <w:spacing w:beforeLines="50" w:line="360" w:lineRule="auto"/>
    </w:pPr>
    <w:rPr>
      <w:rFonts w:ascii="黑体" w:hAnsi="宋体" w:eastAsia="黑体" w:cs="宋体"/>
      <w:sz w:val="32"/>
      <w:szCs w:val="32"/>
    </w:rPr>
  </w:style>
  <w:style w:type="paragraph" w:customStyle="1" w:styleId="1660">
    <w:name w:val="表题2111"/>
    <w:basedOn w:val="1"/>
    <w:qFormat/>
    <w:uiPriority w:val="0"/>
    <w:pPr>
      <w:widowControl/>
      <w:adjustRightInd w:val="0"/>
      <w:snapToGrid w:val="0"/>
      <w:jc w:val="center"/>
    </w:pPr>
    <w:rPr>
      <w:rFonts w:ascii="黑体" w:hAnsi="宋体" w:eastAsia="黑体" w:cs="宋体"/>
      <w:kern w:val="0"/>
      <w:sz w:val="24"/>
    </w:rPr>
  </w:style>
  <w:style w:type="paragraph" w:customStyle="1" w:styleId="1661">
    <w:name w:val="表内宋5中111"/>
    <w:basedOn w:val="1"/>
    <w:qFormat/>
    <w:uiPriority w:val="0"/>
    <w:pPr>
      <w:adjustRightInd w:val="0"/>
      <w:snapToGrid w:val="0"/>
      <w:jc w:val="center"/>
      <w:textAlignment w:val="baseline"/>
    </w:pPr>
    <w:rPr>
      <w:rFonts w:ascii="宋体" w:hAnsi="宋体" w:cs="宋体"/>
      <w:kern w:val="0"/>
    </w:rPr>
  </w:style>
  <w:style w:type="paragraph" w:customStyle="1" w:styleId="1662">
    <w:name w:val="表内宋5中12"/>
    <w:basedOn w:val="1"/>
    <w:qFormat/>
    <w:uiPriority w:val="0"/>
    <w:pPr>
      <w:adjustRightInd w:val="0"/>
      <w:snapToGrid w:val="0"/>
      <w:jc w:val="center"/>
      <w:textAlignment w:val="baseline"/>
    </w:pPr>
    <w:rPr>
      <w:rFonts w:ascii="宋体" w:hAnsi="宋体" w:cs="宋体"/>
      <w:kern w:val="0"/>
    </w:rPr>
  </w:style>
  <w:style w:type="paragraph" w:customStyle="1" w:styleId="1663">
    <w:name w:val="表内文字小111"/>
    <w:basedOn w:val="1"/>
    <w:qFormat/>
    <w:uiPriority w:val="0"/>
    <w:pPr>
      <w:adjustRightInd w:val="0"/>
      <w:snapToGrid w:val="0"/>
    </w:pPr>
    <w:rPr>
      <w:rFonts w:ascii="宋体" w:hAnsi="Times" w:cs="宋体"/>
    </w:rPr>
  </w:style>
  <w:style w:type="paragraph" w:customStyle="1" w:styleId="1664">
    <w:name w:val="标题4111"/>
    <w:basedOn w:val="1"/>
    <w:qFormat/>
    <w:uiPriority w:val="0"/>
    <w:pPr>
      <w:adjustRightInd w:val="0"/>
      <w:snapToGrid w:val="0"/>
      <w:spacing w:line="300" w:lineRule="auto"/>
      <w:jc w:val="left"/>
    </w:pPr>
    <w:rPr>
      <w:rFonts w:ascii="黑体" w:hAnsi="宋体" w:eastAsia="黑体" w:cs="宋体"/>
      <w:bCs/>
      <w:sz w:val="24"/>
    </w:rPr>
  </w:style>
  <w:style w:type="paragraph" w:customStyle="1" w:styleId="1665">
    <w:name w:val="表题1411"/>
    <w:basedOn w:val="1"/>
    <w:qFormat/>
    <w:uiPriority w:val="0"/>
    <w:pPr>
      <w:widowControl/>
      <w:adjustRightInd w:val="0"/>
      <w:snapToGrid w:val="0"/>
      <w:jc w:val="center"/>
    </w:pPr>
    <w:rPr>
      <w:rFonts w:ascii="黑体" w:hAnsi="宋体" w:eastAsia="黑体" w:cs="宋体"/>
      <w:kern w:val="0"/>
      <w:sz w:val="24"/>
    </w:rPr>
  </w:style>
  <w:style w:type="paragraph" w:customStyle="1" w:styleId="1666">
    <w:name w:val="表内文字小81"/>
    <w:basedOn w:val="1"/>
    <w:qFormat/>
    <w:uiPriority w:val="0"/>
    <w:pPr>
      <w:adjustRightInd w:val="0"/>
      <w:snapToGrid w:val="0"/>
      <w:jc w:val="center"/>
    </w:pPr>
    <w:rPr>
      <w:rFonts w:ascii="宋体" w:hAnsi="Times" w:cs="宋体"/>
    </w:rPr>
  </w:style>
  <w:style w:type="paragraph" w:customStyle="1" w:styleId="1667">
    <w:name w:val="默认段落字体 Para Char2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1668">
    <w:name w:val="Default1"/>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1669">
    <w:name w:val="标题 6 Char1"/>
    <w:qFormat/>
    <w:uiPriority w:val="0"/>
    <w:rPr>
      <w:rFonts w:ascii="Arial" w:hAnsi="Arial" w:eastAsia="黑体"/>
      <w:b/>
      <w:bCs/>
      <w:kern w:val="2"/>
      <w:sz w:val="24"/>
      <w:szCs w:val="24"/>
      <w:lang w:val="en-US" w:eastAsia="zh-CN" w:bidi="ar-SA"/>
    </w:rPr>
  </w:style>
  <w:style w:type="character" w:customStyle="1" w:styleId="1670">
    <w:name w:val="标题 7 Char1"/>
    <w:qFormat/>
    <w:uiPriority w:val="0"/>
    <w:rPr>
      <w:rFonts w:eastAsia="宋体"/>
      <w:b/>
      <w:bCs/>
      <w:kern w:val="2"/>
      <w:sz w:val="24"/>
      <w:szCs w:val="24"/>
      <w:lang w:val="en-US" w:eastAsia="zh-CN" w:bidi="ar-SA"/>
    </w:rPr>
  </w:style>
  <w:style w:type="character" w:customStyle="1" w:styleId="1671">
    <w:name w:val="标题 8 Char1"/>
    <w:qFormat/>
    <w:uiPriority w:val="0"/>
    <w:rPr>
      <w:rFonts w:ascii="Arial" w:hAnsi="Arial" w:eastAsia="黑体"/>
      <w:kern w:val="2"/>
      <w:sz w:val="24"/>
      <w:szCs w:val="24"/>
      <w:lang w:val="en-US" w:eastAsia="zh-CN" w:bidi="ar-SA"/>
    </w:rPr>
  </w:style>
  <w:style w:type="character" w:customStyle="1" w:styleId="1672">
    <w:name w:val="标题 9 Char1"/>
    <w:qFormat/>
    <w:uiPriority w:val="0"/>
    <w:rPr>
      <w:rFonts w:ascii="Arial" w:hAnsi="Arial" w:eastAsia="黑体"/>
      <w:kern w:val="2"/>
      <w:sz w:val="21"/>
      <w:szCs w:val="21"/>
      <w:lang w:val="en-US" w:eastAsia="zh-CN" w:bidi="ar-SA"/>
    </w:rPr>
  </w:style>
  <w:style w:type="paragraph" w:customStyle="1" w:styleId="1673">
    <w:name w:val="正文格式61"/>
    <w:basedOn w:val="1"/>
    <w:qFormat/>
    <w:uiPriority w:val="0"/>
    <w:pPr>
      <w:spacing w:line="360" w:lineRule="auto"/>
      <w:ind w:firstLine="482"/>
    </w:pPr>
    <w:rPr>
      <w:rFonts w:ascii="宋体" w:hAnsi="宋体" w:cs="宋体"/>
      <w:sz w:val="24"/>
    </w:rPr>
  </w:style>
  <w:style w:type="character" w:customStyle="1" w:styleId="1674">
    <w:name w:val="河石1 Char21"/>
    <w:qFormat/>
    <w:uiPriority w:val="0"/>
    <w:rPr>
      <w:rFonts w:ascii="黑体" w:hAnsi="宋体" w:eastAsia="黑体" w:cs="Times New Roman"/>
      <w:bCs/>
      <w:kern w:val="44"/>
      <w:sz w:val="32"/>
      <w:szCs w:val="32"/>
      <w:lang w:val="en-US" w:eastAsia="zh-CN" w:bidi="ar-SA"/>
    </w:rPr>
  </w:style>
  <w:style w:type="paragraph" w:customStyle="1" w:styleId="1675">
    <w:name w:val="附件31"/>
    <w:basedOn w:val="4"/>
    <w:next w:val="315"/>
    <w:qFormat/>
    <w:uiPriority w:val="0"/>
    <w:pPr>
      <w:keepLines/>
      <w:widowControl w:val="0"/>
      <w:numPr>
        <w:numId w:val="0"/>
      </w:numPr>
      <w:tabs>
        <w:tab w:val="left" w:pos="1566"/>
      </w:tabs>
      <w:adjustRightInd w:val="0"/>
      <w:snapToGrid w:val="0"/>
      <w:spacing w:after="120"/>
    </w:pPr>
    <w:rPr>
      <w:rFonts w:ascii="黑体" w:eastAsia="黑体"/>
      <w:bCs/>
      <w:kern w:val="44"/>
      <w:szCs w:val="32"/>
    </w:rPr>
  </w:style>
  <w:style w:type="character" w:customStyle="1" w:styleId="1676">
    <w:name w:val="正文文本 Char2"/>
    <w:qFormat/>
    <w:uiPriority w:val="0"/>
    <w:rPr>
      <w:rFonts w:eastAsia="宋体"/>
      <w:kern w:val="2"/>
      <w:sz w:val="21"/>
      <w:szCs w:val="24"/>
      <w:lang w:val="en-US" w:eastAsia="zh-CN" w:bidi="ar-SA"/>
    </w:rPr>
  </w:style>
  <w:style w:type="paragraph" w:customStyle="1" w:styleId="1677">
    <w:name w:val="图题61"/>
    <w:basedOn w:val="315"/>
    <w:next w:val="315"/>
    <w:qFormat/>
    <w:uiPriority w:val="0"/>
    <w:pPr>
      <w:ind w:firstLine="0"/>
      <w:jc w:val="center"/>
    </w:pPr>
    <w:rPr>
      <w:rFonts w:ascii="黑体" w:hAnsi="宋体" w:eastAsia="黑体"/>
      <w:bCs/>
      <w:spacing w:val="0"/>
      <w:kern w:val="0"/>
    </w:rPr>
  </w:style>
  <w:style w:type="character" w:customStyle="1" w:styleId="1678">
    <w:name w:val="图题 Char1"/>
    <w:qFormat/>
    <w:uiPriority w:val="0"/>
    <w:rPr>
      <w:rFonts w:ascii="黑体" w:hAnsi="宋体" w:eastAsia="黑体" w:cs="宋体"/>
      <w:b/>
      <w:bCs/>
      <w:kern w:val="2"/>
      <w:sz w:val="24"/>
      <w:szCs w:val="24"/>
      <w:lang w:val="en-US" w:eastAsia="zh-CN" w:bidi="ar-SA"/>
    </w:rPr>
  </w:style>
  <w:style w:type="paragraph" w:customStyle="1" w:styleId="1679">
    <w:name w:val="表格内字体61"/>
    <w:basedOn w:val="315"/>
    <w:next w:val="315"/>
    <w:qFormat/>
    <w:uiPriority w:val="0"/>
    <w:pPr>
      <w:spacing w:line="240" w:lineRule="auto"/>
      <w:ind w:firstLine="0"/>
      <w:jc w:val="center"/>
    </w:pPr>
    <w:rPr>
      <w:rFonts w:hAnsi="宋体"/>
      <w:b w:val="0"/>
      <w:spacing w:val="0"/>
      <w:sz w:val="21"/>
    </w:rPr>
  </w:style>
  <w:style w:type="paragraph" w:customStyle="1" w:styleId="1680">
    <w:name w:val="黑体三号41"/>
    <w:basedOn w:val="315"/>
    <w:qFormat/>
    <w:uiPriority w:val="0"/>
    <w:pPr>
      <w:jc w:val="center"/>
    </w:pPr>
    <w:rPr>
      <w:rFonts w:ascii="黑体" w:hAnsi="宋体" w:eastAsia="黑体"/>
      <w:bCs/>
      <w:spacing w:val="0"/>
      <w:sz w:val="32"/>
    </w:rPr>
  </w:style>
  <w:style w:type="paragraph" w:customStyle="1" w:styleId="1681">
    <w:name w:val="默认段落字体 Para Char Char Char Char41"/>
    <w:basedOn w:val="1"/>
    <w:qFormat/>
    <w:uiPriority w:val="0"/>
    <w:rPr>
      <w:rFonts w:ascii="宋体" w:hAnsi="宋体" w:cs="宋体"/>
    </w:rPr>
  </w:style>
  <w:style w:type="paragraph" w:customStyle="1" w:styleId="1682">
    <w:name w:val="图表题1"/>
    <w:basedOn w:val="315"/>
    <w:next w:val="315"/>
    <w:qFormat/>
    <w:uiPriority w:val="0"/>
    <w:pPr>
      <w:ind w:firstLine="0"/>
      <w:jc w:val="center"/>
    </w:pPr>
    <w:rPr>
      <w:rFonts w:ascii="黑体" w:hAnsi="宋体" w:eastAsia="黑体"/>
      <w:bCs/>
      <w:spacing w:val="0"/>
    </w:rPr>
  </w:style>
  <w:style w:type="character" w:customStyle="1" w:styleId="1683">
    <w:name w:val="图表题 Char1"/>
    <w:qFormat/>
    <w:uiPriority w:val="0"/>
    <w:rPr>
      <w:rFonts w:ascii="黑体" w:hAnsi="宋体" w:eastAsia="黑体" w:cs="宋体"/>
      <w:bCs/>
      <w:spacing w:val="10"/>
      <w:kern w:val="2"/>
      <w:sz w:val="24"/>
      <w:szCs w:val="24"/>
      <w:lang w:val="en-US" w:eastAsia="zh-CN" w:bidi="ar-SA"/>
    </w:rPr>
  </w:style>
  <w:style w:type="paragraph" w:customStyle="1" w:styleId="1684">
    <w:name w:val="样式 表格内字体 +1"/>
    <w:basedOn w:val="1177"/>
    <w:qFormat/>
    <w:uiPriority w:val="0"/>
    <w:pPr>
      <w:spacing w:line="280" w:lineRule="exact"/>
      <w:ind w:firstLine="36"/>
      <w:jc w:val="both"/>
    </w:pPr>
    <w:rPr>
      <w:kern w:val="0"/>
    </w:rPr>
  </w:style>
  <w:style w:type="character" w:customStyle="1" w:styleId="1685">
    <w:name w:val="样式 表格内字体 + Char1"/>
    <w:basedOn w:val="1178"/>
    <w:qFormat/>
    <w:uiPriority w:val="0"/>
  </w:style>
  <w:style w:type="paragraph" w:customStyle="1" w:styleId="1686">
    <w:name w:val="A正文1"/>
    <w:basedOn w:val="1"/>
    <w:qFormat/>
    <w:uiPriority w:val="0"/>
    <w:pPr>
      <w:widowControl/>
      <w:overflowPunct w:val="0"/>
      <w:autoSpaceDE w:val="0"/>
      <w:autoSpaceDN w:val="0"/>
      <w:adjustRightInd w:val="0"/>
      <w:spacing w:line="360" w:lineRule="auto"/>
      <w:ind w:firstLine="200" w:firstLineChars="200"/>
      <w:jc w:val="left"/>
      <w:textAlignment w:val="baseline"/>
    </w:pPr>
    <w:rPr>
      <w:rFonts w:ascii="宋体" w:hAnsi="宋体" w:eastAsia="仿宋_GB2312" w:cs="宋体"/>
      <w:kern w:val="0"/>
      <w:sz w:val="24"/>
    </w:rPr>
  </w:style>
  <w:style w:type="character" w:customStyle="1" w:styleId="1687">
    <w:name w:val="A正文 Char1"/>
    <w:qFormat/>
    <w:uiPriority w:val="0"/>
    <w:rPr>
      <w:rFonts w:eastAsia="仿宋_GB2312"/>
      <w:kern w:val="2"/>
      <w:sz w:val="24"/>
      <w:szCs w:val="24"/>
      <w:lang w:val="en-US" w:eastAsia="zh-CN" w:bidi="ar-SA"/>
    </w:rPr>
  </w:style>
  <w:style w:type="paragraph" w:customStyle="1" w:styleId="1688">
    <w:name w:val="图题注1"/>
    <w:basedOn w:val="23"/>
    <w:qFormat/>
    <w:uiPriority w:val="0"/>
    <w:pPr>
      <w:widowControl w:val="0"/>
      <w:jc w:val="center"/>
    </w:pPr>
    <w:rPr>
      <w:rFonts w:ascii="黑体" w:hAnsi="Arial"/>
      <w:b/>
      <w:bCs/>
      <w:kern w:val="2"/>
    </w:rPr>
  </w:style>
  <w:style w:type="character" w:customStyle="1" w:styleId="1689">
    <w:name w:val="图题注 Char1"/>
    <w:qFormat/>
    <w:uiPriority w:val="0"/>
    <w:rPr>
      <w:rFonts w:ascii="黑体" w:hAnsi="Arial" w:eastAsia="黑体" w:cs="宋体"/>
      <w:b/>
      <w:bCs/>
      <w:kern w:val="2"/>
      <w:sz w:val="24"/>
      <w:szCs w:val="24"/>
      <w:lang w:val="en-US" w:eastAsia="zh-CN" w:bidi="ar-SA"/>
    </w:rPr>
  </w:style>
  <w:style w:type="paragraph" w:customStyle="1" w:styleId="1690">
    <w:name w:val="Char71"/>
    <w:basedOn w:val="1"/>
    <w:qFormat/>
    <w:uiPriority w:val="0"/>
    <w:pPr>
      <w:ind w:left="-48"/>
    </w:pPr>
    <w:rPr>
      <w:rFonts w:ascii="宋体" w:hAnsi="宋体" w:cs="宋体"/>
    </w:rPr>
  </w:style>
  <w:style w:type="paragraph" w:customStyle="1" w:styleId="1691">
    <w:name w:val="表格内字体111"/>
    <w:basedOn w:val="315"/>
    <w:qFormat/>
    <w:uiPriority w:val="0"/>
    <w:pPr>
      <w:spacing w:line="240" w:lineRule="auto"/>
      <w:ind w:firstLine="0"/>
      <w:jc w:val="center"/>
    </w:pPr>
    <w:rPr>
      <w:rFonts w:hAnsi="Times New Roman"/>
      <w:b w:val="0"/>
      <w:spacing w:val="0"/>
      <w:sz w:val="21"/>
    </w:rPr>
  </w:style>
  <w:style w:type="paragraph" w:customStyle="1" w:styleId="1692">
    <w:name w:val="样式 正文缩进 + 宋体 黑色 首行缩进:  2 字符1"/>
    <w:basedOn w:val="6"/>
    <w:qFormat/>
    <w:uiPriority w:val="0"/>
    <w:pPr>
      <w:adjustRightInd/>
      <w:snapToGrid/>
      <w:spacing w:line="360" w:lineRule="auto"/>
      <w:ind w:firstLine="480"/>
      <w:jc w:val="left"/>
    </w:pPr>
    <w:rPr>
      <w:rFonts w:ascii="宋体" w:hAnsi="宋体" w:eastAsia="宋体" w:cs="宋体"/>
      <w:color w:val="FF00FF"/>
      <w:sz w:val="24"/>
      <w:szCs w:val="20"/>
    </w:rPr>
  </w:style>
  <w:style w:type="character" w:customStyle="1" w:styleId="1693">
    <w:name w:val="环评正文 Char1"/>
    <w:qFormat/>
    <w:uiPriority w:val="0"/>
    <w:rPr>
      <w:rFonts w:eastAsia="宋体"/>
      <w:bCs/>
      <w:kern w:val="2"/>
      <w:sz w:val="24"/>
      <w:szCs w:val="24"/>
      <w:lang w:val="en-US" w:eastAsia="zh-CN" w:bidi="ar-SA"/>
    </w:rPr>
  </w:style>
  <w:style w:type="paragraph" w:customStyle="1" w:styleId="1694">
    <w:name w:val="注释1"/>
    <w:basedOn w:val="315"/>
    <w:next w:val="35"/>
    <w:qFormat/>
    <w:uiPriority w:val="0"/>
    <w:pPr>
      <w:spacing w:before="120" w:after="120" w:line="240" w:lineRule="auto"/>
      <w:ind w:firstLine="200" w:firstLineChars="200"/>
    </w:pPr>
    <w:rPr>
      <w:rFonts w:hAnsi="Times New Roman"/>
      <w:b w:val="0"/>
      <w:spacing w:val="0"/>
      <w:sz w:val="21"/>
    </w:rPr>
  </w:style>
  <w:style w:type="paragraph" w:customStyle="1" w:styleId="1695">
    <w:name w:val="样式41"/>
    <w:basedOn w:val="35"/>
    <w:qFormat/>
    <w:uiPriority w:val="0"/>
    <w:pPr>
      <w:tabs>
        <w:tab w:val="left" w:pos="1820"/>
      </w:tabs>
      <w:snapToGrid w:val="0"/>
      <w:spacing w:after="0" w:line="240" w:lineRule="atLeast"/>
      <w:jc w:val="center"/>
    </w:pPr>
    <w:rPr>
      <w:rFonts w:ascii="Calibri" w:hAnsi="Calibri" w:eastAsia="幼圆" w:cs="宋体"/>
      <w:kern w:val="0"/>
    </w:rPr>
  </w:style>
  <w:style w:type="paragraph" w:customStyle="1" w:styleId="1696">
    <w:name w:val="标题412"/>
    <w:basedOn w:val="8"/>
    <w:next w:val="1"/>
    <w:qFormat/>
    <w:uiPriority w:val="0"/>
    <w:pPr>
      <w:widowControl w:val="0"/>
      <w:tabs>
        <w:tab w:val="clear" w:pos="1276"/>
      </w:tabs>
      <w:spacing w:before="160" w:after="170"/>
      <w:ind w:left="0" w:firstLine="0"/>
      <w:jc w:val="both"/>
    </w:pPr>
    <w:rPr>
      <w:rFonts w:ascii="黑体" w:eastAsia="黑体"/>
    </w:rPr>
  </w:style>
  <w:style w:type="paragraph" w:customStyle="1" w:styleId="1697">
    <w:name w:val="表中文字41"/>
    <w:basedOn w:val="1"/>
    <w:qFormat/>
    <w:uiPriority w:val="0"/>
    <w:pPr>
      <w:snapToGrid w:val="0"/>
      <w:spacing w:line="340" w:lineRule="exact"/>
      <w:ind w:firstLine="480" w:firstLineChars="200"/>
      <w:jc w:val="center"/>
    </w:pPr>
    <w:rPr>
      <w:rFonts w:ascii="Arial" w:hAnsi="Arial" w:cs="宋体"/>
      <w:kern w:val="0"/>
      <w:sz w:val="24"/>
      <w:lang w:eastAsia="zh-TW"/>
    </w:rPr>
  </w:style>
  <w:style w:type="character" w:customStyle="1" w:styleId="1698">
    <w:name w:val="表中文字 Char1"/>
    <w:qFormat/>
    <w:uiPriority w:val="0"/>
    <w:rPr>
      <w:rFonts w:ascii="Arial" w:hAnsi="Arial" w:eastAsia="宋体"/>
      <w:kern w:val="2"/>
      <w:sz w:val="24"/>
      <w:szCs w:val="24"/>
      <w:lang w:val="en-US" w:eastAsia="zh-TW" w:bidi="ar-SA"/>
    </w:rPr>
  </w:style>
  <w:style w:type="paragraph" w:customStyle="1" w:styleId="1699">
    <w:name w:val="样式 正文缩进 + 宋体 黑色1"/>
    <w:basedOn w:val="6"/>
    <w:qFormat/>
    <w:uiPriority w:val="0"/>
    <w:pPr>
      <w:adjustRightInd/>
      <w:snapToGrid/>
      <w:spacing w:line="360" w:lineRule="auto"/>
      <w:jc w:val="left"/>
    </w:pPr>
    <w:rPr>
      <w:rFonts w:ascii="宋体" w:hAnsi="宋体" w:eastAsia="宋体" w:cs="宋体"/>
      <w:sz w:val="24"/>
    </w:rPr>
  </w:style>
  <w:style w:type="character" w:customStyle="1" w:styleId="1700">
    <w:name w:val="样式 正文缩进 + 宋体 黑色 Char1"/>
    <w:qFormat/>
    <w:uiPriority w:val="0"/>
    <w:rPr>
      <w:rFonts w:ascii="宋体" w:hAnsi="宋体" w:eastAsia="宋体"/>
      <w:color w:val="000000"/>
      <w:kern w:val="2"/>
      <w:sz w:val="24"/>
      <w:szCs w:val="24"/>
      <w:lang w:val="en-US" w:eastAsia="zh-CN" w:bidi="ar-SA"/>
    </w:rPr>
  </w:style>
  <w:style w:type="paragraph" w:customStyle="1" w:styleId="1701">
    <w:name w:val="表内511"/>
    <w:basedOn w:val="1"/>
    <w:qFormat/>
    <w:uiPriority w:val="0"/>
    <w:pPr>
      <w:adjustRightInd w:val="0"/>
      <w:snapToGrid w:val="0"/>
      <w:jc w:val="center"/>
    </w:pPr>
    <w:rPr>
      <w:rFonts w:ascii="宋体" w:hAnsi="宋体" w:cs="宋体"/>
      <w:kern w:val="0"/>
      <w:sz w:val="24"/>
    </w:rPr>
  </w:style>
  <w:style w:type="character" w:customStyle="1" w:styleId="1702">
    <w:name w:val="表内5 Char1"/>
    <w:qFormat/>
    <w:uiPriority w:val="0"/>
    <w:rPr>
      <w:rFonts w:ascii="宋体" w:hAnsi="宋体" w:eastAsia="宋体" w:cs="Times New Roman"/>
      <w:kern w:val="2"/>
      <w:sz w:val="24"/>
      <w:szCs w:val="24"/>
      <w:lang w:val="en-US" w:eastAsia="zh-CN" w:bidi="ar-SA"/>
    </w:rPr>
  </w:style>
  <w:style w:type="paragraph" w:customStyle="1" w:styleId="1703">
    <w:name w:val="样式 样式 宋体 + 首行缩进:  2 字符11"/>
    <w:basedOn w:val="1"/>
    <w:qFormat/>
    <w:uiPriority w:val="0"/>
    <w:pPr>
      <w:spacing w:line="360" w:lineRule="auto"/>
      <w:ind w:firstLine="480" w:firstLineChars="200"/>
      <w:jc w:val="left"/>
    </w:pPr>
    <w:rPr>
      <w:rFonts w:ascii="宋体" w:hAnsi="宋体" w:cs="宋体"/>
      <w:sz w:val="24"/>
    </w:rPr>
  </w:style>
  <w:style w:type="paragraph" w:customStyle="1" w:styleId="1704">
    <w:name w:val="表内宋5中21"/>
    <w:basedOn w:val="1"/>
    <w:qFormat/>
    <w:uiPriority w:val="0"/>
    <w:pPr>
      <w:adjustRightInd w:val="0"/>
      <w:snapToGrid w:val="0"/>
      <w:jc w:val="center"/>
      <w:textAlignment w:val="baseline"/>
    </w:pPr>
    <w:rPr>
      <w:rFonts w:ascii="宋体" w:hAnsi="宋体" w:cs="宋体"/>
      <w:kern w:val="0"/>
    </w:rPr>
  </w:style>
  <w:style w:type="paragraph" w:customStyle="1" w:styleId="1705">
    <w:name w:val="xl631"/>
    <w:basedOn w:val="1"/>
    <w:qFormat/>
    <w:uiPriority w:val="0"/>
    <w:pPr>
      <w:widowControl/>
      <w:spacing w:before="100" w:beforeAutospacing="1" w:after="100" w:afterAutospacing="1"/>
      <w:jc w:val="center"/>
      <w:textAlignment w:val="center"/>
    </w:pPr>
    <w:rPr>
      <w:rFonts w:hint="eastAsia" w:ascii="黑体" w:hAnsi="宋体" w:eastAsia="黑体" w:cs="宋体"/>
      <w:kern w:val="0"/>
      <w:sz w:val="24"/>
    </w:rPr>
  </w:style>
  <w:style w:type="paragraph" w:customStyle="1" w:styleId="1706">
    <w:name w:val="标准1"/>
    <w:basedOn w:val="1"/>
    <w:qFormat/>
    <w:uiPriority w:val="0"/>
    <w:pPr>
      <w:adjustRightInd w:val="0"/>
      <w:spacing w:before="120" w:line="336" w:lineRule="auto"/>
      <w:jc w:val="center"/>
      <w:textAlignment w:val="baseline"/>
    </w:pPr>
    <w:rPr>
      <w:rFonts w:ascii="黑体" w:hAnsi="宋体" w:eastAsia="黑体" w:cs="宋体"/>
    </w:rPr>
  </w:style>
  <w:style w:type="paragraph" w:customStyle="1" w:styleId="1707">
    <w:name w:val="Fax Header1"/>
    <w:basedOn w:val="1"/>
    <w:qFormat/>
    <w:uiPriority w:val="0"/>
    <w:pPr>
      <w:widowControl/>
      <w:spacing w:before="240" w:after="60"/>
      <w:jc w:val="left"/>
    </w:pPr>
    <w:rPr>
      <w:rFonts w:ascii="宋体" w:hAnsi="宋体" w:cs="宋体"/>
      <w:kern w:val="0"/>
      <w:sz w:val="24"/>
    </w:rPr>
  </w:style>
  <w:style w:type="paragraph" w:customStyle="1" w:styleId="1708">
    <w:name w:val="样式 表格内字体1 +1"/>
    <w:basedOn w:val="1264"/>
    <w:next w:val="1177"/>
    <w:qFormat/>
    <w:uiPriority w:val="0"/>
    <w:rPr>
      <w:rFonts w:hAnsi="Times New Roman"/>
    </w:rPr>
  </w:style>
  <w:style w:type="paragraph" w:customStyle="1" w:styleId="1709">
    <w:name w:val="默认段落字体 Para Char31"/>
    <w:basedOn w:val="1"/>
    <w:qFormat/>
    <w:uiPriority w:val="0"/>
    <w:pPr>
      <w:spacing w:line="360" w:lineRule="auto"/>
      <w:ind w:firstLine="200" w:firstLineChars="200"/>
    </w:pPr>
    <w:rPr>
      <w:rFonts w:ascii="宋体" w:hAnsi="宋体" w:cs="宋体"/>
      <w:sz w:val="24"/>
    </w:rPr>
  </w:style>
  <w:style w:type="paragraph" w:customStyle="1" w:styleId="1710">
    <w:name w:val="正文斜体1"/>
    <w:basedOn w:val="315"/>
    <w:next w:val="315"/>
    <w:qFormat/>
    <w:uiPriority w:val="0"/>
    <w:rPr>
      <w:rFonts w:hAnsi="宋体"/>
      <w:b w:val="0"/>
      <w:i/>
      <w:iCs/>
      <w:spacing w:val="0"/>
    </w:rPr>
  </w:style>
  <w:style w:type="character" w:customStyle="1" w:styleId="1711">
    <w:name w:val="正文斜体 Char1"/>
    <w:qFormat/>
    <w:uiPriority w:val="0"/>
    <w:rPr>
      <w:rFonts w:ascii="宋体" w:hAnsi="宋体" w:eastAsia="宋体" w:cs="宋体"/>
      <w:b/>
      <w:i/>
      <w:iCs/>
      <w:spacing w:val="10"/>
      <w:kern w:val="2"/>
      <w:sz w:val="24"/>
      <w:szCs w:val="24"/>
      <w:lang w:val="en-US" w:eastAsia="zh-CN" w:bidi="ar-SA"/>
    </w:rPr>
  </w:style>
  <w:style w:type="paragraph" w:customStyle="1" w:styleId="1712">
    <w:name w:val="Char81"/>
    <w:basedOn w:val="1"/>
    <w:qFormat/>
    <w:uiPriority w:val="0"/>
    <w:pPr>
      <w:ind w:left="-48"/>
    </w:pPr>
    <w:rPr>
      <w:rFonts w:ascii="宋体" w:hAnsi="宋体" w:cs="宋体"/>
    </w:rPr>
  </w:style>
  <w:style w:type="paragraph" w:customStyle="1" w:styleId="1713">
    <w:name w:val="正文格式71"/>
    <w:basedOn w:val="1"/>
    <w:qFormat/>
    <w:uiPriority w:val="0"/>
    <w:pPr>
      <w:spacing w:line="360" w:lineRule="auto"/>
      <w:ind w:firstLine="482"/>
    </w:pPr>
    <w:rPr>
      <w:rFonts w:ascii="宋体" w:hAnsi="宋体" w:cs="宋体"/>
      <w:sz w:val="24"/>
    </w:rPr>
  </w:style>
  <w:style w:type="character" w:customStyle="1" w:styleId="1714">
    <w:name w:val="题注 Char51"/>
    <w:qFormat/>
    <w:uiPriority w:val="0"/>
    <w:rPr>
      <w:rFonts w:ascii="黑体" w:hAnsi="Arial" w:eastAsia="黑体" w:cs="Arial"/>
      <w:spacing w:val="10"/>
      <w:kern w:val="2"/>
      <w:sz w:val="24"/>
      <w:szCs w:val="24"/>
      <w:lang w:val="en-US" w:eastAsia="zh-CN" w:bidi="ar-SA"/>
    </w:rPr>
  </w:style>
  <w:style w:type="paragraph" w:customStyle="1" w:styleId="1715">
    <w:name w:val="图题71"/>
    <w:basedOn w:val="315"/>
    <w:next w:val="315"/>
    <w:qFormat/>
    <w:uiPriority w:val="0"/>
    <w:pPr>
      <w:ind w:firstLine="0"/>
      <w:jc w:val="center"/>
    </w:pPr>
    <w:rPr>
      <w:rFonts w:ascii="黑体" w:hAnsi="宋体" w:eastAsia="黑体"/>
      <w:bCs/>
      <w:spacing w:val="0"/>
    </w:rPr>
  </w:style>
  <w:style w:type="paragraph" w:customStyle="1" w:styleId="1716">
    <w:name w:val="表格内字体71"/>
    <w:basedOn w:val="315"/>
    <w:next w:val="315"/>
    <w:qFormat/>
    <w:uiPriority w:val="0"/>
    <w:pPr>
      <w:spacing w:line="240" w:lineRule="auto"/>
      <w:ind w:firstLine="0"/>
      <w:jc w:val="center"/>
    </w:pPr>
    <w:rPr>
      <w:rFonts w:hAnsi="宋体"/>
      <w:b w:val="0"/>
      <w:spacing w:val="0"/>
      <w:sz w:val="21"/>
    </w:rPr>
  </w:style>
  <w:style w:type="paragraph" w:customStyle="1" w:styleId="1717">
    <w:name w:val="Char91"/>
    <w:basedOn w:val="1"/>
    <w:qFormat/>
    <w:uiPriority w:val="0"/>
    <w:pPr>
      <w:ind w:left="-48"/>
    </w:pPr>
    <w:rPr>
      <w:rFonts w:ascii="宋体" w:hAnsi="宋体" w:cs="宋体"/>
    </w:rPr>
  </w:style>
  <w:style w:type="character" w:customStyle="1" w:styleId="1718">
    <w:name w:val="表题1 Char61"/>
    <w:qFormat/>
    <w:uiPriority w:val="0"/>
    <w:rPr>
      <w:rFonts w:ascii="黑体" w:hAnsi="Arial" w:eastAsia="黑体" w:cs="Arial"/>
      <w:b/>
      <w:kern w:val="2"/>
      <w:sz w:val="24"/>
      <w:szCs w:val="24"/>
      <w:lang w:val="en-US" w:eastAsia="zh-CN" w:bidi="ar-SA"/>
    </w:rPr>
  </w:style>
  <w:style w:type="paragraph" w:customStyle="1" w:styleId="1719">
    <w:name w:val="燕山正文41"/>
    <w:basedOn w:val="1"/>
    <w:qFormat/>
    <w:uiPriority w:val="0"/>
    <w:pPr>
      <w:tabs>
        <w:tab w:val="left" w:pos="4680"/>
      </w:tabs>
      <w:adjustRightInd w:val="0"/>
      <w:snapToGrid w:val="0"/>
      <w:spacing w:line="480" w:lineRule="exact"/>
    </w:pPr>
    <w:rPr>
      <w:rFonts w:ascii="宋体" w:hAnsi="宋体" w:cs="宋体"/>
      <w:sz w:val="24"/>
    </w:rPr>
  </w:style>
  <w:style w:type="paragraph" w:customStyle="1" w:styleId="1720">
    <w:name w:val="正文修改41"/>
    <w:basedOn w:val="1180"/>
    <w:qFormat/>
    <w:uiPriority w:val="0"/>
    <w:rPr>
      <w:rFonts w:hAnsi="宋体"/>
      <w:color w:val="000000"/>
    </w:rPr>
  </w:style>
  <w:style w:type="character" w:customStyle="1" w:styleId="1721">
    <w:name w:val="正文修改 Char141"/>
    <w:basedOn w:val="1181"/>
    <w:qFormat/>
    <w:uiPriority w:val="0"/>
  </w:style>
  <w:style w:type="paragraph" w:customStyle="1" w:styleId="1722">
    <w:name w:val="表中文字51"/>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723">
    <w:name w:val="默认段落字体 Para Char Char Char Char51"/>
    <w:basedOn w:val="1"/>
    <w:qFormat/>
    <w:uiPriority w:val="0"/>
    <w:rPr>
      <w:rFonts w:ascii="宋体" w:hAnsi="宋体" w:cs="宋体"/>
    </w:rPr>
  </w:style>
  <w:style w:type="paragraph" w:customStyle="1" w:styleId="1724">
    <w:name w:val="Char101"/>
    <w:basedOn w:val="1"/>
    <w:qFormat/>
    <w:uiPriority w:val="0"/>
    <w:pPr>
      <w:adjustRightInd w:val="0"/>
      <w:snapToGrid w:val="0"/>
      <w:spacing w:line="360" w:lineRule="auto"/>
    </w:pPr>
    <w:rPr>
      <w:rFonts w:ascii="宋体" w:hAnsi="宋体" w:cs="宋体"/>
    </w:rPr>
  </w:style>
  <w:style w:type="paragraph" w:customStyle="1" w:styleId="1725">
    <w:name w:val="表内5中11"/>
    <w:basedOn w:val="1"/>
    <w:qFormat/>
    <w:uiPriority w:val="0"/>
    <w:pPr>
      <w:adjustRightInd w:val="0"/>
      <w:snapToGrid w:val="0"/>
      <w:jc w:val="center"/>
    </w:pPr>
    <w:rPr>
      <w:rFonts w:ascii="宋体" w:hAnsi="宋体" w:cs="Arial"/>
      <w:snapToGrid w:val="0"/>
      <w:color w:val="000000"/>
      <w:szCs w:val="21"/>
    </w:rPr>
  </w:style>
  <w:style w:type="paragraph" w:customStyle="1" w:styleId="1726">
    <w:name w:val="表内54141"/>
    <w:basedOn w:val="1"/>
    <w:qFormat/>
    <w:uiPriority w:val="0"/>
    <w:pPr>
      <w:adjustRightInd w:val="0"/>
      <w:snapToGrid w:val="0"/>
      <w:spacing w:line="300" w:lineRule="auto"/>
      <w:jc w:val="center"/>
    </w:pPr>
    <w:rPr>
      <w:rFonts w:ascii="宋体" w:hAnsi="宋体" w:cs="宋体"/>
    </w:rPr>
  </w:style>
  <w:style w:type="paragraph" w:customStyle="1" w:styleId="1727">
    <w:name w:val="表内文字小12"/>
    <w:basedOn w:val="1"/>
    <w:qFormat/>
    <w:uiPriority w:val="0"/>
    <w:pPr>
      <w:adjustRightInd w:val="0"/>
      <w:snapToGrid w:val="0"/>
      <w:jc w:val="center"/>
    </w:pPr>
    <w:rPr>
      <w:rFonts w:ascii="宋体" w:hAnsi="Times" w:cs="宋体"/>
    </w:rPr>
  </w:style>
  <w:style w:type="character" w:customStyle="1" w:styleId="1728">
    <w:name w:val="正文文本缩进 Char1"/>
    <w:qFormat/>
    <w:uiPriority w:val="0"/>
    <w:rPr>
      <w:rFonts w:eastAsia="宋体"/>
      <w:kern w:val="2"/>
      <w:sz w:val="21"/>
      <w:szCs w:val="24"/>
      <w:lang w:val="en-US" w:eastAsia="zh-CN" w:bidi="ar-SA"/>
    </w:rPr>
  </w:style>
  <w:style w:type="paragraph" w:customStyle="1" w:styleId="1729">
    <w:name w:val="默认段落字体 Para Char4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1730">
    <w:name w:val="正文格式81"/>
    <w:basedOn w:val="1"/>
    <w:qFormat/>
    <w:uiPriority w:val="0"/>
    <w:pPr>
      <w:spacing w:line="360" w:lineRule="auto"/>
      <w:ind w:firstLine="482"/>
    </w:pPr>
    <w:rPr>
      <w:rFonts w:ascii="宋体" w:hAnsi="宋体" w:cs="宋体"/>
      <w:sz w:val="24"/>
    </w:rPr>
  </w:style>
  <w:style w:type="paragraph" w:customStyle="1" w:styleId="1731">
    <w:name w:val="正文格式91"/>
    <w:basedOn w:val="1"/>
    <w:qFormat/>
    <w:uiPriority w:val="0"/>
    <w:pPr>
      <w:spacing w:line="360" w:lineRule="auto"/>
      <w:ind w:firstLine="482"/>
    </w:pPr>
    <w:rPr>
      <w:rFonts w:ascii="宋体" w:hAnsi="宋体" w:cs="宋体"/>
      <w:sz w:val="24"/>
    </w:rPr>
  </w:style>
  <w:style w:type="paragraph" w:customStyle="1" w:styleId="1732">
    <w:name w:val="Char421"/>
    <w:basedOn w:val="1"/>
    <w:qFormat/>
    <w:uiPriority w:val="0"/>
    <w:pPr>
      <w:ind w:left="-48"/>
    </w:pPr>
    <w:rPr>
      <w:rFonts w:ascii="宋体" w:hAnsi="宋体" w:cs="宋体"/>
    </w:rPr>
  </w:style>
  <w:style w:type="paragraph" w:customStyle="1" w:styleId="1733">
    <w:name w:val="Char Char Char Char Char Char Char5"/>
    <w:basedOn w:val="1"/>
    <w:qFormat/>
    <w:uiPriority w:val="0"/>
    <w:rPr>
      <w:rFonts w:ascii="宋体" w:hAnsi="宋体" w:cs="宋体"/>
    </w:rPr>
  </w:style>
  <w:style w:type="paragraph" w:customStyle="1" w:styleId="1734">
    <w:name w:val="Char161"/>
    <w:basedOn w:val="1"/>
    <w:qFormat/>
    <w:uiPriority w:val="0"/>
    <w:pPr>
      <w:ind w:left="-48"/>
    </w:pPr>
    <w:rPr>
      <w:rFonts w:ascii="宋体" w:hAnsi="宋体" w:cs="宋体"/>
    </w:rPr>
  </w:style>
  <w:style w:type="paragraph" w:customStyle="1" w:styleId="1735">
    <w:name w:val="Char Char Char Char1 Char Char Char21"/>
    <w:basedOn w:val="1"/>
    <w:qFormat/>
    <w:uiPriority w:val="0"/>
    <w:pPr>
      <w:widowControl/>
      <w:spacing w:after="160"/>
      <w:jc w:val="left"/>
    </w:pPr>
    <w:rPr>
      <w:rFonts w:ascii="Verdana" w:hAnsi="Verdana" w:cs="宋体"/>
      <w:kern w:val="0"/>
      <w:sz w:val="24"/>
      <w:lang w:eastAsia="en-US"/>
    </w:rPr>
  </w:style>
  <w:style w:type="character" w:customStyle="1" w:styleId="1736">
    <w:name w:val="Char Char1121"/>
    <w:qFormat/>
    <w:uiPriority w:val="0"/>
    <w:rPr>
      <w:rFonts w:ascii="黑体" w:hAnsi="Arial" w:eastAsia="黑体"/>
      <w:bCs/>
      <w:kern w:val="2"/>
      <w:sz w:val="30"/>
      <w:szCs w:val="30"/>
      <w:lang w:val="en-US" w:eastAsia="zh-CN" w:bidi="ar-SA"/>
    </w:rPr>
  </w:style>
  <w:style w:type="paragraph" w:customStyle="1" w:styleId="1737">
    <w:name w:val="Char17"/>
    <w:basedOn w:val="1"/>
    <w:qFormat/>
    <w:uiPriority w:val="0"/>
    <w:pPr>
      <w:ind w:left="-48"/>
    </w:pPr>
    <w:rPr>
      <w:rFonts w:ascii="宋体" w:hAnsi="宋体" w:cs="宋体"/>
    </w:rPr>
  </w:style>
  <w:style w:type="paragraph" w:customStyle="1" w:styleId="1738">
    <w:name w:val="Char Char Char Char Char Char Char131"/>
    <w:basedOn w:val="1"/>
    <w:qFormat/>
    <w:uiPriority w:val="0"/>
    <w:rPr>
      <w:rFonts w:ascii="宋体" w:hAnsi="宋体" w:cs="宋体"/>
    </w:rPr>
  </w:style>
  <w:style w:type="character" w:customStyle="1" w:styleId="1739">
    <w:name w:val="Char Char621"/>
    <w:qFormat/>
    <w:uiPriority w:val="0"/>
    <w:rPr>
      <w:rFonts w:ascii="黑体" w:eastAsia="黑体"/>
      <w:b/>
      <w:bCs/>
      <w:kern w:val="2"/>
      <w:sz w:val="28"/>
      <w:szCs w:val="28"/>
      <w:lang w:val="en-US" w:eastAsia="zh-CN" w:bidi="ar-SA"/>
    </w:rPr>
  </w:style>
  <w:style w:type="paragraph" w:customStyle="1" w:styleId="1740">
    <w:name w:val="Char231"/>
    <w:basedOn w:val="1"/>
    <w:qFormat/>
    <w:uiPriority w:val="0"/>
    <w:pPr>
      <w:ind w:left="-48"/>
    </w:pPr>
    <w:rPr>
      <w:rFonts w:ascii="宋体" w:hAnsi="宋体" w:cs="宋体"/>
    </w:rPr>
  </w:style>
  <w:style w:type="paragraph" w:customStyle="1" w:styleId="1741">
    <w:name w:val="Char331"/>
    <w:basedOn w:val="1"/>
    <w:qFormat/>
    <w:uiPriority w:val="0"/>
    <w:pPr>
      <w:ind w:left="-48"/>
    </w:pPr>
    <w:rPr>
      <w:rFonts w:ascii="宋体" w:hAnsi="宋体" w:cs="宋体"/>
    </w:rPr>
  </w:style>
  <w:style w:type="paragraph" w:customStyle="1" w:styleId="1742">
    <w:name w:val="Char Char Char Char Char Char Char221"/>
    <w:basedOn w:val="1"/>
    <w:qFormat/>
    <w:uiPriority w:val="0"/>
    <w:rPr>
      <w:rFonts w:ascii="宋体" w:hAnsi="宋体" w:cs="宋体"/>
    </w:rPr>
  </w:style>
  <w:style w:type="paragraph" w:customStyle="1" w:styleId="1743">
    <w:name w:val="Char431"/>
    <w:basedOn w:val="1"/>
    <w:qFormat/>
    <w:uiPriority w:val="0"/>
    <w:pPr>
      <w:ind w:left="-48"/>
    </w:pPr>
    <w:rPr>
      <w:rFonts w:ascii="宋体" w:hAnsi="宋体" w:cs="宋体"/>
    </w:rPr>
  </w:style>
  <w:style w:type="character" w:customStyle="1" w:styleId="1744">
    <w:name w:val="正文首行缩进 Char1"/>
    <w:qFormat/>
    <w:uiPriority w:val="0"/>
    <w:rPr>
      <w:rFonts w:eastAsia="宋体"/>
      <w:kern w:val="2"/>
      <w:sz w:val="21"/>
      <w:szCs w:val="24"/>
      <w:lang w:val="en-US" w:eastAsia="zh-CN" w:bidi="ar-SA"/>
    </w:rPr>
  </w:style>
  <w:style w:type="character" w:customStyle="1" w:styleId="1745">
    <w:name w:val="正文文本缩进 2 Char1"/>
    <w:qFormat/>
    <w:uiPriority w:val="0"/>
    <w:rPr>
      <w:rFonts w:eastAsia="宋体"/>
      <w:kern w:val="2"/>
      <w:sz w:val="24"/>
      <w:szCs w:val="24"/>
      <w:lang w:val="en-US" w:eastAsia="zh-CN" w:bidi="ar-SA"/>
    </w:rPr>
  </w:style>
  <w:style w:type="character" w:customStyle="1" w:styleId="1746">
    <w:name w:val="表格内容 Char1"/>
    <w:qFormat/>
    <w:uiPriority w:val="0"/>
    <w:rPr>
      <w:rFonts w:eastAsia="宋体"/>
      <w:kern w:val="2"/>
      <w:sz w:val="21"/>
      <w:szCs w:val="21"/>
      <w:lang w:val="en-US" w:eastAsia="zh-CN" w:bidi="ar-SA"/>
    </w:rPr>
  </w:style>
  <w:style w:type="paragraph" w:customStyle="1" w:styleId="1747">
    <w:name w:val="正文格式82"/>
    <w:basedOn w:val="1"/>
    <w:qFormat/>
    <w:uiPriority w:val="0"/>
    <w:pPr>
      <w:spacing w:line="360" w:lineRule="auto"/>
      <w:ind w:firstLine="482"/>
    </w:pPr>
    <w:rPr>
      <w:rFonts w:ascii="宋体" w:hAnsi="宋体" w:cs="宋体"/>
      <w:sz w:val="24"/>
    </w:rPr>
  </w:style>
  <w:style w:type="paragraph" w:customStyle="1" w:styleId="1748">
    <w:name w:val="正文格式12"/>
    <w:basedOn w:val="1"/>
    <w:qFormat/>
    <w:uiPriority w:val="0"/>
    <w:pPr>
      <w:spacing w:line="360" w:lineRule="auto"/>
      <w:ind w:firstLine="482"/>
    </w:pPr>
    <w:rPr>
      <w:rFonts w:ascii="宋体" w:hAnsi="宋体" w:cs="宋体"/>
      <w:sz w:val="24"/>
    </w:rPr>
  </w:style>
  <w:style w:type="paragraph" w:customStyle="1" w:styleId="1749">
    <w:name w:val="图题9"/>
    <w:basedOn w:val="315"/>
    <w:next w:val="315"/>
    <w:qFormat/>
    <w:uiPriority w:val="0"/>
    <w:pPr>
      <w:ind w:firstLine="0"/>
      <w:jc w:val="center"/>
    </w:pPr>
    <w:rPr>
      <w:rFonts w:ascii="黑体" w:hAnsi="宋体" w:eastAsia="黑体"/>
      <w:bCs/>
      <w:spacing w:val="0"/>
    </w:rPr>
  </w:style>
  <w:style w:type="paragraph" w:customStyle="1" w:styleId="1750">
    <w:name w:val="表格内字体9"/>
    <w:basedOn w:val="315"/>
    <w:next w:val="315"/>
    <w:qFormat/>
    <w:uiPriority w:val="0"/>
    <w:pPr>
      <w:spacing w:line="240" w:lineRule="auto"/>
      <w:ind w:firstLine="0"/>
      <w:jc w:val="center"/>
    </w:pPr>
    <w:rPr>
      <w:rFonts w:hAnsi="宋体"/>
      <w:b w:val="0"/>
      <w:spacing w:val="0"/>
      <w:sz w:val="21"/>
    </w:rPr>
  </w:style>
  <w:style w:type="character" w:customStyle="1" w:styleId="1751">
    <w:name w:val="表格内字体 Char9"/>
    <w:qFormat/>
    <w:uiPriority w:val="0"/>
    <w:rPr>
      <w:rFonts w:ascii="宋体" w:hAnsi="宋体" w:eastAsia="宋体"/>
      <w:kern w:val="2"/>
      <w:sz w:val="21"/>
      <w:szCs w:val="24"/>
      <w:lang w:val="en-US" w:eastAsia="zh-CN" w:bidi="ar-SA"/>
    </w:rPr>
  </w:style>
  <w:style w:type="character" w:customStyle="1" w:styleId="1752">
    <w:name w:val="正文格式 Char11"/>
    <w:qFormat/>
    <w:uiPriority w:val="0"/>
    <w:rPr>
      <w:rFonts w:ascii="宋体" w:hAnsi="宋体" w:eastAsia="宋体"/>
      <w:kern w:val="2"/>
      <w:sz w:val="24"/>
      <w:szCs w:val="24"/>
      <w:lang w:val="en-US" w:eastAsia="zh-CN" w:bidi="ar-SA"/>
    </w:rPr>
  </w:style>
  <w:style w:type="character" w:customStyle="1" w:styleId="1753">
    <w:name w:val="标题 2 Char6"/>
    <w:qFormat/>
    <w:uiPriority w:val="0"/>
    <w:rPr>
      <w:rFonts w:ascii="黑体" w:hAnsi="Arial" w:eastAsia="黑体"/>
      <w:b/>
      <w:bCs/>
      <w:kern w:val="2"/>
      <w:sz w:val="30"/>
      <w:szCs w:val="30"/>
      <w:lang w:val="en-US" w:eastAsia="zh-CN" w:bidi="ar-SA"/>
    </w:rPr>
  </w:style>
  <w:style w:type="character" w:customStyle="1" w:styleId="1754">
    <w:name w:val="标题 3 Char13"/>
    <w:qFormat/>
    <w:uiPriority w:val="0"/>
    <w:rPr>
      <w:rFonts w:ascii="黑体" w:hAnsi="宋体" w:eastAsia="黑体"/>
      <w:b/>
      <w:bCs/>
      <w:kern w:val="2"/>
      <w:sz w:val="28"/>
      <w:szCs w:val="28"/>
      <w:lang w:val="en-US" w:eastAsia="zh-CN" w:bidi="ar-SA"/>
    </w:rPr>
  </w:style>
  <w:style w:type="paragraph" w:customStyle="1" w:styleId="1755">
    <w:name w:val="Char18"/>
    <w:basedOn w:val="1"/>
    <w:qFormat/>
    <w:uiPriority w:val="0"/>
    <w:pPr>
      <w:ind w:left="-48"/>
    </w:pPr>
    <w:rPr>
      <w:rFonts w:ascii="宋体" w:hAnsi="宋体" w:cs="宋体"/>
    </w:rPr>
  </w:style>
  <w:style w:type="paragraph" w:customStyle="1" w:styleId="1756">
    <w:name w:val="表题17"/>
    <w:basedOn w:val="23"/>
    <w:qFormat/>
    <w:uiPriority w:val="0"/>
    <w:pPr>
      <w:widowControl w:val="0"/>
      <w:spacing w:line="360" w:lineRule="auto"/>
      <w:jc w:val="center"/>
    </w:pPr>
    <w:rPr>
      <w:rFonts w:ascii="黑体" w:hAnsi="Arial" w:cs="Arial"/>
      <w:b/>
      <w:kern w:val="2"/>
    </w:rPr>
  </w:style>
  <w:style w:type="character" w:customStyle="1" w:styleId="1757">
    <w:name w:val="表题1 Char8"/>
    <w:qFormat/>
    <w:uiPriority w:val="0"/>
    <w:rPr>
      <w:rFonts w:ascii="黑体" w:hAnsi="Arial" w:eastAsia="黑体" w:cs="Arial"/>
      <w:b/>
      <w:kern w:val="2"/>
      <w:sz w:val="24"/>
      <w:szCs w:val="24"/>
      <w:lang w:val="en-US" w:eastAsia="zh-CN" w:bidi="ar-SA"/>
    </w:rPr>
  </w:style>
  <w:style w:type="paragraph" w:customStyle="1" w:styleId="1758">
    <w:name w:val="默认段落字体 Para Char6"/>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1759">
    <w:name w:val="23-47表名2"/>
    <w:basedOn w:val="1"/>
    <w:qFormat/>
    <w:uiPriority w:val="0"/>
    <w:pPr>
      <w:spacing w:afterLines="50" w:line="440" w:lineRule="exact"/>
      <w:jc w:val="center"/>
    </w:pPr>
    <w:rPr>
      <w:rFonts w:ascii="宋体" w:hAnsi="宋体" w:cs="宋体"/>
      <w:b/>
      <w:sz w:val="24"/>
    </w:rPr>
  </w:style>
  <w:style w:type="paragraph" w:customStyle="1" w:styleId="1760">
    <w:name w:val="xl242"/>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1761">
    <w:name w:val="Char Char Char Char Char Char Char6"/>
    <w:basedOn w:val="1"/>
    <w:qFormat/>
    <w:uiPriority w:val="0"/>
    <w:rPr>
      <w:rFonts w:ascii="宋体" w:hAnsi="宋体" w:cs="宋体"/>
    </w:rPr>
  </w:style>
  <w:style w:type="paragraph" w:customStyle="1" w:styleId="1762">
    <w:name w:val="Char19"/>
    <w:basedOn w:val="1"/>
    <w:qFormat/>
    <w:uiPriority w:val="0"/>
    <w:pPr>
      <w:adjustRightInd w:val="0"/>
      <w:snapToGrid w:val="0"/>
      <w:ind w:left="-45"/>
    </w:pPr>
    <w:rPr>
      <w:rFonts w:ascii="宋体" w:hAnsi="宋体" w:cs="宋体"/>
    </w:rPr>
  </w:style>
  <w:style w:type="paragraph" w:customStyle="1" w:styleId="1763">
    <w:name w:val="燕山正文115"/>
    <w:basedOn w:val="1"/>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character" w:customStyle="1" w:styleId="1764">
    <w:name w:val="批注框文本 Char6"/>
    <w:qFormat/>
    <w:uiPriority w:val="0"/>
    <w:rPr>
      <w:rFonts w:eastAsia="宋体"/>
      <w:kern w:val="2"/>
      <w:sz w:val="18"/>
      <w:szCs w:val="18"/>
      <w:lang w:val="en-US" w:eastAsia="zh-CN" w:bidi="ar-SA"/>
    </w:rPr>
  </w:style>
  <w:style w:type="paragraph" w:customStyle="1" w:styleId="1765">
    <w:name w:val="附件5"/>
    <w:basedOn w:val="4"/>
    <w:next w:val="315"/>
    <w:qFormat/>
    <w:uiPriority w:val="0"/>
    <w:pPr>
      <w:keepLines/>
      <w:widowControl w:val="0"/>
      <w:numPr>
        <w:numId w:val="0"/>
      </w:numPr>
      <w:tabs>
        <w:tab w:val="left" w:pos="1566"/>
      </w:tabs>
      <w:spacing w:after="210"/>
    </w:pPr>
    <w:rPr>
      <w:rFonts w:ascii="黑体" w:eastAsia="黑体"/>
      <w:b/>
      <w:bCs/>
      <w:kern w:val="44"/>
      <w:szCs w:val="32"/>
    </w:rPr>
  </w:style>
  <w:style w:type="paragraph" w:customStyle="1" w:styleId="1766">
    <w:name w:val="标题4314"/>
    <w:basedOn w:val="1"/>
    <w:qFormat/>
    <w:uiPriority w:val="0"/>
    <w:pPr>
      <w:adjustRightInd w:val="0"/>
      <w:snapToGrid w:val="0"/>
      <w:spacing w:line="480" w:lineRule="exact"/>
      <w:jc w:val="center"/>
    </w:pPr>
    <w:rPr>
      <w:rFonts w:ascii="宋体" w:hAnsi="宋体" w:cs="宋体"/>
      <w:sz w:val="24"/>
    </w:rPr>
  </w:style>
  <w:style w:type="character" w:customStyle="1" w:styleId="1767">
    <w:name w:val="正文文本缩进 Char2"/>
    <w:qFormat/>
    <w:uiPriority w:val="0"/>
    <w:rPr>
      <w:rFonts w:ascii="宋体" w:hAnsi="宋体" w:eastAsia="宋体" w:cs="宋体"/>
      <w:color w:val="000000"/>
      <w:kern w:val="2"/>
      <w:sz w:val="24"/>
      <w:szCs w:val="24"/>
      <w:lang w:val="en-US" w:eastAsia="zh-CN" w:bidi="ar-SA"/>
    </w:rPr>
  </w:style>
  <w:style w:type="paragraph" w:customStyle="1" w:styleId="1768">
    <w:name w:val="表题412"/>
    <w:basedOn w:val="36"/>
    <w:qFormat/>
    <w:uiPriority w:val="0"/>
    <w:pPr>
      <w:tabs>
        <w:tab w:val="left" w:pos="4305"/>
      </w:tabs>
      <w:adjustRightInd w:val="0"/>
      <w:snapToGrid w:val="0"/>
      <w:spacing w:after="0" w:line="360" w:lineRule="auto"/>
      <w:ind w:left="0" w:leftChars="0" w:firstLine="561"/>
    </w:pPr>
    <w:rPr>
      <w:rFonts w:ascii="宋体" w:hAnsi="宋体" w:cs="宋体"/>
      <w:color w:val="000000"/>
      <w:sz w:val="24"/>
    </w:rPr>
  </w:style>
  <w:style w:type="paragraph" w:customStyle="1" w:styleId="1769">
    <w:name w:val="表内5416"/>
    <w:basedOn w:val="1"/>
    <w:qFormat/>
    <w:uiPriority w:val="0"/>
    <w:pPr>
      <w:adjustRightInd w:val="0"/>
      <w:snapToGrid w:val="0"/>
      <w:spacing w:line="300" w:lineRule="auto"/>
      <w:jc w:val="center"/>
    </w:pPr>
    <w:rPr>
      <w:rFonts w:ascii="宋体" w:hAnsi="宋体" w:cs="宋体"/>
    </w:rPr>
  </w:style>
  <w:style w:type="paragraph" w:customStyle="1" w:styleId="1770">
    <w:name w:val="表内文字小215"/>
    <w:basedOn w:val="1"/>
    <w:qFormat/>
    <w:uiPriority w:val="0"/>
    <w:pPr>
      <w:adjustRightInd w:val="0"/>
      <w:snapToGrid w:val="0"/>
      <w:jc w:val="center"/>
    </w:pPr>
    <w:rPr>
      <w:rFonts w:ascii="宋体" w:hAnsi="Times" w:cs="宋体"/>
      <w:bCs/>
      <w:color w:val="000000"/>
    </w:rPr>
  </w:style>
  <w:style w:type="paragraph" w:customStyle="1" w:styleId="1771">
    <w:name w:val="表题315"/>
    <w:basedOn w:val="36"/>
    <w:qFormat/>
    <w:uiPriority w:val="0"/>
    <w:pPr>
      <w:tabs>
        <w:tab w:val="left" w:pos="4305"/>
      </w:tabs>
      <w:adjustRightInd w:val="0"/>
      <w:snapToGrid w:val="0"/>
      <w:spacing w:after="0" w:line="360" w:lineRule="auto"/>
      <w:ind w:left="0" w:leftChars="0" w:firstLine="561"/>
    </w:pPr>
    <w:rPr>
      <w:rFonts w:ascii="宋体" w:hAnsi="宋体" w:cs="宋体"/>
      <w:color w:val="000000"/>
      <w:sz w:val="24"/>
    </w:rPr>
  </w:style>
  <w:style w:type="paragraph" w:customStyle="1" w:styleId="1772">
    <w:name w:val="Char Char Char Char Char Char Char7"/>
    <w:basedOn w:val="1"/>
    <w:qFormat/>
    <w:uiPriority w:val="0"/>
    <w:rPr>
      <w:rFonts w:ascii="宋体" w:hAnsi="宋体" w:cs="宋体"/>
    </w:rPr>
  </w:style>
  <w:style w:type="character" w:customStyle="1" w:styleId="1773">
    <w:name w:val="正文文本缩进 2 Char2"/>
    <w:qFormat/>
    <w:uiPriority w:val="0"/>
    <w:rPr>
      <w:rFonts w:eastAsia="宋体"/>
      <w:kern w:val="2"/>
      <w:sz w:val="21"/>
      <w:szCs w:val="24"/>
      <w:lang w:val="en-US" w:eastAsia="zh-CN" w:bidi="ar-SA"/>
    </w:rPr>
  </w:style>
  <w:style w:type="paragraph" w:customStyle="1" w:styleId="1774">
    <w:name w:val="表文字55"/>
    <w:basedOn w:val="1"/>
    <w:qFormat/>
    <w:uiPriority w:val="0"/>
    <w:pPr>
      <w:adjustRightInd w:val="0"/>
      <w:jc w:val="left"/>
      <w:textAlignment w:val="baseline"/>
    </w:pPr>
    <w:rPr>
      <w:rFonts w:ascii="宋体" w:hAnsi="宋体" w:cs="宋体"/>
      <w:kern w:val="0"/>
    </w:rPr>
  </w:style>
  <w:style w:type="paragraph" w:customStyle="1" w:styleId="1775">
    <w:name w:val="表内文字小315"/>
    <w:basedOn w:val="1"/>
    <w:qFormat/>
    <w:uiPriority w:val="0"/>
    <w:pPr>
      <w:adjustRightInd w:val="0"/>
      <w:snapToGrid w:val="0"/>
      <w:jc w:val="center"/>
    </w:pPr>
    <w:rPr>
      <w:rFonts w:ascii="宋体" w:hAnsi="Times" w:cs="宋体"/>
      <w:bCs/>
      <w:color w:val="003366"/>
    </w:rPr>
  </w:style>
  <w:style w:type="paragraph" w:customStyle="1" w:styleId="1776">
    <w:name w:val="表内宋5113"/>
    <w:basedOn w:val="81"/>
    <w:qFormat/>
    <w:uiPriority w:val="0"/>
    <w:pPr>
      <w:adjustRightInd w:val="0"/>
      <w:snapToGrid w:val="0"/>
      <w:spacing w:before="0" w:beforeAutospacing="0" w:after="0" w:afterAutospacing="0"/>
      <w:jc w:val="both"/>
    </w:pPr>
    <w:rPr>
      <w:rFonts w:cs="宋体"/>
      <w:color w:val="000000"/>
      <w:kern w:val="0"/>
      <w:sz w:val="21"/>
      <w:szCs w:val="24"/>
    </w:rPr>
  </w:style>
  <w:style w:type="character" w:customStyle="1" w:styleId="1777">
    <w:name w:val="正文文本 Char3"/>
    <w:qFormat/>
    <w:uiPriority w:val="0"/>
    <w:rPr>
      <w:rFonts w:eastAsia="宋体"/>
      <w:kern w:val="2"/>
      <w:sz w:val="24"/>
      <w:szCs w:val="24"/>
      <w:lang w:val="en-US" w:eastAsia="zh-CN" w:bidi="ar-SA"/>
    </w:rPr>
  </w:style>
  <w:style w:type="character" w:customStyle="1" w:styleId="1778">
    <w:name w:val="正文首行缩进 Char2"/>
    <w:qFormat/>
    <w:uiPriority w:val="0"/>
    <w:rPr>
      <w:rFonts w:eastAsia="宋体"/>
      <w:kern w:val="2"/>
      <w:sz w:val="24"/>
      <w:szCs w:val="24"/>
      <w:lang w:val="en-US" w:eastAsia="zh-CN" w:bidi="ar-SA"/>
    </w:rPr>
  </w:style>
  <w:style w:type="paragraph" w:customStyle="1" w:styleId="1779">
    <w:name w:val="文本框3"/>
    <w:basedOn w:val="1"/>
    <w:qFormat/>
    <w:uiPriority w:val="0"/>
    <w:pPr>
      <w:adjustRightInd w:val="0"/>
      <w:snapToGrid w:val="0"/>
      <w:spacing w:after="6"/>
      <w:jc w:val="center"/>
    </w:pPr>
    <w:rPr>
      <w:rFonts w:ascii="宋体" w:hAnsi="宋体" w:eastAsia="仿宋_GB2312" w:cs="宋体"/>
    </w:rPr>
  </w:style>
  <w:style w:type="paragraph" w:customStyle="1" w:styleId="1780">
    <w:name w:val="正文.3"/>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781">
    <w:name w:val="表5"/>
    <w:basedOn w:val="1"/>
    <w:qFormat/>
    <w:uiPriority w:val="0"/>
    <w:pPr>
      <w:adjustRightInd w:val="0"/>
      <w:snapToGrid w:val="0"/>
      <w:jc w:val="center"/>
    </w:pPr>
    <w:rPr>
      <w:rFonts w:ascii="宋体" w:hAnsi="宋体" w:eastAsia="仿宋_GB2312" w:cs="宋体"/>
      <w:sz w:val="24"/>
    </w:rPr>
  </w:style>
  <w:style w:type="paragraph" w:customStyle="1" w:styleId="1782">
    <w:name w:val="默认段落字体 Para Char Char Char Char7"/>
    <w:basedOn w:val="1"/>
    <w:qFormat/>
    <w:uiPriority w:val="0"/>
    <w:rPr>
      <w:rFonts w:ascii="宋体" w:hAnsi="宋体" w:cs="宋体"/>
    </w:rPr>
  </w:style>
  <w:style w:type="paragraph" w:customStyle="1" w:styleId="1783">
    <w:name w:val="黑体三号6"/>
    <w:basedOn w:val="315"/>
    <w:qFormat/>
    <w:uiPriority w:val="0"/>
    <w:pPr>
      <w:jc w:val="center"/>
    </w:pPr>
    <w:rPr>
      <w:rFonts w:ascii="黑体" w:hAnsi="宋体" w:eastAsia="黑体"/>
      <w:bCs/>
      <w:spacing w:val="0"/>
      <w:sz w:val="32"/>
    </w:rPr>
  </w:style>
  <w:style w:type="paragraph" w:customStyle="1" w:styleId="1784">
    <w:name w:val="Char20"/>
    <w:basedOn w:val="1"/>
    <w:qFormat/>
    <w:uiPriority w:val="0"/>
    <w:pPr>
      <w:ind w:left="-48"/>
    </w:pPr>
    <w:rPr>
      <w:rFonts w:ascii="宋体" w:hAnsi="宋体" w:cs="宋体"/>
    </w:rPr>
  </w:style>
  <w:style w:type="paragraph" w:customStyle="1" w:styleId="1785">
    <w:name w:val="样式14"/>
    <w:basedOn w:val="1227"/>
    <w:qFormat/>
    <w:uiPriority w:val="0"/>
    <w:pPr>
      <w:spacing w:line="240" w:lineRule="auto"/>
      <w:ind w:firstLine="0"/>
      <w:jc w:val="center"/>
    </w:pPr>
    <w:rPr>
      <w:rFonts w:cs="Times New Roman"/>
      <w:b/>
      <w:color w:val="auto"/>
      <w:szCs w:val="20"/>
    </w:rPr>
  </w:style>
  <w:style w:type="character" w:customStyle="1" w:styleId="1786">
    <w:name w:val="正文文本缩进 3 Char4"/>
    <w:qFormat/>
    <w:uiPriority w:val="0"/>
    <w:rPr>
      <w:rFonts w:eastAsia="宋体"/>
      <w:kern w:val="2"/>
      <w:sz w:val="16"/>
      <w:szCs w:val="16"/>
      <w:lang w:val="en-US" w:eastAsia="zh-CN" w:bidi="ar-SA"/>
    </w:rPr>
  </w:style>
  <w:style w:type="paragraph" w:customStyle="1" w:styleId="1787">
    <w:name w:val="燕山正文6"/>
    <w:basedOn w:val="1"/>
    <w:qFormat/>
    <w:uiPriority w:val="0"/>
    <w:pPr>
      <w:tabs>
        <w:tab w:val="left" w:pos="4680"/>
      </w:tabs>
      <w:adjustRightInd w:val="0"/>
      <w:snapToGrid w:val="0"/>
      <w:spacing w:line="480" w:lineRule="exact"/>
    </w:pPr>
    <w:rPr>
      <w:rFonts w:ascii="宋体" w:hAnsi="宋体" w:cs="宋体"/>
      <w:sz w:val="24"/>
    </w:rPr>
  </w:style>
  <w:style w:type="character" w:customStyle="1" w:styleId="1788">
    <w:name w:val="燕山正文 Char16"/>
    <w:qFormat/>
    <w:uiPriority w:val="0"/>
    <w:rPr>
      <w:rFonts w:ascii="宋体" w:eastAsia="宋体" w:cs="宋体"/>
      <w:kern w:val="2"/>
      <w:sz w:val="24"/>
      <w:szCs w:val="24"/>
      <w:lang w:val="en-US" w:eastAsia="zh-CN" w:bidi="ar-SA"/>
    </w:rPr>
  </w:style>
  <w:style w:type="paragraph" w:customStyle="1" w:styleId="1789">
    <w:name w:val="正文修改6"/>
    <w:basedOn w:val="1180"/>
    <w:qFormat/>
    <w:uiPriority w:val="0"/>
    <w:rPr>
      <w:rFonts w:hAnsi="宋体"/>
      <w:color w:val="000000"/>
    </w:rPr>
  </w:style>
  <w:style w:type="character" w:customStyle="1" w:styleId="1790">
    <w:name w:val="正文修改 Char16"/>
    <w:qFormat/>
    <w:uiPriority w:val="0"/>
    <w:rPr>
      <w:rFonts w:ascii="宋体" w:hAnsi="宋体" w:eastAsia="宋体" w:cs="宋体"/>
      <w:color w:val="000000"/>
      <w:kern w:val="2"/>
      <w:sz w:val="24"/>
      <w:szCs w:val="24"/>
      <w:lang w:val="en-US" w:eastAsia="zh-CN" w:bidi="ar-SA"/>
    </w:rPr>
  </w:style>
  <w:style w:type="character" w:customStyle="1" w:styleId="1791">
    <w:name w:val="题注 Char7"/>
    <w:qFormat/>
    <w:uiPriority w:val="0"/>
    <w:rPr>
      <w:rFonts w:ascii="黑体" w:hAnsi="Arial" w:eastAsia="黑体" w:cs="Arial"/>
      <w:spacing w:val="10"/>
      <w:kern w:val="2"/>
      <w:sz w:val="24"/>
      <w:szCs w:val="24"/>
      <w:lang w:val="en-US" w:eastAsia="zh-CN" w:bidi="ar-SA"/>
    </w:rPr>
  </w:style>
  <w:style w:type="paragraph" w:customStyle="1" w:styleId="1792">
    <w:name w:val="首行缩进:  0.99 厘米 + 首行缩进:  2 字符2"/>
    <w:basedOn w:val="1"/>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character" w:customStyle="1" w:styleId="1793">
    <w:name w:val="正文文本 3 Char2"/>
    <w:qFormat/>
    <w:uiPriority w:val="0"/>
    <w:rPr>
      <w:rFonts w:eastAsia="宋体"/>
      <w:kern w:val="2"/>
      <w:sz w:val="16"/>
      <w:szCs w:val="16"/>
      <w:lang w:val="en-US" w:eastAsia="zh-CN" w:bidi="ar-SA"/>
    </w:rPr>
  </w:style>
  <w:style w:type="paragraph" w:customStyle="1" w:styleId="1794">
    <w:name w:val="图表名称2"/>
    <w:basedOn w:val="86"/>
    <w:qFormat/>
    <w:uiPriority w:val="0"/>
    <w:pPr>
      <w:adjustRightInd w:val="0"/>
      <w:snapToGrid w:val="0"/>
      <w:spacing w:after="0" w:line="480" w:lineRule="exact"/>
      <w:ind w:firstLine="0" w:firstLineChars="0"/>
      <w:jc w:val="center"/>
    </w:pPr>
    <w:rPr>
      <w:bCs/>
      <w:kern w:val="2"/>
      <w:sz w:val="24"/>
    </w:rPr>
  </w:style>
  <w:style w:type="paragraph" w:customStyle="1" w:styleId="1795">
    <w:name w:val="表内文字边2"/>
    <w:basedOn w:val="1"/>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1796">
    <w:name w:val="正文缩2"/>
    <w:basedOn w:val="1"/>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1797">
    <w:name w:val="样式22"/>
    <w:basedOn w:val="1"/>
    <w:qFormat/>
    <w:uiPriority w:val="0"/>
    <w:pPr>
      <w:adjustRightInd w:val="0"/>
      <w:spacing w:line="360" w:lineRule="auto"/>
      <w:jc w:val="center"/>
      <w:textAlignment w:val="baseline"/>
      <w:outlineLvl w:val="0"/>
    </w:pPr>
    <w:rPr>
      <w:rFonts w:ascii="宋体" w:hAnsi="宋体" w:cs="宋体"/>
      <w:kern w:val="0"/>
    </w:rPr>
  </w:style>
  <w:style w:type="paragraph" w:customStyle="1" w:styleId="1798">
    <w:name w:val="默认段落字体 Para Char Char Char Char Char2"/>
    <w:basedOn w:val="1"/>
    <w:qFormat/>
    <w:uiPriority w:val="0"/>
    <w:rPr>
      <w:rFonts w:ascii="宋体" w:hAnsi="宋体" w:cs="宋体"/>
    </w:rPr>
  </w:style>
  <w:style w:type="paragraph" w:customStyle="1" w:styleId="1799">
    <w:name w:val="表中文字7"/>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800">
    <w:name w:val="表内宋5中4"/>
    <w:basedOn w:val="1"/>
    <w:qFormat/>
    <w:uiPriority w:val="0"/>
    <w:pPr>
      <w:adjustRightInd w:val="0"/>
      <w:snapToGrid w:val="0"/>
      <w:textAlignment w:val="baseline"/>
    </w:pPr>
    <w:rPr>
      <w:rFonts w:ascii="宋体" w:hAnsi="宋体" w:cs="宋体"/>
      <w:color w:val="000000"/>
      <w:kern w:val="0"/>
    </w:rPr>
  </w:style>
  <w:style w:type="character" w:customStyle="1" w:styleId="1801">
    <w:name w:val="表中文字 Char26"/>
    <w:qFormat/>
    <w:uiPriority w:val="0"/>
    <w:rPr>
      <w:rFonts w:ascii="宋体" w:eastAsia="宋体"/>
      <w:kern w:val="2"/>
      <w:sz w:val="21"/>
      <w:szCs w:val="21"/>
      <w:lang w:val="en-US" w:eastAsia="zh-CN" w:bidi="ar-SA"/>
    </w:rPr>
  </w:style>
  <w:style w:type="paragraph" w:customStyle="1" w:styleId="1802">
    <w:name w:val="样式 标题 3 + 段前: 12 磅2"/>
    <w:basedOn w:val="7"/>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1803">
    <w:name w:val="表内文字小4"/>
    <w:basedOn w:val="1"/>
    <w:qFormat/>
    <w:uiPriority w:val="0"/>
    <w:pPr>
      <w:adjustRightInd w:val="0"/>
      <w:snapToGrid w:val="0"/>
      <w:jc w:val="center"/>
    </w:pPr>
    <w:rPr>
      <w:rFonts w:ascii="宋体" w:hAnsi="Times" w:cs="宋体"/>
    </w:rPr>
  </w:style>
  <w:style w:type="paragraph" w:customStyle="1" w:styleId="1804">
    <w:name w:val="表内54"/>
    <w:basedOn w:val="1"/>
    <w:qFormat/>
    <w:uiPriority w:val="0"/>
    <w:pPr>
      <w:adjustRightInd w:val="0"/>
      <w:snapToGrid w:val="0"/>
      <w:spacing w:line="300" w:lineRule="auto"/>
      <w:jc w:val="left"/>
    </w:pPr>
    <w:rPr>
      <w:rFonts w:ascii="宋体" w:hAnsi="宋体" w:cs="宋体"/>
      <w:sz w:val="18"/>
    </w:rPr>
  </w:style>
  <w:style w:type="paragraph" w:customStyle="1" w:styleId="1805">
    <w:name w:val="Char Char Char Char1 Char Char Char3"/>
    <w:basedOn w:val="1"/>
    <w:qFormat/>
    <w:uiPriority w:val="0"/>
    <w:pPr>
      <w:widowControl/>
      <w:spacing w:after="160"/>
      <w:jc w:val="left"/>
    </w:pPr>
    <w:rPr>
      <w:rFonts w:ascii="Verdana" w:hAnsi="Verdana" w:cs="宋体"/>
      <w:kern w:val="0"/>
      <w:sz w:val="24"/>
      <w:lang w:eastAsia="en-US"/>
    </w:rPr>
  </w:style>
  <w:style w:type="paragraph" w:customStyle="1" w:styleId="1806">
    <w:name w:val="正文格式13"/>
    <w:basedOn w:val="1"/>
    <w:qFormat/>
    <w:uiPriority w:val="0"/>
    <w:pPr>
      <w:spacing w:line="360" w:lineRule="auto"/>
      <w:ind w:firstLine="482"/>
    </w:pPr>
    <w:rPr>
      <w:rFonts w:ascii="宋体" w:hAnsi="宋体" w:cs="宋体"/>
      <w:sz w:val="24"/>
    </w:rPr>
  </w:style>
  <w:style w:type="paragraph" w:customStyle="1" w:styleId="1807">
    <w:name w:val="图题12"/>
    <w:basedOn w:val="315"/>
    <w:next w:val="315"/>
    <w:qFormat/>
    <w:uiPriority w:val="0"/>
    <w:pPr>
      <w:ind w:firstLine="0"/>
      <w:jc w:val="center"/>
    </w:pPr>
    <w:rPr>
      <w:rFonts w:ascii="黑体" w:hAnsi="宋体" w:eastAsia="黑体"/>
      <w:bCs/>
      <w:spacing w:val="0"/>
    </w:rPr>
  </w:style>
  <w:style w:type="paragraph" w:customStyle="1" w:styleId="1808">
    <w:name w:val="表格内字体13"/>
    <w:basedOn w:val="315"/>
    <w:next w:val="315"/>
    <w:qFormat/>
    <w:uiPriority w:val="0"/>
    <w:pPr>
      <w:spacing w:line="240" w:lineRule="auto"/>
      <w:ind w:firstLine="0"/>
      <w:jc w:val="center"/>
    </w:pPr>
    <w:rPr>
      <w:rFonts w:hAnsi="宋体"/>
      <w:b w:val="0"/>
      <w:spacing w:val="0"/>
      <w:sz w:val="21"/>
    </w:rPr>
  </w:style>
  <w:style w:type="character" w:customStyle="1" w:styleId="1809">
    <w:name w:val="Char Char1131"/>
    <w:qFormat/>
    <w:uiPriority w:val="0"/>
    <w:rPr>
      <w:rFonts w:ascii="黑体" w:hAnsi="Arial" w:eastAsia="黑体"/>
      <w:bCs/>
      <w:kern w:val="2"/>
      <w:sz w:val="30"/>
      <w:szCs w:val="30"/>
      <w:lang w:val="en-US" w:eastAsia="zh-CN" w:bidi="ar-SA"/>
    </w:rPr>
  </w:style>
  <w:style w:type="paragraph" w:customStyle="1" w:styleId="1810">
    <w:name w:val="Char110"/>
    <w:basedOn w:val="1"/>
    <w:qFormat/>
    <w:uiPriority w:val="0"/>
    <w:pPr>
      <w:ind w:left="-48"/>
    </w:pPr>
    <w:rPr>
      <w:rFonts w:ascii="宋体" w:hAnsi="宋体" w:cs="宋体"/>
    </w:rPr>
  </w:style>
  <w:style w:type="paragraph" w:customStyle="1" w:styleId="1811">
    <w:name w:val="正文格式23"/>
    <w:basedOn w:val="1"/>
    <w:qFormat/>
    <w:uiPriority w:val="0"/>
    <w:pPr>
      <w:spacing w:line="360" w:lineRule="auto"/>
      <w:ind w:firstLine="482"/>
    </w:pPr>
    <w:rPr>
      <w:rFonts w:ascii="宋体" w:hAnsi="宋体" w:cs="宋体"/>
      <w:sz w:val="24"/>
    </w:rPr>
  </w:style>
  <w:style w:type="paragraph" w:customStyle="1" w:styleId="1812">
    <w:name w:val="Char1111"/>
    <w:basedOn w:val="1"/>
    <w:qFormat/>
    <w:uiPriority w:val="0"/>
    <w:pPr>
      <w:adjustRightInd w:val="0"/>
      <w:snapToGrid w:val="0"/>
      <w:spacing w:beforeLines="50" w:line="360" w:lineRule="auto"/>
    </w:pPr>
    <w:rPr>
      <w:rFonts w:ascii="黑体" w:hAnsi="宋体" w:eastAsia="黑体" w:cs="宋体"/>
      <w:sz w:val="32"/>
      <w:szCs w:val="32"/>
    </w:rPr>
  </w:style>
  <w:style w:type="character" w:customStyle="1" w:styleId="1813">
    <w:name w:val="题注 Char12"/>
    <w:qFormat/>
    <w:uiPriority w:val="0"/>
    <w:rPr>
      <w:rFonts w:ascii="黑体" w:hAnsi="Arial" w:eastAsia="黑体" w:cs="Arial"/>
      <w:spacing w:val="10"/>
      <w:kern w:val="2"/>
      <w:sz w:val="24"/>
      <w:szCs w:val="24"/>
      <w:lang w:val="en-US" w:eastAsia="zh-CN" w:bidi="ar-SA"/>
    </w:rPr>
  </w:style>
  <w:style w:type="paragraph" w:customStyle="1" w:styleId="1814">
    <w:name w:val="图题23"/>
    <w:basedOn w:val="315"/>
    <w:next w:val="315"/>
    <w:qFormat/>
    <w:uiPriority w:val="0"/>
    <w:pPr>
      <w:ind w:firstLine="0"/>
      <w:jc w:val="center"/>
    </w:pPr>
    <w:rPr>
      <w:rFonts w:ascii="黑体" w:hAnsi="宋体" w:eastAsia="黑体"/>
      <w:bCs/>
      <w:spacing w:val="0"/>
    </w:rPr>
  </w:style>
  <w:style w:type="paragraph" w:customStyle="1" w:styleId="1815">
    <w:name w:val="表格内字体23"/>
    <w:basedOn w:val="315"/>
    <w:next w:val="315"/>
    <w:qFormat/>
    <w:uiPriority w:val="0"/>
    <w:pPr>
      <w:spacing w:line="240" w:lineRule="auto"/>
      <w:ind w:firstLine="0"/>
      <w:jc w:val="center"/>
    </w:pPr>
    <w:rPr>
      <w:rFonts w:hAnsi="宋体"/>
      <w:b w:val="0"/>
      <w:spacing w:val="0"/>
      <w:sz w:val="21"/>
    </w:rPr>
  </w:style>
  <w:style w:type="paragraph" w:customStyle="1" w:styleId="1816">
    <w:name w:val="表内54112"/>
    <w:basedOn w:val="1"/>
    <w:qFormat/>
    <w:uiPriority w:val="0"/>
    <w:pPr>
      <w:adjustRightInd w:val="0"/>
      <w:snapToGrid w:val="0"/>
      <w:spacing w:line="300" w:lineRule="auto"/>
      <w:jc w:val="center"/>
    </w:pPr>
    <w:rPr>
      <w:rFonts w:ascii="宋体" w:hAnsi="宋体" w:cs="宋体"/>
    </w:rPr>
  </w:style>
  <w:style w:type="paragraph" w:customStyle="1" w:styleId="1817">
    <w:name w:val="表内文字小2112"/>
    <w:basedOn w:val="1"/>
    <w:qFormat/>
    <w:uiPriority w:val="0"/>
    <w:pPr>
      <w:adjustRightInd w:val="0"/>
      <w:snapToGrid w:val="0"/>
      <w:jc w:val="center"/>
    </w:pPr>
    <w:rPr>
      <w:rFonts w:ascii="宋体" w:hAnsi="Times" w:cs="宋体"/>
      <w:bCs/>
      <w:color w:val="000000"/>
    </w:rPr>
  </w:style>
  <w:style w:type="paragraph" w:customStyle="1" w:styleId="1818">
    <w:name w:val="表题3112"/>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819">
    <w:name w:val="Char Char Char Char Char Char Char141"/>
    <w:basedOn w:val="1"/>
    <w:qFormat/>
    <w:uiPriority w:val="0"/>
    <w:rPr>
      <w:rFonts w:ascii="宋体" w:hAnsi="宋体" w:cs="宋体"/>
    </w:rPr>
  </w:style>
  <w:style w:type="paragraph" w:customStyle="1" w:styleId="1820">
    <w:name w:val="标题43112"/>
    <w:basedOn w:val="1"/>
    <w:qFormat/>
    <w:uiPriority w:val="0"/>
    <w:pPr>
      <w:adjustRightInd w:val="0"/>
      <w:snapToGrid w:val="0"/>
      <w:spacing w:line="480" w:lineRule="exact"/>
      <w:jc w:val="center"/>
    </w:pPr>
    <w:rPr>
      <w:rFonts w:ascii="宋体" w:hAnsi="宋体" w:cs="宋体"/>
      <w:sz w:val="24"/>
    </w:rPr>
  </w:style>
  <w:style w:type="paragraph" w:customStyle="1" w:styleId="1821">
    <w:name w:val="燕山正文1112"/>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822">
    <w:name w:val="默认段落字体 Para Char Char Char Char12"/>
    <w:basedOn w:val="1"/>
    <w:qFormat/>
    <w:uiPriority w:val="0"/>
    <w:rPr>
      <w:rFonts w:ascii="宋体" w:hAnsi="宋体" w:cs="宋体"/>
    </w:rPr>
  </w:style>
  <w:style w:type="paragraph" w:customStyle="1" w:styleId="1823">
    <w:name w:val="附件12"/>
    <w:basedOn w:val="4"/>
    <w:next w:val="315"/>
    <w:qFormat/>
    <w:uiPriority w:val="0"/>
    <w:pPr>
      <w:keepLines/>
      <w:widowControl w:val="0"/>
      <w:numPr>
        <w:numId w:val="0"/>
      </w:numPr>
      <w:tabs>
        <w:tab w:val="left" w:pos="1566"/>
      </w:tabs>
      <w:spacing w:after="210"/>
    </w:pPr>
    <w:rPr>
      <w:rFonts w:ascii="黑体" w:eastAsia="黑体"/>
      <w:bCs/>
      <w:kern w:val="44"/>
      <w:szCs w:val="32"/>
    </w:rPr>
  </w:style>
  <w:style w:type="paragraph" w:customStyle="1" w:styleId="1824">
    <w:name w:val="黑体三号12"/>
    <w:basedOn w:val="315"/>
    <w:qFormat/>
    <w:uiPriority w:val="0"/>
    <w:pPr>
      <w:jc w:val="center"/>
    </w:pPr>
    <w:rPr>
      <w:rFonts w:ascii="黑体" w:hAnsi="宋体" w:eastAsia="黑体"/>
      <w:bCs/>
      <w:spacing w:val="0"/>
      <w:sz w:val="32"/>
    </w:rPr>
  </w:style>
  <w:style w:type="character" w:customStyle="1" w:styleId="1825">
    <w:name w:val="Char Char631"/>
    <w:qFormat/>
    <w:uiPriority w:val="0"/>
    <w:rPr>
      <w:rFonts w:ascii="黑体" w:eastAsia="黑体"/>
      <w:b/>
      <w:bCs/>
      <w:kern w:val="2"/>
      <w:sz w:val="28"/>
      <w:szCs w:val="28"/>
      <w:lang w:val="en-US" w:eastAsia="zh-CN" w:bidi="ar-SA"/>
    </w:rPr>
  </w:style>
  <w:style w:type="paragraph" w:customStyle="1" w:styleId="1826">
    <w:name w:val="表题113"/>
    <w:basedOn w:val="23"/>
    <w:qFormat/>
    <w:uiPriority w:val="0"/>
    <w:pPr>
      <w:widowControl w:val="0"/>
      <w:spacing w:line="360" w:lineRule="auto"/>
      <w:jc w:val="center"/>
    </w:pPr>
    <w:rPr>
      <w:rFonts w:ascii="黑体" w:hAnsi="Arial" w:cs="Arial"/>
      <w:kern w:val="2"/>
    </w:rPr>
  </w:style>
  <w:style w:type="paragraph" w:customStyle="1" w:styleId="1827">
    <w:name w:val="燕山正文14"/>
    <w:basedOn w:val="1"/>
    <w:qFormat/>
    <w:uiPriority w:val="0"/>
    <w:pPr>
      <w:tabs>
        <w:tab w:val="left" w:pos="4680"/>
      </w:tabs>
      <w:adjustRightInd w:val="0"/>
      <w:snapToGrid w:val="0"/>
      <w:spacing w:line="480" w:lineRule="exact"/>
    </w:pPr>
    <w:rPr>
      <w:rFonts w:ascii="宋体" w:hAnsi="宋体" w:cs="宋体"/>
      <w:sz w:val="24"/>
    </w:rPr>
  </w:style>
  <w:style w:type="paragraph" w:customStyle="1" w:styleId="1828">
    <w:name w:val="正文修改12"/>
    <w:basedOn w:val="1180"/>
    <w:qFormat/>
    <w:uiPriority w:val="0"/>
    <w:rPr>
      <w:rFonts w:hAnsi="宋体"/>
      <w:color w:val="000000"/>
    </w:rPr>
  </w:style>
  <w:style w:type="character" w:customStyle="1" w:styleId="1829">
    <w:name w:val="正文修改 Char112"/>
    <w:qFormat/>
    <w:uiPriority w:val="0"/>
    <w:rPr>
      <w:rFonts w:ascii="宋体" w:hAnsi="宋体" w:eastAsia="宋体" w:cs="宋体"/>
      <w:color w:val="000000"/>
      <w:kern w:val="2"/>
      <w:sz w:val="24"/>
      <w:szCs w:val="24"/>
      <w:lang w:val="en-US" w:eastAsia="zh-CN" w:bidi="ar-SA"/>
    </w:rPr>
  </w:style>
  <w:style w:type="paragraph" w:customStyle="1" w:styleId="1830">
    <w:name w:val="表中文字13"/>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831">
    <w:name w:val="表文字513"/>
    <w:basedOn w:val="1"/>
    <w:qFormat/>
    <w:uiPriority w:val="0"/>
    <w:pPr>
      <w:adjustRightInd w:val="0"/>
      <w:jc w:val="left"/>
      <w:textAlignment w:val="baseline"/>
    </w:pPr>
    <w:rPr>
      <w:rFonts w:ascii="宋体" w:hAnsi="宋体" w:cs="宋体"/>
      <w:kern w:val="0"/>
    </w:rPr>
  </w:style>
  <w:style w:type="paragraph" w:customStyle="1" w:styleId="1832">
    <w:name w:val="表内文字小3112"/>
    <w:basedOn w:val="1"/>
    <w:qFormat/>
    <w:uiPriority w:val="0"/>
    <w:pPr>
      <w:adjustRightInd w:val="0"/>
      <w:snapToGrid w:val="0"/>
      <w:jc w:val="center"/>
    </w:pPr>
    <w:rPr>
      <w:rFonts w:ascii="宋体" w:hAnsi="Times" w:cs="宋体"/>
      <w:bCs/>
      <w:color w:val="003366"/>
    </w:rPr>
  </w:style>
  <w:style w:type="paragraph" w:customStyle="1" w:styleId="1833">
    <w:name w:val="样式112"/>
    <w:basedOn w:val="1227"/>
    <w:qFormat/>
    <w:uiPriority w:val="0"/>
    <w:pPr>
      <w:spacing w:line="240" w:lineRule="auto"/>
      <w:ind w:firstLine="0"/>
      <w:jc w:val="center"/>
    </w:pPr>
    <w:rPr>
      <w:rFonts w:cs="Times New Roman"/>
      <w:b/>
      <w:color w:val="auto"/>
      <w:szCs w:val="20"/>
    </w:rPr>
  </w:style>
  <w:style w:type="paragraph" w:customStyle="1" w:styleId="1834">
    <w:name w:val="Char241"/>
    <w:basedOn w:val="1"/>
    <w:qFormat/>
    <w:uiPriority w:val="0"/>
    <w:pPr>
      <w:ind w:left="-48"/>
    </w:pPr>
    <w:rPr>
      <w:rFonts w:ascii="宋体" w:hAnsi="宋体" w:cs="宋体"/>
    </w:rPr>
  </w:style>
  <w:style w:type="paragraph" w:customStyle="1" w:styleId="1835">
    <w:name w:val="表内文字小24"/>
    <w:basedOn w:val="1"/>
    <w:qFormat/>
    <w:uiPriority w:val="0"/>
    <w:pPr>
      <w:adjustRightInd w:val="0"/>
      <w:snapToGrid w:val="0"/>
      <w:jc w:val="center"/>
    </w:pPr>
    <w:rPr>
      <w:rFonts w:ascii="宋体" w:hAnsi="Times" w:cs="宋体"/>
      <w:bCs/>
      <w:color w:val="000000"/>
    </w:rPr>
  </w:style>
  <w:style w:type="paragraph" w:customStyle="1" w:styleId="1836">
    <w:name w:val="表内533"/>
    <w:basedOn w:val="1"/>
    <w:qFormat/>
    <w:uiPriority w:val="0"/>
    <w:pPr>
      <w:adjustRightInd w:val="0"/>
      <w:snapToGrid w:val="0"/>
      <w:spacing w:line="300" w:lineRule="auto"/>
      <w:jc w:val="left"/>
    </w:pPr>
    <w:rPr>
      <w:rFonts w:ascii="宋体" w:hAnsi="宋体" w:cs="宋体"/>
    </w:rPr>
  </w:style>
  <w:style w:type="paragraph" w:customStyle="1" w:styleId="1837">
    <w:name w:val="正文格式32"/>
    <w:basedOn w:val="1"/>
    <w:qFormat/>
    <w:uiPriority w:val="0"/>
    <w:pPr>
      <w:spacing w:line="360" w:lineRule="auto"/>
      <w:ind w:firstLine="482"/>
    </w:pPr>
    <w:rPr>
      <w:rFonts w:ascii="宋体" w:hAnsi="宋体" w:cs="宋体"/>
      <w:sz w:val="24"/>
    </w:rPr>
  </w:style>
  <w:style w:type="paragraph" w:customStyle="1" w:styleId="1838">
    <w:name w:val="Char25"/>
    <w:basedOn w:val="1"/>
    <w:qFormat/>
    <w:uiPriority w:val="0"/>
    <w:pPr>
      <w:adjustRightInd w:val="0"/>
      <w:snapToGrid w:val="0"/>
      <w:spacing w:beforeLines="50" w:line="360" w:lineRule="auto"/>
    </w:pPr>
    <w:rPr>
      <w:rFonts w:ascii="黑体" w:hAnsi="宋体" w:eastAsia="黑体" w:cs="宋体"/>
      <w:sz w:val="32"/>
      <w:szCs w:val="32"/>
    </w:rPr>
  </w:style>
  <w:style w:type="character" w:customStyle="1" w:styleId="1839">
    <w:name w:val="题注 Char22"/>
    <w:qFormat/>
    <w:uiPriority w:val="0"/>
    <w:rPr>
      <w:rFonts w:ascii="黑体" w:hAnsi="Arial" w:eastAsia="黑体" w:cs="Arial"/>
      <w:spacing w:val="10"/>
      <w:kern w:val="2"/>
      <w:sz w:val="24"/>
      <w:szCs w:val="24"/>
      <w:lang w:val="en-US" w:eastAsia="zh-CN" w:bidi="ar-SA"/>
    </w:rPr>
  </w:style>
  <w:style w:type="paragraph" w:customStyle="1" w:styleId="1840">
    <w:name w:val="图题32"/>
    <w:basedOn w:val="315"/>
    <w:next w:val="315"/>
    <w:qFormat/>
    <w:uiPriority w:val="0"/>
    <w:pPr>
      <w:ind w:firstLine="0"/>
      <w:jc w:val="center"/>
    </w:pPr>
    <w:rPr>
      <w:rFonts w:ascii="黑体" w:hAnsi="宋体" w:eastAsia="黑体"/>
      <w:bCs/>
      <w:spacing w:val="0"/>
    </w:rPr>
  </w:style>
  <w:style w:type="paragraph" w:customStyle="1" w:styleId="1841">
    <w:name w:val="表格内字体32"/>
    <w:basedOn w:val="315"/>
    <w:next w:val="315"/>
    <w:qFormat/>
    <w:uiPriority w:val="0"/>
    <w:pPr>
      <w:spacing w:line="240" w:lineRule="auto"/>
      <w:ind w:firstLine="0"/>
      <w:jc w:val="center"/>
    </w:pPr>
    <w:rPr>
      <w:rFonts w:hAnsi="宋体"/>
      <w:b w:val="0"/>
      <w:spacing w:val="0"/>
      <w:sz w:val="21"/>
    </w:rPr>
  </w:style>
  <w:style w:type="paragraph" w:customStyle="1" w:styleId="1842">
    <w:name w:val="表内54122"/>
    <w:basedOn w:val="1"/>
    <w:qFormat/>
    <w:uiPriority w:val="0"/>
    <w:pPr>
      <w:adjustRightInd w:val="0"/>
      <w:snapToGrid w:val="0"/>
      <w:spacing w:line="300" w:lineRule="auto"/>
      <w:jc w:val="center"/>
    </w:pPr>
    <w:rPr>
      <w:rFonts w:ascii="宋体" w:hAnsi="宋体" w:cs="宋体"/>
    </w:rPr>
  </w:style>
  <w:style w:type="paragraph" w:customStyle="1" w:styleId="1843">
    <w:name w:val="表内文字小2122"/>
    <w:basedOn w:val="1"/>
    <w:qFormat/>
    <w:uiPriority w:val="0"/>
    <w:pPr>
      <w:adjustRightInd w:val="0"/>
      <w:snapToGrid w:val="0"/>
      <w:jc w:val="center"/>
    </w:pPr>
    <w:rPr>
      <w:rFonts w:ascii="宋体" w:hAnsi="Times" w:cs="宋体"/>
      <w:bCs/>
      <w:color w:val="000000"/>
    </w:rPr>
  </w:style>
  <w:style w:type="paragraph" w:customStyle="1" w:styleId="1844">
    <w:name w:val="表题3122"/>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845">
    <w:name w:val="标题43122"/>
    <w:basedOn w:val="1"/>
    <w:qFormat/>
    <w:uiPriority w:val="0"/>
    <w:pPr>
      <w:adjustRightInd w:val="0"/>
      <w:snapToGrid w:val="0"/>
      <w:spacing w:line="480" w:lineRule="exact"/>
      <w:jc w:val="center"/>
    </w:pPr>
    <w:rPr>
      <w:rFonts w:ascii="宋体" w:hAnsi="宋体" w:cs="宋体"/>
      <w:sz w:val="24"/>
    </w:rPr>
  </w:style>
  <w:style w:type="paragraph" w:customStyle="1" w:styleId="1846">
    <w:name w:val="燕山正文1122"/>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847">
    <w:name w:val="默认段落字体 Para Char Char Char Char22"/>
    <w:basedOn w:val="1"/>
    <w:qFormat/>
    <w:uiPriority w:val="0"/>
    <w:rPr>
      <w:rFonts w:ascii="宋体" w:hAnsi="宋体" w:cs="宋体"/>
    </w:rPr>
  </w:style>
  <w:style w:type="paragraph" w:customStyle="1" w:styleId="1848">
    <w:name w:val="附件22"/>
    <w:basedOn w:val="4"/>
    <w:next w:val="315"/>
    <w:qFormat/>
    <w:uiPriority w:val="0"/>
    <w:pPr>
      <w:keepLines/>
      <w:widowControl w:val="0"/>
      <w:numPr>
        <w:numId w:val="0"/>
      </w:numPr>
      <w:tabs>
        <w:tab w:val="left" w:pos="1566"/>
      </w:tabs>
      <w:spacing w:after="210"/>
    </w:pPr>
    <w:rPr>
      <w:rFonts w:ascii="黑体" w:eastAsia="黑体"/>
      <w:bCs/>
      <w:kern w:val="44"/>
      <w:szCs w:val="32"/>
    </w:rPr>
  </w:style>
  <w:style w:type="paragraph" w:customStyle="1" w:styleId="1849">
    <w:name w:val="黑体三号22"/>
    <w:basedOn w:val="315"/>
    <w:qFormat/>
    <w:uiPriority w:val="0"/>
    <w:pPr>
      <w:jc w:val="center"/>
    </w:pPr>
    <w:rPr>
      <w:rFonts w:ascii="黑体" w:hAnsi="宋体" w:eastAsia="黑体"/>
      <w:bCs/>
      <w:spacing w:val="0"/>
      <w:sz w:val="32"/>
    </w:rPr>
  </w:style>
  <w:style w:type="paragraph" w:customStyle="1" w:styleId="1850">
    <w:name w:val="表22"/>
    <w:basedOn w:val="1"/>
    <w:qFormat/>
    <w:uiPriority w:val="0"/>
    <w:pPr>
      <w:adjustRightInd w:val="0"/>
      <w:snapToGrid w:val="0"/>
      <w:jc w:val="center"/>
    </w:pPr>
    <w:rPr>
      <w:rFonts w:ascii="宋体" w:hAnsi="宋体" w:eastAsia="仿宋_GB2312" w:cs="宋体"/>
      <w:sz w:val="24"/>
    </w:rPr>
  </w:style>
  <w:style w:type="paragraph" w:customStyle="1" w:styleId="1851">
    <w:name w:val="表题122"/>
    <w:basedOn w:val="23"/>
    <w:qFormat/>
    <w:uiPriority w:val="0"/>
    <w:pPr>
      <w:widowControl w:val="0"/>
      <w:spacing w:line="360" w:lineRule="auto"/>
      <w:jc w:val="center"/>
    </w:pPr>
    <w:rPr>
      <w:rFonts w:ascii="黑体" w:hAnsi="Arial" w:cs="Arial"/>
      <w:b/>
      <w:kern w:val="2"/>
    </w:rPr>
  </w:style>
  <w:style w:type="paragraph" w:customStyle="1" w:styleId="1852">
    <w:name w:val="燕山正文22"/>
    <w:basedOn w:val="1"/>
    <w:qFormat/>
    <w:uiPriority w:val="0"/>
    <w:pPr>
      <w:tabs>
        <w:tab w:val="left" w:pos="4680"/>
      </w:tabs>
      <w:adjustRightInd w:val="0"/>
      <w:snapToGrid w:val="0"/>
      <w:spacing w:line="480" w:lineRule="exact"/>
    </w:pPr>
    <w:rPr>
      <w:rFonts w:ascii="宋体" w:hAnsi="宋体" w:cs="宋体"/>
      <w:sz w:val="24"/>
    </w:rPr>
  </w:style>
  <w:style w:type="paragraph" w:customStyle="1" w:styleId="1853">
    <w:name w:val="正文修改22"/>
    <w:basedOn w:val="1180"/>
    <w:qFormat/>
    <w:uiPriority w:val="0"/>
    <w:rPr>
      <w:rFonts w:hAnsi="宋体"/>
      <w:color w:val="000000"/>
    </w:rPr>
  </w:style>
  <w:style w:type="character" w:customStyle="1" w:styleId="1854">
    <w:name w:val="正文修改 Char122"/>
    <w:qFormat/>
    <w:uiPriority w:val="0"/>
    <w:rPr>
      <w:rFonts w:ascii="宋体" w:hAnsi="宋体" w:eastAsia="宋体" w:cs="宋体"/>
      <w:color w:val="000000"/>
      <w:kern w:val="2"/>
      <w:sz w:val="24"/>
      <w:szCs w:val="24"/>
      <w:lang w:val="en-US" w:eastAsia="zh-CN" w:bidi="ar-SA"/>
    </w:rPr>
  </w:style>
  <w:style w:type="paragraph" w:customStyle="1" w:styleId="1855">
    <w:name w:val="表中文字22"/>
    <w:basedOn w:val="1"/>
    <w:qFormat/>
    <w:uiPriority w:val="0"/>
    <w:pPr>
      <w:widowControl/>
      <w:adjustRightInd w:val="0"/>
      <w:spacing w:line="240" w:lineRule="atLeast"/>
      <w:ind w:right="-42" w:rightChars="-20"/>
      <w:jc w:val="center"/>
      <w:textAlignment w:val="baseline"/>
    </w:pPr>
    <w:rPr>
      <w:rFonts w:ascii="宋体" w:hAnsi="宋体" w:cs="宋体"/>
      <w:kern w:val="0"/>
      <w:szCs w:val="21"/>
    </w:rPr>
  </w:style>
  <w:style w:type="paragraph" w:customStyle="1" w:styleId="1856">
    <w:name w:val="表文字522"/>
    <w:basedOn w:val="1"/>
    <w:qFormat/>
    <w:uiPriority w:val="0"/>
    <w:pPr>
      <w:adjustRightInd w:val="0"/>
      <w:jc w:val="left"/>
      <w:textAlignment w:val="baseline"/>
    </w:pPr>
    <w:rPr>
      <w:rFonts w:ascii="宋体" w:hAnsi="宋体" w:cs="宋体"/>
      <w:kern w:val="0"/>
    </w:rPr>
  </w:style>
  <w:style w:type="paragraph" w:customStyle="1" w:styleId="1857">
    <w:name w:val="表内文字小3122"/>
    <w:basedOn w:val="1"/>
    <w:qFormat/>
    <w:uiPriority w:val="0"/>
    <w:pPr>
      <w:adjustRightInd w:val="0"/>
      <w:snapToGrid w:val="0"/>
      <w:jc w:val="center"/>
    </w:pPr>
    <w:rPr>
      <w:rFonts w:ascii="宋体" w:hAnsi="Times" w:cs="宋体"/>
      <w:bCs/>
      <w:color w:val="003366"/>
    </w:rPr>
  </w:style>
  <w:style w:type="paragraph" w:customStyle="1" w:styleId="1858">
    <w:name w:val="样式122"/>
    <w:basedOn w:val="1227"/>
    <w:qFormat/>
    <w:uiPriority w:val="0"/>
    <w:pPr>
      <w:spacing w:line="240" w:lineRule="auto"/>
      <w:ind w:firstLine="0"/>
      <w:jc w:val="center"/>
    </w:pPr>
    <w:rPr>
      <w:rFonts w:cs="Times New Roman"/>
      <w:b/>
      <w:color w:val="auto"/>
      <w:szCs w:val="20"/>
    </w:rPr>
  </w:style>
  <w:style w:type="paragraph" w:customStyle="1" w:styleId="1859">
    <w:name w:val="Char34"/>
    <w:basedOn w:val="1"/>
    <w:qFormat/>
    <w:uiPriority w:val="0"/>
    <w:pPr>
      <w:ind w:left="-48"/>
    </w:pPr>
    <w:rPr>
      <w:rFonts w:ascii="宋体" w:hAnsi="宋体" w:cs="宋体"/>
    </w:rPr>
  </w:style>
  <w:style w:type="paragraph" w:customStyle="1" w:styleId="1860">
    <w:name w:val="表内文字小222"/>
    <w:basedOn w:val="1"/>
    <w:qFormat/>
    <w:uiPriority w:val="0"/>
    <w:pPr>
      <w:adjustRightInd w:val="0"/>
      <w:snapToGrid w:val="0"/>
      <w:jc w:val="center"/>
    </w:pPr>
    <w:rPr>
      <w:rFonts w:ascii="宋体" w:hAnsi="Times" w:cs="宋体"/>
      <w:bCs/>
      <w:color w:val="000000"/>
    </w:rPr>
  </w:style>
  <w:style w:type="paragraph" w:customStyle="1" w:styleId="1861">
    <w:name w:val="表内5312"/>
    <w:basedOn w:val="1"/>
    <w:qFormat/>
    <w:uiPriority w:val="0"/>
    <w:pPr>
      <w:adjustRightInd w:val="0"/>
      <w:snapToGrid w:val="0"/>
      <w:spacing w:line="300" w:lineRule="auto"/>
      <w:jc w:val="left"/>
    </w:pPr>
    <w:rPr>
      <w:rFonts w:ascii="宋体" w:hAnsi="宋体" w:cs="宋体"/>
    </w:rPr>
  </w:style>
  <w:style w:type="paragraph" w:customStyle="1" w:styleId="1862">
    <w:name w:val="正文格式212"/>
    <w:basedOn w:val="1"/>
    <w:qFormat/>
    <w:uiPriority w:val="0"/>
    <w:pPr>
      <w:spacing w:line="360" w:lineRule="auto"/>
      <w:ind w:firstLine="482"/>
    </w:pPr>
    <w:rPr>
      <w:rFonts w:ascii="宋体" w:hAnsi="宋体" w:cs="宋体"/>
      <w:sz w:val="24"/>
    </w:rPr>
  </w:style>
  <w:style w:type="paragraph" w:customStyle="1" w:styleId="1863">
    <w:name w:val="图题212"/>
    <w:basedOn w:val="315"/>
    <w:next w:val="315"/>
    <w:qFormat/>
    <w:uiPriority w:val="0"/>
    <w:pPr>
      <w:ind w:firstLine="0"/>
      <w:jc w:val="center"/>
    </w:pPr>
    <w:rPr>
      <w:rFonts w:ascii="黑体" w:hAnsi="宋体" w:eastAsia="黑体"/>
      <w:bCs/>
      <w:spacing w:val="0"/>
    </w:rPr>
  </w:style>
  <w:style w:type="paragraph" w:customStyle="1" w:styleId="1864">
    <w:name w:val="表格内字体212"/>
    <w:basedOn w:val="315"/>
    <w:next w:val="315"/>
    <w:qFormat/>
    <w:uiPriority w:val="0"/>
    <w:pPr>
      <w:spacing w:line="240" w:lineRule="auto"/>
      <w:ind w:firstLine="0"/>
      <w:jc w:val="center"/>
    </w:pPr>
    <w:rPr>
      <w:rFonts w:hAnsi="宋体"/>
      <w:b w:val="0"/>
      <w:spacing w:val="0"/>
      <w:sz w:val="21"/>
    </w:rPr>
  </w:style>
  <w:style w:type="paragraph" w:customStyle="1" w:styleId="1865">
    <w:name w:val="表题1112"/>
    <w:basedOn w:val="23"/>
    <w:qFormat/>
    <w:uiPriority w:val="0"/>
    <w:pPr>
      <w:widowControl w:val="0"/>
      <w:spacing w:line="360" w:lineRule="auto"/>
      <w:jc w:val="center"/>
    </w:pPr>
    <w:rPr>
      <w:rFonts w:ascii="黑体" w:hAnsi="Arial" w:cs="Arial"/>
      <w:kern w:val="2"/>
    </w:rPr>
  </w:style>
  <w:style w:type="paragraph" w:customStyle="1" w:styleId="1866">
    <w:name w:val="表中文字112"/>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867">
    <w:name w:val="表文字5112"/>
    <w:basedOn w:val="1"/>
    <w:qFormat/>
    <w:uiPriority w:val="0"/>
    <w:pPr>
      <w:adjustRightInd w:val="0"/>
      <w:jc w:val="left"/>
      <w:textAlignment w:val="baseline"/>
    </w:pPr>
    <w:rPr>
      <w:rFonts w:ascii="宋体" w:hAnsi="宋体" w:cs="宋体"/>
      <w:kern w:val="0"/>
    </w:rPr>
  </w:style>
  <w:style w:type="paragraph" w:customStyle="1" w:styleId="1868">
    <w:name w:val="图题42"/>
    <w:basedOn w:val="315"/>
    <w:next w:val="315"/>
    <w:qFormat/>
    <w:uiPriority w:val="0"/>
    <w:pPr>
      <w:ind w:firstLine="0"/>
      <w:jc w:val="center"/>
    </w:pPr>
    <w:rPr>
      <w:rFonts w:ascii="黑体" w:hAnsi="宋体" w:eastAsia="黑体"/>
      <w:bCs/>
      <w:spacing w:val="0"/>
    </w:rPr>
  </w:style>
  <w:style w:type="paragraph" w:customStyle="1" w:styleId="1869">
    <w:name w:val="表格内字体42"/>
    <w:basedOn w:val="315"/>
    <w:next w:val="315"/>
    <w:qFormat/>
    <w:uiPriority w:val="0"/>
    <w:pPr>
      <w:spacing w:line="240" w:lineRule="auto"/>
      <w:ind w:firstLine="0"/>
      <w:jc w:val="center"/>
    </w:pPr>
    <w:rPr>
      <w:rFonts w:hAnsi="宋体"/>
      <w:b w:val="0"/>
      <w:spacing w:val="0"/>
      <w:sz w:val="21"/>
    </w:rPr>
  </w:style>
  <w:style w:type="paragraph" w:customStyle="1" w:styleId="1870">
    <w:name w:val="Char44"/>
    <w:basedOn w:val="1"/>
    <w:qFormat/>
    <w:uiPriority w:val="0"/>
    <w:pPr>
      <w:ind w:left="-48"/>
    </w:pPr>
    <w:rPr>
      <w:rFonts w:ascii="宋体" w:hAnsi="宋体" w:cs="宋体"/>
    </w:rPr>
  </w:style>
  <w:style w:type="paragraph" w:customStyle="1" w:styleId="1871">
    <w:name w:val="表题132"/>
    <w:basedOn w:val="23"/>
    <w:qFormat/>
    <w:uiPriority w:val="0"/>
    <w:pPr>
      <w:widowControl w:val="0"/>
      <w:spacing w:line="360" w:lineRule="auto"/>
      <w:jc w:val="center"/>
    </w:pPr>
    <w:rPr>
      <w:rFonts w:ascii="黑体" w:hAnsi="Arial" w:cs="Arial"/>
      <w:b/>
      <w:kern w:val="2"/>
    </w:rPr>
  </w:style>
  <w:style w:type="paragraph" w:customStyle="1" w:styleId="1872">
    <w:name w:val="默认段落字体 Para Char12"/>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1873">
    <w:name w:val="Char Char Char Char Char Char Char15"/>
    <w:basedOn w:val="1"/>
    <w:qFormat/>
    <w:uiPriority w:val="0"/>
    <w:rPr>
      <w:rFonts w:ascii="宋体" w:hAnsi="宋体" w:cs="宋体"/>
    </w:rPr>
  </w:style>
  <w:style w:type="paragraph" w:customStyle="1" w:styleId="1874">
    <w:name w:val="Char52"/>
    <w:basedOn w:val="1"/>
    <w:qFormat/>
    <w:uiPriority w:val="0"/>
    <w:pPr>
      <w:adjustRightInd w:val="0"/>
      <w:snapToGrid w:val="0"/>
      <w:ind w:left="-45"/>
    </w:pPr>
    <w:rPr>
      <w:rFonts w:ascii="宋体" w:hAnsi="宋体" w:cs="宋体"/>
    </w:rPr>
  </w:style>
  <w:style w:type="paragraph" w:customStyle="1" w:styleId="1875">
    <w:name w:val="燕山正文1132"/>
    <w:basedOn w:val="1"/>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1876">
    <w:name w:val="正文格式52"/>
    <w:basedOn w:val="1"/>
    <w:qFormat/>
    <w:uiPriority w:val="0"/>
    <w:pPr>
      <w:spacing w:line="360" w:lineRule="auto"/>
      <w:ind w:firstLine="482"/>
    </w:pPr>
    <w:rPr>
      <w:rFonts w:ascii="宋体" w:hAnsi="宋体" w:cs="宋体"/>
      <w:sz w:val="24"/>
    </w:rPr>
  </w:style>
  <w:style w:type="paragraph" w:customStyle="1" w:styleId="1877">
    <w:name w:val="Char35"/>
    <w:basedOn w:val="1"/>
    <w:qFormat/>
    <w:uiPriority w:val="0"/>
    <w:pPr>
      <w:ind w:left="-48"/>
    </w:pPr>
    <w:rPr>
      <w:rFonts w:ascii="宋体" w:hAnsi="宋体" w:cs="宋体"/>
    </w:rPr>
  </w:style>
  <w:style w:type="character" w:customStyle="1" w:styleId="1878">
    <w:name w:val="题注 Char32"/>
    <w:qFormat/>
    <w:uiPriority w:val="0"/>
    <w:rPr>
      <w:rFonts w:ascii="黑体" w:hAnsi="Arial" w:eastAsia="黑体" w:cs="Arial"/>
      <w:spacing w:val="10"/>
      <w:kern w:val="2"/>
      <w:sz w:val="24"/>
      <w:szCs w:val="24"/>
      <w:lang w:val="en-US" w:eastAsia="zh-CN" w:bidi="ar-SA"/>
    </w:rPr>
  </w:style>
  <w:style w:type="paragraph" w:customStyle="1" w:styleId="1879">
    <w:name w:val="图题52"/>
    <w:basedOn w:val="315"/>
    <w:next w:val="315"/>
    <w:qFormat/>
    <w:uiPriority w:val="0"/>
    <w:pPr>
      <w:ind w:firstLine="0"/>
      <w:jc w:val="center"/>
    </w:pPr>
    <w:rPr>
      <w:rFonts w:ascii="黑体" w:hAnsi="宋体" w:eastAsia="黑体"/>
      <w:bCs/>
      <w:spacing w:val="0"/>
    </w:rPr>
  </w:style>
  <w:style w:type="paragraph" w:customStyle="1" w:styleId="1880">
    <w:name w:val="表格内字体52"/>
    <w:basedOn w:val="315"/>
    <w:next w:val="315"/>
    <w:qFormat/>
    <w:uiPriority w:val="0"/>
    <w:pPr>
      <w:adjustRightInd w:val="0"/>
      <w:snapToGrid w:val="0"/>
      <w:spacing w:line="240" w:lineRule="auto"/>
      <w:ind w:firstLine="0"/>
    </w:pPr>
    <w:rPr>
      <w:rFonts w:hAnsi="宋体"/>
      <w:b w:val="0"/>
      <w:spacing w:val="0"/>
      <w:sz w:val="21"/>
    </w:rPr>
  </w:style>
  <w:style w:type="paragraph" w:customStyle="1" w:styleId="1881">
    <w:name w:val="表32"/>
    <w:basedOn w:val="1"/>
    <w:qFormat/>
    <w:uiPriority w:val="0"/>
    <w:pPr>
      <w:adjustRightInd w:val="0"/>
      <w:snapToGrid w:val="0"/>
      <w:jc w:val="center"/>
    </w:pPr>
    <w:rPr>
      <w:rFonts w:ascii="宋体" w:hAnsi="宋体" w:eastAsia="仿宋_GB2312" w:cs="宋体"/>
      <w:sz w:val="24"/>
    </w:rPr>
  </w:style>
  <w:style w:type="paragraph" w:customStyle="1" w:styleId="1882">
    <w:name w:val="正文.12"/>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883">
    <w:name w:val="文本框12"/>
    <w:basedOn w:val="1"/>
    <w:qFormat/>
    <w:uiPriority w:val="0"/>
    <w:pPr>
      <w:adjustRightInd w:val="0"/>
      <w:snapToGrid w:val="0"/>
      <w:spacing w:after="6"/>
      <w:jc w:val="center"/>
    </w:pPr>
    <w:rPr>
      <w:rFonts w:ascii="宋体" w:hAnsi="宋体" w:eastAsia="仿宋_GB2312" w:cs="宋体"/>
    </w:rPr>
  </w:style>
  <w:style w:type="paragraph" w:customStyle="1" w:styleId="1884">
    <w:name w:val="表内宋51112"/>
    <w:basedOn w:val="81"/>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1885">
    <w:name w:val="表内文字小3132"/>
    <w:basedOn w:val="1"/>
    <w:qFormat/>
    <w:uiPriority w:val="0"/>
    <w:pPr>
      <w:adjustRightInd w:val="0"/>
      <w:snapToGrid w:val="0"/>
      <w:jc w:val="center"/>
    </w:pPr>
    <w:rPr>
      <w:rFonts w:ascii="宋体" w:hAnsi="Times" w:cs="宋体"/>
      <w:bCs/>
      <w:color w:val="003366"/>
    </w:rPr>
  </w:style>
  <w:style w:type="paragraph" w:customStyle="1" w:styleId="1886">
    <w:name w:val="表文字532"/>
    <w:basedOn w:val="1"/>
    <w:qFormat/>
    <w:uiPriority w:val="0"/>
    <w:pPr>
      <w:adjustRightInd w:val="0"/>
      <w:jc w:val="left"/>
      <w:textAlignment w:val="baseline"/>
    </w:pPr>
    <w:rPr>
      <w:rFonts w:ascii="宋体" w:hAnsi="宋体" w:cs="宋体"/>
      <w:kern w:val="0"/>
    </w:rPr>
  </w:style>
  <w:style w:type="paragraph" w:customStyle="1" w:styleId="1887">
    <w:name w:val="Char Char Char Char Char Char Char23"/>
    <w:basedOn w:val="1"/>
    <w:qFormat/>
    <w:uiPriority w:val="0"/>
    <w:rPr>
      <w:rFonts w:ascii="宋体" w:hAnsi="宋体" w:cs="宋体"/>
    </w:rPr>
  </w:style>
  <w:style w:type="paragraph" w:customStyle="1" w:styleId="1888">
    <w:name w:val="表题3132"/>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889">
    <w:name w:val="表内文字小2132"/>
    <w:basedOn w:val="1"/>
    <w:qFormat/>
    <w:uiPriority w:val="0"/>
    <w:pPr>
      <w:adjustRightInd w:val="0"/>
      <w:snapToGrid w:val="0"/>
      <w:jc w:val="center"/>
      <w:textAlignment w:val="baseline"/>
    </w:pPr>
    <w:rPr>
      <w:rFonts w:ascii="宋体" w:hAnsi="Times" w:cs="宋体"/>
      <w:bCs/>
      <w:color w:val="000000"/>
    </w:rPr>
  </w:style>
  <w:style w:type="character" w:customStyle="1" w:styleId="1890">
    <w:name w:val="文档结构图 Char3"/>
    <w:qFormat/>
    <w:uiPriority w:val="0"/>
    <w:rPr>
      <w:rFonts w:eastAsia="宋体"/>
      <w:kern w:val="2"/>
      <w:sz w:val="21"/>
      <w:szCs w:val="24"/>
      <w:shd w:val="clear" w:color="auto" w:fill="000080"/>
      <w:lang w:val="en-US" w:eastAsia="zh-CN" w:bidi="ar-SA"/>
    </w:rPr>
  </w:style>
  <w:style w:type="paragraph" w:customStyle="1" w:styleId="1891">
    <w:name w:val="燕山正文32"/>
    <w:basedOn w:val="1"/>
    <w:qFormat/>
    <w:uiPriority w:val="0"/>
    <w:pPr>
      <w:tabs>
        <w:tab w:val="left" w:pos="4680"/>
      </w:tabs>
      <w:adjustRightInd w:val="0"/>
      <w:snapToGrid w:val="0"/>
      <w:spacing w:line="480" w:lineRule="exact"/>
    </w:pPr>
    <w:rPr>
      <w:rFonts w:ascii="宋体" w:hAnsi="宋体" w:cs="宋体"/>
      <w:sz w:val="24"/>
    </w:rPr>
  </w:style>
  <w:style w:type="paragraph" w:customStyle="1" w:styleId="1892">
    <w:name w:val="正文修改32"/>
    <w:basedOn w:val="1180"/>
    <w:qFormat/>
    <w:uiPriority w:val="0"/>
    <w:rPr>
      <w:rFonts w:hAnsi="宋体"/>
      <w:color w:val="000000"/>
    </w:rPr>
  </w:style>
  <w:style w:type="paragraph" w:customStyle="1" w:styleId="1893">
    <w:name w:val="表题143"/>
    <w:basedOn w:val="23"/>
    <w:qFormat/>
    <w:uiPriority w:val="0"/>
    <w:pPr>
      <w:widowControl w:val="0"/>
      <w:spacing w:line="360" w:lineRule="auto"/>
      <w:jc w:val="center"/>
    </w:pPr>
    <w:rPr>
      <w:rFonts w:ascii="黑体" w:hAnsi="Arial" w:cs="Arial"/>
      <w:b/>
      <w:kern w:val="2"/>
    </w:rPr>
  </w:style>
  <w:style w:type="character" w:customStyle="1" w:styleId="1894">
    <w:name w:val="表题1 Char42"/>
    <w:qFormat/>
    <w:uiPriority w:val="0"/>
    <w:rPr>
      <w:rFonts w:ascii="黑体" w:hAnsi="Arial" w:eastAsia="黑体" w:cs="Arial"/>
      <w:b/>
      <w:kern w:val="2"/>
      <w:sz w:val="24"/>
      <w:szCs w:val="24"/>
      <w:lang w:val="en-US" w:eastAsia="zh-CN" w:bidi="ar-SA"/>
    </w:rPr>
  </w:style>
  <w:style w:type="paragraph" w:customStyle="1" w:styleId="1895">
    <w:name w:val="表中文字32"/>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896">
    <w:name w:val="黑体三号32"/>
    <w:basedOn w:val="315"/>
    <w:qFormat/>
    <w:uiPriority w:val="0"/>
    <w:pPr>
      <w:jc w:val="center"/>
    </w:pPr>
    <w:rPr>
      <w:rFonts w:ascii="黑体" w:hAnsi="宋体" w:eastAsia="黑体"/>
      <w:bCs/>
      <w:spacing w:val="0"/>
      <w:sz w:val="32"/>
    </w:rPr>
  </w:style>
  <w:style w:type="paragraph" w:customStyle="1" w:styleId="1897">
    <w:name w:val="默认段落字体 Para Char Char Char Char32"/>
    <w:basedOn w:val="1"/>
    <w:qFormat/>
    <w:uiPriority w:val="0"/>
    <w:rPr>
      <w:rFonts w:ascii="宋体" w:hAnsi="宋体" w:cs="宋体"/>
    </w:rPr>
  </w:style>
  <w:style w:type="paragraph" w:customStyle="1" w:styleId="1898">
    <w:name w:val="表内54132"/>
    <w:basedOn w:val="1"/>
    <w:qFormat/>
    <w:uiPriority w:val="0"/>
    <w:pPr>
      <w:adjustRightInd w:val="0"/>
      <w:snapToGrid w:val="0"/>
      <w:spacing w:line="300" w:lineRule="auto"/>
      <w:jc w:val="center"/>
    </w:pPr>
    <w:rPr>
      <w:rFonts w:ascii="宋体" w:hAnsi="宋体" w:cs="宋体"/>
    </w:rPr>
  </w:style>
  <w:style w:type="paragraph" w:customStyle="1" w:styleId="1899">
    <w:name w:val="标题43"/>
    <w:basedOn w:val="1"/>
    <w:qFormat/>
    <w:uiPriority w:val="0"/>
    <w:pPr>
      <w:adjustRightInd w:val="0"/>
      <w:snapToGrid w:val="0"/>
      <w:spacing w:line="300" w:lineRule="auto"/>
      <w:jc w:val="left"/>
    </w:pPr>
    <w:rPr>
      <w:rFonts w:ascii="黑体" w:hAnsi="宋体" w:eastAsia="黑体" w:cs="宋体"/>
      <w:bCs/>
      <w:sz w:val="24"/>
    </w:rPr>
  </w:style>
  <w:style w:type="paragraph" w:customStyle="1" w:styleId="1900">
    <w:name w:val="Char62"/>
    <w:basedOn w:val="1"/>
    <w:qFormat/>
    <w:uiPriority w:val="0"/>
    <w:pPr>
      <w:adjustRightInd w:val="0"/>
      <w:snapToGrid w:val="0"/>
      <w:spacing w:beforeLines="50" w:line="360" w:lineRule="auto"/>
    </w:pPr>
    <w:rPr>
      <w:rFonts w:ascii="黑体" w:hAnsi="宋体" w:eastAsia="黑体" w:cs="宋体"/>
      <w:sz w:val="32"/>
      <w:szCs w:val="32"/>
    </w:rPr>
  </w:style>
  <w:style w:type="paragraph" w:customStyle="1" w:styleId="1901">
    <w:name w:val="表题2112"/>
    <w:basedOn w:val="1"/>
    <w:qFormat/>
    <w:uiPriority w:val="0"/>
    <w:pPr>
      <w:widowControl/>
      <w:adjustRightInd w:val="0"/>
      <w:snapToGrid w:val="0"/>
      <w:jc w:val="center"/>
    </w:pPr>
    <w:rPr>
      <w:rFonts w:ascii="黑体" w:hAnsi="宋体" w:eastAsia="黑体" w:cs="宋体"/>
      <w:kern w:val="0"/>
      <w:sz w:val="24"/>
    </w:rPr>
  </w:style>
  <w:style w:type="paragraph" w:customStyle="1" w:styleId="1902">
    <w:name w:val="表内宋5中112"/>
    <w:basedOn w:val="1"/>
    <w:qFormat/>
    <w:uiPriority w:val="0"/>
    <w:pPr>
      <w:adjustRightInd w:val="0"/>
      <w:snapToGrid w:val="0"/>
      <w:jc w:val="center"/>
      <w:textAlignment w:val="baseline"/>
    </w:pPr>
    <w:rPr>
      <w:rFonts w:ascii="宋体" w:hAnsi="宋体" w:cs="宋体"/>
      <w:kern w:val="0"/>
    </w:rPr>
  </w:style>
  <w:style w:type="paragraph" w:customStyle="1" w:styleId="1903">
    <w:name w:val="表内宋5中13"/>
    <w:basedOn w:val="1"/>
    <w:qFormat/>
    <w:uiPriority w:val="0"/>
    <w:pPr>
      <w:adjustRightInd w:val="0"/>
      <w:snapToGrid w:val="0"/>
      <w:jc w:val="center"/>
      <w:textAlignment w:val="baseline"/>
    </w:pPr>
    <w:rPr>
      <w:rFonts w:ascii="宋体" w:hAnsi="宋体" w:cs="宋体"/>
      <w:kern w:val="0"/>
    </w:rPr>
  </w:style>
  <w:style w:type="paragraph" w:customStyle="1" w:styleId="1904">
    <w:name w:val="表内文字小112"/>
    <w:basedOn w:val="1"/>
    <w:qFormat/>
    <w:uiPriority w:val="0"/>
    <w:pPr>
      <w:adjustRightInd w:val="0"/>
      <w:snapToGrid w:val="0"/>
    </w:pPr>
    <w:rPr>
      <w:rFonts w:ascii="宋体" w:hAnsi="Times" w:cs="宋体"/>
    </w:rPr>
  </w:style>
  <w:style w:type="paragraph" w:customStyle="1" w:styleId="1905">
    <w:name w:val="标题4112"/>
    <w:basedOn w:val="1"/>
    <w:qFormat/>
    <w:uiPriority w:val="0"/>
    <w:pPr>
      <w:adjustRightInd w:val="0"/>
      <w:snapToGrid w:val="0"/>
      <w:spacing w:line="300" w:lineRule="auto"/>
      <w:jc w:val="left"/>
    </w:pPr>
    <w:rPr>
      <w:rFonts w:ascii="黑体" w:hAnsi="宋体" w:eastAsia="黑体" w:cs="宋体"/>
      <w:bCs/>
      <w:sz w:val="24"/>
    </w:rPr>
  </w:style>
  <w:style w:type="paragraph" w:customStyle="1" w:styleId="1906">
    <w:name w:val="表题1412"/>
    <w:basedOn w:val="1"/>
    <w:qFormat/>
    <w:uiPriority w:val="0"/>
    <w:pPr>
      <w:widowControl/>
      <w:adjustRightInd w:val="0"/>
      <w:snapToGrid w:val="0"/>
      <w:jc w:val="center"/>
    </w:pPr>
    <w:rPr>
      <w:rFonts w:ascii="黑体" w:hAnsi="宋体" w:eastAsia="黑体" w:cs="宋体"/>
      <w:kern w:val="0"/>
      <w:sz w:val="24"/>
    </w:rPr>
  </w:style>
  <w:style w:type="paragraph" w:customStyle="1" w:styleId="1907">
    <w:name w:val="表内文字小82"/>
    <w:basedOn w:val="1"/>
    <w:qFormat/>
    <w:uiPriority w:val="0"/>
    <w:pPr>
      <w:adjustRightInd w:val="0"/>
      <w:snapToGrid w:val="0"/>
      <w:jc w:val="center"/>
    </w:pPr>
    <w:rPr>
      <w:rFonts w:ascii="宋体" w:hAnsi="Times" w:cs="宋体"/>
    </w:rPr>
  </w:style>
  <w:style w:type="paragraph" w:customStyle="1" w:styleId="1908">
    <w:name w:val="默认段落字体 Para Char22"/>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1909">
    <w:name w:val="表内5中3"/>
    <w:basedOn w:val="1"/>
    <w:qFormat/>
    <w:uiPriority w:val="0"/>
    <w:pPr>
      <w:adjustRightInd w:val="0"/>
      <w:snapToGrid w:val="0"/>
      <w:jc w:val="center"/>
    </w:pPr>
    <w:rPr>
      <w:rFonts w:ascii="宋体" w:hAnsi="宋体" w:cs="Arial"/>
      <w:snapToGrid w:val="0"/>
      <w:color w:val="000000"/>
      <w:szCs w:val="21"/>
    </w:rPr>
  </w:style>
  <w:style w:type="paragraph" w:customStyle="1" w:styleId="1910">
    <w:name w:val="Default2"/>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1911">
    <w:name w:val="标题 1 Char4"/>
    <w:qFormat/>
    <w:uiPriority w:val="0"/>
    <w:rPr>
      <w:rFonts w:ascii="黑体" w:hAnsi="宋体" w:eastAsia="黑体"/>
      <w:b/>
      <w:bCs/>
      <w:kern w:val="44"/>
      <w:sz w:val="32"/>
      <w:szCs w:val="32"/>
      <w:lang w:val="en-US" w:eastAsia="zh-CN" w:bidi="ar-SA"/>
    </w:rPr>
  </w:style>
  <w:style w:type="paragraph" w:customStyle="1" w:styleId="1912">
    <w:name w:val="正文格式62"/>
    <w:basedOn w:val="1"/>
    <w:qFormat/>
    <w:uiPriority w:val="0"/>
    <w:pPr>
      <w:spacing w:line="360" w:lineRule="auto"/>
      <w:ind w:firstLine="482"/>
    </w:pPr>
    <w:rPr>
      <w:rFonts w:ascii="宋体" w:hAnsi="宋体" w:cs="宋体"/>
      <w:sz w:val="24"/>
    </w:rPr>
  </w:style>
  <w:style w:type="paragraph" w:customStyle="1" w:styleId="1913">
    <w:name w:val="附件32"/>
    <w:basedOn w:val="4"/>
    <w:next w:val="315"/>
    <w:qFormat/>
    <w:uiPriority w:val="0"/>
    <w:pPr>
      <w:keepLines/>
      <w:widowControl w:val="0"/>
      <w:numPr>
        <w:numId w:val="0"/>
      </w:numPr>
      <w:tabs>
        <w:tab w:val="left" w:pos="1566"/>
      </w:tabs>
      <w:adjustRightInd w:val="0"/>
      <w:snapToGrid w:val="0"/>
      <w:spacing w:after="120"/>
    </w:pPr>
    <w:rPr>
      <w:rFonts w:ascii="黑体" w:eastAsia="黑体"/>
      <w:bCs/>
      <w:kern w:val="44"/>
      <w:szCs w:val="32"/>
    </w:rPr>
  </w:style>
  <w:style w:type="paragraph" w:customStyle="1" w:styleId="1914">
    <w:name w:val="图题62"/>
    <w:basedOn w:val="315"/>
    <w:next w:val="315"/>
    <w:qFormat/>
    <w:uiPriority w:val="0"/>
    <w:pPr>
      <w:ind w:firstLine="0"/>
      <w:jc w:val="center"/>
    </w:pPr>
    <w:rPr>
      <w:rFonts w:ascii="黑体" w:hAnsi="宋体" w:eastAsia="黑体"/>
      <w:bCs/>
      <w:spacing w:val="0"/>
      <w:kern w:val="0"/>
    </w:rPr>
  </w:style>
  <w:style w:type="character" w:customStyle="1" w:styleId="1915">
    <w:name w:val="图题 Char2"/>
    <w:qFormat/>
    <w:uiPriority w:val="0"/>
    <w:rPr>
      <w:rFonts w:ascii="黑体" w:hAnsi="宋体" w:eastAsia="黑体" w:cs="宋体"/>
      <w:b/>
      <w:bCs/>
      <w:kern w:val="2"/>
      <w:sz w:val="24"/>
      <w:szCs w:val="24"/>
      <w:lang w:val="en-US" w:eastAsia="zh-CN" w:bidi="ar-SA"/>
    </w:rPr>
  </w:style>
  <w:style w:type="paragraph" w:customStyle="1" w:styleId="1916">
    <w:name w:val="表格内字体62"/>
    <w:basedOn w:val="315"/>
    <w:next w:val="315"/>
    <w:qFormat/>
    <w:uiPriority w:val="0"/>
    <w:pPr>
      <w:spacing w:line="240" w:lineRule="auto"/>
      <w:ind w:firstLine="0"/>
      <w:jc w:val="center"/>
    </w:pPr>
    <w:rPr>
      <w:rFonts w:hAnsi="宋体"/>
      <w:b w:val="0"/>
      <w:spacing w:val="0"/>
      <w:sz w:val="21"/>
    </w:rPr>
  </w:style>
  <w:style w:type="character" w:customStyle="1" w:styleId="1917">
    <w:name w:val="页脚 Char3"/>
    <w:qFormat/>
    <w:uiPriority w:val="0"/>
    <w:rPr>
      <w:rFonts w:eastAsia="宋体"/>
      <w:kern w:val="2"/>
      <w:sz w:val="18"/>
      <w:szCs w:val="18"/>
      <w:lang w:val="en-US" w:eastAsia="zh-CN" w:bidi="ar-SA"/>
    </w:rPr>
  </w:style>
  <w:style w:type="paragraph" w:customStyle="1" w:styleId="1918">
    <w:name w:val="黑体三号42"/>
    <w:basedOn w:val="315"/>
    <w:qFormat/>
    <w:uiPriority w:val="0"/>
    <w:pPr>
      <w:jc w:val="center"/>
    </w:pPr>
    <w:rPr>
      <w:rFonts w:ascii="黑体" w:hAnsi="宋体" w:eastAsia="黑体"/>
      <w:bCs/>
      <w:spacing w:val="0"/>
      <w:sz w:val="32"/>
    </w:rPr>
  </w:style>
  <w:style w:type="paragraph" w:customStyle="1" w:styleId="1919">
    <w:name w:val="默认段落字体 Para Char Char Char Char42"/>
    <w:basedOn w:val="1"/>
    <w:qFormat/>
    <w:uiPriority w:val="0"/>
    <w:rPr>
      <w:rFonts w:ascii="宋体" w:hAnsi="宋体" w:cs="宋体"/>
    </w:rPr>
  </w:style>
  <w:style w:type="paragraph" w:customStyle="1" w:styleId="1920">
    <w:name w:val="图表题2"/>
    <w:basedOn w:val="315"/>
    <w:next w:val="315"/>
    <w:qFormat/>
    <w:uiPriority w:val="0"/>
    <w:pPr>
      <w:ind w:firstLine="0"/>
      <w:jc w:val="center"/>
    </w:pPr>
    <w:rPr>
      <w:rFonts w:ascii="黑体" w:hAnsi="宋体" w:eastAsia="黑体"/>
      <w:bCs/>
      <w:spacing w:val="0"/>
    </w:rPr>
  </w:style>
  <w:style w:type="character" w:customStyle="1" w:styleId="1921">
    <w:name w:val="图表题 Char2"/>
    <w:qFormat/>
    <w:uiPriority w:val="0"/>
    <w:rPr>
      <w:rFonts w:ascii="黑体" w:hAnsi="宋体" w:eastAsia="黑体" w:cs="宋体"/>
      <w:bCs/>
      <w:spacing w:val="10"/>
      <w:kern w:val="2"/>
      <w:sz w:val="24"/>
      <w:szCs w:val="24"/>
      <w:lang w:val="en-US" w:eastAsia="zh-CN" w:bidi="ar-SA"/>
    </w:rPr>
  </w:style>
  <w:style w:type="paragraph" w:customStyle="1" w:styleId="1922">
    <w:name w:val="样式 表格内字体 +2"/>
    <w:basedOn w:val="1177"/>
    <w:qFormat/>
    <w:uiPriority w:val="0"/>
    <w:pPr>
      <w:spacing w:line="280" w:lineRule="exact"/>
      <w:ind w:firstLine="36"/>
      <w:jc w:val="both"/>
    </w:pPr>
    <w:rPr>
      <w:kern w:val="0"/>
    </w:rPr>
  </w:style>
  <w:style w:type="character" w:customStyle="1" w:styleId="1923">
    <w:name w:val="样式 表格内字体 + Char2"/>
    <w:basedOn w:val="1178"/>
    <w:qFormat/>
    <w:uiPriority w:val="0"/>
  </w:style>
  <w:style w:type="paragraph" w:customStyle="1" w:styleId="1924">
    <w:name w:val="A正文2"/>
    <w:basedOn w:val="1"/>
    <w:qFormat/>
    <w:uiPriority w:val="0"/>
    <w:pPr>
      <w:widowControl/>
      <w:overflowPunct w:val="0"/>
      <w:autoSpaceDE w:val="0"/>
      <w:autoSpaceDN w:val="0"/>
      <w:adjustRightInd w:val="0"/>
      <w:spacing w:line="360" w:lineRule="auto"/>
      <w:ind w:firstLine="200" w:firstLineChars="200"/>
      <w:jc w:val="left"/>
      <w:textAlignment w:val="baseline"/>
    </w:pPr>
    <w:rPr>
      <w:rFonts w:ascii="宋体" w:hAnsi="宋体" w:eastAsia="仿宋_GB2312" w:cs="宋体"/>
      <w:kern w:val="0"/>
      <w:sz w:val="24"/>
    </w:rPr>
  </w:style>
  <w:style w:type="character" w:customStyle="1" w:styleId="1925">
    <w:name w:val="A正文 Char2"/>
    <w:qFormat/>
    <w:uiPriority w:val="0"/>
    <w:rPr>
      <w:rFonts w:eastAsia="仿宋_GB2312"/>
      <w:kern w:val="2"/>
      <w:sz w:val="24"/>
      <w:szCs w:val="24"/>
      <w:lang w:val="en-US" w:eastAsia="zh-CN" w:bidi="ar-SA"/>
    </w:rPr>
  </w:style>
  <w:style w:type="paragraph" w:customStyle="1" w:styleId="1926">
    <w:name w:val="图题注2"/>
    <w:basedOn w:val="23"/>
    <w:qFormat/>
    <w:uiPriority w:val="0"/>
    <w:pPr>
      <w:widowControl w:val="0"/>
      <w:jc w:val="center"/>
    </w:pPr>
    <w:rPr>
      <w:rFonts w:ascii="黑体" w:hAnsi="Arial"/>
      <w:b/>
      <w:bCs/>
      <w:kern w:val="2"/>
    </w:rPr>
  </w:style>
  <w:style w:type="character" w:customStyle="1" w:styleId="1927">
    <w:name w:val="图题注 Char2"/>
    <w:qFormat/>
    <w:uiPriority w:val="0"/>
    <w:rPr>
      <w:rFonts w:ascii="黑体" w:hAnsi="Arial" w:eastAsia="黑体" w:cs="宋体"/>
      <w:b/>
      <w:bCs/>
      <w:kern w:val="2"/>
      <w:sz w:val="24"/>
      <w:szCs w:val="24"/>
      <w:lang w:val="en-US" w:eastAsia="zh-CN" w:bidi="ar-SA"/>
    </w:rPr>
  </w:style>
  <w:style w:type="paragraph" w:customStyle="1" w:styleId="1928">
    <w:name w:val="Char72"/>
    <w:basedOn w:val="1"/>
    <w:qFormat/>
    <w:uiPriority w:val="0"/>
    <w:pPr>
      <w:ind w:left="-48"/>
    </w:pPr>
    <w:rPr>
      <w:rFonts w:ascii="宋体" w:hAnsi="宋体" w:cs="宋体"/>
    </w:rPr>
  </w:style>
  <w:style w:type="paragraph" w:customStyle="1" w:styleId="1929">
    <w:name w:val="表格内字体112"/>
    <w:basedOn w:val="315"/>
    <w:qFormat/>
    <w:uiPriority w:val="0"/>
    <w:pPr>
      <w:spacing w:line="240" w:lineRule="auto"/>
      <w:ind w:firstLine="0"/>
      <w:jc w:val="center"/>
    </w:pPr>
    <w:rPr>
      <w:rFonts w:hAnsi="Times New Roman"/>
      <w:b w:val="0"/>
      <w:spacing w:val="0"/>
      <w:sz w:val="21"/>
    </w:rPr>
  </w:style>
  <w:style w:type="paragraph" w:customStyle="1" w:styleId="1930">
    <w:name w:val="样式 正文缩进 + 宋体 黑色 首行缩进:  2 字符2"/>
    <w:basedOn w:val="6"/>
    <w:qFormat/>
    <w:uiPriority w:val="0"/>
    <w:pPr>
      <w:adjustRightInd/>
      <w:snapToGrid/>
      <w:spacing w:line="360" w:lineRule="auto"/>
      <w:ind w:firstLine="480"/>
      <w:jc w:val="left"/>
    </w:pPr>
    <w:rPr>
      <w:rFonts w:ascii="宋体" w:hAnsi="宋体" w:eastAsia="宋体" w:cs="宋体"/>
      <w:color w:val="FF00FF"/>
      <w:sz w:val="24"/>
      <w:szCs w:val="20"/>
    </w:rPr>
  </w:style>
  <w:style w:type="paragraph" w:customStyle="1" w:styleId="1931">
    <w:name w:val="环评正文2"/>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character" w:customStyle="1" w:styleId="1932">
    <w:name w:val="环评正文 Char2"/>
    <w:qFormat/>
    <w:uiPriority w:val="0"/>
    <w:rPr>
      <w:rFonts w:eastAsia="宋体"/>
      <w:bCs/>
      <w:kern w:val="2"/>
      <w:sz w:val="24"/>
      <w:szCs w:val="24"/>
      <w:lang w:val="en-US" w:eastAsia="zh-CN" w:bidi="ar-SA"/>
    </w:rPr>
  </w:style>
  <w:style w:type="paragraph" w:customStyle="1" w:styleId="1933">
    <w:name w:val="注释2"/>
    <w:basedOn w:val="315"/>
    <w:next w:val="35"/>
    <w:qFormat/>
    <w:uiPriority w:val="0"/>
    <w:pPr>
      <w:spacing w:before="120" w:after="120" w:line="240" w:lineRule="auto"/>
      <w:ind w:firstLine="200" w:firstLineChars="200"/>
    </w:pPr>
    <w:rPr>
      <w:rFonts w:hAnsi="Times New Roman"/>
      <w:b w:val="0"/>
      <w:spacing w:val="0"/>
      <w:sz w:val="21"/>
    </w:rPr>
  </w:style>
  <w:style w:type="paragraph" w:customStyle="1" w:styleId="1934">
    <w:name w:val="样式42"/>
    <w:basedOn w:val="35"/>
    <w:qFormat/>
    <w:uiPriority w:val="0"/>
    <w:pPr>
      <w:tabs>
        <w:tab w:val="left" w:pos="1820"/>
      </w:tabs>
      <w:snapToGrid w:val="0"/>
      <w:spacing w:after="0" w:line="240" w:lineRule="atLeast"/>
      <w:jc w:val="center"/>
    </w:pPr>
    <w:rPr>
      <w:rFonts w:ascii="Calibri" w:hAnsi="Calibri" w:eastAsia="幼圆" w:cs="宋体"/>
      <w:kern w:val="0"/>
    </w:rPr>
  </w:style>
  <w:style w:type="paragraph" w:customStyle="1" w:styleId="1935">
    <w:name w:val="标题413"/>
    <w:basedOn w:val="8"/>
    <w:next w:val="1"/>
    <w:qFormat/>
    <w:uiPriority w:val="0"/>
    <w:pPr>
      <w:widowControl w:val="0"/>
      <w:tabs>
        <w:tab w:val="clear" w:pos="1276"/>
      </w:tabs>
      <w:spacing w:before="160" w:after="170"/>
      <w:ind w:left="0" w:firstLine="0"/>
      <w:jc w:val="both"/>
    </w:pPr>
    <w:rPr>
      <w:rFonts w:ascii="黑体" w:eastAsia="黑体"/>
    </w:rPr>
  </w:style>
  <w:style w:type="paragraph" w:customStyle="1" w:styleId="1936">
    <w:name w:val="表中文字42"/>
    <w:basedOn w:val="1"/>
    <w:qFormat/>
    <w:uiPriority w:val="0"/>
    <w:pPr>
      <w:snapToGrid w:val="0"/>
      <w:spacing w:line="340" w:lineRule="exact"/>
      <w:ind w:firstLine="480" w:firstLineChars="200"/>
      <w:jc w:val="center"/>
    </w:pPr>
    <w:rPr>
      <w:rFonts w:ascii="Arial" w:hAnsi="Arial" w:cs="宋体"/>
      <w:kern w:val="0"/>
      <w:sz w:val="24"/>
      <w:lang w:eastAsia="zh-TW"/>
    </w:rPr>
  </w:style>
  <w:style w:type="character" w:customStyle="1" w:styleId="1937">
    <w:name w:val="表中文字 Char3"/>
    <w:qFormat/>
    <w:uiPriority w:val="0"/>
    <w:rPr>
      <w:rFonts w:ascii="Arial" w:hAnsi="Arial" w:eastAsia="宋体"/>
      <w:kern w:val="2"/>
      <w:sz w:val="24"/>
      <w:szCs w:val="24"/>
      <w:lang w:val="en-US" w:eastAsia="zh-TW" w:bidi="ar-SA"/>
    </w:rPr>
  </w:style>
  <w:style w:type="paragraph" w:customStyle="1" w:styleId="1938">
    <w:name w:val="样式 正文缩进 + 宋体 黑色2"/>
    <w:basedOn w:val="6"/>
    <w:qFormat/>
    <w:uiPriority w:val="0"/>
    <w:pPr>
      <w:adjustRightInd/>
      <w:snapToGrid/>
      <w:spacing w:line="360" w:lineRule="auto"/>
      <w:jc w:val="left"/>
    </w:pPr>
    <w:rPr>
      <w:rFonts w:ascii="宋体" w:hAnsi="宋体" w:eastAsia="宋体" w:cs="宋体"/>
      <w:sz w:val="24"/>
    </w:rPr>
  </w:style>
  <w:style w:type="character" w:customStyle="1" w:styleId="1939">
    <w:name w:val="样式 正文缩进 + 宋体 黑色 Char2"/>
    <w:qFormat/>
    <w:uiPriority w:val="0"/>
    <w:rPr>
      <w:rFonts w:ascii="宋体" w:hAnsi="宋体" w:eastAsia="宋体"/>
      <w:color w:val="000000"/>
      <w:kern w:val="2"/>
      <w:sz w:val="24"/>
      <w:szCs w:val="24"/>
      <w:lang w:val="en-US" w:eastAsia="zh-CN" w:bidi="ar-SA"/>
    </w:rPr>
  </w:style>
  <w:style w:type="paragraph" w:customStyle="1" w:styleId="1940">
    <w:name w:val="表内512"/>
    <w:basedOn w:val="1"/>
    <w:qFormat/>
    <w:uiPriority w:val="0"/>
    <w:pPr>
      <w:adjustRightInd w:val="0"/>
      <w:snapToGrid w:val="0"/>
      <w:jc w:val="center"/>
    </w:pPr>
    <w:rPr>
      <w:rFonts w:ascii="宋体" w:hAnsi="宋体" w:cs="宋体"/>
      <w:kern w:val="0"/>
      <w:sz w:val="24"/>
    </w:rPr>
  </w:style>
  <w:style w:type="character" w:customStyle="1" w:styleId="1941">
    <w:name w:val="表内5 Char3"/>
    <w:qFormat/>
    <w:uiPriority w:val="0"/>
    <w:rPr>
      <w:rFonts w:ascii="宋体" w:hAnsi="宋体" w:eastAsia="宋体" w:cs="Times New Roman"/>
      <w:kern w:val="2"/>
      <w:sz w:val="24"/>
      <w:szCs w:val="24"/>
      <w:lang w:val="en-US" w:eastAsia="zh-CN" w:bidi="ar-SA"/>
    </w:rPr>
  </w:style>
  <w:style w:type="paragraph" w:customStyle="1" w:styleId="1942">
    <w:name w:val="样式 样式 宋体 + 首行缩进:  2 字符12"/>
    <w:basedOn w:val="1"/>
    <w:qFormat/>
    <w:uiPriority w:val="0"/>
    <w:pPr>
      <w:spacing w:line="360" w:lineRule="auto"/>
      <w:ind w:firstLine="480" w:firstLineChars="200"/>
      <w:jc w:val="left"/>
    </w:pPr>
    <w:rPr>
      <w:rFonts w:ascii="宋体" w:hAnsi="宋体" w:cs="宋体"/>
      <w:sz w:val="24"/>
    </w:rPr>
  </w:style>
  <w:style w:type="paragraph" w:customStyle="1" w:styleId="1943">
    <w:name w:val="表内宋5中22"/>
    <w:basedOn w:val="1"/>
    <w:qFormat/>
    <w:uiPriority w:val="0"/>
    <w:pPr>
      <w:adjustRightInd w:val="0"/>
      <w:snapToGrid w:val="0"/>
      <w:jc w:val="center"/>
      <w:textAlignment w:val="baseline"/>
    </w:pPr>
    <w:rPr>
      <w:rFonts w:ascii="宋体" w:hAnsi="宋体" w:cs="宋体"/>
      <w:kern w:val="0"/>
    </w:rPr>
  </w:style>
  <w:style w:type="paragraph" w:customStyle="1" w:styleId="1944">
    <w:name w:val="xl632"/>
    <w:basedOn w:val="1"/>
    <w:qFormat/>
    <w:uiPriority w:val="0"/>
    <w:pPr>
      <w:widowControl/>
      <w:spacing w:before="100" w:beforeAutospacing="1" w:after="100" w:afterAutospacing="1"/>
      <w:jc w:val="center"/>
      <w:textAlignment w:val="center"/>
    </w:pPr>
    <w:rPr>
      <w:rFonts w:hint="eastAsia" w:ascii="黑体" w:hAnsi="宋体" w:eastAsia="黑体" w:cs="宋体"/>
      <w:kern w:val="0"/>
      <w:sz w:val="24"/>
    </w:rPr>
  </w:style>
  <w:style w:type="paragraph" w:customStyle="1" w:styleId="1945">
    <w:name w:val="标准2"/>
    <w:basedOn w:val="1"/>
    <w:qFormat/>
    <w:uiPriority w:val="0"/>
    <w:pPr>
      <w:adjustRightInd w:val="0"/>
      <w:spacing w:before="120" w:line="336" w:lineRule="auto"/>
      <w:jc w:val="center"/>
      <w:textAlignment w:val="baseline"/>
    </w:pPr>
    <w:rPr>
      <w:rFonts w:ascii="黑体" w:hAnsi="宋体" w:eastAsia="黑体" w:cs="宋体"/>
    </w:rPr>
  </w:style>
  <w:style w:type="paragraph" w:customStyle="1" w:styleId="1946">
    <w:name w:val="Fax Header2"/>
    <w:basedOn w:val="1"/>
    <w:qFormat/>
    <w:uiPriority w:val="0"/>
    <w:pPr>
      <w:widowControl/>
      <w:spacing w:before="240" w:after="60"/>
      <w:jc w:val="left"/>
    </w:pPr>
    <w:rPr>
      <w:rFonts w:ascii="宋体" w:hAnsi="宋体" w:cs="宋体"/>
      <w:kern w:val="0"/>
      <w:sz w:val="24"/>
    </w:rPr>
  </w:style>
  <w:style w:type="paragraph" w:customStyle="1" w:styleId="1947">
    <w:name w:val="样式 表格内字体1 +2"/>
    <w:basedOn w:val="1264"/>
    <w:next w:val="1177"/>
    <w:qFormat/>
    <w:uiPriority w:val="0"/>
    <w:rPr>
      <w:rFonts w:hAnsi="Times New Roman"/>
    </w:rPr>
  </w:style>
  <w:style w:type="paragraph" w:customStyle="1" w:styleId="1948">
    <w:name w:val="默认段落字体 Para Char32"/>
    <w:basedOn w:val="1"/>
    <w:qFormat/>
    <w:uiPriority w:val="0"/>
    <w:pPr>
      <w:spacing w:line="360" w:lineRule="auto"/>
      <w:ind w:firstLine="200" w:firstLineChars="200"/>
    </w:pPr>
    <w:rPr>
      <w:rFonts w:ascii="宋体" w:hAnsi="宋体" w:cs="宋体"/>
      <w:sz w:val="24"/>
    </w:rPr>
  </w:style>
  <w:style w:type="paragraph" w:customStyle="1" w:styleId="1949">
    <w:name w:val="正文斜体2"/>
    <w:basedOn w:val="315"/>
    <w:next w:val="315"/>
    <w:qFormat/>
    <w:uiPriority w:val="0"/>
    <w:rPr>
      <w:rFonts w:hAnsi="宋体"/>
      <w:b w:val="0"/>
      <w:i/>
      <w:iCs/>
      <w:spacing w:val="0"/>
    </w:rPr>
  </w:style>
  <w:style w:type="character" w:customStyle="1" w:styleId="1950">
    <w:name w:val="正文斜体 Char2"/>
    <w:qFormat/>
    <w:uiPriority w:val="0"/>
    <w:rPr>
      <w:rFonts w:ascii="宋体" w:hAnsi="宋体" w:eastAsia="宋体" w:cs="宋体"/>
      <w:b/>
      <w:i/>
      <w:iCs/>
      <w:spacing w:val="10"/>
      <w:kern w:val="2"/>
      <w:sz w:val="24"/>
      <w:szCs w:val="24"/>
      <w:lang w:val="en-US" w:eastAsia="zh-CN" w:bidi="ar-SA"/>
    </w:rPr>
  </w:style>
  <w:style w:type="paragraph" w:customStyle="1" w:styleId="1951">
    <w:name w:val="Char82"/>
    <w:basedOn w:val="1"/>
    <w:qFormat/>
    <w:uiPriority w:val="0"/>
    <w:pPr>
      <w:ind w:left="-48"/>
    </w:pPr>
    <w:rPr>
      <w:rFonts w:ascii="宋体" w:hAnsi="宋体" w:cs="宋体"/>
    </w:rPr>
  </w:style>
  <w:style w:type="paragraph" w:customStyle="1" w:styleId="1952">
    <w:name w:val="正文格式72"/>
    <w:basedOn w:val="1"/>
    <w:qFormat/>
    <w:uiPriority w:val="0"/>
    <w:pPr>
      <w:spacing w:line="360" w:lineRule="auto"/>
      <w:ind w:firstLine="482"/>
    </w:pPr>
    <w:rPr>
      <w:rFonts w:ascii="宋体" w:hAnsi="宋体" w:cs="宋体"/>
      <w:sz w:val="24"/>
    </w:rPr>
  </w:style>
  <w:style w:type="character" w:customStyle="1" w:styleId="1953">
    <w:name w:val="题注 Char52"/>
    <w:qFormat/>
    <w:uiPriority w:val="0"/>
    <w:rPr>
      <w:rFonts w:ascii="黑体" w:hAnsi="Arial" w:eastAsia="黑体" w:cs="Arial"/>
      <w:spacing w:val="10"/>
      <w:kern w:val="2"/>
      <w:sz w:val="24"/>
      <w:szCs w:val="24"/>
      <w:lang w:val="en-US" w:eastAsia="zh-CN" w:bidi="ar-SA"/>
    </w:rPr>
  </w:style>
  <w:style w:type="paragraph" w:customStyle="1" w:styleId="1954">
    <w:name w:val="图题72"/>
    <w:basedOn w:val="315"/>
    <w:next w:val="315"/>
    <w:qFormat/>
    <w:uiPriority w:val="0"/>
    <w:pPr>
      <w:ind w:firstLine="0"/>
      <w:jc w:val="center"/>
    </w:pPr>
    <w:rPr>
      <w:rFonts w:ascii="黑体" w:hAnsi="宋体" w:eastAsia="黑体"/>
      <w:bCs/>
      <w:spacing w:val="0"/>
    </w:rPr>
  </w:style>
  <w:style w:type="paragraph" w:customStyle="1" w:styleId="1955">
    <w:name w:val="表格内字体72"/>
    <w:basedOn w:val="315"/>
    <w:next w:val="315"/>
    <w:qFormat/>
    <w:uiPriority w:val="0"/>
    <w:pPr>
      <w:spacing w:line="240" w:lineRule="auto"/>
      <w:ind w:firstLine="0"/>
      <w:jc w:val="center"/>
    </w:pPr>
    <w:rPr>
      <w:rFonts w:hAnsi="宋体"/>
      <w:b w:val="0"/>
      <w:spacing w:val="0"/>
      <w:sz w:val="21"/>
    </w:rPr>
  </w:style>
  <w:style w:type="paragraph" w:customStyle="1" w:styleId="1956">
    <w:name w:val="Char92"/>
    <w:basedOn w:val="1"/>
    <w:qFormat/>
    <w:uiPriority w:val="0"/>
    <w:pPr>
      <w:ind w:left="-48"/>
    </w:pPr>
    <w:rPr>
      <w:rFonts w:ascii="宋体" w:hAnsi="宋体" w:cs="宋体"/>
    </w:rPr>
  </w:style>
  <w:style w:type="paragraph" w:customStyle="1" w:styleId="1957">
    <w:name w:val="表题152"/>
    <w:basedOn w:val="23"/>
    <w:qFormat/>
    <w:uiPriority w:val="0"/>
    <w:pPr>
      <w:widowControl w:val="0"/>
      <w:spacing w:line="360" w:lineRule="auto"/>
      <w:jc w:val="center"/>
    </w:pPr>
    <w:rPr>
      <w:rFonts w:ascii="黑体" w:hAnsi="Arial" w:cs="Arial"/>
      <w:b/>
      <w:kern w:val="2"/>
    </w:rPr>
  </w:style>
  <w:style w:type="character" w:customStyle="1" w:styleId="1958">
    <w:name w:val="表题1 Char62"/>
    <w:qFormat/>
    <w:uiPriority w:val="0"/>
    <w:rPr>
      <w:rFonts w:ascii="黑体" w:hAnsi="Arial" w:eastAsia="黑体" w:cs="Arial"/>
      <w:b/>
      <w:kern w:val="2"/>
      <w:sz w:val="24"/>
      <w:szCs w:val="24"/>
      <w:lang w:val="en-US" w:eastAsia="zh-CN" w:bidi="ar-SA"/>
    </w:rPr>
  </w:style>
  <w:style w:type="paragraph" w:customStyle="1" w:styleId="1959">
    <w:name w:val="燕山正文42"/>
    <w:basedOn w:val="1"/>
    <w:qFormat/>
    <w:uiPriority w:val="0"/>
    <w:pPr>
      <w:tabs>
        <w:tab w:val="left" w:pos="4680"/>
      </w:tabs>
      <w:adjustRightInd w:val="0"/>
      <w:snapToGrid w:val="0"/>
      <w:spacing w:line="480" w:lineRule="exact"/>
    </w:pPr>
    <w:rPr>
      <w:rFonts w:ascii="宋体" w:hAnsi="宋体" w:cs="宋体"/>
      <w:sz w:val="24"/>
    </w:rPr>
  </w:style>
  <w:style w:type="paragraph" w:customStyle="1" w:styleId="1960">
    <w:name w:val="正文修改42"/>
    <w:basedOn w:val="1180"/>
    <w:qFormat/>
    <w:uiPriority w:val="0"/>
    <w:rPr>
      <w:rFonts w:hAnsi="宋体"/>
      <w:color w:val="000000"/>
    </w:rPr>
  </w:style>
  <w:style w:type="character" w:customStyle="1" w:styleId="1961">
    <w:name w:val="正文修改 Char142"/>
    <w:basedOn w:val="1181"/>
    <w:qFormat/>
    <w:uiPriority w:val="0"/>
  </w:style>
  <w:style w:type="paragraph" w:customStyle="1" w:styleId="1962">
    <w:name w:val="表中文字52"/>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963">
    <w:name w:val="默认段落字体 Para Char Char Char Char52"/>
    <w:basedOn w:val="1"/>
    <w:qFormat/>
    <w:uiPriority w:val="0"/>
    <w:rPr>
      <w:rFonts w:ascii="宋体" w:hAnsi="宋体" w:cs="宋体"/>
    </w:rPr>
  </w:style>
  <w:style w:type="paragraph" w:customStyle="1" w:styleId="1964">
    <w:name w:val="Char102"/>
    <w:basedOn w:val="1"/>
    <w:qFormat/>
    <w:uiPriority w:val="0"/>
    <w:pPr>
      <w:adjustRightInd w:val="0"/>
      <w:snapToGrid w:val="0"/>
      <w:spacing w:line="360" w:lineRule="auto"/>
    </w:pPr>
    <w:rPr>
      <w:rFonts w:ascii="宋体" w:hAnsi="宋体" w:cs="宋体"/>
    </w:rPr>
  </w:style>
  <w:style w:type="paragraph" w:customStyle="1" w:styleId="1965">
    <w:name w:val="封面标准文稿编辑信息2"/>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966">
    <w:name w:val="样式 表内小5 + 黑体 加粗 倾斜 下划线2"/>
    <w:basedOn w:val="1"/>
    <w:qFormat/>
    <w:uiPriority w:val="0"/>
    <w:pPr>
      <w:adjustRightInd w:val="0"/>
      <w:snapToGrid w:val="0"/>
      <w:spacing w:line="300" w:lineRule="auto"/>
      <w:jc w:val="left"/>
    </w:pPr>
    <w:rPr>
      <w:rFonts w:ascii="黑体" w:hAnsi="黑体" w:eastAsia="黑体" w:cs="宋体"/>
      <w:b/>
      <w:bCs/>
      <w:i/>
      <w:iCs/>
      <w:sz w:val="18"/>
      <w:u w:val="single"/>
    </w:rPr>
  </w:style>
  <w:style w:type="character" w:customStyle="1" w:styleId="1967">
    <w:name w:val="样式 表内小5 + 黑体 加粗 倾斜 下划线 Char2"/>
    <w:qFormat/>
    <w:uiPriority w:val="0"/>
    <w:rPr>
      <w:rFonts w:ascii="黑体" w:hAnsi="黑体" w:eastAsia="黑体"/>
      <w:b/>
      <w:bCs/>
      <w:i/>
      <w:iCs/>
      <w:kern w:val="2"/>
      <w:sz w:val="18"/>
      <w:szCs w:val="24"/>
      <w:u w:val="single"/>
      <w:lang w:val="en-US" w:eastAsia="zh-CN" w:bidi="ar-SA"/>
    </w:rPr>
  </w:style>
  <w:style w:type="paragraph" w:customStyle="1" w:styleId="1968">
    <w:name w:val="表内5中12"/>
    <w:basedOn w:val="1"/>
    <w:qFormat/>
    <w:uiPriority w:val="0"/>
    <w:pPr>
      <w:adjustRightInd w:val="0"/>
      <w:snapToGrid w:val="0"/>
      <w:jc w:val="center"/>
    </w:pPr>
    <w:rPr>
      <w:rFonts w:ascii="宋体" w:hAnsi="宋体" w:cs="Arial"/>
      <w:snapToGrid w:val="0"/>
      <w:color w:val="000000"/>
      <w:szCs w:val="21"/>
    </w:rPr>
  </w:style>
  <w:style w:type="paragraph" w:customStyle="1" w:styleId="1969">
    <w:name w:val="表内54142"/>
    <w:basedOn w:val="1"/>
    <w:qFormat/>
    <w:uiPriority w:val="0"/>
    <w:pPr>
      <w:adjustRightInd w:val="0"/>
      <w:snapToGrid w:val="0"/>
      <w:spacing w:line="300" w:lineRule="auto"/>
      <w:jc w:val="center"/>
    </w:pPr>
    <w:rPr>
      <w:rFonts w:ascii="宋体" w:hAnsi="宋体" w:cs="宋体"/>
    </w:rPr>
  </w:style>
  <w:style w:type="paragraph" w:customStyle="1" w:styleId="1970">
    <w:name w:val="表格12"/>
    <w:basedOn w:val="1"/>
    <w:qFormat/>
    <w:uiPriority w:val="0"/>
    <w:pPr>
      <w:adjustRightInd w:val="0"/>
      <w:jc w:val="center"/>
      <w:textAlignment w:val="baseline"/>
    </w:pPr>
    <w:rPr>
      <w:rFonts w:ascii="宋体" w:hAnsi="宋体" w:cs="宋体"/>
      <w:kern w:val="0"/>
      <w:sz w:val="24"/>
    </w:rPr>
  </w:style>
  <w:style w:type="paragraph" w:customStyle="1" w:styleId="1971">
    <w:name w:val="c2"/>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1972">
    <w:name w:val="表题92"/>
    <w:basedOn w:val="46"/>
    <w:qFormat/>
    <w:uiPriority w:val="0"/>
    <w:pPr>
      <w:widowControl w:val="0"/>
      <w:adjustRightInd w:val="0"/>
      <w:snapToGrid w:val="0"/>
      <w:spacing w:line="300" w:lineRule="auto"/>
      <w:jc w:val="center"/>
    </w:pPr>
    <w:rPr>
      <w:rFonts w:ascii="黑体" w:eastAsia="黑体" w:cs="Times New Roman"/>
      <w:kern w:val="2"/>
      <w:szCs w:val="20"/>
    </w:rPr>
  </w:style>
  <w:style w:type="paragraph" w:customStyle="1" w:styleId="1973">
    <w:name w:val="福建正文缩进2"/>
    <w:basedOn w:val="6"/>
    <w:qFormat/>
    <w:uiPriority w:val="0"/>
    <w:pPr>
      <w:widowControl/>
      <w:tabs>
        <w:tab w:val="left" w:pos="5837"/>
      </w:tabs>
      <w:spacing w:line="480" w:lineRule="exact"/>
      <w:ind w:firstLine="0" w:firstLineChars="0"/>
    </w:pPr>
    <w:rPr>
      <w:rFonts w:ascii="宋体" w:hAnsi="宋体" w:eastAsia="宋体" w:cs="宋体"/>
      <w:kern w:val="0"/>
      <w:sz w:val="24"/>
    </w:rPr>
  </w:style>
  <w:style w:type="character" w:customStyle="1" w:styleId="1974">
    <w:name w:val="福建正文缩进 Char2"/>
    <w:qFormat/>
    <w:uiPriority w:val="0"/>
    <w:rPr>
      <w:rFonts w:ascii="宋体" w:hAnsi="宋体" w:eastAsia="宋体" w:cs="宋体"/>
      <w:color w:val="000000"/>
      <w:kern w:val="2"/>
      <w:sz w:val="24"/>
      <w:szCs w:val="24"/>
      <w:lang w:val="en-US" w:eastAsia="zh-CN" w:bidi="ar-SA"/>
    </w:rPr>
  </w:style>
  <w:style w:type="paragraph" w:customStyle="1" w:styleId="1975">
    <w:name w:val="表内文字小13"/>
    <w:basedOn w:val="1"/>
    <w:qFormat/>
    <w:uiPriority w:val="0"/>
    <w:pPr>
      <w:adjustRightInd w:val="0"/>
      <w:snapToGrid w:val="0"/>
      <w:jc w:val="center"/>
    </w:pPr>
    <w:rPr>
      <w:rFonts w:ascii="宋体" w:hAnsi="Times" w:cs="宋体"/>
    </w:rPr>
  </w:style>
  <w:style w:type="paragraph" w:customStyle="1" w:styleId="1976">
    <w:name w:val="表内592"/>
    <w:basedOn w:val="1"/>
    <w:qFormat/>
    <w:uiPriority w:val="0"/>
    <w:pPr>
      <w:adjustRightInd w:val="0"/>
      <w:snapToGrid w:val="0"/>
      <w:spacing w:line="300" w:lineRule="auto"/>
      <w:jc w:val="center"/>
    </w:pPr>
    <w:rPr>
      <w:rFonts w:ascii="宋体" w:hAnsi="宋体" w:cs="宋体"/>
      <w:snapToGrid w:val="0"/>
      <w:szCs w:val="21"/>
    </w:rPr>
  </w:style>
  <w:style w:type="character" w:customStyle="1" w:styleId="1977">
    <w:name w:val="正文首行缩进 2 Char2"/>
    <w:qFormat/>
    <w:uiPriority w:val="0"/>
    <w:rPr>
      <w:rFonts w:eastAsia="宋体"/>
      <w:kern w:val="2"/>
      <w:sz w:val="21"/>
      <w:szCs w:val="24"/>
      <w:lang w:val="en-US" w:eastAsia="zh-CN" w:bidi="ar-SA"/>
    </w:rPr>
  </w:style>
  <w:style w:type="paragraph" w:customStyle="1" w:styleId="1978">
    <w:name w:val="表内小5中2"/>
    <w:basedOn w:val="1"/>
    <w:qFormat/>
    <w:uiPriority w:val="0"/>
    <w:pPr>
      <w:adjustRightInd w:val="0"/>
      <w:snapToGrid w:val="0"/>
      <w:jc w:val="center"/>
    </w:pPr>
    <w:rPr>
      <w:rFonts w:ascii="宋体" w:hAnsi="宋体" w:cs="宋体"/>
      <w:sz w:val="18"/>
    </w:rPr>
  </w:style>
  <w:style w:type="paragraph" w:customStyle="1" w:styleId="1979">
    <w:name w:val="表内5中42"/>
    <w:basedOn w:val="1"/>
    <w:qFormat/>
    <w:uiPriority w:val="0"/>
    <w:pPr>
      <w:adjustRightInd w:val="0"/>
      <w:snapToGrid w:val="0"/>
      <w:jc w:val="center"/>
    </w:pPr>
    <w:rPr>
      <w:rFonts w:ascii="宋体" w:hAnsi="宋体" w:cs="宋体"/>
      <w:bCs/>
    </w:rPr>
  </w:style>
  <w:style w:type="paragraph" w:customStyle="1" w:styleId="1980">
    <w:name w:val="默认段落字体 Para Char42"/>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1981">
    <w:name w:val="燕山正文132"/>
    <w:basedOn w:val="1"/>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1982">
    <w:name w:val="样式 标题 4无效格式无效格式1河石管道4H4H41小小节河石管道41H42H411小小节1河石管道42...3"/>
    <w:basedOn w:val="8"/>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1983">
    <w:name w:val="样式 标题 4无效格式无效格式1河石管道4H4H41小小节河石管道41H42H411小小节1河石管道42...12"/>
    <w:basedOn w:val="8"/>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1984">
    <w:name w:val="正文格式83"/>
    <w:basedOn w:val="1"/>
    <w:qFormat/>
    <w:uiPriority w:val="0"/>
    <w:pPr>
      <w:spacing w:line="360" w:lineRule="auto"/>
      <w:ind w:firstLine="482"/>
    </w:pPr>
    <w:rPr>
      <w:rFonts w:ascii="宋体" w:hAnsi="宋体" w:cs="宋体"/>
      <w:sz w:val="24"/>
    </w:rPr>
  </w:style>
  <w:style w:type="paragraph" w:customStyle="1" w:styleId="1985">
    <w:name w:val="正文格式92"/>
    <w:basedOn w:val="1"/>
    <w:qFormat/>
    <w:uiPriority w:val="0"/>
    <w:pPr>
      <w:spacing w:line="360" w:lineRule="auto"/>
      <w:ind w:firstLine="482"/>
    </w:pPr>
    <w:rPr>
      <w:rFonts w:ascii="宋体" w:hAnsi="宋体" w:cs="宋体"/>
      <w:sz w:val="24"/>
    </w:rPr>
  </w:style>
  <w:style w:type="paragraph" w:customStyle="1" w:styleId="1986">
    <w:name w:val="Char45"/>
    <w:basedOn w:val="1"/>
    <w:qFormat/>
    <w:uiPriority w:val="0"/>
    <w:pPr>
      <w:ind w:left="-48"/>
    </w:pPr>
    <w:rPr>
      <w:rFonts w:ascii="宋体" w:hAnsi="宋体" w:cs="宋体"/>
    </w:rPr>
  </w:style>
  <w:style w:type="paragraph" w:customStyle="1" w:styleId="1987">
    <w:name w:val="Char Char Char Char Char Char Char8"/>
    <w:basedOn w:val="1"/>
    <w:qFormat/>
    <w:uiPriority w:val="0"/>
    <w:rPr>
      <w:rFonts w:ascii="宋体" w:hAnsi="宋体" w:cs="宋体"/>
    </w:rPr>
  </w:style>
  <w:style w:type="paragraph" w:customStyle="1" w:styleId="1988">
    <w:name w:val="Char26"/>
    <w:basedOn w:val="1"/>
    <w:qFormat/>
    <w:uiPriority w:val="0"/>
    <w:pPr>
      <w:ind w:left="-48"/>
    </w:pPr>
    <w:rPr>
      <w:rFonts w:ascii="宋体" w:hAnsi="宋体" w:cs="宋体"/>
    </w:rPr>
  </w:style>
  <w:style w:type="paragraph" w:customStyle="1" w:styleId="1989">
    <w:name w:val="Char Char Char Char1 Char Char Char4"/>
    <w:basedOn w:val="1"/>
    <w:qFormat/>
    <w:uiPriority w:val="0"/>
    <w:pPr>
      <w:widowControl/>
      <w:spacing w:after="160"/>
      <w:jc w:val="left"/>
    </w:pPr>
    <w:rPr>
      <w:rFonts w:ascii="Verdana" w:hAnsi="Verdana" w:cs="宋体"/>
      <w:kern w:val="0"/>
      <w:sz w:val="24"/>
      <w:lang w:eastAsia="en-US"/>
    </w:rPr>
  </w:style>
  <w:style w:type="character" w:customStyle="1" w:styleId="1990">
    <w:name w:val="Char Char114"/>
    <w:qFormat/>
    <w:uiPriority w:val="0"/>
    <w:rPr>
      <w:rFonts w:ascii="黑体" w:hAnsi="Arial" w:eastAsia="黑体"/>
      <w:bCs/>
      <w:kern w:val="2"/>
      <w:sz w:val="30"/>
      <w:szCs w:val="30"/>
      <w:lang w:val="en-US" w:eastAsia="zh-CN" w:bidi="ar-SA"/>
    </w:rPr>
  </w:style>
  <w:style w:type="paragraph" w:customStyle="1" w:styleId="1991">
    <w:name w:val="Char112"/>
    <w:basedOn w:val="1"/>
    <w:qFormat/>
    <w:uiPriority w:val="0"/>
    <w:pPr>
      <w:ind w:left="-48"/>
    </w:pPr>
    <w:rPr>
      <w:rFonts w:ascii="宋体" w:hAnsi="宋体" w:cs="宋体"/>
    </w:rPr>
  </w:style>
  <w:style w:type="paragraph" w:customStyle="1" w:styleId="1992">
    <w:name w:val="Char Char Char Char Char Char Char16"/>
    <w:basedOn w:val="1"/>
    <w:qFormat/>
    <w:uiPriority w:val="0"/>
    <w:rPr>
      <w:rFonts w:ascii="宋体" w:hAnsi="宋体" w:cs="宋体"/>
    </w:rPr>
  </w:style>
  <w:style w:type="character" w:customStyle="1" w:styleId="1993">
    <w:name w:val="Char Char64"/>
    <w:qFormat/>
    <w:uiPriority w:val="0"/>
    <w:rPr>
      <w:rFonts w:ascii="黑体" w:eastAsia="黑体"/>
      <w:b/>
      <w:bCs/>
      <w:kern w:val="2"/>
      <w:sz w:val="28"/>
      <w:szCs w:val="28"/>
      <w:lang w:val="en-US" w:eastAsia="zh-CN" w:bidi="ar-SA"/>
    </w:rPr>
  </w:style>
  <w:style w:type="paragraph" w:customStyle="1" w:styleId="1994">
    <w:name w:val="Char27"/>
    <w:basedOn w:val="1"/>
    <w:qFormat/>
    <w:uiPriority w:val="0"/>
    <w:pPr>
      <w:ind w:left="-48"/>
    </w:pPr>
    <w:rPr>
      <w:rFonts w:ascii="宋体" w:hAnsi="宋体" w:cs="宋体"/>
    </w:rPr>
  </w:style>
  <w:style w:type="paragraph" w:customStyle="1" w:styleId="1995">
    <w:name w:val="Char36"/>
    <w:basedOn w:val="1"/>
    <w:qFormat/>
    <w:uiPriority w:val="0"/>
    <w:pPr>
      <w:ind w:left="-48"/>
    </w:pPr>
    <w:rPr>
      <w:rFonts w:ascii="宋体" w:hAnsi="宋体" w:cs="宋体"/>
    </w:rPr>
  </w:style>
  <w:style w:type="paragraph" w:customStyle="1" w:styleId="1996">
    <w:name w:val="Char Char Char Char Char Char Char24"/>
    <w:basedOn w:val="1"/>
    <w:qFormat/>
    <w:uiPriority w:val="0"/>
    <w:rPr>
      <w:rFonts w:ascii="宋体" w:hAnsi="宋体" w:cs="宋体"/>
    </w:rPr>
  </w:style>
  <w:style w:type="paragraph" w:customStyle="1" w:styleId="1997">
    <w:name w:val="Char46"/>
    <w:basedOn w:val="1"/>
    <w:qFormat/>
    <w:uiPriority w:val="0"/>
    <w:pPr>
      <w:ind w:left="-48"/>
    </w:pPr>
    <w:rPr>
      <w:rFonts w:ascii="宋体" w:hAnsi="宋体" w:cs="宋体"/>
    </w:rPr>
  </w:style>
  <w:style w:type="paragraph" w:customStyle="1" w:styleId="1998">
    <w:name w:val="Char Char Char Char Char Char Char9"/>
    <w:basedOn w:val="1"/>
    <w:qFormat/>
    <w:uiPriority w:val="0"/>
    <w:rPr>
      <w:rFonts w:ascii="宋体" w:hAnsi="宋体" w:cs="宋体"/>
    </w:rPr>
  </w:style>
  <w:style w:type="paragraph" w:customStyle="1" w:styleId="1999">
    <w:name w:val="Char28"/>
    <w:basedOn w:val="1"/>
    <w:qFormat/>
    <w:uiPriority w:val="0"/>
    <w:pPr>
      <w:ind w:left="-48"/>
    </w:pPr>
    <w:rPr>
      <w:rFonts w:ascii="宋体" w:hAnsi="宋体" w:cs="宋体"/>
    </w:rPr>
  </w:style>
  <w:style w:type="paragraph" w:customStyle="1" w:styleId="2000">
    <w:name w:val="Char Char Char Char1 Char Char Char5"/>
    <w:basedOn w:val="1"/>
    <w:qFormat/>
    <w:uiPriority w:val="0"/>
    <w:pPr>
      <w:widowControl/>
      <w:spacing w:after="160"/>
      <w:jc w:val="left"/>
    </w:pPr>
    <w:rPr>
      <w:rFonts w:ascii="Verdana" w:hAnsi="Verdana" w:cs="宋体"/>
      <w:kern w:val="0"/>
      <w:sz w:val="24"/>
      <w:lang w:eastAsia="en-US"/>
    </w:rPr>
  </w:style>
  <w:style w:type="character" w:customStyle="1" w:styleId="2001">
    <w:name w:val="Char Char115"/>
    <w:qFormat/>
    <w:uiPriority w:val="0"/>
    <w:rPr>
      <w:rFonts w:ascii="黑体" w:hAnsi="Arial" w:eastAsia="黑体"/>
      <w:bCs/>
      <w:kern w:val="2"/>
      <w:sz w:val="30"/>
      <w:szCs w:val="30"/>
      <w:lang w:val="en-US" w:eastAsia="zh-CN" w:bidi="ar-SA"/>
    </w:rPr>
  </w:style>
  <w:style w:type="paragraph" w:customStyle="1" w:styleId="2002">
    <w:name w:val="Char113"/>
    <w:basedOn w:val="1"/>
    <w:qFormat/>
    <w:uiPriority w:val="0"/>
    <w:pPr>
      <w:ind w:left="-48"/>
    </w:pPr>
    <w:rPr>
      <w:rFonts w:ascii="宋体" w:hAnsi="宋体" w:cs="宋体"/>
    </w:rPr>
  </w:style>
  <w:style w:type="paragraph" w:customStyle="1" w:styleId="2003">
    <w:name w:val="Char Char Char Char Char Char Char17"/>
    <w:basedOn w:val="1"/>
    <w:qFormat/>
    <w:uiPriority w:val="0"/>
    <w:rPr>
      <w:rFonts w:ascii="宋体" w:hAnsi="宋体" w:cs="宋体"/>
    </w:rPr>
  </w:style>
  <w:style w:type="character" w:customStyle="1" w:styleId="2004">
    <w:name w:val="Char Char65"/>
    <w:qFormat/>
    <w:uiPriority w:val="0"/>
    <w:rPr>
      <w:rFonts w:ascii="黑体" w:eastAsia="黑体"/>
      <w:b/>
      <w:bCs/>
      <w:kern w:val="2"/>
      <w:sz w:val="28"/>
      <w:szCs w:val="28"/>
      <w:lang w:val="en-US" w:eastAsia="zh-CN" w:bidi="ar-SA"/>
    </w:rPr>
  </w:style>
  <w:style w:type="paragraph" w:customStyle="1" w:styleId="2005">
    <w:name w:val="Char29"/>
    <w:basedOn w:val="1"/>
    <w:qFormat/>
    <w:uiPriority w:val="0"/>
    <w:pPr>
      <w:ind w:left="-48"/>
    </w:pPr>
    <w:rPr>
      <w:rFonts w:ascii="宋体" w:hAnsi="宋体" w:cs="宋体"/>
    </w:rPr>
  </w:style>
  <w:style w:type="paragraph" w:customStyle="1" w:styleId="2006">
    <w:name w:val="Char37"/>
    <w:basedOn w:val="1"/>
    <w:qFormat/>
    <w:uiPriority w:val="0"/>
    <w:pPr>
      <w:ind w:left="-48"/>
    </w:pPr>
    <w:rPr>
      <w:rFonts w:ascii="宋体" w:hAnsi="宋体" w:cs="宋体"/>
    </w:rPr>
  </w:style>
  <w:style w:type="paragraph" w:customStyle="1" w:styleId="2007">
    <w:name w:val="Char Char Char Char Char Char Char25"/>
    <w:basedOn w:val="1"/>
    <w:qFormat/>
    <w:uiPriority w:val="0"/>
    <w:rPr>
      <w:rFonts w:ascii="宋体" w:hAnsi="宋体" w:cs="宋体"/>
    </w:rPr>
  </w:style>
  <w:style w:type="paragraph" w:customStyle="1" w:styleId="2008">
    <w:name w:val="Char47"/>
    <w:basedOn w:val="1"/>
    <w:qFormat/>
    <w:uiPriority w:val="0"/>
    <w:pPr>
      <w:ind w:left="-48"/>
    </w:pPr>
    <w:rPr>
      <w:rFonts w:ascii="宋体" w:hAnsi="宋体" w:cs="宋体"/>
    </w:rPr>
  </w:style>
  <w:style w:type="paragraph" w:customStyle="1" w:styleId="2009">
    <w:name w:val="表格内容2"/>
    <w:qFormat/>
    <w:uiPriority w:val="0"/>
    <w:pPr>
      <w:jc w:val="center"/>
    </w:pPr>
    <w:rPr>
      <w:rFonts w:ascii="Times New Roman" w:hAnsi="Times New Roman" w:eastAsia="宋体" w:cs="Times New Roman"/>
      <w:kern w:val="2"/>
      <w:sz w:val="21"/>
      <w:szCs w:val="21"/>
      <w:lang w:val="en-US" w:eastAsia="zh-CN" w:bidi="ar-SA"/>
    </w:rPr>
  </w:style>
  <w:style w:type="character" w:customStyle="1" w:styleId="2010">
    <w:name w:val="表格内容 Char2"/>
    <w:qFormat/>
    <w:uiPriority w:val="0"/>
    <w:rPr>
      <w:rFonts w:eastAsia="宋体"/>
      <w:kern w:val="2"/>
      <w:sz w:val="21"/>
      <w:szCs w:val="21"/>
      <w:lang w:val="en-US" w:eastAsia="zh-CN" w:bidi="ar-SA"/>
    </w:rPr>
  </w:style>
  <w:style w:type="paragraph" w:customStyle="1" w:styleId="2011">
    <w:name w:val="正文格式101"/>
    <w:basedOn w:val="1"/>
    <w:qFormat/>
    <w:uiPriority w:val="0"/>
    <w:pPr>
      <w:spacing w:line="360" w:lineRule="auto"/>
      <w:ind w:firstLine="482"/>
    </w:pPr>
    <w:rPr>
      <w:rFonts w:ascii="宋体" w:hAnsi="宋体" w:cs="宋体"/>
      <w:sz w:val="24"/>
    </w:rPr>
  </w:style>
  <w:style w:type="character" w:customStyle="1" w:styleId="2012">
    <w:name w:val="题注 Char61"/>
    <w:qFormat/>
    <w:uiPriority w:val="0"/>
    <w:rPr>
      <w:rFonts w:ascii="黑体" w:hAnsi="Arial" w:eastAsia="黑体" w:cs="Arial"/>
      <w:spacing w:val="10"/>
      <w:kern w:val="2"/>
      <w:sz w:val="24"/>
      <w:szCs w:val="24"/>
      <w:lang w:val="en-US" w:eastAsia="zh-CN" w:bidi="ar-SA"/>
    </w:rPr>
  </w:style>
  <w:style w:type="paragraph" w:customStyle="1" w:styleId="2013">
    <w:name w:val="图题81"/>
    <w:basedOn w:val="315"/>
    <w:next w:val="315"/>
    <w:qFormat/>
    <w:uiPriority w:val="0"/>
    <w:pPr>
      <w:ind w:firstLine="0"/>
      <w:jc w:val="center"/>
    </w:pPr>
    <w:rPr>
      <w:rFonts w:ascii="黑体" w:hAnsi="宋体" w:eastAsia="黑体"/>
      <w:bCs/>
      <w:spacing w:val="0"/>
    </w:rPr>
  </w:style>
  <w:style w:type="paragraph" w:customStyle="1" w:styleId="2014">
    <w:name w:val="表格内字体81"/>
    <w:basedOn w:val="315"/>
    <w:next w:val="315"/>
    <w:qFormat/>
    <w:uiPriority w:val="0"/>
    <w:pPr>
      <w:spacing w:line="240" w:lineRule="auto"/>
      <w:ind w:firstLine="0"/>
      <w:jc w:val="center"/>
    </w:pPr>
    <w:rPr>
      <w:rFonts w:hAnsi="宋体"/>
      <w:b w:val="0"/>
      <w:spacing w:val="0"/>
      <w:sz w:val="21"/>
    </w:rPr>
  </w:style>
  <w:style w:type="paragraph" w:customStyle="1" w:styleId="2015">
    <w:name w:val="Char114"/>
    <w:basedOn w:val="1"/>
    <w:qFormat/>
    <w:uiPriority w:val="0"/>
    <w:pPr>
      <w:ind w:left="-48"/>
    </w:pPr>
    <w:rPr>
      <w:rFonts w:ascii="宋体" w:hAnsi="宋体" w:cs="宋体"/>
    </w:rPr>
  </w:style>
  <w:style w:type="paragraph" w:customStyle="1" w:styleId="2016">
    <w:name w:val="表题161"/>
    <w:basedOn w:val="23"/>
    <w:qFormat/>
    <w:uiPriority w:val="0"/>
    <w:pPr>
      <w:widowControl w:val="0"/>
      <w:spacing w:line="360" w:lineRule="auto"/>
      <w:jc w:val="center"/>
    </w:pPr>
    <w:rPr>
      <w:rFonts w:ascii="黑体" w:hAnsi="Arial" w:cs="Arial"/>
      <w:b/>
      <w:kern w:val="2"/>
    </w:rPr>
  </w:style>
  <w:style w:type="character" w:customStyle="1" w:styleId="2017">
    <w:name w:val="表题1 Char71"/>
    <w:qFormat/>
    <w:uiPriority w:val="0"/>
    <w:rPr>
      <w:rFonts w:ascii="黑体" w:hAnsi="Arial" w:eastAsia="黑体" w:cs="Arial"/>
      <w:b/>
      <w:kern w:val="2"/>
      <w:sz w:val="24"/>
      <w:szCs w:val="24"/>
      <w:lang w:val="en-US" w:eastAsia="zh-CN" w:bidi="ar-SA"/>
    </w:rPr>
  </w:style>
  <w:style w:type="paragraph" w:customStyle="1" w:styleId="2018">
    <w:name w:val="燕山正文51"/>
    <w:basedOn w:val="1"/>
    <w:qFormat/>
    <w:uiPriority w:val="0"/>
    <w:pPr>
      <w:tabs>
        <w:tab w:val="left" w:pos="4680"/>
      </w:tabs>
      <w:adjustRightInd w:val="0"/>
      <w:snapToGrid w:val="0"/>
      <w:spacing w:line="480" w:lineRule="exact"/>
    </w:pPr>
    <w:rPr>
      <w:rFonts w:ascii="宋体" w:hAnsi="宋体" w:cs="宋体"/>
      <w:sz w:val="24"/>
    </w:rPr>
  </w:style>
  <w:style w:type="paragraph" w:customStyle="1" w:styleId="2019">
    <w:name w:val="正文修改51"/>
    <w:basedOn w:val="1180"/>
    <w:qFormat/>
    <w:uiPriority w:val="0"/>
    <w:rPr>
      <w:rFonts w:hAnsi="宋体"/>
      <w:color w:val="000000"/>
    </w:rPr>
  </w:style>
  <w:style w:type="character" w:customStyle="1" w:styleId="2020">
    <w:name w:val="正文修改 Char151"/>
    <w:qFormat/>
    <w:uiPriority w:val="0"/>
    <w:rPr>
      <w:rFonts w:ascii="宋体" w:hAnsi="宋体" w:eastAsia="宋体" w:cs="宋体"/>
      <w:color w:val="000000"/>
      <w:kern w:val="2"/>
      <w:sz w:val="24"/>
      <w:szCs w:val="24"/>
      <w:lang w:val="en-US" w:eastAsia="zh-CN" w:bidi="ar-SA"/>
    </w:rPr>
  </w:style>
  <w:style w:type="paragraph" w:customStyle="1" w:styleId="2021">
    <w:name w:val="表中文字61"/>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022">
    <w:name w:val="默认段落字体 Para Char Char Char Char61"/>
    <w:basedOn w:val="1"/>
    <w:qFormat/>
    <w:uiPriority w:val="0"/>
    <w:rPr>
      <w:rFonts w:ascii="宋体" w:hAnsi="宋体" w:cs="宋体"/>
    </w:rPr>
  </w:style>
  <w:style w:type="paragraph" w:customStyle="1" w:styleId="2023">
    <w:name w:val="Char1211"/>
    <w:basedOn w:val="1"/>
    <w:qFormat/>
    <w:uiPriority w:val="0"/>
    <w:pPr>
      <w:adjustRightInd w:val="0"/>
      <w:snapToGrid w:val="0"/>
      <w:spacing w:line="360" w:lineRule="auto"/>
    </w:pPr>
    <w:rPr>
      <w:rFonts w:ascii="宋体" w:hAnsi="宋体" w:cs="宋体"/>
    </w:rPr>
  </w:style>
  <w:style w:type="paragraph" w:customStyle="1" w:styleId="2024">
    <w:name w:val="封面标准文稿编辑信息11"/>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025">
    <w:name w:val="样式 表内小5 + 黑体 加粗 倾斜 下划线11"/>
    <w:basedOn w:val="1"/>
    <w:qFormat/>
    <w:uiPriority w:val="0"/>
    <w:pPr>
      <w:adjustRightInd w:val="0"/>
      <w:snapToGrid w:val="0"/>
      <w:spacing w:line="300" w:lineRule="auto"/>
      <w:jc w:val="left"/>
    </w:pPr>
    <w:rPr>
      <w:rFonts w:ascii="黑体" w:hAnsi="黑体" w:eastAsia="黑体" w:cs="宋体"/>
      <w:b/>
      <w:bCs/>
      <w:i/>
      <w:iCs/>
      <w:sz w:val="18"/>
      <w:u w:val="single"/>
    </w:rPr>
  </w:style>
  <w:style w:type="paragraph" w:customStyle="1" w:styleId="2026">
    <w:name w:val="表内5中21"/>
    <w:basedOn w:val="1"/>
    <w:qFormat/>
    <w:uiPriority w:val="0"/>
    <w:pPr>
      <w:adjustRightInd w:val="0"/>
      <w:snapToGrid w:val="0"/>
      <w:jc w:val="center"/>
    </w:pPr>
    <w:rPr>
      <w:rFonts w:ascii="宋体" w:hAnsi="宋体" w:cs="Arial"/>
      <w:snapToGrid w:val="0"/>
      <w:color w:val="000000"/>
      <w:szCs w:val="21"/>
    </w:rPr>
  </w:style>
  <w:style w:type="paragraph" w:customStyle="1" w:styleId="2027">
    <w:name w:val="表内54151"/>
    <w:basedOn w:val="1"/>
    <w:qFormat/>
    <w:uiPriority w:val="0"/>
    <w:pPr>
      <w:adjustRightInd w:val="0"/>
      <w:snapToGrid w:val="0"/>
      <w:spacing w:line="300" w:lineRule="auto"/>
      <w:jc w:val="center"/>
    </w:pPr>
    <w:rPr>
      <w:rFonts w:ascii="宋体" w:hAnsi="宋体" w:cs="宋体"/>
    </w:rPr>
  </w:style>
  <w:style w:type="paragraph" w:customStyle="1" w:styleId="2028">
    <w:name w:val="表格111"/>
    <w:basedOn w:val="1"/>
    <w:qFormat/>
    <w:uiPriority w:val="0"/>
    <w:pPr>
      <w:adjustRightInd w:val="0"/>
      <w:jc w:val="center"/>
      <w:textAlignment w:val="baseline"/>
    </w:pPr>
    <w:rPr>
      <w:rFonts w:ascii="宋体" w:hAnsi="宋体" w:cs="宋体"/>
      <w:kern w:val="0"/>
      <w:sz w:val="24"/>
    </w:rPr>
  </w:style>
  <w:style w:type="paragraph" w:customStyle="1" w:styleId="2029">
    <w:name w:val="c11"/>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030">
    <w:name w:val="表题911"/>
    <w:basedOn w:val="46"/>
    <w:qFormat/>
    <w:uiPriority w:val="0"/>
    <w:pPr>
      <w:widowControl w:val="0"/>
      <w:adjustRightInd w:val="0"/>
      <w:snapToGrid w:val="0"/>
      <w:spacing w:line="300" w:lineRule="auto"/>
      <w:jc w:val="center"/>
    </w:pPr>
    <w:rPr>
      <w:rFonts w:ascii="黑体" w:eastAsia="黑体" w:cs="Times New Roman"/>
      <w:kern w:val="2"/>
      <w:szCs w:val="20"/>
    </w:rPr>
  </w:style>
  <w:style w:type="paragraph" w:customStyle="1" w:styleId="2031">
    <w:name w:val="福建正文缩进11"/>
    <w:basedOn w:val="6"/>
    <w:qFormat/>
    <w:uiPriority w:val="0"/>
    <w:pPr>
      <w:spacing w:line="360" w:lineRule="auto"/>
      <w:ind w:firstLine="567" w:firstLineChars="0"/>
    </w:pPr>
    <w:rPr>
      <w:rFonts w:ascii="宋体" w:hAnsi="Calibri" w:eastAsia="宋体" w:cs="宋体"/>
      <w:color w:val="auto"/>
      <w:kern w:val="0"/>
      <w:sz w:val="24"/>
    </w:rPr>
  </w:style>
  <w:style w:type="paragraph" w:customStyle="1" w:styleId="2032">
    <w:name w:val="表内文字小32"/>
    <w:basedOn w:val="1"/>
    <w:qFormat/>
    <w:uiPriority w:val="0"/>
    <w:pPr>
      <w:adjustRightInd w:val="0"/>
      <w:snapToGrid w:val="0"/>
      <w:jc w:val="center"/>
    </w:pPr>
    <w:rPr>
      <w:rFonts w:ascii="宋体" w:hAnsi="Times" w:cs="宋体"/>
    </w:rPr>
  </w:style>
  <w:style w:type="paragraph" w:customStyle="1" w:styleId="2033">
    <w:name w:val="表内5911"/>
    <w:basedOn w:val="1"/>
    <w:qFormat/>
    <w:uiPriority w:val="0"/>
    <w:pPr>
      <w:adjustRightInd w:val="0"/>
      <w:snapToGrid w:val="0"/>
      <w:spacing w:line="300" w:lineRule="auto"/>
      <w:jc w:val="center"/>
    </w:pPr>
    <w:rPr>
      <w:rFonts w:ascii="宋体" w:hAnsi="宋体" w:cs="宋体"/>
      <w:snapToGrid w:val="0"/>
      <w:szCs w:val="21"/>
    </w:rPr>
  </w:style>
  <w:style w:type="paragraph" w:customStyle="1" w:styleId="2034">
    <w:name w:val="表内小5中11"/>
    <w:basedOn w:val="1"/>
    <w:qFormat/>
    <w:uiPriority w:val="0"/>
    <w:pPr>
      <w:adjustRightInd w:val="0"/>
      <w:snapToGrid w:val="0"/>
      <w:jc w:val="center"/>
    </w:pPr>
    <w:rPr>
      <w:rFonts w:ascii="宋体" w:hAnsi="宋体" w:cs="宋体"/>
      <w:sz w:val="18"/>
    </w:rPr>
  </w:style>
  <w:style w:type="paragraph" w:customStyle="1" w:styleId="2035">
    <w:name w:val="表内5中411"/>
    <w:basedOn w:val="1"/>
    <w:qFormat/>
    <w:uiPriority w:val="0"/>
    <w:pPr>
      <w:adjustRightInd w:val="0"/>
      <w:snapToGrid w:val="0"/>
      <w:jc w:val="center"/>
    </w:pPr>
    <w:rPr>
      <w:rFonts w:ascii="宋体" w:hAnsi="宋体" w:cs="宋体"/>
      <w:bCs/>
    </w:rPr>
  </w:style>
  <w:style w:type="paragraph" w:customStyle="1" w:styleId="2036">
    <w:name w:val="默认段落字体 Para Char5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2037">
    <w:name w:val="燕山正文1311"/>
    <w:basedOn w:val="1"/>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2038">
    <w:name w:val="样式 标题 4无效格式无效格式1河石管道4H4H41小小节河石管道41H42H411小小节1河石管道42...21"/>
    <w:basedOn w:val="8"/>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2039">
    <w:name w:val="样式 标题 4无效格式无效格式1河石管道4H4H41小小节河石管道41H42H411小小节1河石管道42...111"/>
    <w:basedOn w:val="8"/>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2040">
    <w:name w:val="附件41"/>
    <w:basedOn w:val="4"/>
    <w:next w:val="315"/>
    <w:qFormat/>
    <w:uiPriority w:val="0"/>
    <w:pPr>
      <w:keepLines/>
      <w:widowControl w:val="0"/>
      <w:numPr>
        <w:numId w:val="0"/>
      </w:numPr>
      <w:tabs>
        <w:tab w:val="left" w:pos="1566"/>
      </w:tabs>
      <w:spacing w:after="210"/>
    </w:pPr>
    <w:rPr>
      <w:rFonts w:ascii="黑体" w:eastAsia="黑体"/>
      <w:b/>
      <w:bCs/>
      <w:kern w:val="44"/>
      <w:szCs w:val="32"/>
    </w:rPr>
  </w:style>
  <w:style w:type="paragraph" w:customStyle="1" w:styleId="2041">
    <w:name w:val="标题43131"/>
    <w:basedOn w:val="1"/>
    <w:qFormat/>
    <w:uiPriority w:val="0"/>
    <w:pPr>
      <w:adjustRightInd w:val="0"/>
      <w:snapToGrid w:val="0"/>
      <w:spacing w:line="480" w:lineRule="exact"/>
      <w:jc w:val="center"/>
    </w:pPr>
    <w:rPr>
      <w:rFonts w:ascii="宋体" w:hAnsi="宋体" w:cs="宋体"/>
      <w:sz w:val="24"/>
    </w:rPr>
  </w:style>
  <w:style w:type="paragraph" w:customStyle="1" w:styleId="2042">
    <w:name w:val="燕山正文1141"/>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043">
    <w:name w:val="表题4111"/>
    <w:basedOn w:val="36"/>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2044">
    <w:name w:val="表内文字小2141"/>
    <w:basedOn w:val="1"/>
    <w:qFormat/>
    <w:uiPriority w:val="0"/>
    <w:pPr>
      <w:adjustRightInd w:val="0"/>
      <w:snapToGrid w:val="0"/>
      <w:jc w:val="center"/>
    </w:pPr>
    <w:rPr>
      <w:rFonts w:ascii="宋体" w:hAnsi="Times" w:cs="宋体"/>
      <w:bCs/>
      <w:color w:val="000000"/>
    </w:rPr>
  </w:style>
  <w:style w:type="paragraph" w:customStyle="1" w:styleId="2045">
    <w:name w:val="表题3141"/>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046">
    <w:name w:val="Char Char Char Char Char Char Char311"/>
    <w:basedOn w:val="1"/>
    <w:qFormat/>
    <w:uiPriority w:val="0"/>
    <w:rPr>
      <w:rFonts w:ascii="宋体" w:hAnsi="宋体" w:cs="宋体"/>
    </w:rPr>
  </w:style>
  <w:style w:type="paragraph" w:customStyle="1" w:styleId="2047">
    <w:name w:val="表文字541"/>
    <w:basedOn w:val="1"/>
    <w:qFormat/>
    <w:uiPriority w:val="0"/>
    <w:pPr>
      <w:adjustRightInd w:val="0"/>
      <w:jc w:val="left"/>
      <w:textAlignment w:val="baseline"/>
    </w:pPr>
    <w:rPr>
      <w:rFonts w:ascii="宋体" w:hAnsi="宋体" w:cs="宋体"/>
      <w:kern w:val="0"/>
    </w:rPr>
  </w:style>
  <w:style w:type="paragraph" w:customStyle="1" w:styleId="2048">
    <w:name w:val="表内文字小3141"/>
    <w:basedOn w:val="1"/>
    <w:qFormat/>
    <w:uiPriority w:val="0"/>
    <w:pPr>
      <w:adjustRightInd w:val="0"/>
      <w:snapToGrid w:val="0"/>
      <w:jc w:val="center"/>
    </w:pPr>
    <w:rPr>
      <w:rFonts w:ascii="宋体" w:hAnsi="Times" w:cs="宋体"/>
      <w:bCs/>
      <w:color w:val="003366"/>
    </w:rPr>
  </w:style>
  <w:style w:type="paragraph" w:customStyle="1" w:styleId="2049">
    <w:name w:val="表内宋51121"/>
    <w:basedOn w:val="81"/>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2050">
    <w:name w:val="文本框21"/>
    <w:basedOn w:val="1"/>
    <w:qFormat/>
    <w:uiPriority w:val="0"/>
    <w:pPr>
      <w:adjustRightInd w:val="0"/>
      <w:snapToGrid w:val="0"/>
      <w:spacing w:after="6"/>
      <w:jc w:val="center"/>
    </w:pPr>
    <w:rPr>
      <w:rFonts w:ascii="宋体" w:hAnsi="宋体" w:eastAsia="仿宋_GB2312" w:cs="宋体"/>
    </w:rPr>
  </w:style>
  <w:style w:type="paragraph" w:customStyle="1" w:styleId="2051">
    <w:name w:val="正文.2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052">
    <w:name w:val="表41"/>
    <w:basedOn w:val="1"/>
    <w:qFormat/>
    <w:uiPriority w:val="0"/>
    <w:pPr>
      <w:adjustRightInd w:val="0"/>
      <w:snapToGrid w:val="0"/>
      <w:jc w:val="center"/>
    </w:pPr>
    <w:rPr>
      <w:rFonts w:ascii="宋体" w:hAnsi="宋体" w:eastAsia="仿宋_GB2312" w:cs="宋体"/>
      <w:sz w:val="24"/>
    </w:rPr>
  </w:style>
  <w:style w:type="paragraph" w:customStyle="1" w:styleId="2053">
    <w:name w:val="黑体三号51"/>
    <w:basedOn w:val="315"/>
    <w:qFormat/>
    <w:uiPriority w:val="0"/>
    <w:pPr>
      <w:jc w:val="center"/>
    </w:pPr>
    <w:rPr>
      <w:rFonts w:ascii="黑体" w:hAnsi="宋体" w:eastAsia="黑体"/>
      <w:bCs/>
      <w:spacing w:val="0"/>
      <w:sz w:val="32"/>
    </w:rPr>
  </w:style>
  <w:style w:type="paragraph" w:customStyle="1" w:styleId="2054">
    <w:name w:val="Char1311"/>
    <w:basedOn w:val="1"/>
    <w:qFormat/>
    <w:uiPriority w:val="0"/>
    <w:pPr>
      <w:ind w:left="-48"/>
    </w:pPr>
    <w:rPr>
      <w:rFonts w:ascii="宋体" w:hAnsi="宋体" w:cs="宋体"/>
    </w:rPr>
  </w:style>
  <w:style w:type="paragraph" w:customStyle="1" w:styleId="2055">
    <w:name w:val="样式131"/>
    <w:basedOn w:val="1227"/>
    <w:qFormat/>
    <w:uiPriority w:val="0"/>
    <w:pPr>
      <w:spacing w:line="240" w:lineRule="auto"/>
      <w:ind w:firstLine="0"/>
      <w:jc w:val="center"/>
    </w:pPr>
    <w:rPr>
      <w:rFonts w:cs="Times New Roman"/>
      <w:b/>
      <w:color w:val="auto"/>
      <w:szCs w:val="20"/>
    </w:rPr>
  </w:style>
  <w:style w:type="paragraph" w:customStyle="1" w:styleId="2056">
    <w:name w:val="首行缩进:  0.99 厘米 + 首行缩进:  2 字符11"/>
    <w:basedOn w:val="1"/>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paragraph" w:customStyle="1" w:styleId="2057">
    <w:name w:val="图表名称11"/>
    <w:basedOn w:val="86"/>
    <w:qFormat/>
    <w:uiPriority w:val="0"/>
    <w:pPr>
      <w:adjustRightInd w:val="0"/>
      <w:snapToGrid w:val="0"/>
      <w:spacing w:after="0" w:line="480" w:lineRule="exact"/>
      <w:ind w:firstLine="0" w:firstLineChars="0"/>
      <w:jc w:val="center"/>
    </w:pPr>
    <w:rPr>
      <w:bCs/>
      <w:kern w:val="2"/>
      <w:sz w:val="24"/>
    </w:rPr>
  </w:style>
  <w:style w:type="paragraph" w:customStyle="1" w:styleId="2058">
    <w:name w:val="表内文字边11"/>
    <w:basedOn w:val="1"/>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2059">
    <w:name w:val="正文缩11"/>
    <w:basedOn w:val="1"/>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2060">
    <w:name w:val="样式211"/>
    <w:basedOn w:val="1"/>
    <w:qFormat/>
    <w:uiPriority w:val="0"/>
    <w:pPr>
      <w:adjustRightInd w:val="0"/>
      <w:spacing w:line="360" w:lineRule="auto"/>
      <w:jc w:val="center"/>
      <w:textAlignment w:val="baseline"/>
      <w:outlineLvl w:val="0"/>
    </w:pPr>
    <w:rPr>
      <w:rFonts w:ascii="宋体" w:hAnsi="宋体" w:cs="宋体"/>
      <w:kern w:val="0"/>
    </w:rPr>
  </w:style>
  <w:style w:type="paragraph" w:customStyle="1" w:styleId="2061">
    <w:name w:val="默认段落字体 Para Char Char Char Char Char11"/>
    <w:basedOn w:val="1"/>
    <w:qFormat/>
    <w:uiPriority w:val="0"/>
    <w:rPr>
      <w:rFonts w:ascii="宋体" w:hAnsi="宋体" w:cs="宋体"/>
    </w:rPr>
  </w:style>
  <w:style w:type="paragraph" w:customStyle="1" w:styleId="2062">
    <w:name w:val="表内宋5中31"/>
    <w:basedOn w:val="1"/>
    <w:qFormat/>
    <w:uiPriority w:val="0"/>
    <w:pPr>
      <w:adjustRightInd w:val="0"/>
      <w:snapToGrid w:val="0"/>
      <w:textAlignment w:val="baseline"/>
    </w:pPr>
    <w:rPr>
      <w:rFonts w:ascii="宋体" w:hAnsi="宋体" w:cs="宋体"/>
      <w:color w:val="000000"/>
      <w:kern w:val="0"/>
    </w:rPr>
  </w:style>
  <w:style w:type="paragraph" w:customStyle="1" w:styleId="2063">
    <w:name w:val="样式 标题 3 + 段前: 12 磅11"/>
    <w:basedOn w:val="7"/>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2064">
    <w:name w:val="表内521"/>
    <w:basedOn w:val="1"/>
    <w:qFormat/>
    <w:uiPriority w:val="0"/>
    <w:pPr>
      <w:adjustRightInd w:val="0"/>
      <w:snapToGrid w:val="0"/>
      <w:spacing w:line="300" w:lineRule="auto"/>
      <w:jc w:val="left"/>
    </w:pPr>
    <w:rPr>
      <w:rFonts w:ascii="宋体" w:hAnsi="宋体" w:cs="宋体"/>
      <w:sz w:val="18"/>
    </w:rPr>
  </w:style>
  <w:style w:type="paragraph" w:customStyle="1" w:styleId="2065">
    <w:name w:val="Char Char Char Char1 Char Char Char111"/>
    <w:basedOn w:val="1"/>
    <w:qFormat/>
    <w:uiPriority w:val="0"/>
    <w:pPr>
      <w:widowControl/>
      <w:spacing w:after="160"/>
      <w:jc w:val="left"/>
    </w:pPr>
    <w:rPr>
      <w:rFonts w:ascii="Verdana" w:hAnsi="Verdana" w:cs="宋体"/>
      <w:kern w:val="0"/>
      <w:sz w:val="24"/>
      <w:lang w:eastAsia="en-US"/>
    </w:rPr>
  </w:style>
  <w:style w:type="paragraph" w:customStyle="1" w:styleId="2066">
    <w:name w:val="正文格式1111"/>
    <w:basedOn w:val="1"/>
    <w:qFormat/>
    <w:uiPriority w:val="0"/>
    <w:pPr>
      <w:spacing w:line="360" w:lineRule="auto"/>
      <w:ind w:firstLine="482"/>
    </w:pPr>
    <w:rPr>
      <w:rFonts w:ascii="宋体" w:hAnsi="宋体" w:cs="宋体"/>
      <w:sz w:val="24"/>
    </w:rPr>
  </w:style>
  <w:style w:type="paragraph" w:customStyle="1" w:styleId="2067">
    <w:name w:val="图题111"/>
    <w:basedOn w:val="315"/>
    <w:next w:val="315"/>
    <w:qFormat/>
    <w:uiPriority w:val="0"/>
    <w:pPr>
      <w:ind w:firstLine="0"/>
      <w:jc w:val="center"/>
    </w:pPr>
    <w:rPr>
      <w:rFonts w:ascii="黑体" w:hAnsi="宋体" w:eastAsia="黑体"/>
      <w:bCs/>
      <w:spacing w:val="0"/>
    </w:rPr>
  </w:style>
  <w:style w:type="paragraph" w:customStyle="1" w:styleId="2068">
    <w:name w:val="表格内字体121"/>
    <w:basedOn w:val="315"/>
    <w:next w:val="315"/>
    <w:qFormat/>
    <w:uiPriority w:val="0"/>
    <w:pPr>
      <w:spacing w:line="240" w:lineRule="auto"/>
      <w:ind w:firstLine="0"/>
      <w:jc w:val="center"/>
    </w:pPr>
    <w:rPr>
      <w:rFonts w:hAnsi="宋体"/>
      <w:b w:val="0"/>
      <w:spacing w:val="0"/>
      <w:sz w:val="21"/>
    </w:rPr>
  </w:style>
  <w:style w:type="paragraph" w:customStyle="1" w:styleId="2069">
    <w:name w:val="Char1411"/>
    <w:basedOn w:val="1"/>
    <w:qFormat/>
    <w:uiPriority w:val="0"/>
    <w:pPr>
      <w:ind w:left="-48"/>
    </w:pPr>
    <w:rPr>
      <w:rFonts w:ascii="宋体" w:hAnsi="宋体" w:cs="宋体"/>
    </w:rPr>
  </w:style>
  <w:style w:type="paragraph" w:customStyle="1" w:styleId="2070">
    <w:name w:val="正文格式221"/>
    <w:basedOn w:val="1"/>
    <w:qFormat/>
    <w:uiPriority w:val="0"/>
    <w:pPr>
      <w:spacing w:line="360" w:lineRule="auto"/>
      <w:ind w:firstLine="482"/>
    </w:pPr>
    <w:rPr>
      <w:rFonts w:ascii="宋体" w:hAnsi="宋体" w:cs="宋体"/>
      <w:sz w:val="24"/>
    </w:rPr>
  </w:style>
  <w:style w:type="paragraph" w:customStyle="1" w:styleId="2071">
    <w:name w:val="Char1511"/>
    <w:basedOn w:val="1"/>
    <w:qFormat/>
    <w:uiPriority w:val="0"/>
    <w:pPr>
      <w:adjustRightInd w:val="0"/>
      <w:snapToGrid w:val="0"/>
      <w:spacing w:beforeLines="50" w:line="360" w:lineRule="auto"/>
    </w:pPr>
    <w:rPr>
      <w:rFonts w:ascii="黑体" w:hAnsi="宋体" w:eastAsia="黑体" w:cs="宋体"/>
      <w:sz w:val="32"/>
      <w:szCs w:val="32"/>
    </w:rPr>
  </w:style>
  <w:style w:type="character" w:customStyle="1" w:styleId="2072">
    <w:name w:val="题注 Char111"/>
    <w:qFormat/>
    <w:uiPriority w:val="0"/>
    <w:rPr>
      <w:rFonts w:ascii="黑体" w:hAnsi="Arial" w:eastAsia="黑体" w:cs="Arial"/>
      <w:spacing w:val="10"/>
      <w:kern w:val="2"/>
      <w:sz w:val="24"/>
      <w:szCs w:val="24"/>
      <w:lang w:val="en-US" w:eastAsia="zh-CN" w:bidi="ar-SA"/>
    </w:rPr>
  </w:style>
  <w:style w:type="paragraph" w:customStyle="1" w:styleId="2073">
    <w:name w:val="图题221"/>
    <w:basedOn w:val="315"/>
    <w:next w:val="315"/>
    <w:qFormat/>
    <w:uiPriority w:val="0"/>
    <w:pPr>
      <w:ind w:firstLine="0"/>
      <w:jc w:val="center"/>
    </w:pPr>
    <w:rPr>
      <w:rFonts w:ascii="黑体" w:hAnsi="宋体" w:eastAsia="黑体"/>
      <w:bCs/>
      <w:spacing w:val="0"/>
    </w:rPr>
  </w:style>
  <w:style w:type="paragraph" w:customStyle="1" w:styleId="2074">
    <w:name w:val="表格内字体221"/>
    <w:basedOn w:val="315"/>
    <w:next w:val="315"/>
    <w:qFormat/>
    <w:uiPriority w:val="0"/>
    <w:pPr>
      <w:spacing w:line="240" w:lineRule="auto"/>
      <w:ind w:firstLine="0"/>
      <w:jc w:val="center"/>
    </w:pPr>
    <w:rPr>
      <w:rFonts w:hAnsi="宋体"/>
      <w:b w:val="0"/>
      <w:spacing w:val="0"/>
      <w:sz w:val="21"/>
    </w:rPr>
  </w:style>
  <w:style w:type="paragraph" w:customStyle="1" w:styleId="2075">
    <w:name w:val="表内541111"/>
    <w:basedOn w:val="1"/>
    <w:qFormat/>
    <w:uiPriority w:val="0"/>
    <w:pPr>
      <w:adjustRightInd w:val="0"/>
      <w:snapToGrid w:val="0"/>
      <w:spacing w:line="300" w:lineRule="auto"/>
      <w:jc w:val="center"/>
    </w:pPr>
    <w:rPr>
      <w:rFonts w:ascii="宋体" w:hAnsi="宋体" w:cs="宋体"/>
    </w:rPr>
  </w:style>
  <w:style w:type="paragraph" w:customStyle="1" w:styleId="2076">
    <w:name w:val="表内文字小21111"/>
    <w:basedOn w:val="1"/>
    <w:qFormat/>
    <w:uiPriority w:val="0"/>
    <w:pPr>
      <w:adjustRightInd w:val="0"/>
      <w:snapToGrid w:val="0"/>
      <w:jc w:val="center"/>
    </w:pPr>
    <w:rPr>
      <w:rFonts w:ascii="宋体" w:hAnsi="Times" w:cs="宋体"/>
      <w:bCs/>
      <w:color w:val="000000"/>
    </w:rPr>
  </w:style>
  <w:style w:type="paragraph" w:customStyle="1" w:styleId="2077">
    <w:name w:val="表题31111"/>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078">
    <w:name w:val="Char Char Char Char Char Char Char1111"/>
    <w:basedOn w:val="1"/>
    <w:qFormat/>
    <w:uiPriority w:val="0"/>
    <w:rPr>
      <w:rFonts w:ascii="宋体" w:hAnsi="宋体" w:cs="宋体"/>
    </w:rPr>
  </w:style>
  <w:style w:type="paragraph" w:customStyle="1" w:styleId="2079">
    <w:name w:val="标题431111"/>
    <w:basedOn w:val="1"/>
    <w:qFormat/>
    <w:uiPriority w:val="0"/>
    <w:pPr>
      <w:adjustRightInd w:val="0"/>
      <w:snapToGrid w:val="0"/>
      <w:spacing w:line="480" w:lineRule="exact"/>
      <w:jc w:val="center"/>
    </w:pPr>
    <w:rPr>
      <w:rFonts w:ascii="宋体" w:hAnsi="宋体" w:cs="宋体"/>
      <w:sz w:val="24"/>
    </w:rPr>
  </w:style>
  <w:style w:type="paragraph" w:customStyle="1" w:styleId="2080">
    <w:name w:val="燕山正文11111"/>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081">
    <w:name w:val="默认段落字体 Para Char Char Char Char111"/>
    <w:basedOn w:val="1"/>
    <w:qFormat/>
    <w:uiPriority w:val="0"/>
    <w:rPr>
      <w:rFonts w:ascii="宋体" w:hAnsi="宋体" w:cs="宋体"/>
    </w:rPr>
  </w:style>
  <w:style w:type="paragraph" w:customStyle="1" w:styleId="2082">
    <w:name w:val="附件111"/>
    <w:basedOn w:val="4"/>
    <w:next w:val="315"/>
    <w:qFormat/>
    <w:uiPriority w:val="0"/>
    <w:pPr>
      <w:keepLines/>
      <w:widowControl w:val="0"/>
      <w:numPr>
        <w:numId w:val="0"/>
      </w:numPr>
      <w:tabs>
        <w:tab w:val="left" w:pos="1566"/>
      </w:tabs>
      <w:spacing w:after="210"/>
    </w:pPr>
    <w:rPr>
      <w:rFonts w:ascii="黑体" w:eastAsia="黑体"/>
      <w:bCs/>
      <w:kern w:val="44"/>
      <w:szCs w:val="32"/>
    </w:rPr>
  </w:style>
  <w:style w:type="paragraph" w:customStyle="1" w:styleId="2083">
    <w:name w:val="黑体三号111"/>
    <w:basedOn w:val="315"/>
    <w:qFormat/>
    <w:uiPriority w:val="0"/>
    <w:pPr>
      <w:jc w:val="center"/>
    </w:pPr>
    <w:rPr>
      <w:rFonts w:ascii="黑体" w:hAnsi="宋体" w:eastAsia="黑体"/>
      <w:bCs/>
      <w:spacing w:val="0"/>
      <w:sz w:val="32"/>
    </w:rPr>
  </w:style>
  <w:style w:type="paragraph" w:customStyle="1" w:styleId="2084">
    <w:name w:val="表111"/>
    <w:basedOn w:val="1"/>
    <w:qFormat/>
    <w:uiPriority w:val="0"/>
    <w:pPr>
      <w:adjustRightInd w:val="0"/>
      <w:snapToGrid w:val="0"/>
      <w:jc w:val="center"/>
    </w:pPr>
    <w:rPr>
      <w:rFonts w:ascii="宋体" w:hAnsi="宋体" w:eastAsia="仿宋_GB2312" w:cs="宋体"/>
      <w:sz w:val="24"/>
    </w:rPr>
  </w:style>
  <w:style w:type="paragraph" w:customStyle="1" w:styleId="2085">
    <w:name w:val="表题1121"/>
    <w:basedOn w:val="23"/>
    <w:qFormat/>
    <w:uiPriority w:val="0"/>
    <w:pPr>
      <w:widowControl w:val="0"/>
      <w:spacing w:line="360" w:lineRule="auto"/>
      <w:jc w:val="center"/>
    </w:pPr>
    <w:rPr>
      <w:rFonts w:ascii="黑体" w:hAnsi="Arial" w:cs="Arial"/>
      <w:kern w:val="2"/>
    </w:rPr>
  </w:style>
  <w:style w:type="paragraph" w:customStyle="1" w:styleId="2086">
    <w:name w:val="燕山正文121"/>
    <w:basedOn w:val="1"/>
    <w:qFormat/>
    <w:uiPriority w:val="0"/>
    <w:pPr>
      <w:tabs>
        <w:tab w:val="left" w:pos="4680"/>
      </w:tabs>
      <w:adjustRightInd w:val="0"/>
      <w:snapToGrid w:val="0"/>
      <w:spacing w:line="480" w:lineRule="exact"/>
    </w:pPr>
    <w:rPr>
      <w:rFonts w:ascii="宋体" w:hAnsi="宋体" w:cs="宋体"/>
      <w:sz w:val="24"/>
    </w:rPr>
  </w:style>
  <w:style w:type="paragraph" w:customStyle="1" w:styleId="2087">
    <w:name w:val="正文修改111"/>
    <w:basedOn w:val="1180"/>
    <w:qFormat/>
    <w:uiPriority w:val="0"/>
    <w:rPr>
      <w:rFonts w:hAnsi="宋体"/>
      <w:color w:val="000000"/>
    </w:rPr>
  </w:style>
  <w:style w:type="character" w:customStyle="1" w:styleId="2088">
    <w:name w:val="正文修改 Char1111"/>
    <w:qFormat/>
    <w:uiPriority w:val="0"/>
    <w:rPr>
      <w:rFonts w:ascii="宋体" w:hAnsi="宋体" w:eastAsia="宋体" w:cs="宋体"/>
      <w:color w:val="000000"/>
      <w:kern w:val="2"/>
      <w:sz w:val="24"/>
      <w:szCs w:val="24"/>
      <w:lang w:val="en-US" w:eastAsia="zh-CN" w:bidi="ar-SA"/>
    </w:rPr>
  </w:style>
  <w:style w:type="paragraph" w:customStyle="1" w:styleId="2089">
    <w:name w:val="表中文字121"/>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090">
    <w:name w:val="表文字5121"/>
    <w:basedOn w:val="1"/>
    <w:qFormat/>
    <w:uiPriority w:val="0"/>
    <w:pPr>
      <w:adjustRightInd w:val="0"/>
      <w:jc w:val="left"/>
      <w:textAlignment w:val="baseline"/>
    </w:pPr>
    <w:rPr>
      <w:rFonts w:ascii="宋体" w:hAnsi="宋体" w:cs="宋体"/>
      <w:kern w:val="0"/>
    </w:rPr>
  </w:style>
  <w:style w:type="paragraph" w:customStyle="1" w:styleId="2091">
    <w:name w:val="表内文字小31111"/>
    <w:basedOn w:val="1"/>
    <w:qFormat/>
    <w:uiPriority w:val="0"/>
    <w:pPr>
      <w:adjustRightInd w:val="0"/>
      <w:snapToGrid w:val="0"/>
      <w:jc w:val="center"/>
    </w:pPr>
    <w:rPr>
      <w:rFonts w:ascii="宋体" w:hAnsi="Times" w:cs="宋体"/>
      <w:bCs/>
      <w:color w:val="003366"/>
    </w:rPr>
  </w:style>
  <w:style w:type="paragraph" w:customStyle="1" w:styleId="2092">
    <w:name w:val="样式1111"/>
    <w:basedOn w:val="1227"/>
    <w:qFormat/>
    <w:uiPriority w:val="0"/>
    <w:pPr>
      <w:spacing w:line="240" w:lineRule="auto"/>
      <w:ind w:firstLine="0"/>
      <w:jc w:val="center"/>
    </w:pPr>
    <w:rPr>
      <w:rFonts w:cs="Times New Roman"/>
      <w:b/>
      <w:color w:val="auto"/>
      <w:szCs w:val="20"/>
    </w:rPr>
  </w:style>
  <w:style w:type="paragraph" w:customStyle="1" w:styleId="2093">
    <w:name w:val="Char2111"/>
    <w:basedOn w:val="1"/>
    <w:qFormat/>
    <w:uiPriority w:val="0"/>
    <w:pPr>
      <w:ind w:left="-48"/>
    </w:pPr>
    <w:rPr>
      <w:rFonts w:ascii="宋体" w:hAnsi="宋体" w:cs="宋体"/>
    </w:rPr>
  </w:style>
  <w:style w:type="paragraph" w:customStyle="1" w:styleId="2094">
    <w:name w:val="表内文字小231"/>
    <w:basedOn w:val="1"/>
    <w:qFormat/>
    <w:uiPriority w:val="0"/>
    <w:pPr>
      <w:adjustRightInd w:val="0"/>
      <w:snapToGrid w:val="0"/>
      <w:jc w:val="center"/>
    </w:pPr>
    <w:rPr>
      <w:rFonts w:ascii="宋体" w:hAnsi="Times" w:cs="宋体"/>
      <w:bCs/>
      <w:color w:val="000000"/>
    </w:rPr>
  </w:style>
  <w:style w:type="paragraph" w:customStyle="1" w:styleId="2095">
    <w:name w:val="表内5321"/>
    <w:basedOn w:val="1"/>
    <w:qFormat/>
    <w:uiPriority w:val="0"/>
    <w:pPr>
      <w:adjustRightInd w:val="0"/>
      <w:snapToGrid w:val="0"/>
      <w:spacing w:line="300" w:lineRule="auto"/>
      <w:jc w:val="left"/>
    </w:pPr>
    <w:rPr>
      <w:rFonts w:ascii="宋体" w:hAnsi="宋体" w:cs="宋体"/>
    </w:rPr>
  </w:style>
  <w:style w:type="paragraph" w:customStyle="1" w:styleId="2096">
    <w:name w:val="正文格式311"/>
    <w:basedOn w:val="1"/>
    <w:qFormat/>
    <w:uiPriority w:val="0"/>
    <w:pPr>
      <w:spacing w:line="360" w:lineRule="auto"/>
      <w:ind w:firstLine="482"/>
    </w:pPr>
    <w:rPr>
      <w:rFonts w:ascii="宋体" w:hAnsi="宋体" w:cs="宋体"/>
      <w:sz w:val="24"/>
    </w:rPr>
  </w:style>
  <w:style w:type="paragraph" w:customStyle="1" w:styleId="2097">
    <w:name w:val="Char2211"/>
    <w:basedOn w:val="1"/>
    <w:qFormat/>
    <w:uiPriority w:val="0"/>
    <w:pPr>
      <w:adjustRightInd w:val="0"/>
      <w:snapToGrid w:val="0"/>
      <w:spacing w:beforeLines="50" w:line="360" w:lineRule="auto"/>
    </w:pPr>
    <w:rPr>
      <w:rFonts w:ascii="黑体" w:hAnsi="宋体" w:eastAsia="黑体" w:cs="宋体"/>
      <w:sz w:val="32"/>
      <w:szCs w:val="32"/>
    </w:rPr>
  </w:style>
  <w:style w:type="character" w:customStyle="1" w:styleId="2098">
    <w:name w:val="题注 Char211"/>
    <w:qFormat/>
    <w:uiPriority w:val="0"/>
    <w:rPr>
      <w:rFonts w:ascii="黑体" w:hAnsi="Arial" w:eastAsia="黑体" w:cs="Arial"/>
      <w:spacing w:val="10"/>
      <w:kern w:val="2"/>
      <w:sz w:val="24"/>
      <w:szCs w:val="24"/>
      <w:lang w:val="en-US" w:eastAsia="zh-CN" w:bidi="ar-SA"/>
    </w:rPr>
  </w:style>
  <w:style w:type="paragraph" w:customStyle="1" w:styleId="2099">
    <w:name w:val="图题311"/>
    <w:basedOn w:val="315"/>
    <w:next w:val="315"/>
    <w:qFormat/>
    <w:uiPriority w:val="0"/>
    <w:pPr>
      <w:ind w:firstLine="0"/>
      <w:jc w:val="center"/>
    </w:pPr>
    <w:rPr>
      <w:rFonts w:ascii="黑体" w:hAnsi="宋体" w:eastAsia="黑体"/>
      <w:bCs/>
      <w:spacing w:val="0"/>
    </w:rPr>
  </w:style>
  <w:style w:type="paragraph" w:customStyle="1" w:styleId="2100">
    <w:name w:val="表格内字体311"/>
    <w:basedOn w:val="315"/>
    <w:next w:val="315"/>
    <w:qFormat/>
    <w:uiPriority w:val="0"/>
    <w:pPr>
      <w:spacing w:line="240" w:lineRule="auto"/>
      <w:ind w:firstLine="0"/>
      <w:jc w:val="center"/>
    </w:pPr>
    <w:rPr>
      <w:rFonts w:hAnsi="宋体"/>
      <w:b w:val="0"/>
      <w:spacing w:val="0"/>
      <w:sz w:val="21"/>
    </w:rPr>
  </w:style>
  <w:style w:type="paragraph" w:customStyle="1" w:styleId="2101">
    <w:name w:val="表内541211"/>
    <w:basedOn w:val="1"/>
    <w:qFormat/>
    <w:uiPriority w:val="0"/>
    <w:pPr>
      <w:adjustRightInd w:val="0"/>
      <w:snapToGrid w:val="0"/>
      <w:spacing w:line="300" w:lineRule="auto"/>
      <w:jc w:val="center"/>
    </w:pPr>
    <w:rPr>
      <w:rFonts w:ascii="宋体" w:hAnsi="宋体" w:cs="宋体"/>
    </w:rPr>
  </w:style>
  <w:style w:type="paragraph" w:customStyle="1" w:styleId="2102">
    <w:name w:val="表内文字小21211"/>
    <w:basedOn w:val="1"/>
    <w:qFormat/>
    <w:uiPriority w:val="0"/>
    <w:pPr>
      <w:adjustRightInd w:val="0"/>
      <w:snapToGrid w:val="0"/>
      <w:jc w:val="center"/>
    </w:pPr>
    <w:rPr>
      <w:rFonts w:ascii="宋体" w:hAnsi="Times" w:cs="宋体"/>
      <w:bCs/>
      <w:color w:val="000000"/>
    </w:rPr>
  </w:style>
  <w:style w:type="paragraph" w:customStyle="1" w:styleId="2103">
    <w:name w:val="表题31211"/>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104">
    <w:name w:val="Char Char Char Char Char Char Char411"/>
    <w:basedOn w:val="1"/>
    <w:qFormat/>
    <w:uiPriority w:val="0"/>
    <w:rPr>
      <w:rFonts w:ascii="宋体" w:hAnsi="宋体" w:cs="宋体"/>
    </w:rPr>
  </w:style>
  <w:style w:type="paragraph" w:customStyle="1" w:styleId="2105">
    <w:name w:val="标题431211"/>
    <w:basedOn w:val="1"/>
    <w:qFormat/>
    <w:uiPriority w:val="0"/>
    <w:pPr>
      <w:adjustRightInd w:val="0"/>
      <w:snapToGrid w:val="0"/>
      <w:spacing w:line="480" w:lineRule="exact"/>
      <w:jc w:val="center"/>
    </w:pPr>
    <w:rPr>
      <w:rFonts w:ascii="宋体" w:hAnsi="宋体" w:cs="宋体"/>
      <w:sz w:val="24"/>
    </w:rPr>
  </w:style>
  <w:style w:type="paragraph" w:customStyle="1" w:styleId="2106">
    <w:name w:val="燕山正文11211"/>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107">
    <w:name w:val="默认段落字体 Para Char Char Char Char211"/>
    <w:basedOn w:val="1"/>
    <w:qFormat/>
    <w:uiPriority w:val="0"/>
    <w:rPr>
      <w:rFonts w:ascii="宋体" w:hAnsi="宋体" w:cs="宋体"/>
    </w:rPr>
  </w:style>
  <w:style w:type="paragraph" w:customStyle="1" w:styleId="2108">
    <w:name w:val="附件211"/>
    <w:basedOn w:val="4"/>
    <w:next w:val="315"/>
    <w:qFormat/>
    <w:uiPriority w:val="0"/>
    <w:pPr>
      <w:keepLines/>
      <w:widowControl w:val="0"/>
      <w:numPr>
        <w:numId w:val="0"/>
      </w:numPr>
      <w:tabs>
        <w:tab w:val="left" w:pos="1566"/>
      </w:tabs>
      <w:spacing w:after="210"/>
    </w:pPr>
    <w:rPr>
      <w:rFonts w:ascii="黑体" w:eastAsia="黑体"/>
      <w:bCs/>
      <w:kern w:val="44"/>
      <w:szCs w:val="32"/>
    </w:rPr>
  </w:style>
  <w:style w:type="paragraph" w:customStyle="1" w:styleId="2109">
    <w:name w:val="黑体三号211"/>
    <w:basedOn w:val="315"/>
    <w:qFormat/>
    <w:uiPriority w:val="0"/>
    <w:pPr>
      <w:jc w:val="center"/>
    </w:pPr>
    <w:rPr>
      <w:rFonts w:ascii="黑体" w:hAnsi="宋体" w:eastAsia="黑体"/>
      <w:bCs/>
      <w:spacing w:val="0"/>
      <w:sz w:val="32"/>
    </w:rPr>
  </w:style>
  <w:style w:type="paragraph" w:customStyle="1" w:styleId="2110">
    <w:name w:val="表211"/>
    <w:basedOn w:val="1"/>
    <w:qFormat/>
    <w:uiPriority w:val="0"/>
    <w:pPr>
      <w:adjustRightInd w:val="0"/>
      <w:snapToGrid w:val="0"/>
      <w:jc w:val="center"/>
    </w:pPr>
    <w:rPr>
      <w:rFonts w:ascii="宋体" w:hAnsi="宋体" w:eastAsia="仿宋_GB2312" w:cs="宋体"/>
      <w:sz w:val="24"/>
    </w:rPr>
  </w:style>
  <w:style w:type="paragraph" w:customStyle="1" w:styleId="2111">
    <w:name w:val="表题1211"/>
    <w:basedOn w:val="23"/>
    <w:qFormat/>
    <w:uiPriority w:val="0"/>
    <w:pPr>
      <w:widowControl w:val="0"/>
      <w:spacing w:line="360" w:lineRule="auto"/>
      <w:jc w:val="center"/>
    </w:pPr>
    <w:rPr>
      <w:rFonts w:ascii="黑体" w:hAnsi="Arial" w:cs="Arial"/>
      <w:kern w:val="2"/>
    </w:rPr>
  </w:style>
  <w:style w:type="paragraph" w:customStyle="1" w:styleId="2112">
    <w:name w:val="燕山正文211"/>
    <w:basedOn w:val="1"/>
    <w:qFormat/>
    <w:uiPriority w:val="0"/>
    <w:pPr>
      <w:tabs>
        <w:tab w:val="left" w:pos="4680"/>
      </w:tabs>
      <w:adjustRightInd w:val="0"/>
      <w:snapToGrid w:val="0"/>
      <w:spacing w:line="480" w:lineRule="exact"/>
    </w:pPr>
    <w:rPr>
      <w:rFonts w:ascii="宋体" w:hAnsi="宋体" w:cs="宋体"/>
      <w:sz w:val="24"/>
    </w:rPr>
  </w:style>
  <w:style w:type="paragraph" w:customStyle="1" w:styleId="2113">
    <w:name w:val="正文修改211"/>
    <w:basedOn w:val="1180"/>
    <w:qFormat/>
    <w:uiPriority w:val="0"/>
    <w:rPr>
      <w:rFonts w:hAnsi="宋体"/>
      <w:color w:val="000000"/>
    </w:rPr>
  </w:style>
  <w:style w:type="character" w:customStyle="1" w:styleId="2114">
    <w:name w:val="正文修改 Char1211"/>
    <w:qFormat/>
    <w:uiPriority w:val="0"/>
    <w:rPr>
      <w:rFonts w:ascii="宋体" w:hAnsi="宋体" w:eastAsia="宋体" w:cs="宋体"/>
      <w:color w:val="000000"/>
      <w:kern w:val="2"/>
      <w:sz w:val="24"/>
      <w:szCs w:val="24"/>
      <w:lang w:val="en-US" w:eastAsia="zh-CN" w:bidi="ar-SA"/>
    </w:rPr>
  </w:style>
  <w:style w:type="paragraph" w:customStyle="1" w:styleId="2115">
    <w:name w:val="表中文字211"/>
    <w:basedOn w:val="1"/>
    <w:qFormat/>
    <w:uiPriority w:val="0"/>
    <w:pPr>
      <w:widowControl/>
      <w:adjustRightInd w:val="0"/>
      <w:spacing w:line="240" w:lineRule="atLeast"/>
      <w:ind w:right="-42" w:rightChars="-20"/>
      <w:jc w:val="center"/>
      <w:textAlignment w:val="baseline"/>
    </w:pPr>
    <w:rPr>
      <w:rFonts w:ascii="宋体" w:hAnsi="宋体" w:cs="宋体"/>
      <w:kern w:val="0"/>
      <w:szCs w:val="21"/>
    </w:rPr>
  </w:style>
  <w:style w:type="paragraph" w:customStyle="1" w:styleId="2116">
    <w:name w:val="表文字5211"/>
    <w:basedOn w:val="1"/>
    <w:qFormat/>
    <w:uiPriority w:val="0"/>
    <w:pPr>
      <w:adjustRightInd w:val="0"/>
      <w:jc w:val="left"/>
      <w:textAlignment w:val="baseline"/>
    </w:pPr>
    <w:rPr>
      <w:rFonts w:ascii="宋体" w:hAnsi="宋体" w:cs="宋体"/>
      <w:kern w:val="0"/>
    </w:rPr>
  </w:style>
  <w:style w:type="paragraph" w:customStyle="1" w:styleId="2117">
    <w:name w:val="表内文字小31211"/>
    <w:basedOn w:val="1"/>
    <w:qFormat/>
    <w:uiPriority w:val="0"/>
    <w:pPr>
      <w:adjustRightInd w:val="0"/>
      <w:snapToGrid w:val="0"/>
      <w:jc w:val="center"/>
    </w:pPr>
    <w:rPr>
      <w:rFonts w:ascii="宋体" w:hAnsi="Times" w:cs="宋体"/>
      <w:bCs/>
      <w:color w:val="003366"/>
    </w:rPr>
  </w:style>
  <w:style w:type="paragraph" w:customStyle="1" w:styleId="2118">
    <w:name w:val="样式1211"/>
    <w:basedOn w:val="1227"/>
    <w:qFormat/>
    <w:uiPriority w:val="0"/>
    <w:pPr>
      <w:spacing w:line="240" w:lineRule="auto"/>
      <w:ind w:firstLine="0"/>
      <w:jc w:val="center"/>
    </w:pPr>
    <w:rPr>
      <w:rFonts w:cs="Times New Roman"/>
      <w:b/>
      <w:color w:val="auto"/>
      <w:szCs w:val="20"/>
    </w:rPr>
  </w:style>
  <w:style w:type="paragraph" w:customStyle="1" w:styleId="2119">
    <w:name w:val="Char3111"/>
    <w:basedOn w:val="1"/>
    <w:qFormat/>
    <w:uiPriority w:val="0"/>
    <w:pPr>
      <w:ind w:left="-48"/>
    </w:pPr>
    <w:rPr>
      <w:rFonts w:ascii="宋体" w:hAnsi="宋体" w:cs="宋体"/>
    </w:rPr>
  </w:style>
  <w:style w:type="paragraph" w:customStyle="1" w:styleId="2120">
    <w:name w:val="表内文字小2211"/>
    <w:basedOn w:val="1"/>
    <w:qFormat/>
    <w:uiPriority w:val="0"/>
    <w:pPr>
      <w:adjustRightInd w:val="0"/>
      <w:snapToGrid w:val="0"/>
      <w:jc w:val="center"/>
    </w:pPr>
    <w:rPr>
      <w:rFonts w:ascii="宋体" w:hAnsi="Times" w:cs="宋体"/>
      <w:bCs/>
      <w:color w:val="000000"/>
    </w:rPr>
  </w:style>
  <w:style w:type="paragraph" w:customStyle="1" w:styleId="2121">
    <w:name w:val="表内53111"/>
    <w:basedOn w:val="1"/>
    <w:qFormat/>
    <w:uiPriority w:val="0"/>
    <w:pPr>
      <w:adjustRightInd w:val="0"/>
      <w:snapToGrid w:val="0"/>
      <w:spacing w:line="300" w:lineRule="auto"/>
      <w:jc w:val="left"/>
    </w:pPr>
    <w:rPr>
      <w:rFonts w:ascii="宋体" w:hAnsi="宋体" w:cs="宋体"/>
    </w:rPr>
  </w:style>
  <w:style w:type="paragraph" w:customStyle="1" w:styleId="2122">
    <w:name w:val="正文格式2111"/>
    <w:basedOn w:val="1"/>
    <w:qFormat/>
    <w:uiPriority w:val="0"/>
    <w:pPr>
      <w:spacing w:line="360" w:lineRule="auto"/>
      <w:ind w:firstLine="482"/>
    </w:pPr>
    <w:rPr>
      <w:rFonts w:ascii="宋体" w:hAnsi="宋体" w:cs="宋体"/>
      <w:sz w:val="24"/>
    </w:rPr>
  </w:style>
  <w:style w:type="paragraph" w:customStyle="1" w:styleId="2123">
    <w:name w:val="图题2111"/>
    <w:basedOn w:val="315"/>
    <w:next w:val="315"/>
    <w:qFormat/>
    <w:uiPriority w:val="0"/>
    <w:pPr>
      <w:ind w:firstLine="0"/>
      <w:jc w:val="center"/>
    </w:pPr>
    <w:rPr>
      <w:rFonts w:ascii="黑体" w:hAnsi="宋体" w:eastAsia="黑体"/>
      <w:bCs/>
      <w:spacing w:val="0"/>
    </w:rPr>
  </w:style>
  <w:style w:type="paragraph" w:customStyle="1" w:styleId="2124">
    <w:name w:val="表格内字体2111"/>
    <w:basedOn w:val="315"/>
    <w:next w:val="315"/>
    <w:qFormat/>
    <w:uiPriority w:val="0"/>
    <w:pPr>
      <w:spacing w:line="240" w:lineRule="auto"/>
      <w:ind w:firstLine="0"/>
      <w:jc w:val="center"/>
    </w:pPr>
    <w:rPr>
      <w:rFonts w:hAnsi="宋体"/>
      <w:b w:val="0"/>
      <w:spacing w:val="0"/>
      <w:sz w:val="21"/>
    </w:rPr>
  </w:style>
  <w:style w:type="paragraph" w:customStyle="1" w:styleId="2125">
    <w:name w:val="表题11111"/>
    <w:basedOn w:val="23"/>
    <w:qFormat/>
    <w:uiPriority w:val="0"/>
    <w:pPr>
      <w:widowControl w:val="0"/>
      <w:spacing w:line="360" w:lineRule="auto"/>
      <w:jc w:val="center"/>
    </w:pPr>
    <w:rPr>
      <w:rFonts w:ascii="黑体" w:hAnsi="Arial" w:cs="Arial"/>
      <w:kern w:val="2"/>
    </w:rPr>
  </w:style>
  <w:style w:type="paragraph" w:customStyle="1" w:styleId="2126">
    <w:name w:val="表中文字1111"/>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127">
    <w:name w:val="表文字51111"/>
    <w:basedOn w:val="1"/>
    <w:qFormat/>
    <w:uiPriority w:val="0"/>
    <w:pPr>
      <w:adjustRightInd w:val="0"/>
      <w:jc w:val="left"/>
      <w:textAlignment w:val="baseline"/>
    </w:pPr>
    <w:rPr>
      <w:rFonts w:ascii="宋体" w:hAnsi="宋体" w:cs="宋体"/>
      <w:kern w:val="0"/>
    </w:rPr>
  </w:style>
  <w:style w:type="paragraph" w:customStyle="1" w:styleId="2128">
    <w:name w:val="正文格式411"/>
    <w:basedOn w:val="1"/>
    <w:qFormat/>
    <w:uiPriority w:val="0"/>
    <w:pPr>
      <w:spacing w:line="360" w:lineRule="auto"/>
      <w:ind w:firstLine="482"/>
    </w:pPr>
    <w:rPr>
      <w:rFonts w:ascii="宋体" w:hAnsi="宋体" w:cs="宋体"/>
      <w:sz w:val="24"/>
    </w:rPr>
  </w:style>
  <w:style w:type="paragraph" w:customStyle="1" w:styleId="2129">
    <w:name w:val="图题411"/>
    <w:basedOn w:val="315"/>
    <w:next w:val="315"/>
    <w:qFormat/>
    <w:uiPriority w:val="0"/>
    <w:pPr>
      <w:ind w:firstLine="0"/>
      <w:jc w:val="center"/>
    </w:pPr>
    <w:rPr>
      <w:rFonts w:ascii="黑体" w:hAnsi="宋体" w:eastAsia="黑体"/>
      <w:bCs/>
      <w:spacing w:val="0"/>
    </w:rPr>
  </w:style>
  <w:style w:type="paragraph" w:customStyle="1" w:styleId="2130">
    <w:name w:val="表格内字体411"/>
    <w:basedOn w:val="315"/>
    <w:next w:val="315"/>
    <w:qFormat/>
    <w:uiPriority w:val="0"/>
    <w:pPr>
      <w:spacing w:line="240" w:lineRule="auto"/>
      <w:ind w:firstLine="0"/>
      <w:jc w:val="center"/>
    </w:pPr>
    <w:rPr>
      <w:rFonts w:hAnsi="宋体"/>
      <w:b w:val="0"/>
      <w:spacing w:val="0"/>
      <w:sz w:val="21"/>
    </w:rPr>
  </w:style>
  <w:style w:type="paragraph" w:customStyle="1" w:styleId="2131">
    <w:name w:val="Char4111"/>
    <w:basedOn w:val="1"/>
    <w:qFormat/>
    <w:uiPriority w:val="0"/>
    <w:pPr>
      <w:ind w:left="-48"/>
    </w:pPr>
    <w:rPr>
      <w:rFonts w:ascii="宋体" w:hAnsi="宋体" w:cs="宋体"/>
    </w:rPr>
  </w:style>
  <w:style w:type="paragraph" w:customStyle="1" w:styleId="2132">
    <w:name w:val="表题1311"/>
    <w:basedOn w:val="23"/>
    <w:qFormat/>
    <w:uiPriority w:val="0"/>
    <w:pPr>
      <w:widowControl w:val="0"/>
      <w:spacing w:line="360" w:lineRule="auto"/>
      <w:jc w:val="center"/>
    </w:pPr>
    <w:rPr>
      <w:rFonts w:ascii="黑体" w:hAnsi="Arial" w:cs="Arial"/>
      <w:b/>
      <w:kern w:val="2"/>
    </w:rPr>
  </w:style>
  <w:style w:type="paragraph" w:customStyle="1" w:styleId="2133">
    <w:name w:val="默认段落字体 Para Char11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2134">
    <w:name w:val="23-47表名11"/>
    <w:basedOn w:val="1"/>
    <w:qFormat/>
    <w:uiPriority w:val="0"/>
    <w:pPr>
      <w:spacing w:afterLines="50" w:line="440" w:lineRule="exact"/>
      <w:jc w:val="center"/>
    </w:pPr>
    <w:rPr>
      <w:rFonts w:ascii="宋体" w:hAnsi="宋体" w:cs="宋体"/>
      <w:b/>
      <w:sz w:val="24"/>
    </w:rPr>
  </w:style>
  <w:style w:type="paragraph" w:customStyle="1" w:styleId="2135">
    <w:name w:val="xl2411"/>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136">
    <w:name w:val="Char Char Char Char Char Char Char1211"/>
    <w:basedOn w:val="1"/>
    <w:qFormat/>
    <w:uiPriority w:val="0"/>
    <w:rPr>
      <w:rFonts w:ascii="宋体" w:hAnsi="宋体" w:cs="宋体"/>
    </w:rPr>
  </w:style>
  <w:style w:type="paragraph" w:customStyle="1" w:styleId="2137">
    <w:name w:val="Char511"/>
    <w:basedOn w:val="1"/>
    <w:qFormat/>
    <w:uiPriority w:val="0"/>
    <w:pPr>
      <w:adjustRightInd w:val="0"/>
      <w:snapToGrid w:val="0"/>
      <w:ind w:left="-45"/>
    </w:pPr>
    <w:rPr>
      <w:rFonts w:ascii="宋体" w:hAnsi="宋体" w:cs="宋体"/>
    </w:rPr>
  </w:style>
  <w:style w:type="paragraph" w:customStyle="1" w:styleId="2138">
    <w:name w:val="燕山正文11311"/>
    <w:basedOn w:val="1"/>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2139">
    <w:name w:val="正文格式511"/>
    <w:basedOn w:val="1"/>
    <w:qFormat/>
    <w:uiPriority w:val="0"/>
    <w:pPr>
      <w:spacing w:line="360" w:lineRule="auto"/>
      <w:ind w:firstLine="482"/>
    </w:pPr>
    <w:rPr>
      <w:rFonts w:ascii="宋体" w:hAnsi="宋体" w:cs="宋体"/>
      <w:sz w:val="24"/>
    </w:rPr>
  </w:style>
  <w:style w:type="paragraph" w:customStyle="1" w:styleId="2140">
    <w:name w:val="Char3211"/>
    <w:basedOn w:val="1"/>
    <w:qFormat/>
    <w:uiPriority w:val="0"/>
    <w:pPr>
      <w:ind w:left="-48"/>
    </w:pPr>
    <w:rPr>
      <w:rFonts w:ascii="宋体" w:hAnsi="宋体" w:cs="宋体"/>
    </w:rPr>
  </w:style>
  <w:style w:type="character" w:customStyle="1" w:styleId="2141">
    <w:name w:val="题注 Char311"/>
    <w:qFormat/>
    <w:uiPriority w:val="0"/>
    <w:rPr>
      <w:rFonts w:ascii="黑体" w:hAnsi="Arial" w:eastAsia="黑体" w:cs="Arial"/>
      <w:spacing w:val="10"/>
      <w:kern w:val="2"/>
      <w:sz w:val="24"/>
      <w:szCs w:val="24"/>
      <w:lang w:val="en-US" w:eastAsia="zh-CN" w:bidi="ar-SA"/>
    </w:rPr>
  </w:style>
  <w:style w:type="paragraph" w:customStyle="1" w:styleId="2142">
    <w:name w:val="图题511"/>
    <w:basedOn w:val="315"/>
    <w:next w:val="315"/>
    <w:qFormat/>
    <w:uiPriority w:val="0"/>
    <w:pPr>
      <w:ind w:firstLine="0"/>
      <w:jc w:val="center"/>
    </w:pPr>
    <w:rPr>
      <w:rFonts w:ascii="黑体" w:hAnsi="宋体" w:eastAsia="黑体"/>
      <w:bCs/>
      <w:spacing w:val="0"/>
    </w:rPr>
  </w:style>
  <w:style w:type="paragraph" w:customStyle="1" w:styleId="2143">
    <w:name w:val="表格内字体511"/>
    <w:basedOn w:val="315"/>
    <w:next w:val="315"/>
    <w:qFormat/>
    <w:uiPriority w:val="0"/>
    <w:pPr>
      <w:adjustRightInd w:val="0"/>
      <w:snapToGrid w:val="0"/>
      <w:spacing w:line="240" w:lineRule="auto"/>
      <w:ind w:firstLine="0"/>
    </w:pPr>
    <w:rPr>
      <w:rFonts w:hAnsi="宋体"/>
      <w:b w:val="0"/>
      <w:spacing w:val="0"/>
      <w:sz w:val="21"/>
    </w:rPr>
  </w:style>
  <w:style w:type="paragraph" w:customStyle="1" w:styleId="2144">
    <w:name w:val="表311"/>
    <w:basedOn w:val="1"/>
    <w:qFormat/>
    <w:uiPriority w:val="0"/>
    <w:pPr>
      <w:adjustRightInd w:val="0"/>
      <w:snapToGrid w:val="0"/>
      <w:jc w:val="center"/>
    </w:pPr>
    <w:rPr>
      <w:rFonts w:ascii="宋体" w:hAnsi="宋体" w:eastAsia="仿宋_GB2312" w:cs="宋体"/>
      <w:sz w:val="24"/>
    </w:rPr>
  </w:style>
  <w:style w:type="paragraph" w:customStyle="1" w:styleId="2145">
    <w:name w:val="正文.11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146">
    <w:name w:val="文本框111"/>
    <w:basedOn w:val="1"/>
    <w:qFormat/>
    <w:uiPriority w:val="0"/>
    <w:pPr>
      <w:adjustRightInd w:val="0"/>
      <w:snapToGrid w:val="0"/>
      <w:spacing w:after="6"/>
      <w:jc w:val="center"/>
    </w:pPr>
    <w:rPr>
      <w:rFonts w:ascii="宋体" w:hAnsi="宋体" w:eastAsia="仿宋_GB2312" w:cs="宋体"/>
    </w:rPr>
  </w:style>
  <w:style w:type="paragraph" w:customStyle="1" w:styleId="2147">
    <w:name w:val="表内宋511111"/>
    <w:basedOn w:val="81"/>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2148">
    <w:name w:val="表内文字小31311"/>
    <w:basedOn w:val="1"/>
    <w:qFormat/>
    <w:uiPriority w:val="0"/>
    <w:pPr>
      <w:adjustRightInd w:val="0"/>
      <w:snapToGrid w:val="0"/>
      <w:jc w:val="center"/>
    </w:pPr>
    <w:rPr>
      <w:rFonts w:ascii="宋体" w:hAnsi="Times" w:cs="宋体"/>
      <w:bCs/>
      <w:color w:val="003366"/>
    </w:rPr>
  </w:style>
  <w:style w:type="paragraph" w:customStyle="1" w:styleId="2149">
    <w:name w:val="表文字5311"/>
    <w:basedOn w:val="1"/>
    <w:qFormat/>
    <w:uiPriority w:val="0"/>
    <w:pPr>
      <w:adjustRightInd w:val="0"/>
      <w:jc w:val="left"/>
      <w:textAlignment w:val="baseline"/>
    </w:pPr>
    <w:rPr>
      <w:rFonts w:ascii="宋体" w:hAnsi="宋体" w:cs="宋体"/>
      <w:kern w:val="0"/>
    </w:rPr>
  </w:style>
  <w:style w:type="paragraph" w:customStyle="1" w:styleId="2150">
    <w:name w:val="Char Char Char Char Char Char Char2111"/>
    <w:basedOn w:val="1"/>
    <w:qFormat/>
    <w:uiPriority w:val="0"/>
    <w:rPr>
      <w:rFonts w:ascii="宋体" w:hAnsi="宋体" w:cs="宋体"/>
    </w:rPr>
  </w:style>
  <w:style w:type="paragraph" w:customStyle="1" w:styleId="2151">
    <w:name w:val="表题31311"/>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152">
    <w:name w:val="表内文字小21311"/>
    <w:basedOn w:val="1"/>
    <w:qFormat/>
    <w:uiPriority w:val="0"/>
    <w:pPr>
      <w:adjustRightInd w:val="0"/>
      <w:snapToGrid w:val="0"/>
      <w:jc w:val="center"/>
      <w:textAlignment w:val="baseline"/>
    </w:pPr>
    <w:rPr>
      <w:rFonts w:ascii="宋体" w:hAnsi="Times" w:cs="宋体"/>
      <w:bCs/>
      <w:color w:val="000000"/>
    </w:rPr>
  </w:style>
  <w:style w:type="paragraph" w:customStyle="1" w:styleId="2153">
    <w:name w:val="燕山正文311"/>
    <w:basedOn w:val="1"/>
    <w:qFormat/>
    <w:uiPriority w:val="0"/>
    <w:pPr>
      <w:tabs>
        <w:tab w:val="left" w:pos="4680"/>
      </w:tabs>
      <w:adjustRightInd w:val="0"/>
      <w:snapToGrid w:val="0"/>
      <w:spacing w:line="480" w:lineRule="exact"/>
    </w:pPr>
    <w:rPr>
      <w:rFonts w:ascii="宋体" w:hAnsi="宋体" w:cs="宋体"/>
      <w:sz w:val="24"/>
    </w:rPr>
  </w:style>
  <w:style w:type="paragraph" w:customStyle="1" w:styleId="2154">
    <w:name w:val="正文修改311"/>
    <w:basedOn w:val="1180"/>
    <w:qFormat/>
    <w:uiPriority w:val="0"/>
    <w:rPr>
      <w:rFonts w:hAnsi="宋体"/>
      <w:color w:val="000000"/>
    </w:rPr>
  </w:style>
  <w:style w:type="character" w:customStyle="1" w:styleId="2155">
    <w:name w:val="正文修改 Char1311"/>
    <w:qFormat/>
    <w:uiPriority w:val="0"/>
    <w:rPr>
      <w:rFonts w:ascii="宋体" w:hAnsi="宋体" w:eastAsia="宋体" w:cs="宋体"/>
      <w:color w:val="000000"/>
      <w:kern w:val="2"/>
      <w:sz w:val="24"/>
      <w:szCs w:val="24"/>
      <w:lang w:val="en-US" w:eastAsia="zh-CN" w:bidi="ar-SA"/>
    </w:rPr>
  </w:style>
  <w:style w:type="paragraph" w:customStyle="1" w:styleId="2156">
    <w:name w:val="表题1421"/>
    <w:basedOn w:val="23"/>
    <w:qFormat/>
    <w:uiPriority w:val="0"/>
    <w:pPr>
      <w:widowControl w:val="0"/>
      <w:spacing w:line="360" w:lineRule="auto"/>
      <w:jc w:val="center"/>
    </w:pPr>
    <w:rPr>
      <w:rFonts w:ascii="黑体" w:hAnsi="Arial" w:cs="Arial"/>
      <w:b/>
      <w:kern w:val="2"/>
    </w:rPr>
  </w:style>
  <w:style w:type="character" w:customStyle="1" w:styleId="2157">
    <w:name w:val="表题1 Char411"/>
    <w:qFormat/>
    <w:uiPriority w:val="0"/>
    <w:rPr>
      <w:rFonts w:ascii="黑体" w:hAnsi="Arial" w:eastAsia="黑体" w:cs="Arial"/>
      <w:b/>
      <w:kern w:val="2"/>
      <w:sz w:val="24"/>
      <w:szCs w:val="24"/>
      <w:lang w:val="en-US" w:eastAsia="zh-CN" w:bidi="ar-SA"/>
    </w:rPr>
  </w:style>
  <w:style w:type="paragraph" w:customStyle="1" w:styleId="2158">
    <w:name w:val="表中文字311"/>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159">
    <w:name w:val="黑体三号311"/>
    <w:basedOn w:val="315"/>
    <w:qFormat/>
    <w:uiPriority w:val="0"/>
    <w:pPr>
      <w:jc w:val="center"/>
    </w:pPr>
    <w:rPr>
      <w:rFonts w:ascii="黑体" w:hAnsi="宋体" w:eastAsia="黑体"/>
      <w:bCs/>
      <w:spacing w:val="0"/>
      <w:sz w:val="32"/>
    </w:rPr>
  </w:style>
  <w:style w:type="paragraph" w:customStyle="1" w:styleId="2160">
    <w:name w:val="默认段落字体 Para Char Char Char Char311"/>
    <w:basedOn w:val="1"/>
    <w:qFormat/>
    <w:uiPriority w:val="0"/>
    <w:rPr>
      <w:rFonts w:ascii="宋体" w:hAnsi="宋体" w:cs="宋体"/>
    </w:rPr>
  </w:style>
  <w:style w:type="paragraph" w:customStyle="1" w:styleId="2161">
    <w:name w:val="表内541311"/>
    <w:basedOn w:val="1"/>
    <w:qFormat/>
    <w:uiPriority w:val="0"/>
    <w:pPr>
      <w:adjustRightInd w:val="0"/>
      <w:snapToGrid w:val="0"/>
      <w:spacing w:line="300" w:lineRule="auto"/>
      <w:jc w:val="center"/>
    </w:pPr>
    <w:rPr>
      <w:rFonts w:ascii="宋体" w:hAnsi="宋体" w:cs="宋体"/>
    </w:rPr>
  </w:style>
  <w:style w:type="paragraph" w:customStyle="1" w:styleId="2162">
    <w:name w:val="标题421"/>
    <w:basedOn w:val="1"/>
    <w:qFormat/>
    <w:uiPriority w:val="0"/>
    <w:pPr>
      <w:adjustRightInd w:val="0"/>
      <w:snapToGrid w:val="0"/>
      <w:spacing w:line="300" w:lineRule="auto"/>
      <w:jc w:val="left"/>
    </w:pPr>
    <w:rPr>
      <w:rFonts w:ascii="黑体" w:hAnsi="宋体" w:eastAsia="黑体" w:cs="宋体"/>
      <w:bCs/>
      <w:sz w:val="24"/>
    </w:rPr>
  </w:style>
  <w:style w:type="paragraph" w:customStyle="1" w:styleId="2163">
    <w:name w:val="Char611"/>
    <w:basedOn w:val="1"/>
    <w:qFormat/>
    <w:uiPriority w:val="0"/>
    <w:pPr>
      <w:adjustRightInd w:val="0"/>
      <w:snapToGrid w:val="0"/>
      <w:spacing w:beforeLines="50" w:line="360" w:lineRule="auto"/>
    </w:pPr>
    <w:rPr>
      <w:rFonts w:ascii="黑体" w:hAnsi="宋体" w:eastAsia="黑体" w:cs="宋体"/>
      <w:sz w:val="32"/>
      <w:szCs w:val="32"/>
    </w:rPr>
  </w:style>
  <w:style w:type="paragraph" w:customStyle="1" w:styleId="2164">
    <w:name w:val="表题21111"/>
    <w:basedOn w:val="1"/>
    <w:qFormat/>
    <w:uiPriority w:val="0"/>
    <w:pPr>
      <w:widowControl/>
      <w:adjustRightInd w:val="0"/>
      <w:snapToGrid w:val="0"/>
      <w:jc w:val="center"/>
    </w:pPr>
    <w:rPr>
      <w:rFonts w:ascii="黑体" w:hAnsi="宋体" w:eastAsia="黑体" w:cs="宋体"/>
      <w:kern w:val="0"/>
      <w:sz w:val="24"/>
    </w:rPr>
  </w:style>
  <w:style w:type="paragraph" w:customStyle="1" w:styleId="2165">
    <w:name w:val="表内宋5中1111"/>
    <w:basedOn w:val="1"/>
    <w:qFormat/>
    <w:uiPriority w:val="0"/>
    <w:pPr>
      <w:adjustRightInd w:val="0"/>
      <w:snapToGrid w:val="0"/>
      <w:jc w:val="center"/>
      <w:textAlignment w:val="baseline"/>
    </w:pPr>
    <w:rPr>
      <w:rFonts w:ascii="宋体" w:hAnsi="宋体" w:cs="宋体"/>
      <w:kern w:val="0"/>
    </w:rPr>
  </w:style>
  <w:style w:type="paragraph" w:customStyle="1" w:styleId="2166">
    <w:name w:val="表内宋5中121"/>
    <w:basedOn w:val="1"/>
    <w:qFormat/>
    <w:uiPriority w:val="0"/>
    <w:pPr>
      <w:adjustRightInd w:val="0"/>
      <w:snapToGrid w:val="0"/>
      <w:jc w:val="center"/>
      <w:textAlignment w:val="baseline"/>
    </w:pPr>
    <w:rPr>
      <w:rFonts w:ascii="宋体" w:hAnsi="宋体" w:cs="宋体"/>
      <w:kern w:val="0"/>
    </w:rPr>
  </w:style>
  <w:style w:type="paragraph" w:customStyle="1" w:styleId="2167">
    <w:name w:val="表内文字小1111"/>
    <w:basedOn w:val="1"/>
    <w:qFormat/>
    <w:uiPriority w:val="0"/>
    <w:pPr>
      <w:adjustRightInd w:val="0"/>
      <w:snapToGrid w:val="0"/>
    </w:pPr>
    <w:rPr>
      <w:rFonts w:ascii="宋体" w:hAnsi="Times" w:cs="宋体"/>
    </w:rPr>
  </w:style>
  <w:style w:type="paragraph" w:customStyle="1" w:styleId="2168">
    <w:name w:val="标题41111"/>
    <w:basedOn w:val="1"/>
    <w:qFormat/>
    <w:uiPriority w:val="0"/>
    <w:pPr>
      <w:adjustRightInd w:val="0"/>
      <w:snapToGrid w:val="0"/>
      <w:spacing w:line="300" w:lineRule="auto"/>
      <w:jc w:val="left"/>
    </w:pPr>
    <w:rPr>
      <w:rFonts w:ascii="黑体" w:hAnsi="宋体" w:eastAsia="黑体" w:cs="宋体"/>
      <w:bCs/>
      <w:sz w:val="24"/>
    </w:rPr>
  </w:style>
  <w:style w:type="paragraph" w:customStyle="1" w:styleId="2169">
    <w:name w:val="表题14111"/>
    <w:basedOn w:val="1"/>
    <w:qFormat/>
    <w:uiPriority w:val="0"/>
    <w:pPr>
      <w:widowControl/>
      <w:adjustRightInd w:val="0"/>
      <w:snapToGrid w:val="0"/>
      <w:jc w:val="center"/>
    </w:pPr>
    <w:rPr>
      <w:rFonts w:ascii="黑体" w:hAnsi="宋体" w:eastAsia="黑体" w:cs="宋体"/>
      <w:kern w:val="0"/>
      <w:sz w:val="24"/>
    </w:rPr>
  </w:style>
  <w:style w:type="paragraph" w:customStyle="1" w:styleId="2170">
    <w:name w:val="表内文字小811"/>
    <w:basedOn w:val="1"/>
    <w:qFormat/>
    <w:uiPriority w:val="0"/>
    <w:pPr>
      <w:adjustRightInd w:val="0"/>
      <w:snapToGrid w:val="0"/>
      <w:jc w:val="center"/>
    </w:pPr>
    <w:rPr>
      <w:rFonts w:ascii="宋体" w:hAnsi="Times" w:cs="宋体"/>
    </w:rPr>
  </w:style>
  <w:style w:type="paragraph" w:customStyle="1" w:styleId="2171">
    <w:name w:val="默认段落字体 Para Char21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2172">
    <w:name w:val="Default11"/>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173">
    <w:name w:val="正文格式611"/>
    <w:basedOn w:val="1"/>
    <w:qFormat/>
    <w:uiPriority w:val="0"/>
    <w:pPr>
      <w:spacing w:line="360" w:lineRule="auto"/>
      <w:ind w:firstLine="482"/>
    </w:pPr>
    <w:rPr>
      <w:rFonts w:ascii="宋体" w:hAnsi="宋体" w:cs="宋体"/>
      <w:sz w:val="24"/>
    </w:rPr>
  </w:style>
  <w:style w:type="paragraph" w:customStyle="1" w:styleId="2174">
    <w:name w:val="附件311"/>
    <w:basedOn w:val="4"/>
    <w:next w:val="315"/>
    <w:qFormat/>
    <w:uiPriority w:val="0"/>
    <w:pPr>
      <w:keepLines/>
      <w:widowControl w:val="0"/>
      <w:numPr>
        <w:numId w:val="0"/>
      </w:numPr>
      <w:tabs>
        <w:tab w:val="left" w:pos="1566"/>
      </w:tabs>
      <w:adjustRightInd w:val="0"/>
      <w:snapToGrid w:val="0"/>
      <w:spacing w:after="120"/>
    </w:pPr>
    <w:rPr>
      <w:rFonts w:ascii="黑体" w:eastAsia="黑体"/>
      <w:bCs/>
      <w:kern w:val="44"/>
      <w:szCs w:val="32"/>
    </w:rPr>
  </w:style>
  <w:style w:type="paragraph" w:customStyle="1" w:styleId="2175">
    <w:name w:val="图题611"/>
    <w:basedOn w:val="315"/>
    <w:next w:val="315"/>
    <w:qFormat/>
    <w:uiPriority w:val="0"/>
    <w:pPr>
      <w:ind w:firstLine="0"/>
      <w:jc w:val="center"/>
    </w:pPr>
    <w:rPr>
      <w:rFonts w:ascii="黑体" w:hAnsi="宋体" w:eastAsia="黑体"/>
      <w:bCs/>
      <w:spacing w:val="0"/>
      <w:kern w:val="0"/>
    </w:rPr>
  </w:style>
  <w:style w:type="paragraph" w:customStyle="1" w:styleId="2176">
    <w:name w:val="表格内字体611"/>
    <w:basedOn w:val="315"/>
    <w:next w:val="315"/>
    <w:qFormat/>
    <w:uiPriority w:val="0"/>
    <w:pPr>
      <w:spacing w:line="240" w:lineRule="auto"/>
      <w:ind w:firstLine="0"/>
      <w:jc w:val="center"/>
    </w:pPr>
    <w:rPr>
      <w:rFonts w:hAnsi="宋体"/>
      <w:b w:val="0"/>
      <w:spacing w:val="0"/>
      <w:sz w:val="21"/>
    </w:rPr>
  </w:style>
  <w:style w:type="paragraph" w:customStyle="1" w:styleId="2177">
    <w:name w:val="黑体三号411"/>
    <w:basedOn w:val="315"/>
    <w:qFormat/>
    <w:uiPriority w:val="0"/>
    <w:pPr>
      <w:jc w:val="center"/>
    </w:pPr>
    <w:rPr>
      <w:rFonts w:ascii="黑体" w:hAnsi="宋体" w:eastAsia="黑体"/>
      <w:bCs/>
      <w:spacing w:val="0"/>
      <w:sz w:val="32"/>
    </w:rPr>
  </w:style>
  <w:style w:type="paragraph" w:customStyle="1" w:styleId="2178">
    <w:name w:val="默认段落字体 Para Char Char Char Char411"/>
    <w:basedOn w:val="1"/>
    <w:qFormat/>
    <w:uiPriority w:val="0"/>
    <w:rPr>
      <w:rFonts w:ascii="宋体" w:hAnsi="宋体" w:cs="宋体"/>
    </w:rPr>
  </w:style>
  <w:style w:type="paragraph" w:customStyle="1" w:styleId="2179">
    <w:name w:val="图表题11"/>
    <w:basedOn w:val="315"/>
    <w:next w:val="315"/>
    <w:qFormat/>
    <w:uiPriority w:val="0"/>
    <w:pPr>
      <w:ind w:firstLine="0"/>
      <w:jc w:val="center"/>
    </w:pPr>
    <w:rPr>
      <w:rFonts w:ascii="黑体" w:hAnsi="宋体" w:eastAsia="黑体"/>
      <w:bCs/>
      <w:spacing w:val="0"/>
    </w:rPr>
  </w:style>
  <w:style w:type="character" w:customStyle="1" w:styleId="2180">
    <w:name w:val="图表题 Char11"/>
    <w:qFormat/>
    <w:uiPriority w:val="0"/>
    <w:rPr>
      <w:rFonts w:ascii="黑体" w:hAnsi="宋体" w:eastAsia="黑体" w:cs="宋体"/>
      <w:bCs/>
      <w:spacing w:val="10"/>
      <w:kern w:val="2"/>
      <w:sz w:val="24"/>
      <w:szCs w:val="24"/>
      <w:lang w:val="en-US" w:eastAsia="zh-CN" w:bidi="ar-SA"/>
    </w:rPr>
  </w:style>
  <w:style w:type="paragraph" w:customStyle="1" w:styleId="2181">
    <w:name w:val="样式 表格内字体 +11"/>
    <w:basedOn w:val="1177"/>
    <w:qFormat/>
    <w:uiPriority w:val="0"/>
    <w:pPr>
      <w:spacing w:line="280" w:lineRule="exact"/>
      <w:ind w:firstLine="36"/>
      <w:jc w:val="both"/>
    </w:pPr>
    <w:rPr>
      <w:kern w:val="0"/>
    </w:rPr>
  </w:style>
  <w:style w:type="character" w:customStyle="1" w:styleId="2182">
    <w:name w:val="样式 表格内字体 + Char11"/>
    <w:basedOn w:val="1178"/>
    <w:qFormat/>
    <w:uiPriority w:val="0"/>
  </w:style>
  <w:style w:type="paragraph" w:customStyle="1" w:styleId="2183">
    <w:name w:val="A正文11"/>
    <w:basedOn w:val="1"/>
    <w:qFormat/>
    <w:uiPriority w:val="0"/>
    <w:pPr>
      <w:widowControl/>
      <w:overflowPunct w:val="0"/>
      <w:autoSpaceDE w:val="0"/>
      <w:autoSpaceDN w:val="0"/>
      <w:adjustRightInd w:val="0"/>
      <w:spacing w:line="360" w:lineRule="auto"/>
      <w:ind w:firstLine="200" w:firstLineChars="200"/>
      <w:jc w:val="left"/>
      <w:textAlignment w:val="baseline"/>
    </w:pPr>
    <w:rPr>
      <w:rFonts w:ascii="宋体" w:hAnsi="宋体" w:eastAsia="仿宋_GB2312" w:cs="宋体"/>
      <w:kern w:val="0"/>
      <w:sz w:val="24"/>
    </w:rPr>
  </w:style>
  <w:style w:type="paragraph" w:customStyle="1" w:styleId="2184">
    <w:name w:val="图题注11"/>
    <w:basedOn w:val="23"/>
    <w:qFormat/>
    <w:uiPriority w:val="0"/>
    <w:pPr>
      <w:widowControl w:val="0"/>
      <w:jc w:val="center"/>
    </w:pPr>
    <w:rPr>
      <w:rFonts w:ascii="黑体" w:hAnsi="Arial"/>
      <w:b/>
      <w:bCs/>
      <w:kern w:val="2"/>
    </w:rPr>
  </w:style>
  <w:style w:type="paragraph" w:customStyle="1" w:styleId="2185">
    <w:name w:val="Char711"/>
    <w:basedOn w:val="1"/>
    <w:qFormat/>
    <w:uiPriority w:val="0"/>
    <w:pPr>
      <w:ind w:left="-48"/>
    </w:pPr>
    <w:rPr>
      <w:rFonts w:ascii="宋体" w:hAnsi="宋体" w:cs="宋体"/>
    </w:rPr>
  </w:style>
  <w:style w:type="paragraph" w:customStyle="1" w:styleId="2186">
    <w:name w:val="表格内字体1111"/>
    <w:basedOn w:val="315"/>
    <w:qFormat/>
    <w:uiPriority w:val="0"/>
    <w:pPr>
      <w:spacing w:line="240" w:lineRule="auto"/>
      <w:ind w:firstLine="0"/>
      <w:jc w:val="center"/>
    </w:pPr>
    <w:rPr>
      <w:rFonts w:hAnsi="Times New Roman"/>
      <w:b w:val="0"/>
      <w:spacing w:val="0"/>
      <w:sz w:val="21"/>
    </w:rPr>
  </w:style>
  <w:style w:type="paragraph" w:customStyle="1" w:styleId="2187">
    <w:name w:val="样式 正文缩进 + 宋体 黑色 首行缩进:  2 字符11"/>
    <w:basedOn w:val="6"/>
    <w:qFormat/>
    <w:uiPriority w:val="0"/>
    <w:pPr>
      <w:adjustRightInd/>
      <w:snapToGrid/>
      <w:spacing w:line="360" w:lineRule="auto"/>
      <w:ind w:firstLine="480"/>
      <w:jc w:val="left"/>
    </w:pPr>
    <w:rPr>
      <w:rFonts w:ascii="宋体" w:hAnsi="宋体" w:eastAsia="宋体" w:cs="宋体"/>
      <w:color w:val="FF00FF"/>
      <w:sz w:val="24"/>
      <w:szCs w:val="20"/>
    </w:rPr>
  </w:style>
  <w:style w:type="paragraph" w:customStyle="1" w:styleId="2188">
    <w:name w:val="环评正文11"/>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2189">
    <w:name w:val="注释11"/>
    <w:basedOn w:val="315"/>
    <w:next w:val="35"/>
    <w:qFormat/>
    <w:uiPriority w:val="0"/>
    <w:pPr>
      <w:spacing w:before="120" w:after="120" w:line="240" w:lineRule="auto"/>
      <w:ind w:firstLine="200" w:firstLineChars="200"/>
    </w:pPr>
    <w:rPr>
      <w:rFonts w:hAnsi="Times New Roman"/>
      <w:b w:val="0"/>
      <w:spacing w:val="0"/>
      <w:sz w:val="21"/>
    </w:rPr>
  </w:style>
  <w:style w:type="paragraph" w:customStyle="1" w:styleId="2190">
    <w:name w:val="样式411"/>
    <w:basedOn w:val="35"/>
    <w:qFormat/>
    <w:uiPriority w:val="0"/>
    <w:pPr>
      <w:tabs>
        <w:tab w:val="left" w:pos="1820"/>
      </w:tabs>
      <w:snapToGrid w:val="0"/>
      <w:spacing w:after="0" w:line="240" w:lineRule="atLeast"/>
      <w:jc w:val="center"/>
    </w:pPr>
    <w:rPr>
      <w:rFonts w:ascii="Calibri" w:hAnsi="Calibri" w:eastAsia="幼圆" w:cs="宋体"/>
      <w:kern w:val="0"/>
    </w:rPr>
  </w:style>
  <w:style w:type="paragraph" w:customStyle="1" w:styleId="2191">
    <w:name w:val="标题4121"/>
    <w:basedOn w:val="8"/>
    <w:next w:val="1"/>
    <w:qFormat/>
    <w:uiPriority w:val="0"/>
    <w:pPr>
      <w:widowControl w:val="0"/>
      <w:tabs>
        <w:tab w:val="clear" w:pos="1276"/>
      </w:tabs>
      <w:spacing w:before="160" w:after="170"/>
      <w:ind w:left="0" w:firstLine="0"/>
      <w:jc w:val="both"/>
    </w:pPr>
    <w:rPr>
      <w:rFonts w:ascii="黑体" w:eastAsia="黑体"/>
    </w:rPr>
  </w:style>
  <w:style w:type="paragraph" w:customStyle="1" w:styleId="2192">
    <w:name w:val="表中文字411"/>
    <w:basedOn w:val="1"/>
    <w:qFormat/>
    <w:uiPriority w:val="0"/>
    <w:pPr>
      <w:snapToGrid w:val="0"/>
      <w:spacing w:line="340" w:lineRule="exact"/>
      <w:ind w:firstLine="480" w:firstLineChars="200"/>
      <w:jc w:val="center"/>
    </w:pPr>
    <w:rPr>
      <w:rFonts w:ascii="Arial" w:hAnsi="Arial" w:cs="宋体"/>
      <w:kern w:val="0"/>
      <w:sz w:val="24"/>
      <w:lang w:eastAsia="zh-TW"/>
    </w:rPr>
  </w:style>
  <w:style w:type="paragraph" w:customStyle="1" w:styleId="2193">
    <w:name w:val="样式 正文缩进 + 宋体 黑色11"/>
    <w:basedOn w:val="6"/>
    <w:qFormat/>
    <w:uiPriority w:val="0"/>
    <w:pPr>
      <w:adjustRightInd/>
      <w:snapToGrid/>
      <w:spacing w:line="360" w:lineRule="auto"/>
      <w:jc w:val="left"/>
    </w:pPr>
    <w:rPr>
      <w:rFonts w:ascii="宋体" w:hAnsi="宋体" w:eastAsia="宋体" w:cs="宋体"/>
      <w:sz w:val="24"/>
    </w:rPr>
  </w:style>
  <w:style w:type="paragraph" w:customStyle="1" w:styleId="2194">
    <w:name w:val="表内5111"/>
    <w:basedOn w:val="1"/>
    <w:qFormat/>
    <w:uiPriority w:val="0"/>
    <w:pPr>
      <w:adjustRightInd w:val="0"/>
      <w:snapToGrid w:val="0"/>
      <w:jc w:val="center"/>
    </w:pPr>
    <w:rPr>
      <w:rFonts w:ascii="宋体" w:hAnsi="宋体" w:cs="宋体"/>
      <w:kern w:val="0"/>
      <w:sz w:val="24"/>
    </w:rPr>
  </w:style>
  <w:style w:type="paragraph" w:customStyle="1" w:styleId="2195">
    <w:name w:val="样式 样式 宋体 + 首行缩进:  2 字符111"/>
    <w:basedOn w:val="1"/>
    <w:qFormat/>
    <w:uiPriority w:val="0"/>
    <w:pPr>
      <w:spacing w:line="360" w:lineRule="auto"/>
      <w:ind w:firstLine="480" w:firstLineChars="200"/>
      <w:jc w:val="left"/>
    </w:pPr>
    <w:rPr>
      <w:rFonts w:ascii="宋体" w:hAnsi="宋体" w:cs="宋体"/>
      <w:sz w:val="24"/>
    </w:rPr>
  </w:style>
  <w:style w:type="paragraph" w:customStyle="1" w:styleId="2196">
    <w:name w:val="表内宋5中211"/>
    <w:basedOn w:val="1"/>
    <w:qFormat/>
    <w:uiPriority w:val="0"/>
    <w:pPr>
      <w:adjustRightInd w:val="0"/>
      <w:snapToGrid w:val="0"/>
      <w:jc w:val="center"/>
      <w:textAlignment w:val="baseline"/>
    </w:pPr>
    <w:rPr>
      <w:rFonts w:ascii="宋体" w:hAnsi="宋体" w:cs="宋体"/>
      <w:kern w:val="0"/>
    </w:rPr>
  </w:style>
  <w:style w:type="paragraph" w:customStyle="1" w:styleId="2197">
    <w:name w:val="xl6311"/>
    <w:basedOn w:val="1"/>
    <w:qFormat/>
    <w:uiPriority w:val="0"/>
    <w:pPr>
      <w:widowControl/>
      <w:spacing w:before="100" w:beforeAutospacing="1" w:after="100" w:afterAutospacing="1"/>
      <w:jc w:val="center"/>
      <w:textAlignment w:val="center"/>
    </w:pPr>
    <w:rPr>
      <w:rFonts w:hint="eastAsia" w:ascii="黑体" w:hAnsi="宋体" w:eastAsia="黑体" w:cs="宋体"/>
      <w:kern w:val="0"/>
      <w:sz w:val="24"/>
    </w:rPr>
  </w:style>
  <w:style w:type="paragraph" w:customStyle="1" w:styleId="2198">
    <w:name w:val="标准11"/>
    <w:basedOn w:val="1"/>
    <w:qFormat/>
    <w:uiPriority w:val="0"/>
    <w:pPr>
      <w:adjustRightInd w:val="0"/>
      <w:spacing w:before="120" w:line="336" w:lineRule="auto"/>
      <w:jc w:val="center"/>
      <w:textAlignment w:val="baseline"/>
    </w:pPr>
    <w:rPr>
      <w:rFonts w:ascii="黑体" w:hAnsi="宋体" w:eastAsia="黑体" w:cs="宋体"/>
    </w:rPr>
  </w:style>
  <w:style w:type="paragraph" w:customStyle="1" w:styleId="2199">
    <w:name w:val="Fax Header11"/>
    <w:basedOn w:val="1"/>
    <w:qFormat/>
    <w:uiPriority w:val="0"/>
    <w:pPr>
      <w:widowControl/>
      <w:spacing w:before="240" w:after="60"/>
      <w:jc w:val="left"/>
    </w:pPr>
    <w:rPr>
      <w:rFonts w:ascii="宋体" w:hAnsi="宋体" w:cs="宋体"/>
      <w:kern w:val="0"/>
      <w:sz w:val="24"/>
    </w:rPr>
  </w:style>
  <w:style w:type="paragraph" w:customStyle="1" w:styleId="2200">
    <w:name w:val="样式 表格内字体1 +11"/>
    <w:basedOn w:val="1264"/>
    <w:next w:val="1177"/>
    <w:qFormat/>
    <w:uiPriority w:val="0"/>
    <w:rPr>
      <w:rFonts w:hAnsi="Times New Roman"/>
    </w:rPr>
  </w:style>
  <w:style w:type="paragraph" w:customStyle="1" w:styleId="2201">
    <w:name w:val="默认段落字体 Para Char311"/>
    <w:basedOn w:val="1"/>
    <w:qFormat/>
    <w:uiPriority w:val="0"/>
    <w:pPr>
      <w:spacing w:line="360" w:lineRule="auto"/>
      <w:ind w:firstLine="200" w:firstLineChars="200"/>
    </w:pPr>
    <w:rPr>
      <w:rFonts w:ascii="宋体" w:hAnsi="宋体" w:cs="宋体"/>
      <w:sz w:val="24"/>
    </w:rPr>
  </w:style>
  <w:style w:type="paragraph" w:customStyle="1" w:styleId="2202">
    <w:name w:val="正文斜体11"/>
    <w:basedOn w:val="315"/>
    <w:next w:val="315"/>
    <w:qFormat/>
    <w:uiPriority w:val="0"/>
    <w:rPr>
      <w:rFonts w:hAnsi="宋体"/>
      <w:b w:val="0"/>
      <w:i/>
      <w:iCs/>
      <w:spacing w:val="0"/>
    </w:rPr>
  </w:style>
  <w:style w:type="character" w:customStyle="1" w:styleId="2203">
    <w:name w:val="正文斜体 Char11"/>
    <w:qFormat/>
    <w:uiPriority w:val="0"/>
    <w:rPr>
      <w:rFonts w:ascii="宋体" w:hAnsi="宋体" w:eastAsia="宋体" w:cs="宋体"/>
      <w:b/>
      <w:i/>
      <w:iCs/>
      <w:spacing w:val="10"/>
      <w:kern w:val="2"/>
      <w:sz w:val="24"/>
      <w:szCs w:val="24"/>
      <w:lang w:val="en-US" w:eastAsia="zh-CN" w:bidi="ar-SA"/>
    </w:rPr>
  </w:style>
  <w:style w:type="paragraph" w:customStyle="1" w:styleId="2204">
    <w:name w:val="Char811"/>
    <w:basedOn w:val="1"/>
    <w:qFormat/>
    <w:uiPriority w:val="0"/>
    <w:pPr>
      <w:ind w:left="-48"/>
    </w:pPr>
    <w:rPr>
      <w:rFonts w:ascii="宋体" w:hAnsi="宋体" w:cs="宋体"/>
    </w:rPr>
  </w:style>
  <w:style w:type="paragraph" w:customStyle="1" w:styleId="2205">
    <w:name w:val="正文格式711"/>
    <w:basedOn w:val="1"/>
    <w:qFormat/>
    <w:uiPriority w:val="0"/>
    <w:pPr>
      <w:spacing w:line="360" w:lineRule="auto"/>
      <w:ind w:firstLine="482"/>
    </w:pPr>
    <w:rPr>
      <w:rFonts w:ascii="宋体" w:hAnsi="宋体" w:cs="宋体"/>
      <w:sz w:val="24"/>
    </w:rPr>
  </w:style>
  <w:style w:type="character" w:customStyle="1" w:styleId="2206">
    <w:name w:val="题注 Char511"/>
    <w:qFormat/>
    <w:uiPriority w:val="0"/>
    <w:rPr>
      <w:rFonts w:ascii="黑体" w:hAnsi="Arial" w:eastAsia="黑体" w:cs="Arial"/>
      <w:spacing w:val="10"/>
      <w:kern w:val="2"/>
      <w:sz w:val="24"/>
      <w:szCs w:val="24"/>
      <w:lang w:val="en-US" w:eastAsia="zh-CN" w:bidi="ar-SA"/>
    </w:rPr>
  </w:style>
  <w:style w:type="paragraph" w:customStyle="1" w:styleId="2207">
    <w:name w:val="图题711"/>
    <w:basedOn w:val="315"/>
    <w:next w:val="315"/>
    <w:qFormat/>
    <w:uiPriority w:val="0"/>
    <w:pPr>
      <w:ind w:firstLine="0"/>
      <w:jc w:val="center"/>
    </w:pPr>
    <w:rPr>
      <w:rFonts w:ascii="黑体" w:hAnsi="宋体" w:eastAsia="黑体"/>
      <w:bCs/>
      <w:spacing w:val="0"/>
    </w:rPr>
  </w:style>
  <w:style w:type="paragraph" w:customStyle="1" w:styleId="2208">
    <w:name w:val="表格内字体711"/>
    <w:basedOn w:val="315"/>
    <w:next w:val="315"/>
    <w:qFormat/>
    <w:uiPriority w:val="0"/>
    <w:pPr>
      <w:spacing w:line="240" w:lineRule="auto"/>
      <w:ind w:firstLine="0"/>
      <w:jc w:val="center"/>
    </w:pPr>
    <w:rPr>
      <w:rFonts w:hAnsi="宋体"/>
      <w:b w:val="0"/>
      <w:spacing w:val="0"/>
      <w:sz w:val="21"/>
    </w:rPr>
  </w:style>
  <w:style w:type="paragraph" w:customStyle="1" w:styleId="2209">
    <w:name w:val="Char911"/>
    <w:basedOn w:val="1"/>
    <w:qFormat/>
    <w:uiPriority w:val="0"/>
    <w:pPr>
      <w:ind w:left="-48"/>
    </w:pPr>
    <w:rPr>
      <w:rFonts w:ascii="宋体" w:hAnsi="宋体" w:cs="宋体"/>
    </w:rPr>
  </w:style>
  <w:style w:type="paragraph" w:customStyle="1" w:styleId="2210">
    <w:name w:val="表题1511"/>
    <w:basedOn w:val="23"/>
    <w:qFormat/>
    <w:uiPriority w:val="0"/>
    <w:pPr>
      <w:widowControl w:val="0"/>
      <w:spacing w:line="360" w:lineRule="auto"/>
      <w:jc w:val="center"/>
    </w:pPr>
    <w:rPr>
      <w:rFonts w:ascii="黑体" w:hAnsi="Arial" w:cs="Arial"/>
      <w:b/>
      <w:kern w:val="2"/>
    </w:rPr>
  </w:style>
  <w:style w:type="character" w:customStyle="1" w:styleId="2211">
    <w:name w:val="表题1 Char611"/>
    <w:qFormat/>
    <w:uiPriority w:val="0"/>
    <w:rPr>
      <w:rFonts w:ascii="黑体" w:hAnsi="Arial" w:eastAsia="黑体" w:cs="Arial"/>
      <w:b/>
      <w:kern w:val="2"/>
      <w:sz w:val="24"/>
      <w:szCs w:val="24"/>
      <w:lang w:val="en-US" w:eastAsia="zh-CN" w:bidi="ar-SA"/>
    </w:rPr>
  </w:style>
  <w:style w:type="paragraph" w:customStyle="1" w:styleId="2212">
    <w:name w:val="燕山正文411"/>
    <w:basedOn w:val="1"/>
    <w:qFormat/>
    <w:uiPriority w:val="0"/>
    <w:pPr>
      <w:tabs>
        <w:tab w:val="left" w:pos="4680"/>
      </w:tabs>
      <w:adjustRightInd w:val="0"/>
      <w:snapToGrid w:val="0"/>
      <w:spacing w:line="480" w:lineRule="exact"/>
    </w:pPr>
    <w:rPr>
      <w:rFonts w:ascii="宋体" w:hAnsi="宋体" w:cs="宋体"/>
      <w:sz w:val="24"/>
    </w:rPr>
  </w:style>
  <w:style w:type="paragraph" w:customStyle="1" w:styleId="2213">
    <w:name w:val="正文修改411"/>
    <w:basedOn w:val="1180"/>
    <w:qFormat/>
    <w:uiPriority w:val="0"/>
    <w:rPr>
      <w:rFonts w:hAnsi="宋体"/>
      <w:color w:val="000000"/>
    </w:rPr>
  </w:style>
  <w:style w:type="character" w:customStyle="1" w:styleId="2214">
    <w:name w:val="正文修改 Char1411"/>
    <w:basedOn w:val="1181"/>
    <w:qFormat/>
    <w:uiPriority w:val="0"/>
  </w:style>
  <w:style w:type="paragraph" w:customStyle="1" w:styleId="2215">
    <w:name w:val="表中文字511"/>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216">
    <w:name w:val="默认段落字体 Para Char Char Char Char511"/>
    <w:basedOn w:val="1"/>
    <w:qFormat/>
    <w:uiPriority w:val="0"/>
    <w:rPr>
      <w:rFonts w:ascii="宋体" w:hAnsi="宋体" w:cs="宋体"/>
    </w:rPr>
  </w:style>
  <w:style w:type="paragraph" w:customStyle="1" w:styleId="2217">
    <w:name w:val="Char1011"/>
    <w:basedOn w:val="1"/>
    <w:qFormat/>
    <w:uiPriority w:val="0"/>
    <w:pPr>
      <w:adjustRightInd w:val="0"/>
      <w:snapToGrid w:val="0"/>
      <w:spacing w:line="360" w:lineRule="auto"/>
    </w:pPr>
    <w:rPr>
      <w:rFonts w:ascii="宋体" w:hAnsi="宋体" w:cs="宋体"/>
    </w:rPr>
  </w:style>
  <w:style w:type="paragraph" w:customStyle="1" w:styleId="2218">
    <w:name w:val="表内5中111"/>
    <w:basedOn w:val="1"/>
    <w:qFormat/>
    <w:uiPriority w:val="0"/>
    <w:pPr>
      <w:adjustRightInd w:val="0"/>
      <w:snapToGrid w:val="0"/>
      <w:jc w:val="center"/>
    </w:pPr>
    <w:rPr>
      <w:rFonts w:ascii="宋体" w:hAnsi="宋体" w:cs="Arial"/>
      <w:snapToGrid w:val="0"/>
      <w:color w:val="000000"/>
      <w:szCs w:val="21"/>
    </w:rPr>
  </w:style>
  <w:style w:type="paragraph" w:customStyle="1" w:styleId="2219">
    <w:name w:val="表内541411"/>
    <w:basedOn w:val="1"/>
    <w:qFormat/>
    <w:uiPriority w:val="0"/>
    <w:pPr>
      <w:adjustRightInd w:val="0"/>
      <w:snapToGrid w:val="0"/>
      <w:spacing w:line="300" w:lineRule="auto"/>
      <w:jc w:val="center"/>
    </w:pPr>
    <w:rPr>
      <w:rFonts w:ascii="宋体" w:hAnsi="宋体" w:cs="宋体"/>
    </w:rPr>
  </w:style>
  <w:style w:type="paragraph" w:customStyle="1" w:styleId="2220">
    <w:name w:val="表内文字小121"/>
    <w:basedOn w:val="1"/>
    <w:qFormat/>
    <w:uiPriority w:val="0"/>
    <w:pPr>
      <w:adjustRightInd w:val="0"/>
      <w:snapToGrid w:val="0"/>
      <w:jc w:val="center"/>
    </w:pPr>
    <w:rPr>
      <w:rFonts w:ascii="宋体" w:hAnsi="Times" w:cs="宋体"/>
    </w:rPr>
  </w:style>
  <w:style w:type="character" w:customStyle="1" w:styleId="2221">
    <w:name w:val="正文首行缩进 2 Char11"/>
    <w:qFormat/>
    <w:uiPriority w:val="0"/>
    <w:rPr>
      <w:rFonts w:eastAsia="宋体"/>
      <w:kern w:val="2"/>
      <w:sz w:val="21"/>
      <w:szCs w:val="24"/>
      <w:lang w:val="en-US" w:eastAsia="zh-CN" w:bidi="ar-SA"/>
    </w:rPr>
  </w:style>
  <w:style w:type="paragraph" w:customStyle="1" w:styleId="2222">
    <w:name w:val="默认段落字体 Para Char41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2223">
    <w:name w:val="正文格式811"/>
    <w:basedOn w:val="1"/>
    <w:qFormat/>
    <w:uiPriority w:val="0"/>
    <w:pPr>
      <w:spacing w:line="360" w:lineRule="auto"/>
      <w:ind w:firstLine="482"/>
    </w:pPr>
    <w:rPr>
      <w:rFonts w:ascii="宋体" w:hAnsi="宋体" w:cs="宋体"/>
      <w:sz w:val="24"/>
    </w:rPr>
  </w:style>
  <w:style w:type="paragraph" w:customStyle="1" w:styleId="2224">
    <w:name w:val="正文格式911"/>
    <w:basedOn w:val="1"/>
    <w:qFormat/>
    <w:uiPriority w:val="0"/>
    <w:pPr>
      <w:spacing w:line="360" w:lineRule="auto"/>
      <w:ind w:firstLine="482"/>
    </w:pPr>
    <w:rPr>
      <w:rFonts w:ascii="宋体" w:hAnsi="宋体" w:cs="宋体"/>
      <w:sz w:val="24"/>
    </w:rPr>
  </w:style>
  <w:style w:type="paragraph" w:customStyle="1" w:styleId="2225">
    <w:name w:val="Char4211"/>
    <w:basedOn w:val="1"/>
    <w:qFormat/>
    <w:uiPriority w:val="0"/>
    <w:pPr>
      <w:ind w:left="-48"/>
    </w:pPr>
    <w:rPr>
      <w:rFonts w:ascii="宋体" w:hAnsi="宋体" w:cs="宋体"/>
    </w:rPr>
  </w:style>
  <w:style w:type="paragraph" w:customStyle="1" w:styleId="2226">
    <w:name w:val="Char Char Char Char Char Char Char51"/>
    <w:basedOn w:val="1"/>
    <w:qFormat/>
    <w:uiPriority w:val="0"/>
    <w:rPr>
      <w:rFonts w:ascii="宋体" w:hAnsi="宋体" w:cs="宋体"/>
    </w:rPr>
  </w:style>
  <w:style w:type="paragraph" w:customStyle="1" w:styleId="2227">
    <w:name w:val="Char1611"/>
    <w:basedOn w:val="1"/>
    <w:qFormat/>
    <w:uiPriority w:val="0"/>
    <w:pPr>
      <w:ind w:left="-48"/>
    </w:pPr>
    <w:rPr>
      <w:rFonts w:ascii="宋体" w:hAnsi="宋体" w:cs="宋体"/>
    </w:rPr>
  </w:style>
  <w:style w:type="paragraph" w:customStyle="1" w:styleId="2228">
    <w:name w:val="Char Char Char Char1 Char Char Char211"/>
    <w:basedOn w:val="1"/>
    <w:qFormat/>
    <w:uiPriority w:val="0"/>
    <w:pPr>
      <w:widowControl/>
      <w:spacing w:after="160"/>
      <w:jc w:val="left"/>
    </w:pPr>
    <w:rPr>
      <w:rFonts w:ascii="Verdana" w:hAnsi="Verdana" w:cs="宋体"/>
      <w:kern w:val="0"/>
      <w:sz w:val="24"/>
      <w:lang w:eastAsia="en-US"/>
    </w:rPr>
  </w:style>
  <w:style w:type="paragraph" w:customStyle="1" w:styleId="2229">
    <w:name w:val="Char171"/>
    <w:basedOn w:val="1"/>
    <w:qFormat/>
    <w:uiPriority w:val="0"/>
    <w:pPr>
      <w:ind w:left="-48"/>
    </w:pPr>
    <w:rPr>
      <w:rFonts w:ascii="宋体" w:hAnsi="宋体" w:cs="宋体"/>
    </w:rPr>
  </w:style>
  <w:style w:type="paragraph" w:customStyle="1" w:styleId="2230">
    <w:name w:val="Char Char Char Char Char Char Char1311"/>
    <w:basedOn w:val="1"/>
    <w:qFormat/>
    <w:uiPriority w:val="0"/>
    <w:rPr>
      <w:rFonts w:ascii="宋体" w:hAnsi="宋体" w:cs="宋体"/>
    </w:rPr>
  </w:style>
  <w:style w:type="paragraph" w:customStyle="1" w:styleId="2231">
    <w:name w:val="Char2311"/>
    <w:basedOn w:val="1"/>
    <w:qFormat/>
    <w:uiPriority w:val="0"/>
    <w:pPr>
      <w:ind w:left="-48"/>
    </w:pPr>
    <w:rPr>
      <w:rFonts w:ascii="宋体" w:hAnsi="宋体" w:cs="宋体"/>
    </w:rPr>
  </w:style>
  <w:style w:type="paragraph" w:customStyle="1" w:styleId="2232">
    <w:name w:val="Char3311"/>
    <w:basedOn w:val="1"/>
    <w:qFormat/>
    <w:uiPriority w:val="0"/>
    <w:pPr>
      <w:ind w:left="-48"/>
    </w:pPr>
    <w:rPr>
      <w:rFonts w:ascii="宋体" w:hAnsi="宋体" w:cs="宋体"/>
    </w:rPr>
  </w:style>
  <w:style w:type="paragraph" w:customStyle="1" w:styleId="2233">
    <w:name w:val="Char Char Char Char Char Char Char2211"/>
    <w:basedOn w:val="1"/>
    <w:qFormat/>
    <w:uiPriority w:val="0"/>
    <w:rPr>
      <w:rFonts w:ascii="宋体" w:hAnsi="宋体" w:cs="宋体"/>
    </w:rPr>
  </w:style>
  <w:style w:type="paragraph" w:customStyle="1" w:styleId="2234">
    <w:name w:val="Char4311"/>
    <w:basedOn w:val="1"/>
    <w:qFormat/>
    <w:uiPriority w:val="0"/>
    <w:pPr>
      <w:ind w:left="-48"/>
    </w:pPr>
    <w:rPr>
      <w:rFonts w:ascii="宋体" w:hAnsi="宋体" w:cs="宋体"/>
    </w:rPr>
  </w:style>
  <w:style w:type="paragraph" w:customStyle="1" w:styleId="2235">
    <w:name w:val="表格内容11"/>
    <w:qFormat/>
    <w:uiPriority w:val="0"/>
    <w:pPr>
      <w:jc w:val="center"/>
    </w:pPr>
    <w:rPr>
      <w:rFonts w:ascii="Times New Roman" w:hAnsi="Times New Roman" w:eastAsia="宋体" w:cs="Times New Roman"/>
      <w:kern w:val="2"/>
      <w:sz w:val="21"/>
      <w:szCs w:val="21"/>
      <w:lang w:val="en-US" w:eastAsia="zh-CN" w:bidi="ar-SA"/>
    </w:rPr>
  </w:style>
  <w:style w:type="paragraph" w:customStyle="1" w:styleId="2236">
    <w:name w:val="正文格式821"/>
    <w:basedOn w:val="1"/>
    <w:qFormat/>
    <w:uiPriority w:val="0"/>
    <w:pPr>
      <w:spacing w:line="360" w:lineRule="auto"/>
      <w:ind w:firstLine="482"/>
    </w:pPr>
    <w:rPr>
      <w:rFonts w:ascii="宋体" w:hAnsi="宋体" w:cs="宋体"/>
      <w:sz w:val="24"/>
    </w:rPr>
  </w:style>
  <w:style w:type="character" w:customStyle="1" w:styleId="2237">
    <w:name w:val="纯文本 Char3"/>
    <w:qFormat/>
    <w:uiPriority w:val="0"/>
    <w:rPr>
      <w:rFonts w:ascii="宋体" w:hAnsi="Courier New" w:eastAsia="宋体" w:cs="Courier New"/>
      <w:kern w:val="2"/>
      <w:sz w:val="24"/>
      <w:szCs w:val="21"/>
      <w:lang w:val="en-US" w:eastAsia="zh-CN" w:bidi="ar-SA"/>
    </w:rPr>
  </w:style>
  <w:style w:type="character" w:customStyle="1" w:styleId="2238">
    <w:name w:val="标题 1 Char5"/>
    <w:qFormat/>
    <w:uiPriority w:val="0"/>
    <w:rPr>
      <w:rFonts w:ascii="黑体" w:hAnsi="宋体" w:eastAsia="黑体" w:cs="Times New Roman"/>
      <w:bCs/>
      <w:kern w:val="44"/>
      <w:sz w:val="32"/>
      <w:szCs w:val="32"/>
      <w:lang w:val="en-US" w:eastAsia="zh-CN" w:bidi="ar-SA"/>
    </w:rPr>
  </w:style>
  <w:style w:type="character" w:customStyle="1" w:styleId="2239">
    <w:name w:val="标题 2 Char7"/>
    <w:qFormat/>
    <w:uiPriority w:val="0"/>
    <w:rPr>
      <w:rFonts w:ascii="黑体" w:hAnsi="Arial" w:eastAsia="黑体" w:cs="Times New Roman"/>
      <w:bCs/>
      <w:kern w:val="2"/>
      <w:sz w:val="30"/>
      <w:szCs w:val="30"/>
      <w:lang w:val="en-US" w:eastAsia="zh-CN" w:bidi="ar-SA"/>
    </w:rPr>
  </w:style>
  <w:style w:type="character" w:customStyle="1" w:styleId="2240">
    <w:name w:val="标题 3 Char14"/>
    <w:qFormat/>
    <w:uiPriority w:val="0"/>
    <w:rPr>
      <w:rFonts w:ascii="黑体" w:hAnsi="宋体" w:eastAsia="黑体" w:cs="Times New Roman"/>
      <w:b/>
      <w:bCs/>
      <w:kern w:val="2"/>
      <w:sz w:val="28"/>
      <w:szCs w:val="28"/>
      <w:lang w:val="en-US" w:eastAsia="zh-CN" w:bidi="ar-SA"/>
    </w:rPr>
  </w:style>
  <w:style w:type="character" w:customStyle="1" w:styleId="2241">
    <w:name w:val="标题 5 Char2"/>
    <w:qFormat/>
    <w:uiPriority w:val="0"/>
    <w:rPr>
      <w:rFonts w:ascii="Times New Roman" w:hAnsi="Times New Roman" w:eastAsia="宋体" w:cs="Times New Roman"/>
      <w:b/>
      <w:bCs/>
      <w:kern w:val="2"/>
      <w:sz w:val="28"/>
      <w:szCs w:val="28"/>
      <w:lang w:val="en-US" w:eastAsia="zh-CN" w:bidi="ar-SA"/>
    </w:rPr>
  </w:style>
  <w:style w:type="character" w:customStyle="1" w:styleId="2242">
    <w:name w:val="标题 6 Char2"/>
    <w:qFormat/>
    <w:uiPriority w:val="0"/>
    <w:rPr>
      <w:rFonts w:ascii="Arial" w:hAnsi="Arial" w:eastAsia="黑体" w:cs="Times New Roman"/>
      <w:b/>
      <w:bCs/>
      <w:kern w:val="2"/>
      <w:sz w:val="24"/>
      <w:szCs w:val="24"/>
      <w:lang w:val="en-US" w:eastAsia="zh-CN" w:bidi="ar-SA"/>
    </w:rPr>
  </w:style>
  <w:style w:type="character" w:customStyle="1" w:styleId="2243">
    <w:name w:val="标题 8 Char2"/>
    <w:qFormat/>
    <w:uiPriority w:val="0"/>
    <w:rPr>
      <w:rFonts w:ascii="Arial" w:hAnsi="Arial" w:eastAsia="黑体" w:cs="Times New Roman"/>
      <w:kern w:val="2"/>
      <w:sz w:val="24"/>
      <w:szCs w:val="24"/>
      <w:lang w:val="en-US" w:eastAsia="zh-CN" w:bidi="ar-SA"/>
    </w:rPr>
  </w:style>
  <w:style w:type="paragraph" w:customStyle="1" w:styleId="2244">
    <w:name w:val="附件6"/>
    <w:basedOn w:val="4"/>
    <w:next w:val="315"/>
    <w:qFormat/>
    <w:uiPriority w:val="0"/>
    <w:pPr>
      <w:keepLines/>
      <w:widowControl w:val="0"/>
      <w:numPr>
        <w:numId w:val="0"/>
      </w:numPr>
      <w:tabs>
        <w:tab w:val="left" w:pos="1566"/>
      </w:tabs>
      <w:adjustRightInd w:val="0"/>
      <w:snapToGrid w:val="0"/>
      <w:spacing w:beforeLines="100"/>
      <w:jc w:val="both"/>
    </w:pPr>
    <w:rPr>
      <w:rFonts w:ascii="黑体" w:eastAsia="黑体"/>
      <w:bCs/>
      <w:kern w:val="44"/>
      <w:szCs w:val="32"/>
    </w:rPr>
  </w:style>
  <w:style w:type="paragraph" w:customStyle="1" w:styleId="2245">
    <w:name w:val="正文格式14"/>
    <w:basedOn w:val="1"/>
    <w:qFormat/>
    <w:uiPriority w:val="0"/>
    <w:pPr>
      <w:spacing w:line="360" w:lineRule="auto"/>
      <w:ind w:firstLine="482"/>
    </w:pPr>
    <w:rPr>
      <w:rFonts w:ascii="宋体" w:hAnsi="宋体" w:cs="宋体"/>
      <w:sz w:val="24"/>
    </w:rPr>
  </w:style>
  <w:style w:type="character" w:customStyle="1" w:styleId="2246">
    <w:name w:val="正文文本 Char4"/>
    <w:qFormat/>
    <w:uiPriority w:val="0"/>
    <w:rPr>
      <w:rFonts w:ascii="Times New Roman" w:hAnsi="Times New Roman" w:eastAsia="宋体" w:cs="Times New Roman"/>
      <w:kern w:val="2"/>
      <w:sz w:val="24"/>
      <w:szCs w:val="24"/>
      <w:lang w:val="en-US" w:eastAsia="zh-CN" w:bidi="ar-SA"/>
    </w:rPr>
  </w:style>
  <w:style w:type="paragraph" w:customStyle="1" w:styleId="2247">
    <w:name w:val="图题10"/>
    <w:basedOn w:val="315"/>
    <w:next w:val="315"/>
    <w:qFormat/>
    <w:uiPriority w:val="0"/>
    <w:pPr>
      <w:ind w:firstLine="0"/>
      <w:jc w:val="center"/>
    </w:pPr>
    <w:rPr>
      <w:rFonts w:ascii="黑体" w:hAnsi="宋体" w:eastAsia="黑体"/>
      <w:bCs/>
      <w:spacing w:val="0"/>
    </w:rPr>
  </w:style>
  <w:style w:type="paragraph" w:customStyle="1" w:styleId="2248">
    <w:name w:val="表格内字体10"/>
    <w:basedOn w:val="315"/>
    <w:next w:val="315"/>
    <w:qFormat/>
    <w:uiPriority w:val="0"/>
    <w:pPr>
      <w:spacing w:line="240" w:lineRule="auto"/>
      <w:ind w:firstLine="0"/>
      <w:jc w:val="center"/>
    </w:pPr>
    <w:rPr>
      <w:rFonts w:hAnsi="宋体"/>
      <w:b w:val="0"/>
      <w:spacing w:val="0"/>
      <w:sz w:val="21"/>
      <w:szCs w:val="21"/>
    </w:rPr>
  </w:style>
  <w:style w:type="character" w:customStyle="1" w:styleId="2249">
    <w:name w:val="表格内字体 Char10"/>
    <w:qFormat/>
    <w:uiPriority w:val="0"/>
    <w:rPr>
      <w:rFonts w:ascii="宋体" w:hAnsi="宋体" w:eastAsia="宋体" w:cs="Times New Roman"/>
      <w:kern w:val="2"/>
      <w:sz w:val="24"/>
      <w:szCs w:val="21"/>
      <w:lang w:val="en-US" w:eastAsia="zh-CN" w:bidi="ar-SA"/>
    </w:rPr>
  </w:style>
  <w:style w:type="character" w:customStyle="1" w:styleId="2250">
    <w:name w:val="正文格式 Char12"/>
    <w:qFormat/>
    <w:uiPriority w:val="0"/>
    <w:rPr>
      <w:rFonts w:ascii="宋体" w:hAnsi="宋体" w:eastAsia="宋体" w:cs="Times New Roman"/>
      <w:kern w:val="2"/>
      <w:sz w:val="24"/>
      <w:szCs w:val="24"/>
      <w:lang w:val="en-US" w:eastAsia="zh-CN" w:bidi="ar-SA"/>
    </w:rPr>
  </w:style>
  <w:style w:type="character" w:customStyle="1" w:styleId="2251">
    <w:name w:val="文档结构图 Char4"/>
    <w:qFormat/>
    <w:uiPriority w:val="0"/>
    <w:rPr>
      <w:rFonts w:ascii="Times New Roman" w:hAnsi="Times New Roman" w:eastAsia="宋体" w:cs="Times New Roman"/>
      <w:kern w:val="2"/>
      <w:sz w:val="24"/>
      <w:szCs w:val="24"/>
      <w:shd w:val="clear" w:color="auto" w:fill="000080"/>
      <w:lang w:val="en-US" w:eastAsia="zh-CN" w:bidi="ar-SA"/>
    </w:rPr>
  </w:style>
  <w:style w:type="character" w:customStyle="1" w:styleId="2252">
    <w:name w:val="页脚 Char4"/>
    <w:qFormat/>
    <w:uiPriority w:val="0"/>
    <w:rPr>
      <w:rFonts w:ascii="Times New Roman" w:hAnsi="Times New Roman" w:eastAsia="宋体" w:cs="Times New Roman"/>
      <w:kern w:val="2"/>
      <w:sz w:val="18"/>
      <w:szCs w:val="18"/>
      <w:lang w:val="en-US" w:eastAsia="zh-CN" w:bidi="ar-SA"/>
    </w:rPr>
  </w:style>
  <w:style w:type="character" w:customStyle="1" w:styleId="2253">
    <w:name w:val="正文缩进 Char32"/>
    <w:qFormat/>
    <w:uiPriority w:val="0"/>
    <w:rPr>
      <w:rFonts w:ascii="宋体" w:hAnsi="宋体" w:eastAsia="宋体" w:cs="宋体"/>
      <w:color w:val="000000"/>
      <w:kern w:val="0"/>
      <w:sz w:val="24"/>
      <w:szCs w:val="24"/>
      <w:lang w:val="en-US" w:eastAsia="zh-CN" w:bidi="ar-SA"/>
    </w:rPr>
  </w:style>
  <w:style w:type="paragraph" w:customStyle="1" w:styleId="2254">
    <w:name w:val="标题4315"/>
    <w:basedOn w:val="1"/>
    <w:qFormat/>
    <w:uiPriority w:val="0"/>
    <w:pPr>
      <w:adjustRightInd w:val="0"/>
      <w:snapToGrid w:val="0"/>
      <w:spacing w:line="480" w:lineRule="exact"/>
      <w:jc w:val="center"/>
    </w:pPr>
    <w:rPr>
      <w:rFonts w:ascii="宋体" w:hAnsi="宋体" w:cs="宋体"/>
      <w:sz w:val="24"/>
    </w:rPr>
  </w:style>
  <w:style w:type="paragraph" w:customStyle="1" w:styleId="2255">
    <w:name w:val="燕山正文116"/>
    <w:basedOn w:val="1"/>
    <w:qFormat/>
    <w:uiPriority w:val="0"/>
    <w:pPr>
      <w:tabs>
        <w:tab w:val="left" w:pos="4680"/>
      </w:tabs>
      <w:adjustRightInd w:val="0"/>
      <w:snapToGrid w:val="0"/>
      <w:spacing w:line="480" w:lineRule="exact"/>
    </w:pPr>
    <w:rPr>
      <w:rFonts w:ascii="宋体" w:hAnsi="宋体" w:cs="宋体"/>
      <w:bCs/>
      <w:color w:val="000000"/>
      <w:sz w:val="24"/>
    </w:rPr>
  </w:style>
  <w:style w:type="character" w:customStyle="1" w:styleId="2256">
    <w:name w:val="正文文本缩进 Char3"/>
    <w:qFormat/>
    <w:uiPriority w:val="0"/>
    <w:rPr>
      <w:rFonts w:ascii="宋体" w:hAnsi="宋体" w:eastAsia="宋体" w:cs="宋体"/>
      <w:color w:val="000000"/>
      <w:kern w:val="2"/>
      <w:sz w:val="24"/>
      <w:szCs w:val="24"/>
      <w:lang w:val="en-US" w:eastAsia="zh-CN" w:bidi="ar-SA"/>
    </w:rPr>
  </w:style>
  <w:style w:type="paragraph" w:customStyle="1" w:styleId="2257">
    <w:name w:val="表题413"/>
    <w:basedOn w:val="36"/>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2258">
    <w:name w:val="表内5417"/>
    <w:basedOn w:val="1"/>
    <w:qFormat/>
    <w:uiPriority w:val="0"/>
    <w:pPr>
      <w:adjustRightInd w:val="0"/>
      <w:snapToGrid w:val="0"/>
      <w:spacing w:line="300" w:lineRule="auto"/>
      <w:jc w:val="center"/>
    </w:pPr>
    <w:rPr>
      <w:rFonts w:ascii="宋体" w:hAnsi="宋体" w:cs="宋体"/>
    </w:rPr>
  </w:style>
  <w:style w:type="paragraph" w:customStyle="1" w:styleId="2259">
    <w:name w:val="表内文字小216"/>
    <w:basedOn w:val="1"/>
    <w:qFormat/>
    <w:uiPriority w:val="0"/>
    <w:pPr>
      <w:adjustRightInd w:val="0"/>
      <w:snapToGrid w:val="0"/>
      <w:jc w:val="center"/>
    </w:pPr>
    <w:rPr>
      <w:rFonts w:ascii="宋体" w:hAnsi="Times" w:cs="宋体"/>
      <w:bCs/>
      <w:color w:val="000000"/>
    </w:rPr>
  </w:style>
  <w:style w:type="paragraph" w:customStyle="1" w:styleId="2260">
    <w:name w:val="表题316"/>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261">
    <w:name w:val="Char Char Char Char Char Char Char10"/>
    <w:basedOn w:val="1"/>
    <w:qFormat/>
    <w:uiPriority w:val="0"/>
    <w:rPr>
      <w:rFonts w:ascii="宋体" w:hAnsi="宋体" w:cs="宋体"/>
    </w:rPr>
  </w:style>
  <w:style w:type="character" w:customStyle="1" w:styleId="2262">
    <w:name w:val="正文文本缩进 3 Char5"/>
    <w:qFormat/>
    <w:uiPriority w:val="0"/>
    <w:rPr>
      <w:rFonts w:ascii="Times New Roman" w:hAnsi="Times New Roman" w:eastAsia="宋体" w:cs="Times New Roman"/>
      <w:kern w:val="2"/>
      <w:sz w:val="16"/>
      <w:szCs w:val="16"/>
      <w:lang w:val="en-US" w:eastAsia="zh-CN" w:bidi="ar-SA"/>
    </w:rPr>
  </w:style>
  <w:style w:type="character" w:customStyle="1" w:styleId="2263">
    <w:name w:val="正文文本缩进 2 Char3"/>
    <w:qFormat/>
    <w:uiPriority w:val="0"/>
    <w:rPr>
      <w:rFonts w:ascii="Times New Roman" w:hAnsi="Times New Roman" w:eastAsia="宋体" w:cs="Times New Roman"/>
      <w:kern w:val="2"/>
      <w:sz w:val="24"/>
      <w:szCs w:val="24"/>
      <w:lang w:val="en-US" w:eastAsia="zh-CN" w:bidi="ar-SA"/>
    </w:rPr>
  </w:style>
  <w:style w:type="paragraph" w:customStyle="1" w:styleId="2264">
    <w:name w:val="表文字56"/>
    <w:basedOn w:val="1"/>
    <w:qFormat/>
    <w:uiPriority w:val="0"/>
    <w:pPr>
      <w:adjustRightInd w:val="0"/>
      <w:jc w:val="left"/>
      <w:textAlignment w:val="baseline"/>
    </w:pPr>
    <w:rPr>
      <w:rFonts w:ascii="宋体" w:hAnsi="宋体" w:cs="宋体"/>
      <w:kern w:val="0"/>
    </w:rPr>
  </w:style>
  <w:style w:type="paragraph" w:customStyle="1" w:styleId="2265">
    <w:name w:val="表内文字小316"/>
    <w:basedOn w:val="1"/>
    <w:qFormat/>
    <w:uiPriority w:val="0"/>
    <w:pPr>
      <w:adjustRightInd w:val="0"/>
      <w:snapToGrid w:val="0"/>
      <w:jc w:val="center"/>
    </w:pPr>
    <w:rPr>
      <w:rFonts w:ascii="宋体" w:hAnsi="Times" w:cs="宋体"/>
      <w:bCs/>
      <w:color w:val="003366"/>
    </w:rPr>
  </w:style>
  <w:style w:type="paragraph" w:customStyle="1" w:styleId="2266">
    <w:name w:val="表内宋5114"/>
    <w:basedOn w:val="81"/>
    <w:qFormat/>
    <w:uiPriority w:val="0"/>
    <w:pPr>
      <w:adjustRightInd w:val="0"/>
      <w:snapToGrid w:val="0"/>
      <w:spacing w:before="0" w:beforeAutospacing="0" w:after="0" w:afterAutospacing="0"/>
      <w:jc w:val="both"/>
    </w:pPr>
    <w:rPr>
      <w:rFonts w:cs="宋体"/>
      <w:color w:val="000000"/>
      <w:kern w:val="0"/>
      <w:sz w:val="21"/>
      <w:szCs w:val="24"/>
    </w:rPr>
  </w:style>
  <w:style w:type="character" w:customStyle="1" w:styleId="2267">
    <w:name w:val="正文首行缩进 Char3"/>
    <w:qFormat/>
    <w:uiPriority w:val="0"/>
    <w:rPr>
      <w:rFonts w:ascii="Times New Roman" w:hAnsi="Times New Roman" w:eastAsia="宋体" w:cs="Times New Roman"/>
      <w:kern w:val="2"/>
      <w:sz w:val="21"/>
      <w:szCs w:val="24"/>
      <w:lang w:val="en-US" w:eastAsia="zh-CN" w:bidi="ar-SA"/>
    </w:rPr>
  </w:style>
  <w:style w:type="paragraph" w:customStyle="1" w:styleId="2268">
    <w:name w:val="文本框4"/>
    <w:basedOn w:val="1"/>
    <w:qFormat/>
    <w:uiPriority w:val="0"/>
    <w:pPr>
      <w:adjustRightInd w:val="0"/>
      <w:snapToGrid w:val="0"/>
      <w:spacing w:after="6"/>
      <w:jc w:val="center"/>
    </w:pPr>
    <w:rPr>
      <w:rFonts w:ascii="宋体" w:hAnsi="宋体" w:eastAsia="仿宋_GB2312" w:cs="宋体"/>
    </w:rPr>
  </w:style>
  <w:style w:type="paragraph" w:customStyle="1" w:styleId="2269">
    <w:name w:val="正文.4"/>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270">
    <w:name w:val="表6"/>
    <w:basedOn w:val="1"/>
    <w:qFormat/>
    <w:uiPriority w:val="0"/>
    <w:pPr>
      <w:adjustRightInd w:val="0"/>
      <w:snapToGrid w:val="0"/>
      <w:jc w:val="center"/>
    </w:pPr>
    <w:rPr>
      <w:rFonts w:ascii="宋体" w:hAnsi="宋体" w:eastAsia="仿宋_GB2312" w:cs="宋体"/>
      <w:sz w:val="24"/>
    </w:rPr>
  </w:style>
  <w:style w:type="paragraph" w:customStyle="1" w:styleId="2271">
    <w:name w:val="默认段落字体 Para Char Char Char Char8"/>
    <w:basedOn w:val="1"/>
    <w:qFormat/>
    <w:uiPriority w:val="0"/>
    <w:rPr>
      <w:rFonts w:ascii="宋体" w:hAnsi="宋体" w:cs="宋体"/>
    </w:rPr>
  </w:style>
  <w:style w:type="paragraph" w:customStyle="1" w:styleId="2272">
    <w:name w:val="黑体三号7"/>
    <w:basedOn w:val="315"/>
    <w:qFormat/>
    <w:uiPriority w:val="0"/>
    <w:pPr>
      <w:jc w:val="center"/>
    </w:pPr>
    <w:rPr>
      <w:rFonts w:ascii="黑体" w:hAnsi="宋体" w:eastAsia="黑体"/>
      <w:bCs/>
      <w:spacing w:val="0"/>
      <w:sz w:val="32"/>
    </w:rPr>
  </w:style>
  <w:style w:type="paragraph" w:customStyle="1" w:styleId="2273">
    <w:name w:val="Char30"/>
    <w:basedOn w:val="1"/>
    <w:qFormat/>
    <w:uiPriority w:val="0"/>
    <w:pPr>
      <w:ind w:left="-48"/>
    </w:pPr>
    <w:rPr>
      <w:rFonts w:ascii="宋体" w:hAnsi="宋体" w:cs="宋体"/>
    </w:rPr>
  </w:style>
  <w:style w:type="paragraph" w:customStyle="1" w:styleId="2274">
    <w:name w:val="样式15"/>
    <w:basedOn w:val="1227"/>
    <w:qFormat/>
    <w:uiPriority w:val="0"/>
    <w:pPr>
      <w:spacing w:line="240" w:lineRule="auto"/>
      <w:ind w:firstLine="0"/>
      <w:jc w:val="center"/>
    </w:pPr>
    <w:rPr>
      <w:rFonts w:cs="Times New Roman"/>
      <w:b/>
      <w:color w:val="auto"/>
      <w:szCs w:val="20"/>
    </w:rPr>
  </w:style>
  <w:style w:type="paragraph" w:customStyle="1" w:styleId="2275">
    <w:name w:val="表题18"/>
    <w:basedOn w:val="23"/>
    <w:qFormat/>
    <w:uiPriority w:val="0"/>
    <w:pPr>
      <w:widowControl w:val="0"/>
      <w:spacing w:line="360" w:lineRule="auto"/>
      <w:jc w:val="center"/>
    </w:pPr>
    <w:rPr>
      <w:rFonts w:ascii="黑体" w:hAnsi="Arial" w:cs="Arial"/>
      <w:b/>
      <w:kern w:val="2"/>
    </w:rPr>
  </w:style>
  <w:style w:type="paragraph" w:customStyle="1" w:styleId="2276">
    <w:name w:val="燕山正文7"/>
    <w:basedOn w:val="1"/>
    <w:qFormat/>
    <w:uiPriority w:val="0"/>
    <w:pPr>
      <w:tabs>
        <w:tab w:val="left" w:pos="4680"/>
      </w:tabs>
      <w:adjustRightInd w:val="0"/>
      <w:snapToGrid w:val="0"/>
      <w:spacing w:line="480" w:lineRule="exact"/>
    </w:pPr>
    <w:rPr>
      <w:rFonts w:ascii="宋体" w:hAnsi="宋体" w:cs="宋体"/>
      <w:sz w:val="24"/>
    </w:rPr>
  </w:style>
  <w:style w:type="character" w:customStyle="1" w:styleId="2277">
    <w:name w:val="燕山正文 Char17"/>
    <w:qFormat/>
    <w:uiPriority w:val="0"/>
    <w:rPr>
      <w:rFonts w:ascii="宋体" w:hAnsi="Times New Roman" w:eastAsia="宋体" w:cs="宋体"/>
      <w:kern w:val="2"/>
      <w:sz w:val="24"/>
      <w:szCs w:val="24"/>
      <w:lang w:val="en-US" w:eastAsia="zh-CN" w:bidi="ar-SA"/>
    </w:rPr>
  </w:style>
  <w:style w:type="paragraph" w:customStyle="1" w:styleId="2278">
    <w:name w:val="正文修改7"/>
    <w:basedOn w:val="1180"/>
    <w:qFormat/>
    <w:uiPriority w:val="0"/>
    <w:rPr>
      <w:rFonts w:hAnsi="宋体"/>
      <w:color w:val="000000"/>
    </w:rPr>
  </w:style>
  <w:style w:type="character" w:customStyle="1" w:styleId="2279">
    <w:name w:val="正文修改 Char17"/>
    <w:qFormat/>
    <w:uiPriority w:val="0"/>
    <w:rPr>
      <w:rFonts w:ascii="宋体" w:hAnsi="宋体" w:eastAsia="宋体" w:cs="宋体"/>
      <w:color w:val="000000"/>
      <w:kern w:val="2"/>
      <w:sz w:val="24"/>
      <w:szCs w:val="24"/>
      <w:lang w:val="en-US" w:eastAsia="zh-CN" w:bidi="ar-SA"/>
    </w:rPr>
  </w:style>
  <w:style w:type="character" w:customStyle="1" w:styleId="2280">
    <w:name w:val="题注 Char8"/>
    <w:qFormat/>
    <w:uiPriority w:val="0"/>
    <w:rPr>
      <w:rFonts w:ascii="黑体" w:hAnsi="Arial" w:eastAsia="黑体" w:cs="Arial"/>
      <w:spacing w:val="10"/>
      <w:kern w:val="2"/>
      <w:sz w:val="24"/>
      <w:szCs w:val="24"/>
      <w:lang w:val="en-US" w:eastAsia="zh-CN" w:bidi="ar-SA"/>
    </w:rPr>
  </w:style>
  <w:style w:type="character" w:customStyle="1" w:styleId="2281">
    <w:name w:val="表题1 Char9"/>
    <w:qFormat/>
    <w:uiPriority w:val="0"/>
    <w:rPr>
      <w:rFonts w:ascii="黑体" w:hAnsi="Arial" w:eastAsia="黑体" w:cs="Arial"/>
      <w:b/>
      <w:kern w:val="2"/>
      <w:sz w:val="24"/>
      <w:szCs w:val="24"/>
      <w:lang w:val="en-US" w:eastAsia="zh-CN" w:bidi="ar-SA"/>
    </w:rPr>
  </w:style>
  <w:style w:type="paragraph" w:customStyle="1" w:styleId="2282">
    <w:name w:val="首行缩进:  0.99 厘米 + 首行缩进:  2 字符3"/>
    <w:basedOn w:val="1"/>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character" w:customStyle="1" w:styleId="2283">
    <w:name w:val="正文文本 3 Char3"/>
    <w:qFormat/>
    <w:uiPriority w:val="0"/>
    <w:rPr>
      <w:rFonts w:ascii="Times New Roman" w:hAnsi="Times New Roman" w:eastAsia="宋体" w:cs="Times New Roman"/>
      <w:kern w:val="2"/>
      <w:sz w:val="16"/>
      <w:szCs w:val="16"/>
      <w:lang w:val="en-US" w:eastAsia="zh-CN" w:bidi="ar-SA"/>
    </w:rPr>
  </w:style>
  <w:style w:type="paragraph" w:customStyle="1" w:styleId="2284">
    <w:name w:val="图表名称3"/>
    <w:basedOn w:val="86"/>
    <w:qFormat/>
    <w:uiPriority w:val="0"/>
    <w:pPr>
      <w:adjustRightInd w:val="0"/>
      <w:snapToGrid w:val="0"/>
      <w:spacing w:after="0" w:line="480" w:lineRule="exact"/>
      <w:ind w:firstLine="0" w:firstLineChars="0"/>
      <w:jc w:val="center"/>
    </w:pPr>
    <w:rPr>
      <w:bCs/>
      <w:kern w:val="2"/>
      <w:sz w:val="24"/>
    </w:rPr>
  </w:style>
  <w:style w:type="paragraph" w:customStyle="1" w:styleId="2285">
    <w:name w:val="表内文字边3"/>
    <w:basedOn w:val="1"/>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2286">
    <w:name w:val="正文缩3"/>
    <w:basedOn w:val="1"/>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2287">
    <w:name w:val="样式23"/>
    <w:basedOn w:val="1"/>
    <w:qFormat/>
    <w:uiPriority w:val="0"/>
    <w:pPr>
      <w:adjustRightInd w:val="0"/>
      <w:spacing w:line="360" w:lineRule="auto"/>
      <w:jc w:val="center"/>
      <w:textAlignment w:val="baseline"/>
      <w:outlineLvl w:val="0"/>
    </w:pPr>
    <w:rPr>
      <w:rFonts w:ascii="宋体" w:hAnsi="宋体" w:cs="宋体"/>
      <w:kern w:val="0"/>
    </w:rPr>
  </w:style>
  <w:style w:type="paragraph" w:customStyle="1" w:styleId="2288">
    <w:name w:val="默认段落字体 Para Char Char Char Char Char3"/>
    <w:basedOn w:val="1"/>
    <w:qFormat/>
    <w:uiPriority w:val="0"/>
    <w:rPr>
      <w:rFonts w:ascii="宋体" w:hAnsi="宋体" w:cs="宋体"/>
    </w:rPr>
  </w:style>
  <w:style w:type="paragraph" w:customStyle="1" w:styleId="2289">
    <w:name w:val="表中文字8"/>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290">
    <w:name w:val="表内宋5中5"/>
    <w:basedOn w:val="1"/>
    <w:qFormat/>
    <w:uiPriority w:val="0"/>
    <w:pPr>
      <w:adjustRightInd w:val="0"/>
      <w:snapToGrid w:val="0"/>
      <w:textAlignment w:val="baseline"/>
    </w:pPr>
    <w:rPr>
      <w:rFonts w:ascii="宋体" w:hAnsi="宋体" w:cs="宋体"/>
      <w:color w:val="000000"/>
      <w:kern w:val="0"/>
    </w:rPr>
  </w:style>
  <w:style w:type="character" w:customStyle="1" w:styleId="2291">
    <w:name w:val="表中文字 Char27"/>
    <w:qFormat/>
    <w:uiPriority w:val="0"/>
    <w:rPr>
      <w:rFonts w:ascii="宋体" w:hAnsi="Times New Roman" w:eastAsia="宋体" w:cs="Times New Roman"/>
      <w:kern w:val="0"/>
      <w:sz w:val="24"/>
      <w:szCs w:val="21"/>
      <w:lang w:val="en-US" w:eastAsia="zh-CN" w:bidi="ar-SA"/>
    </w:rPr>
  </w:style>
  <w:style w:type="paragraph" w:customStyle="1" w:styleId="2292">
    <w:name w:val="样式 标题 3 + 段前: 12 磅3"/>
    <w:basedOn w:val="7"/>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2293">
    <w:name w:val="表内文字小5"/>
    <w:basedOn w:val="1"/>
    <w:qFormat/>
    <w:uiPriority w:val="0"/>
    <w:pPr>
      <w:adjustRightInd w:val="0"/>
      <w:snapToGrid w:val="0"/>
      <w:jc w:val="center"/>
    </w:pPr>
    <w:rPr>
      <w:rFonts w:ascii="宋体" w:hAnsi="Times" w:cs="宋体"/>
    </w:rPr>
  </w:style>
  <w:style w:type="paragraph" w:customStyle="1" w:styleId="2294">
    <w:name w:val="表内55"/>
    <w:basedOn w:val="1"/>
    <w:qFormat/>
    <w:uiPriority w:val="0"/>
    <w:pPr>
      <w:adjustRightInd w:val="0"/>
      <w:snapToGrid w:val="0"/>
      <w:spacing w:line="300" w:lineRule="auto"/>
      <w:jc w:val="left"/>
    </w:pPr>
    <w:rPr>
      <w:rFonts w:ascii="宋体" w:hAnsi="宋体" w:cs="宋体"/>
      <w:sz w:val="18"/>
    </w:rPr>
  </w:style>
  <w:style w:type="paragraph" w:customStyle="1" w:styleId="2295">
    <w:name w:val="Char Char Char Char1 Char Char Char6"/>
    <w:basedOn w:val="1"/>
    <w:qFormat/>
    <w:uiPriority w:val="0"/>
    <w:pPr>
      <w:widowControl/>
      <w:spacing w:after="160"/>
      <w:jc w:val="left"/>
    </w:pPr>
    <w:rPr>
      <w:rFonts w:ascii="Verdana" w:hAnsi="Verdana" w:cs="宋体"/>
      <w:kern w:val="0"/>
      <w:sz w:val="24"/>
      <w:lang w:eastAsia="en-US"/>
    </w:rPr>
  </w:style>
  <w:style w:type="paragraph" w:customStyle="1" w:styleId="2296">
    <w:name w:val="正文格式15"/>
    <w:basedOn w:val="1"/>
    <w:qFormat/>
    <w:uiPriority w:val="0"/>
    <w:pPr>
      <w:spacing w:line="360" w:lineRule="auto"/>
      <w:ind w:firstLine="482"/>
    </w:pPr>
    <w:rPr>
      <w:rFonts w:ascii="宋体" w:hAnsi="宋体" w:cs="宋体"/>
      <w:sz w:val="24"/>
    </w:rPr>
  </w:style>
  <w:style w:type="paragraph" w:customStyle="1" w:styleId="2297">
    <w:name w:val="图题13"/>
    <w:basedOn w:val="315"/>
    <w:next w:val="315"/>
    <w:qFormat/>
    <w:uiPriority w:val="0"/>
    <w:pPr>
      <w:ind w:firstLine="0"/>
      <w:jc w:val="center"/>
    </w:pPr>
    <w:rPr>
      <w:rFonts w:ascii="黑体" w:hAnsi="宋体" w:eastAsia="黑体"/>
      <w:bCs/>
      <w:spacing w:val="0"/>
    </w:rPr>
  </w:style>
  <w:style w:type="paragraph" w:customStyle="1" w:styleId="2298">
    <w:name w:val="表格内字体14"/>
    <w:basedOn w:val="315"/>
    <w:next w:val="315"/>
    <w:qFormat/>
    <w:uiPriority w:val="0"/>
    <w:pPr>
      <w:spacing w:line="240" w:lineRule="auto"/>
      <w:ind w:firstLine="0"/>
      <w:jc w:val="center"/>
    </w:pPr>
    <w:rPr>
      <w:rFonts w:hAnsi="宋体"/>
      <w:b w:val="0"/>
      <w:spacing w:val="0"/>
      <w:sz w:val="21"/>
    </w:rPr>
  </w:style>
  <w:style w:type="character" w:customStyle="1" w:styleId="2299">
    <w:name w:val="Char Char116"/>
    <w:qFormat/>
    <w:uiPriority w:val="0"/>
    <w:rPr>
      <w:rFonts w:ascii="黑体" w:hAnsi="Arial" w:eastAsia="黑体"/>
      <w:bCs/>
      <w:kern w:val="2"/>
      <w:sz w:val="30"/>
      <w:szCs w:val="30"/>
      <w:lang w:val="en-US" w:eastAsia="zh-CN" w:bidi="ar-SA"/>
    </w:rPr>
  </w:style>
  <w:style w:type="paragraph" w:customStyle="1" w:styleId="2300">
    <w:name w:val="Char115"/>
    <w:basedOn w:val="1"/>
    <w:qFormat/>
    <w:uiPriority w:val="0"/>
    <w:pPr>
      <w:ind w:left="-48"/>
    </w:pPr>
    <w:rPr>
      <w:rFonts w:ascii="宋体" w:hAnsi="宋体" w:cs="宋体"/>
    </w:rPr>
  </w:style>
  <w:style w:type="paragraph" w:customStyle="1" w:styleId="2301">
    <w:name w:val="正文格式24"/>
    <w:basedOn w:val="1"/>
    <w:qFormat/>
    <w:uiPriority w:val="0"/>
    <w:pPr>
      <w:spacing w:line="360" w:lineRule="auto"/>
      <w:ind w:firstLine="482"/>
    </w:pPr>
    <w:rPr>
      <w:rFonts w:ascii="宋体" w:hAnsi="宋体" w:cs="宋体"/>
      <w:sz w:val="24"/>
    </w:rPr>
  </w:style>
  <w:style w:type="character" w:customStyle="1" w:styleId="2302">
    <w:name w:val="题注 Char13"/>
    <w:qFormat/>
    <w:uiPriority w:val="0"/>
    <w:rPr>
      <w:rFonts w:ascii="黑体" w:hAnsi="Arial" w:eastAsia="黑体" w:cs="Arial"/>
      <w:spacing w:val="10"/>
      <w:kern w:val="2"/>
      <w:sz w:val="24"/>
      <w:szCs w:val="24"/>
      <w:lang w:val="en-US" w:eastAsia="zh-CN" w:bidi="ar-SA"/>
    </w:rPr>
  </w:style>
  <w:style w:type="paragraph" w:customStyle="1" w:styleId="2303">
    <w:name w:val="图题24"/>
    <w:basedOn w:val="315"/>
    <w:next w:val="315"/>
    <w:qFormat/>
    <w:uiPriority w:val="0"/>
    <w:pPr>
      <w:ind w:firstLine="0"/>
      <w:jc w:val="center"/>
    </w:pPr>
    <w:rPr>
      <w:rFonts w:ascii="黑体" w:hAnsi="宋体" w:eastAsia="黑体"/>
      <w:bCs/>
      <w:spacing w:val="0"/>
    </w:rPr>
  </w:style>
  <w:style w:type="paragraph" w:customStyle="1" w:styleId="2304">
    <w:name w:val="表格内字体24"/>
    <w:basedOn w:val="315"/>
    <w:next w:val="315"/>
    <w:qFormat/>
    <w:uiPriority w:val="0"/>
    <w:pPr>
      <w:spacing w:line="240" w:lineRule="auto"/>
      <w:ind w:firstLine="0"/>
      <w:jc w:val="center"/>
    </w:pPr>
    <w:rPr>
      <w:rFonts w:hAnsi="宋体"/>
      <w:b w:val="0"/>
      <w:spacing w:val="0"/>
      <w:sz w:val="21"/>
    </w:rPr>
  </w:style>
  <w:style w:type="paragraph" w:customStyle="1" w:styleId="2305">
    <w:name w:val="表内54113"/>
    <w:basedOn w:val="1"/>
    <w:qFormat/>
    <w:uiPriority w:val="0"/>
    <w:pPr>
      <w:adjustRightInd w:val="0"/>
      <w:snapToGrid w:val="0"/>
      <w:spacing w:line="300" w:lineRule="auto"/>
      <w:jc w:val="center"/>
    </w:pPr>
    <w:rPr>
      <w:rFonts w:ascii="宋体" w:hAnsi="宋体" w:cs="宋体"/>
    </w:rPr>
  </w:style>
  <w:style w:type="paragraph" w:customStyle="1" w:styleId="2306">
    <w:name w:val="表内文字小2113"/>
    <w:basedOn w:val="1"/>
    <w:qFormat/>
    <w:uiPriority w:val="0"/>
    <w:pPr>
      <w:adjustRightInd w:val="0"/>
      <w:snapToGrid w:val="0"/>
      <w:jc w:val="center"/>
    </w:pPr>
    <w:rPr>
      <w:rFonts w:ascii="宋体" w:hAnsi="Times" w:cs="宋体"/>
      <w:bCs/>
      <w:color w:val="000000"/>
    </w:rPr>
  </w:style>
  <w:style w:type="paragraph" w:customStyle="1" w:styleId="2307">
    <w:name w:val="表题3113"/>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308">
    <w:name w:val="Char Char Char Char Char Char Char18"/>
    <w:basedOn w:val="1"/>
    <w:qFormat/>
    <w:uiPriority w:val="0"/>
    <w:rPr>
      <w:rFonts w:ascii="宋体" w:hAnsi="宋体" w:cs="宋体"/>
    </w:rPr>
  </w:style>
  <w:style w:type="paragraph" w:customStyle="1" w:styleId="2309">
    <w:name w:val="标题43113"/>
    <w:basedOn w:val="1"/>
    <w:qFormat/>
    <w:uiPriority w:val="0"/>
    <w:pPr>
      <w:adjustRightInd w:val="0"/>
      <w:snapToGrid w:val="0"/>
      <w:spacing w:line="480" w:lineRule="exact"/>
      <w:jc w:val="center"/>
    </w:pPr>
    <w:rPr>
      <w:rFonts w:ascii="宋体" w:hAnsi="宋体" w:cs="宋体"/>
      <w:sz w:val="24"/>
    </w:rPr>
  </w:style>
  <w:style w:type="paragraph" w:customStyle="1" w:styleId="2310">
    <w:name w:val="燕山正文1113"/>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311">
    <w:name w:val="默认段落字体 Para Char Char Char Char13"/>
    <w:basedOn w:val="1"/>
    <w:qFormat/>
    <w:uiPriority w:val="0"/>
    <w:rPr>
      <w:rFonts w:ascii="宋体" w:hAnsi="宋体" w:cs="宋体"/>
    </w:rPr>
  </w:style>
  <w:style w:type="paragraph" w:customStyle="1" w:styleId="2312">
    <w:name w:val="附件13"/>
    <w:basedOn w:val="4"/>
    <w:next w:val="315"/>
    <w:qFormat/>
    <w:uiPriority w:val="0"/>
    <w:pPr>
      <w:keepLines/>
      <w:widowControl w:val="0"/>
      <w:numPr>
        <w:numId w:val="0"/>
      </w:numPr>
      <w:tabs>
        <w:tab w:val="left" w:pos="1566"/>
      </w:tabs>
      <w:adjustRightInd w:val="0"/>
      <w:snapToGrid w:val="0"/>
      <w:spacing w:beforeLines="100"/>
      <w:jc w:val="both"/>
    </w:pPr>
    <w:rPr>
      <w:rFonts w:ascii="黑体" w:eastAsia="黑体"/>
      <w:b/>
      <w:bCs/>
      <w:kern w:val="44"/>
      <w:szCs w:val="32"/>
    </w:rPr>
  </w:style>
  <w:style w:type="paragraph" w:customStyle="1" w:styleId="2313">
    <w:name w:val="黑体三号13"/>
    <w:basedOn w:val="315"/>
    <w:qFormat/>
    <w:uiPriority w:val="0"/>
    <w:pPr>
      <w:jc w:val="center"/>
    </w:pPr>
    <w:rPr>
      <w:rFonts w:ascii="黑体" w:hAnsi="宋体" w:eastAsia="黑体"/>
      <w:bCs/>
      <w:spacing w:val="0"/>
      <w:sz w:val="32"/>
    </w:rPr>
  </w:style>
  <w:style w:type="paragraph" w:customStyle="1" w:styleId="2314">
    <w:name w:val="表13"/>
    <w:basedOn w:val="1"/>
    <w:qFormat/>
    <w:uiPriority w:val="0"/>
    <w:pPr>
      <w:adjustRightInd w:val="0"/>
      <w:snapToGrid w:val="0"/>
      <w:jc w:val="center"/>
    </w:pPr>
    <w:rPr>
      <w:rFonts w:ascii="宋体" w:hAnsi="宋体" w:eastAsia="仿宋_GB2312" w:cs="宋体"/>
      <w:sz w:val="24"/>
    </w:rPr>
  </w:style>
  <w:style w:type="character" w:customStyle="1" w:styleId="2315">
    <w:name w:val="Char Char66"/>
    <w:qFormat/>
    <w:uiPriority w:val="0"/>
    <w:rPr>
      <w:rFonts w:ascii="黑体" w:eastAsia="黑体"/>
      <w:b/>
      <w:bCs/>
      <w:kern w:val="2"/>
      <w:sz w:val="28"/>
      <w:szCs w:val="28"/>
      <w:lang w:val="en-US" w:eastAsia="zh-CN" w:bidi="ar-SA"/>
    </w:rPr>
  </w:style>
  <w:style w:type="paragraph" w:customStyle="1" w:styleId="2316">
    <w:name w:val="表题114"/>
    <w:basedOn w:val="23"/>
    <w:qFormat/>
    <w:uiPriority w:val="0"/>
    <w:pPr>
      <w:widowControl w:val="0"/>
      <w:spacing w:line="360" w:lineRule="auto"/>
      <w:jc w:val="center"/>
    </w:pPr>
    <w:rPr>
      <w:rFonts w:ascii="黑体" w:hAnsi="Arial" w:cs="Arial"/>
      <w:kern w:val="2"/>
    </w:rPr>
  </w:style>
  <w:style w:type="paragraph" w:customStyle="1" w:styleId="2317">
    <w:name w:val="燕山正文15"/>
    <w:basedOn w:val="1"/>
    <w:qFormat/>
    <w:uiPriority w:val="0"/>
    <w:pPr>
      <w:tabs>
        <w:tab w:val="left" w:pos="4680"/>
      </w:tabs>
      <w:adjustRightInd w:val="0"/>
      <w:snapToGrid w:val="0"/>
      <w:spacing w:line="480" w:lineRule="exact"/>
    </w:pPr>
    <w:rPr>
      <w:rFonts w:ascii="宋体" w:hAnsi="宋体" w:cs="宋体"/>
      <w:sz w:val="24"/>
    </w:rPr>
  </w:style>
  <w:style w:type="paragraph" w:customStyle="1" w:styleId="2318">
    <w:name w:val="正文修改13"/>
    <w:basedOn w:val="1180"/>
    <w:qFormat/>
    <w:uiPriority w:val="0"/>
    <w:rPr>
      <w:rFonts w:hAnsi="宋体"/>
      <w:color w:val="000000"/>
    </w:rPr>
  </w:style>
  <w:style w:type="character" w:customStyle="1" w:styleId="2319">
    <w:name w:val="正文修改 Char113"/>
    <w:qFormat/>
    <w:uiPriority w:val="0"/>
    <w:rPr>
      <w:rFonts w:ascii="宋体" w:hAnsi="宋体" w:eastAsia="宋体" w:cs="宋体"/>
      <w:color w:val="000000"/>
      <w:kern w:val="2"/>
      <w:sz w:val="24"/>
      <w:szCs w:val="24"/>
      <w:lang w:val="en-US" w:eastAsia="zh-CN" w:bidi="ar-SA"/>
    </w:rPr>
  </w:style>
  <w:style w:type="paragraph" w:customStyle="1" w:styleId="2320">
    <w:name w:val="表中文字14"/>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321">
    <w:name w:val="表文字514"/>
    <w:basedOn w:val="1"/>
    <w:qFormat/>
    <w:uiPriority w:val="0"/>
    <w:pPr>
      <w:adjustRightInd w:val="0"/>
      <w:jc w:val="left"/>
      <w:textAlignment w:val="baseline"/>
    </w:pPr>
    <w:rPr>
      <w:rFonts w:ascii="宋体" w:hAnsi="宋体" w:cs="宋体"/>
      <w:kern w:val="0"/>
    </w:rPr>
  </w:style>
  <w:style w:type="paragraph" w:customStyle="1" w:styleId="2322">
    <w:name w:val="表内文字小3113"/>
    <w:basedOn w:val="1"/>
    <w:qFormat/>
    <w:uiPriority w:val="0"/>
    <w:pPr>
      <w:adjustRightInd w:val="0"/>
      <w:snapToGrid w:val="0"/>
      <w:jc w:val="center"/>
    </w:pPr>
    <w:rPr>
      <w:rFonts w:ascii="宋体" w:hAnsi="Times" w:cs="宋体"/>
      <w:bCs/>
      <w:color w:val="003366"/>
    </w:rPr>
  </w:style>
  <w:style w:type="paragraph" w:customStyle="1" w:styleId="2323">
    <w:name w:val="样式113"/>
    <w:basedOn w:val="1227"/>
    <w:qFormat/>
    <w:uiPriority w:val="0"/>
    <w:pPr>
      <w:spacing w:line="240" w:lineRule="auto"/>
      <w:ind w:firstLine="0"/>
      <w:jc w:val="center"/>
    </w:pPr>
    <w:rPr>
      <w:rFonts w:cs="Times New Roman"/>
      <w:b/>
      <w:color w:val="auto"/>
      <w:szCs w:val="20"/>
    </w:rPr>
  </w:style>
  <w:style w:type="paragraph" w:customStyle="1" w:styleId="2324">
    <w:name w:val="Char210"/>
    <w:basedOn w:val="1"/>
    <w:qFormat/>
    <w:uiPriority w:val="0"/>
    <w:pPr>
      <w:ind w:left="-48"/>
    </w:pPr>
    <w:rPr>
      <w:rFonts w:ascii="宋体" w:hAnsi="宋体" w:cs="宋体"/>
    </w:rPr>
  </w:style>
  <w:style w:type="paragraph" w:customStyle="1" w:styleId="2325">
    <w:name w:val="表内文字小25"/>
    <w:basedOn w:val="1"/>
    <w:qFormat/>
    <w:uiPriority w:val="0"/>
    <w:pPr>
      <w:adjustRightInd w:val="0"/>
      <w:snapToGrid w:val="0"/>
      <w:jc w:val="center"/>
    </w:pPr>
    <w:rPr>
      <w:rFonts w:ascii="宋体" w:hAnsi="Times" w:cs="宋体"/>
      <w:bCs/>
      <w:color w:val="000000"/>
    </w:rPr>
  </w:style>
  <w:style w:type="paragraph" w:customStyle="1" w:styleId="2326">
    <w:name w:val="表内534"/>
    <w:basedOn w:val="1"/>
    <w:qFormat/>
    <w:uiPriority w:val="0"/>
    <w:pPr>
      <w:adjustRightInd w:val="0"/>
      <w:snapToGrid w:val="0"/>
      <w:spacing w:line="300" w:lineRule="auto"/>
      <w:jc w:val="left"/>
    </w:pPr>
    <w:rPr>
      <w:rFonts w:ascii="宋体" w:hAnsi="宋体" w:cs="宋体"/>
    </w:rPr>
  </w:style>
  <w:style w:type="paragraph" w:customStyle="1" w:styleId="2327">
    <w:name w:val="正文格式33"/>
    <w:basedOn w:val="1"/>
    <w:qFormat/>
    <w:uiPriority w:val="0"/>
    <w:pPr>
      <w:spacing w:line="360" w:lineRule="auto"/>
      <w:ind w:firstLine="482"/>
    </w:pPr>
    <w:rPr>
      <w:rFonts w:ascii="宋体" w:hAnsi="宋体" w:cs="宋体"/>
      <w:sz w:val="24"/>
    </w:rPr>
  </w:style>
  <w:style w:type="character" w:customStyle="1" w:styleId="2328">
    <w:name w:val="题注 Char23"/>
    <w:qFormat/>
    <w:uiPriority w:val="0"/>
    <w:rPr>
      <w:rFonts w:ascii="黑体" w:hAnsi="Arial" w:eastAsia="黑体" w:cs="Arial"/>
      <w:spacing w:val="10"/>
      <w:kern w:val="2"/>
      <w:sz w:val="24"/>
      <w:szCs w:val="24"/>
      <w:lang w:val="en-US" w:eastAsia="zh-CN" w:bidi="ar-SA"/>
    </w:rPr>
  </w:style>
  <w:style w:type="paragraph" w:customStyle="1" w:styleId="2329">
    <w:name w:val="图题33"/>
    <w:basedOn w:val="315"/>
    <w:next w:val="315"/>
    <w:qFormat/>
    <w:uiPriority w:val="0"/>
    <w:pPr>
      <w:ind w:firstLine="0"/>
      <w:jc w:val="center"/>
    </w:pPr>
    <w:rPr>
      <w:rFonts w:ascii="黑体" w:hAnsi="宋体" w:eastAsia="黑体"/>
      <w:bCs/>
      <w:spacing w:val="0"/>
    </w:rPr>
  </w:style>
  <w:style w:type="paragraph" w:customStyle="1" w:styleId="2330">
    <w:name w:val="表格内字体33"/>
    <w:basedOn w:val="315"/>
    <w:next w:val="315"/>
    <w:qFormat/>
    <w:uiPriority w:val="0"/>
    <w:pPr>
      <w:spacing w:line="240" w:lineRule="auto"/>
      <w:ind w:firstLine="0"/>
      <w:jc w:val="center"/>
    </w:pPr>
    <w:rPr>
      <w:rFonts w:hAnsi="宋体"/>
      <w:b w:val="0"/>
      <w:spacing w:val="0"/>
      <w:sz w:val="21"/>
    </w:rPr>
  </w:style>
  <w:style w:type="paragraph" w:customStyle="1" w:styleId="2331">
    <w:name w:val="表内54123"/>
    <w:basedOn w:val="1"/>
    <w:qFormat/>
    <w:uiPriority w:val="0"/>
    <w:pPr>
      <w:adjustRightInd w:val="0"/>
      <w:snapToGrid w:val="0"/>
      <w:spacing w:line="300" w:lineRule="auto"/>
      <w:jc w:val="center"/>
    </w:pPr>
    <w:rPr>
      <w:rFonts w:ascii="宋体" w:hAnsi="宋体" w:cs="宋体"/>
    </w:rPr>
  </w:style>
  <w:style w:type="paragraph" w:customStyle="1" w:styleId="2332">
    <w:name w:val="表内文字小2123"/>
    <w:basedOn w:val="1"/>
    <w:qFormat/>
    <w:uiPriority w:val="0"/>
    <w:pPr>
      <w:adjustRightInd w:val="0"/>
      <w:snapToGrid w:val="0"/>
      <w:jc w:val="center"/>
    </w:pPr>
    <w:rPr>
      <w:rFonts w:ascii="宋体" w:hAnsi="Times" w:cs="宋体"/>
      <w:bCs/>
      <w:color w:val="000000"/>
    </w:rPr>
  </w:style>
  <w:style w:type="paragraph" w:customStyle="1" w:styleId="2333">
    <w:name w:val="表题3123"/>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334">
    <w:name w:val="标题43123"/>
    <w:basedOn w:val="1"/>
    <w:qFormat/>
    <w:uiPriority w:val="0"/>
    <w:pPr>
      <w:adjustRightInd w:val="0"/>
      <w:snapToGrid w:val="0"/>
      <w:spacing w:line="480" w:lineRule="exact"/>
      <w:jc w:val="center"/>
    </w:pPr>
    <w:rPr>
      <w:rFonts w:ascii="宋体" w:hAnsi="宋体" w:cs="宋体"/>
      <w:sz w:val="24"/>
    </w:rPr>
  </w:style>
  <w:style w:type="paragraph" w:customStyle="1" w:styleId="2335">
    <w:name w:val="燕山正文1123"/>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336">
    <w:name w:val="默认段落字体 Para Char Char Char Char23"/>
    <w:basedOn w:val="1"/>
    <w:qFormat/>
    <w:uiPriority w:val="0"/>
    <w:rPr>
      <w:rFonts w:ascii="宋体" w:hAnsi="宋体" w:cs="宋体"/>
    </w:rPr>
  </w:style>
  <w:style w:type="paragraph" w:customStyle="1" w:styleId="2337">
    <w:name w:val="附件23"/>
    <w:basedOn w:val="4"/>
    <w:next w:val="315"/>
    <w:qFormat/>
    <w:uiPriority w:val="0"/>
    <w:pPr>
      <w:keepLines/>
      <w:widowControl w:val="0"/>
      <w:numPr>
        <w:numId w:val="0"/>
      </w:numPr>
      <w:tabs>
        <w:tab w:val="left" w:pos="1566"/>
      </w:tabs>
      <w:adjustRightInd w:val="0"/>
      <w:snapToGrid w:val="0"/>
      <w:spacing w:beforeLines="100"/>
      <w:jc w:val="both"/>
    </w:pPr>
    <w:rPr>
      <w:rFonts w:ascii="黑体" w:eastAsia="黑体"/>
      <w:b/>
      <w:bCs/>
      <w:kern w:val="44"/>
      <w:szCs w:val="32"/>
    </w:rPr>
  </w:style>
  <w:style w:type="paragraph" w:customStyle="1" w:styleId="2338">
    <w:name w:val="黑体三号23"/>
    <w:basedOn w:val="315"/>
    <w:qFormat/>
    <w:uiPriority w:val="0"/>
    <w:pPr>
      <w:jc w:val="center"/>
    </w:pPr>
    <w:rPr>
      <w:rFonts w:ascii="黑体" w:hAnsi="宋体" w:eastAsia="黑体"/>
      <w:bCs/>
      <w:spacing w:val="0"/>
      <w:sz w:val="32"/>
    </w:rPr>
  </w:style>
  <w:style w:type="paragraph" w:customStyle="1" w:styleId="2339">
    <w:name w:val="表23"/>
    <w:basedOn w:val="1"/>
    <w:qFormat/>
    <w:uiPriority w:val="0"/>
    <w:pPr>
      <w:adjustRightInd w:val="0"/>
      <w:snapToGrid w:val="0"/>
      <w:jc w:val="center"/>
    </w:pPr>
    <w:rPr>
      <w:rFonts w:ascii="宋体" w:hAnsi="宋体" w:eastAsia="仿宋_GB2312" w:cs="宋体"/>
      <w:sz w:val="24"/>
    </w:rPr>
  </w:style>
  <w:style w:type="paragraph" w:customStyle="1" w:styleId="2340">
    <w:name w:val="燕山正文23"/>
    <w:basedOn w:val="1"/>
    <w:qFormat/>
    <w:uiPriority w:val="0"/>
    <w:pPr>
      <w:tabs>
        <w:tab w:val="left" w:pos="4680"/>
      </w:tabs>
      <w:adjustRightInd w:val="0"/>
      <w:snapToGrid w:val="0"/>
      <w:spacing w:line="480" w:lineRule="exact"/>
    </w:pPr>
    <w:rPr>
      <w:rFonts w:ascii="宋体" w:hAnsi="宋体" w:cs="宋体"/>
      <w:sz w:val="24"/>
    </w:rPr>
  </w:style>
  <w:style w:type="paragraph" w:customStyle="1" w:styleId="2341">
    <w:name w:val="正文修改23"/>
    <w:basedOn w:val="1180"/>
    <w:qFormat/>
    <w:uiPriority w:val="0"/>
    <w:rPr>
      <w:rFonts w:hAnsi="宋体"/>
      <w:color w:val="000000"/>
    </w:rPr>
  </w:style>
  <w:style w:type="character" w:customStyle="1" w:styleId="2342">
    <w:name w:val="正文修改 Char123"/>
    <w:qFormat/>
    <w:uiPriority w:val="0"/>
    <w:rPr>
      <w:rFonts w:ascii="宋体" w:hAnsi="宋体" w:eastAsia="宋体" w:cs="宋体"/>
      <w:color w:val="000000"/>
      <w:kern w:val="2"/>
      <w:sz w:val="24"/>
      <w:szCs w:val="24"/>
      <w:lang w:val="en-US" w:eastAsia="zh-CN" w:bidi="ar-SA"/>
    </w:rPr>
  </w:style>
  <w:style w:type="paragraph" w:customStyle="1" w:styleId="2343">
    <w:name w:val="表中文字23"/>
    <w:basedOn w:val="1"/>
    <w:qFormat/>
    <w:uiPriority w:val="0"/>
    <w:pPr>
      <w:widowControl/>
      <w:adjustRightInd w:val="0"/>
      <w:spacing w:line="240" w:lineRule="atLeast"/>
      <w:ind w:right="-42" w:rightChars="-20"/>
      <w:jc w:val="center"/>
      <w:textAlignment w:val="baseline"/>
    </w:pPr>
    <w:rPr>
      <w:rFonts w:ascii="宋体" w:hAnsi="宋体" w:cs="宋体"/>
      <w:kern w:val="0"/>
      <w:szCs w:val="21"/>
    </w:rPr>
  </w:style>
  <w:style w:type="paragraph" w:customStyle="1" w:styleId="2344">
    <w:name w:val="表内文字小3123"/>
    <w:basedOn w:val="1"/>
    <w:qFormat/>
    <w:uiPriority w:val="0"/>
    <w:pPr>
      <w:adjustRightInd w:val="0"/>
      <w:snapToGrid w:val="0"/>
      <w:jc w:val="center"/>
    </w:pPr>
    <w:rPr>
      <w:rFonts w:ascii="宋体" w:hAnsi="Times" w:cs="宋体"/>
      <w:bCs/>
      <w:color w:val="003366"/>
    </w:rPr>
  </w:style>
  <w:style w:type="paragraph" w:customStyle="1" w:styleId="2345">
    <w:name w:val="表内文字小223"/>
    <w:basedOn w:val="1"/>
    <w:qFormat/>
    <w:uiPriority w:val="0"/>
    <w:pPr>
      <w:adjustRightInd w:val="0"/>
      <w:snapToGrid w:val="0"/>
      <w:jc w:val="center"/>
    </w:pPr>
    <w:rPr>
      <w:rFonts w:ascii="宋体" w:hAnsi="Times" w:cs="宋体"/>
      <w:bCs/>
      <w:color w:val="000000"/>
    </w:rPr>
  </w:style>
  <w:style w:type="paragraph" w:customStyle="1" w:styleId="2346">
    <w:name w:val="正文格式213"/>
    <w:basedOn w:val="1"/>
    <w:qFormat/>
    <w:uiPriority w:val="0"/>
    <w:pPr>
      <w:spacing w:line="360" w:lineRule="auto"/>
      <w:ind w:firstLine="482"/>
    </w:pPr>
    <w:rPr>
      <w:rFonts w:ascii="宋体" w:hAnsi="宋体" w:cs="宋体"/>
      <w:sz w:val="24"/>
    </w:rPr>
  </w:style>
  <w:style w:type="paragraph" w:customStyle="1" w:styleId="2347">
    <w:name w:val="表格内字体213"/>
    <w:basedOn w:val="315"/>
    <w:next w:val="315"/>
    <w:qFormat/>
    <w:uiPriority w:val="0"/>
    <w:pPr>
      <w:spacing w:line="240" w:lineRule="auto"/>
      <w:ind w:firstLine="0"/>
      <w:jc w:val="center"/>
    </w:pPr>
    <w:rPr>
      <w:rFonts w:hAnsi="宋体"/>
      <w:b w:val="0"/>
      <w:spacing w:val="0"/>
      <w:sz w:val="21"/>
    </w:rPr>
  </w:style>
  <w:style w:type="paragraph" w:customStyle="1" w:styleId="2348">
    <w:name w:val="表中文字113"/>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349">
    <w:name w:val="表文字5113"/>
    <w:basedOn w:val="1"/>
    <w:qFormat/>
    <w:uiPriority w:val="0"/>
    <w:pPr>
      <w:adjustRightInd w:val="0"/>
      <w:jc w:val="left"/>
      <w:textAlignment w:val="baseline"/>
    </w:pPr>
    <w:rPr>
      <w:rFonts w:ascii="宋体" w:hAnsi="宋体" w:cs="宋体"/>
      <w:kern w:val="0"/>
    </w:rPr>
  </w:style>
  <w:style w:type="paragraph" w:customStyle="1" w:styleId="2350">
    <w:name w:val="默认段落字体 Para Char7"/>
    <w:basedOn w:val="1"/>
    <w:qFormat/>
    <w:uiPriority w:val="0"/>
    <w:pPr>
      <w:spacing w:line="360" w:lineRule="auto"/>
      <w:ind w:firstLine="200" w:firstLineChars="200"/>
    </w:pPr>
    <w:rPr>
      <w:rFonts w:ascii="宋体" w:hAnsi="宋体" w:cs="宋体"/>
      <w:sz w:val="24"/>
    </w:rPr>
  </w:style>
  <w:style w:type="character" w:customStyle="1" w:styleId="2351">
    <w:name w:val="批注框文本 Char7"/>
    <w:qFormat/>
    <w:uiPriority w:val="0"/>
    <w:rPr>
      <w:rFonts w:ascii="Times New Roman" w:hAnsi="Times New Roman" w:eastAsia="宋体" w:cs="Times New Roman"/>
      <w:kern w:val="2"/>
      <w:sz w:val="18"/>
      <w:szCs w:val="18"/>
      <w:lang w:val="en-US" w:eastAsia="zh-CN" w:bidi="ar-SA"/>
    </w:rPr>
  </w:style>
  <w:style w:type="paragraph" w:customStyle="1" w:styleId="2352">
    <w:name w:val="正文格式43"/>
    <w:basedOn w:val="1"/>
    <w:qFormat/>
    <w:uiPriority w:val="0"/>
    <w:pPr>
      <w:spacing w:line="360" w:lineRule="auto"/>
      <w:ind w:firstLine="482"/>
    </w:pPr>
    <w:rPr>
      <w:rFonts w:ascii="宋体" w:hAnsi="宋体" w:cs="宋体"/>
      <w:sz w:val="24"/>
    </w:rPr>
  </w:style>
  <w:style w:type="paragraph" w:customStyle="1" w:styleId="2353">
    <w:name w:val="图题43"/>
    <w:basedOn w:val="315"/>
    <w:next w:val="315"/>
    <w:qFormat/>
    <w:uiPriority w:val="0"/>
    <w:pPr>
      <w:ind w:firstLine="0"/>
      <w:jc w:val="center"/>
    </w:pPr>
    <w:rPr>
      <w:rFonts w:ascii="黑体" w:hAnsi="宋体" w:eastAsia="黑体"/>
      <w:bCs/>
      <w:spacing w:val="0"/>
    </w:rPr>
  </w:style>
  <w:style w:type="paragraph" w:customStyle="1" w:styleId="2354">
    <w:name w:val="表格内字体43"/>
    <w:basedOn w:val="315"/>
    <w:next w:val="315"/>
    <w:qFormat/>
    <w:uiPriority w:val="0"/>
    <w:pPr>
      <w:spacing w:line="240" w:lineRule="auto"/>
      <w:ind w:firstLine="0"/>
      <w:jc w:val="center"/>
    </w:pPr>
    <w:rPr>
      <w:rFonts w:hAnsi="宋体"/>
      <w:b w:val="0"/>
      <w:spacing w:val="0"/>
      <w:sz w:val="21"/>
    </w:rPr>
  </w:style>
  <w:style w:type="paragraph" w:customStyle="1" w:styleId="2355">
    <w:name w:val="Char48"/>
    <w:basedOn w:val="1"/>
    <w:qFormat/>
    <w:uiPriority w:val="0"/>
    <w:pPr>
      <w:ind w:left="-48"/>
    </w:pPr>
    <w:rPr>
      <w:rFonts w:ascii="宋体" w:hAnsi="宋体" w:cs="宋体"/>
    </w:rPr>
  </w:style>
  <w:style w:type="paragraph" w:customStyle="1" w:styleId="2356">
    <w:name w:val="表题133"/>
    <w:basedOn w:val="23"/>
    <w:qFormat/>
    <w:uiPriority w:val="0"/>
    <w:pPr>
      <w:widowControl w:val="0"/>
      <w:spacing w:line="360" w:lineRule="auto"/>
      <w:jc w:val="center"/>
    </w:pPr>
    <w:rPr>
      <w:rFonts w:ascii="黑体" w:hAnsi="Arial" w:cs="Arial"/>
      <w:b/>
      <w:kern w:val="2"/>
    </w:rPr>
  </w:style>
  <w:style w:type="paragraph" w:customStyle="1" w:styleId="2357">
    <w:name w:val="默认段落字体 Para Char13"/>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2358">
    <w:name w:val="23-47表名3"/>
    <w:basedOn w:val="1"/>
    <w:qFormat/>
    <w:uiPriority w:val="0"/>
    <w:pPr>
      <w:spacing w:afterLines="50" w:line="440" w:lineRule="exact"/>
      <w:jc w:val="center"/>
    </w:pPr>
    <w:rPr>
      <w:rFonts w:ascii="宋体" w:hAnsi="宋体" w:cs="宋体"/>
      <w:b/>
      <w:sz w:val="24"/>
    </w:rPr>
  </w:style>
  <w:style w:type="paragraph" w:customStyle="1" w:styleId="2359">
    <w:name w:val="xl243"/>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360">
    <w:name w:val="Char53"/>
    <w:basedOn w:val="1"/>
    <w:qFormat/>
    <w:uiPriority w:val="0"/>
    <w:pPr>
      <w:adjustRightInd w:val="0"/>
      <w:snapToGrid w:val="0"/>
      <w:ind w:left="-45"/>
    </w:pPr>
    <w:rPr>
      <w:rFonts w:ascii="宋体" w:hAnsi="宋体" w:cs="宋体"/>
    </w:rPr>
  </w:style>
  <w:style w:type="paragraph" w:customStyle="1" w:styleId="2361">
    <w:name w:val="燕山正文1133"/>
    <w:basedOn w:val="1"/>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character" w:customStyle="1" w:styleId="2362">
    <w:name w:val="题注 Char33"/>
    <w:qFormat/>
    <w:uiPriority w:val="0"/>
    <w:rPr>
      <w:rFonts w:ascii="黑体" w:hAnsi="Arial" w:eastAsia="黑体" w:cs="Arial"/>
      <w:spacing w:val="10"/>
      <w:kern w:val="2"/>
      <w:sz w:val="24"/>
      <w:szCs w:val="24"/>
      <w:lang w:val="en-US" w:eastAsia="zh-CN" w:bidi="ar-SA"/>
    </w:rPr>
  </w:style>
  <w:style w:type="paragraph" w:customStyle="1" w:styleId="2363">
    <w:name w:val="图题53"/>
    <w:basedOn w:val="315"/>
    <w:next w:val="315"/>
    <w:qFormat/>
    <w:uiPriority w:val="0"/>
    <w:pPr>
      <w:ind w:firstLine="0"/>
      <w:jc w:val="center"/>
    </w:pPr>
    <w:rPr>
      <w:rFonts w:ascii="黑体" w:hAnsi="宋体" w:eastAsia="黑体"/>
      <w:bCs/>
      <w:spacing w:val="0"/>
    </w:rPr>
  </w:style>
  <w:style w:type="paragraph" w:customStyle="1" w:styleId="2364">
    <w:name w:val="表格内字体53"/>
    <w:basedOn w:val="315"/>
    <w:next w:val="315"/>
    <w:qFormat/>
    <w:uiPriority w:val="0"/>
    <w:pPr>
      <w:adjustRightInd w:val="0"/>
      <w:snapToGrid w:val="0"/>
      <w:spacing w:line="240" w:lineRule="auto"/>
      <w:ind w:firstLine="0"/>
    </w:pPr>
    <w:rPr>
      <w:rFonts w:hAnsi="宋体"/>
      <w:b w:val="0"/>
      <w:spacing w:val="0"/>
      <w:sz w:val="21"/>
    </w:rPr>
  </w:style>
  <w:style w:type="paragraph" w:customStyle="1" w:styleId="2365">
    <w:name w:val="表33"/>
    <w:basedOn w:val="1"/>
    <w:qFormat/>
    <w:uiPriority w:val="0"/>
    <w:pPr>
      <w:adjustRightInd w:val="0"/>
      <w:snapToGrid w:val="0"/>
      <w:jc w:val="center"/>
    </w:pPr>
    <w:rPr>
      <w:rFonts w:ascii="宋体" w:hAnsi="宋体" w:eastAsia="仿宋_GB2312" w:cs="宋体"/>
      <w:sz w:val="24"/>
    </w:rPr>
  </w:style>
  <w:style w:type="paragraph" w:customStyle="1" w:styleId="2366">
    <w:name w:val="文本框13"/>
    <w:basedOn w:val="1"/>
    <w:qFormat/>
    <w:uiPriority w:val="0"/>
    <w:pPr>
      <w:adjustRightInd w:val="0"/>
      <w:snapToGrid w:val="0"/>
      <w:spacing w:after="6"/>
      <w:jc w:val="center"/>
    </w:pPr>
    <w:rPr>
      <w:rFonts w:ascii="宋体" w:hAnsi="宋体" w:eastAsia="仿宋_GB2312" w:cs="宋体"/>
    </w:rPr>
  </w:style>
  <w:style w:type="paragraph" w:customStyle="1" w:styleId="2367">
    <w:name w:val="表内宋51113"/>
    <w:basedOn w:val="81"/>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2368">
    <w:name w:val="表内文字小3133"/>
    <w:basedOn w:val="1"/>
    <w:qFormat/>
    <w:uiPriority w:val="0"/>
    <w:pPr>
      <w:adjustRightInd w:val="0"/>
      <w:snapToGrid w:val="0"/>
      <w:jc w:val="center"/>
    </w:pPr>
    <w:rPr>
      <w:rFonts w:ascii="宋体" w:hAnsi="Times" w:cs="宋体"/>
      <w:bCs/>
      <w:color w:val="003366"/>
    </w:rPr>
  </w:style>
  <w:style w:type="paragraph" w:customStyle="1" w:styleId="2369">
    <w:name w:val="表文字533"/>
    <w:basedOn w:val="1"/>
    <w:qFormat/>
    <w:uiPriority w:val="0"/>
    <w:pPr>
      <w:adjustRightInd w:val="0"/>
      <w:jc w:val="left"/>
      <w:textAlignment w:val="baseline"/>
    </w:pPr>
    <w:rPr>
      <w:rFonts w:ascii="宋体" w:hAnsi="宋体" w:cs="宋体"/>
      <w:kern w:val="0"/>
    </w:rPr>
  </w:style>
  <w:style w:type="paragraph" w:customStyle="1" w:styleId="2370">
    <w:name w:val="Char Char Char Char Char Char Char26"/>
    <w:basedOn w:val="1"/>
    <w:qFormat/>
    <w:uiPriority w:val="0"/>
    <w:rPr>
      <w:rFonts w:ascii="宋体" w:hAnsi="宋体" w:cs="宋体"/>
    </w:rPr>
  </w:style>
  <w:style w:type="paragraph" w:customStyle="1" w:styleId="2371">
    <w:name w:val="表题3133"/>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372">
    <w:name w:val="表内文字小2133"/>
    <w:basedOn w:val="1"/>
    <w:qFormat/>
    <w:uiPriority w:val="0"/>
    <w:pPr>
      <w:adjustRightInd w:val="0"/>
      <w:snapToGrid w:val="0"/>
      <w:jc w:val="center"/>
      <w:textAlignment w:val="baseline"/>
    </w:pPr>
    <w:rPr>
      <w:rFonts w:ascii="宋体" w:hAnsi="Times" w:cs="宋体"/>
      <w:bCs/>
      <w:color w:val="000000"/>
    </w:rPr>
  </w:style>
  <w:style w:type="paragraph" w:customStyle="1" w:styleId="2373">
    <w:name w:val="燕山正文33"/>
    <w:basedOn w:val="1"/>
    <w:qFormat/>
    <w:uiPriority w:val="0"/>
    <w:pPr>
      <w:tabs>
        <w:tab w:val="left" w:pos="4680"/>
      </w:tabs>
      <w:adjustRightInd w:val="0"/>
      <w:snapToGrid w:val="0"/>
      <w:spacing w:line="480" w:lineRule="exact"/>
    </w:pPr>
    <w:rPr>
      <w:rFonts w:ascii="宋体" w:hAnsi="宋体" w:cs="宋体"/>
      <w:sz w:val="24"/>
    </w:rPr>
  </w:style>
  <w:style w:type="paragraph" w:customStyle="1" w:styleId="2374">
    <w:name w:val="正文修改33"/>
    <w:basedOn w:val="1180"/>
    <w:qFormat/>
    <w:uiPriority w:val="0"/>
    <w:rPr>
      <w:rFonts w:hAnsi="宋体"/>
      <w:color w:val="000000"/>
    </w:rPr>
  </w:style>
  <w:style w:type="character" w:customStyle="1" w:styleId="2375">
    <w:name w:val="正文修改 Char133"/>
    <w:qFormat/>
    <w:uiPriority w:val="0"/>
    <w:rPr>
      <w:rFonts w:ascii="宋体" w:hAnsi="宋体" w:eastAsia="宋体" w:cs="宋体"/>
      <w:color w:val="000000"/>
      <w:kern w:val="2"/>
      <w:sz w:val="24"/>
      <w:szCs w:val="24"/>
      <w:lang w:val="en-US" w:eastAsia="zh-CN" w:bidi="ar-SA"/>
    </w:rPr>
  </w:style>
  <w:style w:type="character" w:customStyle="1" w:styleId="2376">
    <w:name w:val="表题1 Char43"/>
    <w:qFormat/>
    <w:uiPriority w:val="0"/>
    <w:rPr>
      <w:rFonts w:ascii="黑体" w:hAnsi="Arial" w:eastAsia="黑体" w:cs="Arial"/>
      <w:b/>
      <w:kern w:val="2"/>
      <w:sz w:val="24"/>
      <w:szCs w:val="24"/>
      <w:lang w:val="en-US" w:eastAsia="zh-CN" w:bidi="ar-SA"/>
    </w:rPr>
  </w:style>
  <w:style w:type="paragraph" w:customStyle="1" w:styleId="2377">
    <w:name w:val="黑体三号33"/>
    <w:basedOn w:val="315"/>
    <w:qFormat/>
    <w:uiPriority w:val="0"/>
    <w:pPr>
      <w:jc w:val="center"/>
    </w:pPr>
    <w:rPr>
      <w:rFonts w:ascii="黑体" w:hAnsi="宋体" w:eastAsia="黑体"/>
      <w:bCs/>
      <w:spacing w:val="0"/>
      <w:sz w:val="32"/>
    </w:rPr>
  </w:style>
  <w:style w:type="paragraph" w:customStyle="1" w:styleId="2378">
    <w:name w:val="默认段落字体 Para Char Char Char Char33"/>
    <w:basedOn w:val="1"/>
    <w:qFormat/>
    <w:uiPriority w:val="0"/>
    <w:rPr>
      <w:rFonts w:ascii="宋体" w:hAnsi="宋体" w:cs="宋体"/>
    </w:rPr>
  </w:style>
  <w:style w:type="paragraph" w:customStyle="1" w:styleId="2379">
    <w:name w:val="表内54133"/>
    <w:basedOn w:val="1"/>
    <w:qFormat/>
    <w:uiPriority w:val="0"/>
    <w:pPr>
      <w:adjustRightInd w:val="0"/>
      <w:snapToGrid w:val="0"/>
      <w:spacing w:line="300" w:lineRule="auto"/>
      <w:jc w:val="center"/>
    </w:pPr>
    <w:rPr>
      <w:rFonts w:ascii="宋体" w:hAnsi="宋体" w:cs="宋体"/>
    </w:rPr>
  </w:style>
  <w:style w:type="paragraph" w:customStyle="1" w:styleId="2380">
    <w:name w:val="标题44"/>
    <w:basedOn w:val="1"/>
    <w:qFormat/>
    <w:uiPriority w:val="0"/>
    <w:pPr>
      <w:adjustRightInd w:val="0"/>
      <w:snapToGrid w:val="0"/>
      <w:spacing w:line="300" w:lineRule="auto"/>
      <w:jc w:val="left"/>
    </w:pPr>
    <w:rPr>
      <w:rFonts w:ascii="黑体" w:hAnsi="宋体" w:eastAsia="黑体" w:cs="宋体"/>
      <w:bCs/>
      <w:sz w:val="24"/>
    </w:rPr>
  </w:style>
  <w:style w:type="paragraph" w:customStyle="1" w:styleId="2381">
    <w:name w:val="Char63"/>
    <w:basedOn w:val="1"/>
    <w:qFormat/>
    <w:uiPriority w:val="0"/>
    <w:pPr>
      <w:adjustRightInd w:val="0"/>
      <w:snapToGrid w:val="0"/>
      <w:spacing w:beforeLines="50" w:line="360" w:lineRule="auto"/>
    </w:pPr>
    <w:rPr>
      <w:rFonts w:ascii="黑体" w:hAnsi="宋体" w:eastAsia="黑体" w:cs="宋体"/>
      <w:sz w:val="32"/>
      <w:szCs w:val="32"/>
    </w:rPr>
  </w:style>
  <w:style w:type="paragraph" w:customStyle="1" w:styleId="2382">
    <w:name w:val="表内宋5中113"/>
    <w:basedOn w:val="1"/>
    <w:qFormat/>
    <w:uiPriority w:val="0"/>
    <w:pPr>
      <w:adjustRightInd w:val="0"/>
      <w:snapToGrid w:val="0"/>
      <w:jc w:val="center"/>
      <w:textAlignment w:val="baseline"/>
    </w:pPr>
    <w:rPr>
      <w:rFonts w:ascii="宋体" w:hAnsi="宋体" w:cs="宋体"/>
      <w:kern w:val="0"/>
    </w:rPr>
  </w:style>
  <w:style w:type="paragraph" w:customStyle="1" w:styleId="2383">
    <w:name w:val="标题4113"/>
    <w:basedOn w:val="1"/>
    <w:qFormat/>
    <w:uiPriority w:val="0"/>
    <w:pPr>
      <w:adjustRightInd w:val="0"/>
      <w:snapToGrid w:val="0"/>
      <w:spacing w:line="300" w:lineRule="auto"/>
      <w:jc w:val="left"/>
    </w:pPr>
    <w:rPr>
      <w:rFonts w:ascii="黑体" w:hAnsi="宋体" w:eastAsia="黑体" w:cs="宋体"/>
      <w:bCs/>
      <w:sz w:val="24"/>
    </w:rPr>
  </w:style>
  <w:style w:type="paragraph" w:customStyle="1" w:styleId="2384">
    <w:name w:val="默认段落字体 Para Char23"/>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2385">
    <w:name w:val="表内5中5"/>
    <w:basedOn w:val="1"/>
    <w:qFormat/>
    <w:uiPriority w:val="0"/>
    <w:pPr>
      <w:adjustRightInd w:val="0"/>
      <w:snapToGrid w:val="0"/>
      <w:jc w:val="center"/>
    </w:pPr>
    <w:rPr>
      <w:rFonts w:ascii="宋体" w:hAnsi="宋体" w:cs="Arial"/>
      <w:snapToGrid w:val="0"/>
      <w:color w:val="000000"/>
      <w:szCs w:val="21"/>
    </w:rPr>
  </w:style>
  <w:style w:type="paragraph" w:customStyle="1" w:styleId="2386">
    <w:name w:val="正文格式63"/>
    <w:basedOn w:val="1"/>
    <w:qFormat/>
    <w:uiPriority w:val="0"/>
    <w:pPr>
      <w:spacing w:line="360" w:lineRule="auto"/>
      <w:ind w:firstLine="482"/>
    </w:pPr>
    <w:rPr>
      <w:rFonts w:ascii="宋体" w:hAnsi="宋体" w:cs="宋体"/>
      <w:sz w:val="24"/>
    </w:rPr>
  </w:style>
  <w:style w:type="paragraph" w:customStyle="1" w:styleId="2387">
    <w:name w:val="附件33"/>
    <w:basedOn w:val="4"/>
    <w:next w:val="315"/>
    <w:qFormat/>
    <w:uiPriority w:val="0"/>
    <w:pPr>
      <w:keepLines/>
      <w:widowControl w:val="0"/>
      <w:numPr>
        <w:numId w:val="0"/>
      </w:numPr>
      <w:tabs>
        <w:tab w:val="left" w:pos="1566"/>
      </w:tabs>
      <w:adjustRightInd w:val="0"/>
      <w:snapToGrid w:val="0"/>
      <w:spacing w:beforeLines="100" w:after="120"/>
      <w:jc w:val="both"/>
    </w:pPr>
    <w:rPr>
      <w:rFonts w:ascii="黑体" w:eastAsia="黑体"/>
      <w:b/>
      <w:bCs/>
      <w:kern w:val="44"/>
      <w:szCs w:val="32"/>
    </w:rPr>
  </w:style>
  <w:style w:type="paragraph" w:customStyle="1" w:styleId="2388">
    <w:name w:val="图题63"/>
    <w:basedOn w:val="315"/>
    <w:next w:val="315"/>
    <w:qFormat/>
    <w:uiPriority w:val="0"/>
    <w:pPr>
      <w:ind w:firstLine="0"/>
      <w:jc w:val="center"/>
    </w:pPr>
    <w:rPr>
      <w:rFonts w:ascii="黑体" w:hAnsi="宋体" w:eastAsia="黑体"/>
      <w:bCs/>
      <w:spacing w:val="0"/>
    </w:rPr>
  </w:style>
  <w:style w:type="character" w:customStyle="1" w:styleId="2389">
    <w:name w:val="图题 Char3"/>
    <w:qFormat/>
    <w:uiPriority w:val="0"/>
    <w:rPr>
      <w:rFonts w:ascii="黑体" w:hAnsi="宋体" w:eastAsia="黑体" w:cs="宋体"/>
      <w:b/>
      <w:bCs/>
      <w:kern w:val="2"/>
      <w:sz w:val="24"/>
      <w:szCs w:val="24"/>
      <w:lang w:val="en-US" w:eastAsia="zh-CN" w:bidi="ar-SA"/>
    </w:rPr>
  </w:style>
  <w:style w:type="paragraph" w:customStyle="1" w:styleId="2390">
    <w:name w:val="表格内字体63"/>
    <w:basedOn w:val="315"/>
    <w:next w:val="315"/>
    <w:qFormat/>
    <w:uiPriority w:val="0"/>
    <w:pPr>
      <w:spacing w:line="240" w:lineRule="auto"/>
      <w:ind w:firstLine="0"/>
      <w:jc w:val="center"/>
    </w:pPr>
    <w:rPr>
      <w:rFonts w:hAnsi="宋体"/>
      <w:b w:val="0"/>
      <w:spacing w:val="0"/>
      <w:sz w:val="21"/>
    </w:rPr>
  </w:style>
  <w:style w:type="paragraph" w:customStyle="1" w:styleId="2391">
    <w:name w:val="黑体三号43"/>
    <w:basedOn w:val="315"/>
    <w:qFormat/>
    <w:uiPriority w:val="0"/>
    <w:pPr>
      <w:jc w:val="center"/>
    </w:pPr>
    <w:rPr>
      <w:rFonts w:ascii="黑体" w:hAnsi="宋体" w:eastAsia="黑体"/>
      <w:bCs/>
      <w:spacing w:val="0"/>
      <w:sz w:val="32"/>
    </w:rPr>
  </w:style>
  <w:style w:type="paragraph" w:customStyle="1" w:styleId="2392">
    <w:name w:val="默认段落字体 Para Char Char Char Char43"/>
    <w:basedOn w:val="1"/>
    <w:qFormat/>
    <w:uiPriority w:val="0"/>
    <w:rPr>
      <w:rFonts w:ascii="宋体" w:hAnsi="宋体" w:cs="宋体"/>
    </w:rPr>
  </w:style>
  <w:style w:type="paragraph" w:customStyle="1" w:styleId="2393">
    <w:name w:val="图表题3"/>
    <w:basedOn w:val="315"/>
    <w:next w:val="315"/>
    <w:qFormat/>
    <w:uiPriority w:val="0"/>
    <w:pPr>
      <w:ind w:firstLine="0"/>
      <w:jc w:val="center"/>
    </w:pPr>
    <w:rPr>
      <w:rFonts w:ascii="黑体" w:hAnsi="宋体" w:eastAsia="黑体"/>
      <w:bCs/>
      <w:spacing w:val="0"/>
    </w:rPr>
  </w:style>
  <w:style w:type="character" w:customStyle="1" w:styleId="2394">
    <w:name w:val="图表题 Char3"/>
    <w:qFormat/>
    <w:uiPriority w:val="0"/>
    <w:rPr>
      <w:rFonts w:ascii="黑体" w:hAnsi="宋体" w:eastAsia="黑体" w:cs="宋体"/>
      <w:bCs/>
      <w:spacing w:val="10"/>
      <w:kern w:val="2"/>
      <w:sz w:val="24"/>
      <w:szCs w:val="24"/>
      <w:lang w:val="en-US" w:eastAsia="zh-CN" w:bidi="ar-SA"/>
    </w:rPr>
  </w:style>
  <w:style w:type="paragraph" w:customStyle="1" w:styleId="2395">
    <w:name w:val="样式 表格内字体 +3"/>
    <w:basedOn w:val="1177"/>
    <w:qFormat/>
    <w:uiPriority w:val="0"/>
    <w:pPr>
      <w:spacing w:line="280" w:lineRule="exact"/>
      <w:ind w:firstLine="36"/>
      <w:jc w:val="both"/>
    </w:pPr>
    <w:rPr>
      <w:kern w:val="0"/>
    </w:rPr>
  </w:style>
  <w:style w:type="character" w:customStyle="1" w:styleId="2396">
    <w:name w:val="样式 表格内字体 + Char3"/>
    <w:qFormat/>
    <w:uiPriority w:val="0"/>
    <w:rPr>
      <w:rFonts w:ascii="宋体" w:hAnsi="宋体" w:eastAsia="宋体" w:cs="Times New Roman"/>
      <w:kern w:val="0"/>
      <w:sz w:val="21"/>
      <w:szCs w:val="24"/>
      <w:lang w:val="en-US" w:eastAsia="zh-CN" w:bidi="ar-SA"/>
    </w:rPr>
  </w:style>
  <w:style w:type="paragraph" w:customStyle="1" w:styleId="2397">
    <w:name w:val="A正文3"/>
    <w:basedOn w:val="1"/>
    <w:qFormat/>
    <w:uiPriority w:val="0"/>
    <w:pPr>
      <w:widowControl/>
      <w:overflowPunct w:val="0"/>
      <w:autoSpaceDE w:val="0"/>
      <w:autoSpaceDN w:val="0"/>
      <w:adjustRightInd w:val="0"/>
      <w:spacing w:line="360" w:lineRule="auto"/>
      <w:ind w:firstLine="200" w:firstLineChars="200"/>
      <w:jc w:val="left"/>
      <w:textAlignment w:val="baseline"/>
    </w:pPr>
    <w:rPr>
      <w:rFonts w:ascii="宋体" w:hAnsi="宋体" w:eastAsia="仿宋_GB2312" w:cs="宋体"/>
      <w:kern w:val="0"/>
      <w:sz w:val="24"/>
    </w:rPr>
  </w:style>
  <w:style w:type="character" w:customStyle="1" w:styleId="2398">
    <w:name w:val="A正文 Char3"/>
    <w:qFormat/>
    <w:uiPriority w:val="0"/>
    <w:rPr>
      <w:rFonts w:ascii="Times New Roman" w:hAnsi="Times New Roman" w:eastAsia="仿宋_GB2312" w:cs="Times New Roman"/>
      <w:kern w:val="0"/>
      <w:sz w:val="24"/>
      <w:szCs w:val="24"/>
      <w:lang w:val="en-US" w:eastAsia="zh-CN" w:bidi="ar-SA"/>
    </w:rPr>
  </w:style>
  <w:style w:type="paragraph" w:customStyle="1" w:styleId="2399">
    <w:name w:val="图题注3"/>
    <w:basedOn w:val="23"/>
    <w:qFormat/>
    <w:uiPriority w:val="0"/>
    <w:pPr>
      <w:widowControl w:val="0"/>
      <w:jc w:val="center"/>
    </w:pPr>
    <w:rPr>
      <w:rFonts w:ascii="黑体" w:hAnsi="Arial"/>
      <w:b/>
      <w:bCs/>
      <w:kern w:val="2"/>
    </w:rPr>
  </w:style>
  <w:style w:type="character" w:customStyle="1" w:styleId="2400">
    <w:name w:val="图题注 Char3"/>
    <w:qFormat/>
    <w:uiPriority w:val="0"/>
    <w:rPr>
      <w:rFonts w:ascii="黑体" w:hAnsi="Arial" w:eastAsia="黑体" w:cs="宋体"/>
      <w:b/>
      <w:bCs/>
      <w:kern w:val="2"/>
      <w:sz w:val="24"/>
      <w:szCs w:val="24"/>
      <w:lang w:val="en-US" w:eastAsia="zh-CN" w:bidi="ar-SA"/>
    </w:rPr>
  </w:style>
  <w:style w:type="paragraph" w:customStyle="1" w:styleId="2401">
    <w:name w:val="Char73"/>
    <w:basedOn w:val="1"/>
    <w:qFormat/>
    <w:uiPriority w:val="0"/>
    <w:pPr>
      <w:ind w:left="-48"/>
    </w:pPr>
    <w:rPr>
      <w:rFonts w:ascii="宋体" w:hAnsi="宋体" w:cs="宋体"/>
    </w:rPr>
  </w:style>
  <w:style w:type="paragraph" w:customStyle="1" w:styleId="2402">
    <w:name w:val="表格内字体113"/>
    <w:basedOn w:val="315"/>
    <w:qFormat/>
    <w:uiPriority w:val="0"/>
    <w:pPr>
      <w:spacing w:line="240" w:lineRule="auto"/>
      <w:ind w:firstLine="0"/>
      <w:jc w:val="center"/>
    </w:pPr>
    <w:rPr>
      <w:rFonts w:hAnsi="Times New Roman"/>
      <w:b w:val="0"/>
      <w:spacing w:val="0"/>
      <w:sz w:val="21"/>
    </w:rPr>
  </w:style>
  <w:style w:type="paragraph" w:customStyle="1" w:styleId="2403">
    <w:name w:val="样式 正文缩进 + 宋体 黑色 首行缩进:  2 字符3"/>
    <w:basedOn w:val="6"/>
    <w:qFormat/>
    <w:uiPriority w:val="0"/>
    <w:pPr>
      <w:adjustRightInd/>
      <w:snapToGrid/>
      <w:spacing w:line="360" w:lineRule="auto"/>
      <w:ind w:firstLine="480"/>
      <w:jc w:val="left"/>
    </w:pPr>
    <w:rPr>
      <w:rFonts w:ascii="宋体" w:hAnsi="宋体" w:eastAsia="宋体" w:cs="宋体"/>
      <w:color w:val="FF00FF"/>
      <w:sz w:val="24"/>
      <w:szCs w:val="20"/>
    </w:rPr>
  </w:style>
  <w:style w:type="paragraph" w:customStyle="1" w:styleId="2404">
    <w:name w:val="环评正文3"/>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character" w:customStyle="1" w:styleId="2405">
    <w:name w:val="环评正文 Char3"/>
    <w:qFormat/>
    <w:uiPriority w:val="0"/>
    <w:rPr>
      <w:rFonts w:ascii="Times New Roman" w:hAnsi="Times New Roman" w:eastAsia="宋体" w:cs="Times New Roman"/>
      <w:bCs/>
      <w:kern w:val="2"/>
      <w:sz w:val="24"/>
      <w:szCs w:val="24"/>
      <w:lang w:val="en-US" w:eastAsia="zh-CN" w:bidi="ar-SA"/>
    </w:rPr>
  </w:style>
  <w:style w:type="paragraph" w:customStyle="1" w:styleId="2406">
    <w:name w:val="注释3"/>
    <w:basedOn w:val="315"/>
    <w:next w:val="35"/>
    <w:qFormat/>
    <w:uiPriority w:val="0"/>
    <w:pPr>
      <w:spacing w:before="120" w:after="120" w:line="240" w:lineRule="auto"/>
      <w:ind w:firstLine="200" w:firstLineChars="200"/>
    </w:pPr>
    <w:rPr>
      <w:rFonts w:hAnsi="Times New Roman"/>
      <w:b w:val="0"/>
      <w:spacing w:val="0"/>
      <w:sz w:val="21"/>
    </w:rPr>
  </w:style>
  <w:style w:type="paragraph" w:customStyle="1" w:styleId="2407">
    <w:name w:val="样式43"/>
    <w:basedOn w:val="35"/>
    <w:qFormat/>
    <w:uiPriority w:val="0"/>
    <w:pPr>
      <w:tabs>
        <w:tab w:val="left" w:pos="1820"/>
      </w:tabs>
      <w:snapToGrid w:val="0"/>
      <w:spacing w:after="0" w:line="240" w:lineRule="atLeast"/>
      <w:jc w:val="center"/>
    </w:pPr>
    <w:rPr>
      <w:rFonts w:ascii="Calibri" w:hAnsi="Calibri" w:eastAsia="幼圆" w:cs="宋体"/>
      <w:kern w:val="0"/>
    </w:rPr>
  </w:style>
  <w:style w:type="paragraph" w:customStyle="1" w:styleId="2408">
    <w:name w:val="标题414"/>
    <w:basedOn w:val="8"/>
    <w:next w:val="1"/>
    <w:qFormat/>
    <w:uiPriority w:val="0"/>
    <w:pPr>
      <w:widowControl w:val="0"/>
      <w:tabs>
        <w:tab w:val="clear" w:pos="1276"/>
      </w:tabs>
      <w:spacing w:before="160" w:after="170"/>
      <w:ind w:left="0" w:firstLine="0"/>
      <w:jc w:val="both"/>
    </w:pPr>
    <w:rPr>
      <w:rFonts w:ascii="黑体" w:eastAsia="黑体"/>
      <w:kern w:val="2"/>
    </w:rPr>
  </w:style>
  <w:style w:type="character" w:customStyle="1" w:styleId="2409">
    <w:name w:val="标题4 Char3"/>
    <w:qFormat/>
    <w:uiPriority w:val="0"/>
    <w:rPr>
      <w:rFonts w:ascii="黑体" w:hAnsi="Arial" w:eastAsia="黑体" w:cs="Times New Roman"/>
      <w:b/>
      <w:bCs/>
      <w:kern w:val="2"/>
      <w:sz w:val="24"/>
      <w:szCs w:val="28"/>
      <w:lang w:val="en-US" w:eastAsia="zh-CN" w:bidi="ar-SA"/>
    </w:rPr>
  </w:style>
  <w:style w:type="paragraph" w:customStyle="1" w:styleId="2410">
    <w:name w:val="表中文字43"/>
    <w:basedOn w:val="1"/>
    <w:qFormat/>
    <w:uiPriority w:val="0"/>
    <w:pPr>
      <w:snapToGrid w:val="0"/>
      <w:spacing w:line="340" w:lineRule="exact"/>
      <w:ind w:firstLine="480" w:firstLineChars="200"/>
      <w:jc w:val="center"/>
    </w:pPr>
    <w:rPr>
      <w:rFonts w:ascii="Arial" w:hAnsi="Arial" w:cs="宋体"/>
      <w:kern w:val="0"/>
      <w:sz w:val="24"/>
      <w:lang w:eastAsia="zh-TW"/>
    </w:rPr>
  </w:style>
  <w:style w:type="character" w:customStyle="1" w:styleId="2411">
    <w:name w:val="表中文字 Char4"/>
    <w:qFormat/>
    <w:uiPriority w:val="0"/>
    <w:rPr>
      <w:rFonts w:ascii="Arial" w:hAnsi="Arial" w:eastAsia="宋体" w:cs="Times New Roman"/>
      <w:kern w:val="0"/>
      <w:sz w:val="20"/>
      <w:szCs w:val="24"/>
      <w:lang w:val="en-US" w:eastAsia="zh-TW" w:bidi="ar-SA"/>
    </w:rPr>
  </w:style>
  <w:style w:type="paragraph" w:customStyle="1" w:styleId="2412">
    <w:name w:val="样式 正文缩进 + 宋体 黑色3"/>
    <w:basedOn w:val="6"/>
    <w:qFormat/>
    <w:uiPriority w:val="0"/>
    <w:pPr>
      <w:adjustRightInd/>
      <w:snapToGrid/>
      <w:spacing w:line="360" w:lineRule="auto"/>
      <w:jc w:val="left"/>
    </w:pPr>
    <w:rPr>
      <w:rFonts w:ascii="宋体" w:hAnsi="宋体" w:eastAsia="宋体" w:cs="宋体"/>
      <w:sz w:val="24"/>
    </w:rPr>
  </w:style>
  <w:style w:type="character" w:customStyle="1" w:styleId="2413">
    <w:name w:val="样式 正文缩进 + 宋体 黑色 Char3"/>
    <w:qFormat/>
    <w:uiPriority w:val="0"/>
    <w:rPr>
      <w:rFonts w:ascii="宋体" w:hAnsi="宋体" w:eastAsia="宋体" w:cs="Times New Roman"/>
      <w:color w:val="000000"/>
      <w:kern w:val="2"/>
      <w:sz w:val="24"/>
      <w:szCs w:val="24"/>
      <w:lang w:val="en-US" w:eastAsia="zh-CN" w:bidi="ar-SA"/>
    </w:rPr>
  </w:style>
  <w:style w:type="paragraph" w:customStyle="1" w:styleId="2414">
    <w:name w:val="表内513"/>
    <w:basedOn w:val="1"/>
    <w:qFormat/>
    <w:uiPriority w:val="0"/>
    <w:pPr>
      <w:adjustRightInd w:val="0"/>
      <w:snapToGrid w:val="0"/>
      <w:jc w:val="center"/>
    </w:pPr>
    <w:rPr>
      <w:rFonts w:ascii="宋体" w:hAnsi="宋体" w:cs="宋体"/>
      <w:szCs w:val="21"/>
    </w:rPr>
  </w:style>
  <w:style w:type="character" w:customStyle="1" w:styleId="2415">
    <w:name w:val="表内5 Char4"/>
    <w:qFormat/>
    <w:uiPriority w:val="0"/>
    <w:rPr>
      <w:rFonts w:ascii="宋体" w:hAnsi="宋体" w:eastAsia="宋体" w:cs="Times New Roman"/>
      <w:kern w:val="2"/>
      <w:sz w:val="24"/>
      <w:szCs w:val="21"/>
      <w:lang w:val="en-US" w:eastAsia="zh-CN" w:bidi="ar-SA"/>
    </w:rPr>
  </w:style>
  <w:style w:type="paragraph" w:customStyle="1" w:styleId="2416">
    <w:name w:val="样式 样式 宋体 + 首行缩进:  2 字符13"/>
    <w:basedOn w:val="1"/>
    <w:qFormat/>
    <w:uiPriority w:val="0"/>
    <w:pPr>
      <w:spacing w:line="360" w:lineRule="auto"/>
      <w:ind w:firstLine="480" w:firstLineChars="200"/>
      <w:jc w:val="left"/>
    </w:pPr>
    <w:rPr>
      <w:rFonts w:ascii="宋体" w:hAnsi="宋体" w:cs="宋体"/>
      <w:sz w:val="24"/>
    </w:rPr>
  </w:style>
  <w:style w:type="paragraph" w:customStyle="1" w:styleId="2417">
    <w:name w:val="表内宋5中23"/>
    <w:basedOn w:val="1"/>
    <w:qFormat/>
    <w:uiPriority w:val="0"/>
    <w:pPr>
      <w:adjustRightInd w:val="0"/>
      <w:snapToGrid w:val="0"/>
      <w:jc w:val="center"/>
      <w:textAlignment w:val="baseline"/>
    </w:pPr>
    <w:rPr>
      <w:rFonts w:ascii="宋体" w:hAnsi="宋体" w:cs="宋体"/>
      <w:kern w:val="0"/>
    </w:rPr>
  </w:style>
  <w:style w:type="paragraph" w:customStyle="1" w:styleId="2418">
    <w:name w:val="xl633"/>
    <w:basedOn w:val="1"/>
    <w:qFormat/>
    <w:uiPriority w:val="0"/>
    <w:pPr>
      <w:widowControl/>
      <w:spacing w:before="100" w:beforeAutospacing="1" w:after="100" w:afterAutospacing="1"/>
      <w:jc w:val="center"/>
      <w:textAlignment w:val="center"/>
    </w:pPr>
    <w:rPr>
      <w:rFonts w:hint="eastAsia" w:ascii="黑体" w:hAnsi="宋体" w:eastAsia="黑体" w:cs="宋体"/>
      <w:kern w:val="0"/>
      <w:sz w:val="24"/>
    </w:rPr>
  </w:style>
  <w:style w:type="paragraph" w:customStyle="1" w:styleId="2419">
    <w:name w:val="标准3"/>
    <w:basedOn w:val="1"/>
    <w:qFormat/>
    <w:uiPriority w:val="0"/>
    <w:pPr>
      <w:adjustRightInd w:val="0"/>
      <w:spacing w:before="120" w:line="336" w:lineRule="auto"/>
      <w:jc w:val="center"/>
      <w:textAlignment w:val="baseline"/>
    </w:pPr>
    <w:rPr>
      <w:rFonts w:ascii="黑体" w:hAnsi="宋体" w:eastAsia="黑体" w:cs="宋体"/>
    </w:rPr>
  </w:style>
  <w:style w:type="paragraph" w:customStyle="1" w:styleId="2420">
    <w:name w:val="Fax Header3"/>
    <w:basedOn w:val="1"/>
    <w:qFormat/>
    <w:uiPriority w:val="0"/>
    <w:pPr>
      <w:widowControl/>
      <w:spacing w:before="240" w:after="60"/>
      <w:jc w:val="left"/>
    </w:pPr>
    <w:rPr>
      <w:rFonts w:ascii="宋体" w:hAnsi="宋体" w:cs="宋体"/>
      <w:kern w:val="0"/>
      <w:sz w:val="24"/>
    </w:rPr>
  </w:style>
  <w:style w:type="paragraph" w:customStyle="1" w:styleId="2421">
    <w:name w:val="样式 表格内字体1 +3"/>
    <w:basedOn w:val="1264"/>
    <w:next w:val="1177"/>
    <w:qFormat/>
    <w:uiPriority w:val="0"/>
    <w:rPr>
      <w:rFonts w:hAnsi="Times New Roman"/>
    </w:rPr>
  </w:style>
  <w:style w:type="paragraph" w:customStyle="1" w:styleId="2422">
    <w:name w:val="默认段落字体 Para Char33"/>
    <w:basedOn w:val="1"/>
    <w:qFormat/>
    <w:uiPriority w:val="0"/>
    <w:pPr>
      <w:spacing w:line="360" w:lineRule="auto"/>
      <w:ind w:firstLine="200" w:firstLineChars="200"/>
    </w:pPr>
    <w:rPr>
      <w:rFonts w:ascii="宋体" w:hAnsi="宋体" w:cs="宋体"/>
      <w:sz w:val="24"/>
    </w:rPr>
  </w:style>
  <w:style w:type="paragraph" w:customStyle="1" w:styleId="2423">
    <w:name w:val="正文斜体3"/>
    <w:basedOn w:val="315"/>
    <w:next w:val="315"/>
    <w:qFormat/>
    <w:uiPriority w:val="0"/>
    <w:rPr>
      <w:rFonts w:hAnsi="宋体"/>
      <w:b w:val="0"/>
      <w:i/>
      <w:iCs/>
      <w:spacing w:val="0"/>
    </w:rPr>
  </w:style>
  <w:style w:type="character" w:customStyle="1" w:styleId="2424">
    <w:name w:val="正文斜体 Char3"/>
    <w:qFormat/>
    <w:uiPriority w:val="0"/>
    <w:rPr>
      <w:rFonts w:ascii="宋体" w:hAnsi="宋体" w:eastAsia="宋体" w:cs="Times New Roman"/>
      <w:b/>
      <w:i/>
      <w:iCs/>
      <w:spacing w:val="10"/>
      <w:kern w:val="2"/>
      <w:sz w:val="24"/>
      <w:szCs w:val="24"/>
      <w:lang w:val="en-US" w:eastAsia="zh-CN" w:bidi="ar-SA"/>
    </w:rPr>
  </w:style>
  <w:style w:type="paragraph" w:customStyle="1" w:styleId="2425">
    <w:name w:val="Char83"/>
    <w:basedOn w:val="1"/>
    <w:qFormat/>
    <w:uiPriority w:val="0"/>
    <w:pPr>
      <w:ind w:left="-48"/>
    </w:pPr>
    <w:rPr>
      <w:rFonts w:ascii="宋体" w:hAnsi="宋体" w:cs="宋体"/>
    </w:rPr>
  </w:style>
  <w:style w:type="character" w:customStyle="1" w:styleId="2426">
    <w:name w:val="题注 Char53"/>
    <w:qFormat/>
    <w:uiPriority w:val="0"/>
    <w:rPr>
      <w:rFonts w:ascii="黑体" w:hAnsi="Arial" w:eastAsia="黑体" w:cs="Arial"/>
      <w:spacing w:val="10"/>
      <w:kern w:val="2"/>
      <w:sz w:val="24"/>
      <w:szCs w:val="24"/>
      <w:lang w:val="en-US" w:eastAsia="zh-CN" w:bidi="ar-SA"/>
    </w:rPr>
  </w:style>
  <w:style w:type="paragraph" w:customStyle="1" w:styleId="2427">
    <w:name w:val="图题73"/>
    <w:basedOn w:val="315"/>
    <w:next w:val="315"/>
    <w:qFormat/>
    <w:uiPriority w:val="0"/>
    <w:pPr>
      <w:ind w:firstLine="0"/>
      <w:jc w:val="center"/>
    </w:pPr>
    <w:rPr>
      <w:rFonts w:ascii="黑体" w:hAnsi="宋体" w:eastAsia="黑体"/>
      <w:bCs/>
      <w:spacing w:val="0"/>
    </w:rPr>
  </w:style>
  <w:style w:type="paragraph" w:customStyle="1" w:styleId="2428">
    <w:name w:val="表格内字体73"/>
    <w:basedOn w:val="315"/>
    <w:next w:val="315"/>
    <w:qFormat/>
    <w:uiPriority w:val="0"/>
    <w:pPr>
      <w:spacing w:line="240" w:lineRule="auto"/>
      <w:ind w:firstLine="0"/>
      <w:jc w:val="center"/>
    </w:pPr>
    <w:rPr>
      <w:rFonts w:hAnsi="宋体"/>
      <w:b w:val="0"/>
      <w:spacing w:val="0"/>
      <w:sz w:val="21"/>
    </w:rPr>
  </w:style>
  <w:style w:type="paragraph" w:customStyle="1" w:styleId="2429">
    <w:name w:val="Char93"/>
    <w:basedOn w:val="1"/>
    <w:qFormat/>
    <w:uiPriority w:val="0"/>
    <w:pPr>
      <w:ind w:left="-48"/>
    </w:pPr>
    <w:rPr>
      <w:rFonts w:ascii="宋体" w:hAnsi="宋体" w:cs="宋体"/>
    </w:rPr>
  </w:style>
  <w:style w:type="paragraph" w:customStyle="1" w:styleId="2430">
    <w:name w:val="表题153"/>
    <w:basedOn w:val="23"/>
    <w:qFormat/>
    <w:uiPriority w:val="0"/>
    <w:pPr>
      <w:widowControl w:val="0"/>
      <w:spacing w:line="360" w:lineRule="auto"/>
      <w:jc w:val="center"/>
    </w:pPr>
    <w:rPr>
      <w:rFonts w:ascii="黑体" w:hAnsi="Arial" w:cs="Arial"/>
      <w:b/>
      <w:kern w:val="2"/>
    </w:rPr>
  </w:style>
  <w:style w:type="character" w:customStyle="1" w:styleId="2431">
    <w:name w:val="表题1 Char63"/>
    <w:qFormat/>
    <w:uiPriority w:val="0"/>
    <w:rPr>
      <w:rFonts w:ascii="黑体" w:hAnsi="Arial" w:eastAsia="黑体" w:cs="Arial"/>
      <w:b/>
      <w:kern w:val="2"/>
      <w:sz w:val="24"/>
      <w:szCs w:val="24"/>
      <w:lang w:val="en-US" w:eastAsia="zh-CN" w:bidi="ar-SA"/>
    </w:rPr>
  </w:style>
  <w:style w:type="paragraph" w:customStyle="1" w:styleId="2432">
    <w:name w:val="燕山正文43"/>
    <w:basedOn w:val="1"/>
    <w:qFormat/>
    <w:uiPriority w:val="0"/>
    <w:pPr>
      <w:tabs>
        <w:tab w:val="left" w:pos="4680"/>
      </w:tabs>
      <w:adjustRightInd w:val="0"/>
      <w:snapToGrid w:val="0"/>
      <w:spacing w:line="480" w:lineRule="exact"/>
    </w:pPr>
    <w:rPr>
      <w:rFonts w:ascii="宋体" w:hAnsi="宋体" w:cs="宋体"/>
      <w:sz w:val="24"/>
    </w:rPr>
  </w:style>
  <w:style w:type="paragraph" w:customStyle="1" w:styleId="2433">
    <w:name w:val="正文修改43"/>
    <w:basedOn w:val="1180"/>
    <w:qFormat/>
    <w:uiPriority w:val="0"/>
    <w:rPr>
      <w:rFonts w:hAnsi="宋体"/>
      <w:color w:val="000000"/>
    </w:rPr>
  </w:style>
  <w:style w:type="character" w:customStyle="1" w:styleId="2434">
    <w:name w:val="正文修改 Char143"/>
    <w:qFormat/>
    <w:uiPriority w:val="0"/>
    <w:rPr>
      <w:rFonts w:ascii="宋体" w:hAnsi="Times New Roman" w:eastAsia="宋体" w:cs="宋体"/>
      <w:kern w:val="2"/>
      <w:sz w:val="24"/>
      <w:szCs w:val="24"/>
      <w:lang w:val="en-US" w:eastAsia="zh-CN" w:bidi="ar-SA"/>
    </w:rPr>
  </w:style>
  <w:style w:type="paragraph" w:customStyle="1" w:styleId="2435">
    <w:name w:val="表中文字53"/>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436">
    <w:name w:val="默认段落字体 Para Char Char Char Char53"/>
    <w:basedOn w:val="1"/>
    <w:qFormat/>
    <w:uiPriority w:val="0"/>
    <w:rPr>
      <w:rFonts w:ascii="宋体" w:hAnsi="宋体" w:cs="宋体"/>
    </w:rPr>
  </w:style>
  <w:style w:type="paragraph" w:customStyle="1" w:styleId="2437">
    <w:name w:val="Char103"/>
    <w:basedOn w:val="1"/>
    <w:qFormat/>
    <w:uiPriority w:val="0"/>
    <w:pPr>
      <w:adjustRightInd w:val="0"/>
      <w:snapToGrid w:val="0"/>
      <w:spacing w:line="360" w:lineRule="auto"/>
    </w:pPr>
    <w:rPr>
      <w:rFonts w:ascii="宋体" w:hAnsi="宋体" w:cs="宋体"/>
    </w:rPr>
  </w:style>
  <w:style w:type="paragraph" w:customStyle="1" w:styleId="2438">
    <w:name w:val="封面标准文稿编辑信息3"/>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439">
    <w:name w:val="样式 表内小5 + 黑体 加粗 倾斜 下划线3"/>
    <w:basedOn w:val="1"/>
    <w:qFormat/>
    <w:uiPriority w:val="0"/>
    <w:pPr>
      <w:adjustRightInd w:val="0"/>
      <w:snapToGrid w:val="0"/>
      <w:spacing w:line="300" w:lineRule="auto"/>
      <w:jc w:val="left"/>
    </w:pPr>
    <w:rPr>
      <w:rFonts w:ascii="黑体" w:hAnsi="黑体" w:eastAsia="黑体" w:cs="宋体"/>
      <w:b/>
      <w:bCs/>
      <w:i/>
      <w:iCs/>
      <w:sz w:val="18"/>
      <w:u w:val="single"/>
    </w:rPr>
  </w:style>
  <w:style w:type="character" w:customStyle="1" w:styleId="2440">
    <w:name w:val="样式 表内小5 + 黑体 加粗 倾斜 下划线 Char3"/>
    <w:qFormat/>
    <w:uiPriority w:val="0"/>
    <w:rPr>
      <w:rFonts w:ascii="黑体" w:hAnsi="黑体" w:eastAsia="黑体" w:cs="Times New Roman"/>
      <w:b/>
      <w:bCs/>
      <w:i/>
      <w:iCs/>
      <w:kern w:val="2"/>
      <w:sz w:val="18"/>
      <w:szCs w:val="24"/>
      <w:u w:val="single"/>
      <w:lang w:val="en-US" w:eastAsia="zh-CN" w:bidi="ar-SA"/>
    </w:rPr>
  </w:style>
  <w:style w:type="paragraph" w:customStyle="1" w:styleId="2441">
    <w:name w:val="表内5中13"/>
    <w:basedOn w:val="1"/>
    <w:qFormat/>
    <w:uiPriority w:val="0"/>
    <w:pPr>
      <w:adjustRightInd w:val="0"/>
      <w:snapToGrid w:val="0"/>
      <w:jc w:val="center"/>
    </w:pPr>
    <w:rPr>
      <w:rFonts w:ascii="宋体" w:hAnsi="宋体" w:cs="Arial"/>
      <w:snapToGrid w:val="0"/>
      <w:color w:val="000000"/>
      <w:szCs w:val="21"/>
    </w:rPr>
  </w:style>
  <w:style w:type="paragraph" w:customStyle="1" w:styleId="2442">
    <w:name w:val="表内54143"/>
    <w:basedOn w:val="1"/>
    <w:qFormat/>
    <w:uiPriority w:val="0"/>
    <w:pPr>
      <w:adjustRightInd w:val="0"/>
      <w:snapToGrid w:val="0"/>
      <w:spacing w:line="300" w:lineRule="auto"/>
      <w:jc w:val="center"/>
    </w:pPr>
    <w:rPr>
      <w:rFonts w:ascii="宋体" w:hAnsi="宋体" w:cs="宋体"/>
    </w:rPr>
  </w:style>
  <w:style w:type="paragraph" w:customStyle="1" w:styleId="2443">
    <w:name w:val="表格13"/>
    <w:basedOn w:val="1"/>
    <w:qFormat/>
    <w:uiPriority w:val="0"/>
    <w:pPr>
      <w:adjustRightInd w:val="0"/>
      <w:jc w:val="center"/>
      <w:textAlignment w:val="baseline"/>
    </w:pPr>
    <w:rPr>
      <w:rFonts w:ascii="宋体" w:hAnsi="宋体" w:cs="宋体"/>
      <w:kern w:val="0"/>
      <w:sz w:val="24"/>
    </w:rPr>
  </w:style>
  <w:style w:type="paragraph" w:customStyle="1" w:styleId="2444">
    <w:name w:val="c3"/>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445">
    <w:name w:val="表题93"/>
    <w:basedOn w:val="46"/>
    <w:qFormat/>
    <w:uiPriority w:val="0"/>
    <w:pPr>
      <w:widowControl w:val="0"/>
      <w:adjustRightInd w:val="0"/>
      <w:snapToGrid w:val="0"/>
      <w:spacing w:line="300" w:lineRule="auto"/>
      <w:jc w:val="center"/>
    </w:pPr>
    <w:rPr>
      <w:rFonts w:ascii="黑体" w:eastAsia="黑体" w:cs="Times New Roman"/>
      <w:kern w:val="2"/>
      <w:szCs w:val="20"/>
    </w:rPr>
  </w:style>
  <w:style w:type="paragraph" w:customStyle="1" w:styleId="2446">
    <w:name w:val="福建正文缩进3"/>
    <w:basedOn w:val="6"/>
    <w:qFormat/>
    <w:uiPriority w:val="0"/>
    <w:pPr>
      <w:widowControl/>
      <w:tabs>
        <w:tab w:val="left" w:pos="5837"/>
      </w:tabs>
      <w:spacing w:line="480" w:lineRule="exact"/>
      <w:ind w:firstLine="0" w:firstLineChars="0"/>
    </w:pPr>
    <w:rPr>
      <w:rFonts w:ascii="宋体" w:hAnsi="宋体" w:eastAsia="宋体" w:cs="宋体"/>
      <w:kern w:val="0"/>
      <w:sz w:val="24"/>
    </w:rPr>
  </w:style>
  <w:style w:type="character" w:customStyle="1" w:styleId="2447">
    <w:name w:val="福建正文缩进 Char3"/>
    <w:qFormat/>
    <w:uiPriority w:val="0"/>
    <w:rPr>
      <w:rFonts w:ascii="宋体" w:hAnsi="宋体" w:eastAsia="宋体" w:cs="宋体"/>
      <w:color w:val="000000"/>
      <w:kern w:val="0"/>
      <w:sz w:val="24"/>
      <w:szCs w:val="24"/>
      <w:lang w:val="en-US" w:eastAsia="zh-CN" w:bidi="ar-SA"/>
    </w:rPr>
  </w:style>
  <w:style w:type="paragraph" w:customStyle="1" w:styleId="2448">
    <w:name w:val="表内文字小14"/>
    <w:basedOn w:val="1"/>
    <w:qFormat/>
    <w:uiPriority w:val="0"/>
    <w:pPr>
      <w:adjustRightInd w:val="0"/>
      <w:snapToGrid w:val="0"/>
      <w:jc w:val="center"/>
    </w:pPr>
    <w:rPr>
      <w:rFonts w:ascii="宋体" w:hAnsi="Times" w:cs="宋体"/>
    </w:rPr>
  </w:style>
  <w:style w:type="paragraph" w:customStyle="1" w:styleId="2449">
    <w:name w:val="表内593"/>
    <w:basedOn w:val="1"/>
    <w:qFormat/>
    <w:uiPriority w:val="0"/>
    <w:pPr>
      <w:adjustRightInd w:val="0"/>
      <w:snapToGrid w:val="0"/>
      <w:spacing w:line="300" w:lineRule="auto"/>
      <w:jc w:val="center"/>
    </w:pPr>
    <w:rPr>
      <w:rFonts w:ascii="宋体" w:hAnsi="宋体" w:cs="宋体"/>
      <w:snapToGrid w:val="0"/>
      <w:szCs w:val="21"/>
    </w:rPr>
  </w:style>
  <w:style w:type="character" w:customStyle="1" w:styleId="2450">
    <w:name w:val="正文首行缩进 2 Char3"/>
    <w:qFormat/>
    <w:uiPriority w:val="0"/>
    <w:rPr>
      <w:rFonts w:ascii="Times New Roman" w:hAnsi="Times New Roman" w:eastAsia="宋体" w:cs="Times New Roman"/>
      <w:kern w:val="2"/>
      <w:sz w:val="21"/>
      <w:szCs w:val="24"/>
      <w:lang w:val="en-US" w:eastAsia="zh-CN" w:bidi="ar-SA"/>
    </w:rPr>
  </w:style>
  <w:style w:type="paragraph" w:customStyle="1" w:styleId="2451">
    <w:name w:val="表内小5中3"/>
    <w:basedOn w:val="1"/>
    <w:qFormat/>
    <w:uiPriority w:val="0"/>
    <w:pPr>
      <w:adjustRightInd w:val="0"/>
      <w:snapToGrid w:val="0"/>
      <w:jc w:val="center"/>
    </w:pPr>
    <w:rPr>
      <w:rFonts w:ascii="宋体" w:hAnsi="宋体" w:cs="宋体"/>
      <w:sz w:val="18"/>
    </w:rPr>
  </w:style>
  <w:style w:type="paragraph" w:customStyle="1" w:styleId="2452">
    <w:name w:val="表内5中43"/>
    <w:basedOn w:val="1"/>
    <w:qFormat/>
    <w:uiPriority w:val="0"/>
    <w:pPr>
      <w:adjustRightInd w:val="0"/>
      <w:snapToGrid w:val="0"/>
      <w:jc w:val="center"/>
    </w:pPr>
    <w:rPr>
      <w:rFonts w:ascii="宋体" w:hAnsi="宋体" w:cs="宋体"/>
      <w:bCs/>
    </w:rPr>
  </w:style>
  <w:style w:type="paragraph" w:customStyle="1" w:styleId="2453">
    <w:name w:val="默认段落字体 Para Char43"/>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2454">
    <w:name w:val="燕山正文133"/>
    <w:basedOn w:val="1"/>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2455">
    <w:name w:val="样式 标题 4无效格式无效格式1河石管道4H4H41小小节河石管道41H42H411小小节1河石管道42...4"/>
    <w:basedOn w:val="8"/>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2456">
    <w:name w:val="样式 标题 4无效格式无效格式1河石管道4H4H41小小节河石管道41H42H411小小节1河石管道42...13"/>
    <w:basedOn w:val="8"/>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2457">
    <w:name w:val="正文格式84"/>
    <w:basedOn w:val="1"/>
    <w:qFormat/>
    <w:uiPriority w:val="0"/>
    <w:pPr>
      <w:spacing w:line="360" w:lineRule="auto"/>
      <w:ind w:firstLine="482"/>
    </w:pPr>
    <w:rPr>
      <w:rFonts w:ascii="宋体" w:hAnsi="宋体" w:cs="宋体"/>
      <w:sz w:val="24"/>
    </w:rPr>
  </w:style>
  <w:style w:type="paragraph" w:customStyle="1" w:styleId="2458">
    <w:name w:val="正文格式93"/>
    <w:basedOn w:val="1"/>
    <w:qFormat/>
    <w:uiPriority w:val="0"/>
    <w:pPr>
      <w:spacing w:line="360" w:lineRule="auto"/>
      <w:ind w:firstLine="482"/>
    </w:pPr>
    <w:rPr>
      <w:rFonts w:ascii="宋体" w:hAnsi="宋体" w:cs="宋体"/>
      <w:sz w:val="24"/>
    </w:rPr>
  </w:style>
  <w:style w:type="paragraph" w:customStyle="1" w:styleId="2459">
    <w:name w:val="表格内容3"/>
    <w:qFormat/>
    <w:uiPriority w:val="0"/>
    <w:pPr>
      <w:jc w:val="center"/>
    </w:pPr>
    <w:rPr>
      <w:rFonts w:ascii="Times New Roman" w:hAnsi="Times New Roman" w:eastAsia="宋体" w:cs="Times New Roman"/>
      <w:kern w:val="2"/>
      <w:sz w:val="21"/>
      <w:szCs w:val="21"/>
      <w:lang w:val="en-US" w:eastAsia="zh-CN" w:bidi="ar-SA"/>
    </w:rPr>
  </w:style>
  <w:style w:type="character" w:customStyle="1" w:styleId="2460">
    <w:name w:val="表格内容 Char3"/>
    <w:qFormat/>
    <w:uiPriority w:val="0"/>
    <w:rPr>
      <w:rFonts w:ascii="Times New Roman" w:hAnsi="Times New Roman" w:eastAsia="宋体" w:cs="Times New Roman"/>
      <w:kern w:val="2"/>
      <w:sz w:val="24"/>
      <w:szCs w:val="21"/>
      <w:lang w:val="en-US" w:eastAsia="zh-CN" w:bidi="ar-SA"/>
    </w:rPr>
  </w:style>
  <w:style w:type="paragraph" w:customStyle="1" w:styleId="2461">
    <w:name w:val="正文格式102"/>
    <w:basedOn w:val="1"/>
    <w:qFormat/>
    <w:uiPriority w:val="0"/>
    <w:pPr>
      <w:spacing w:line="360" w:lineRule="auto"/>
      <w:ind w:firstLine="482"/>
    </w:pPr>
    <w:rPr>
      <w:rFonts w:ascii="宋体" w:hAnsi="宋体" w:cs="宋体"/>
      <w:sz w:val="24"/>
    </w:rPr>
  </w:style>
  <w:style w:type="character" w:customStyle="1" w:styleId="2462">
    <w:name w:val="题注 Char62"/>
    <w:qFormat/>
    <w:uiPriority w:val="0"/>
    <w:rPr>
      <w:rFonts w:ascii="黑体" w:hAnsi="Arial" w:eastAsia="黑体" w:cs="Arial"/>
      <w:spacing w:val="10"/>
      <w:kern w:val="2"/>
      <w:sz w:val="24"/>
      <w:szCs w:val="24"/>
      <w:lang w:val="en-US" w:eastAsia="zh-CN" w:bidi="ar-SA"/>
    </w:rPr>
  </w:style>
  <w:style w:type="paragraph" w:customStyle="1" w:styleId="2463">
    <w:name w:val="图题82"/>
    <w:basedOn w:val="315"/>
    <w:next w:val="315"/>
    <w:qFormat/>
    <w:uiPriority w:val="0"/>
    <w:pPr>
      <w:ind w:firstLine="0"/>
      <w:jc w:val="center"/>
    </w:pPr>
    <w:rPr>
      <w:rFonts w:ascii="黑体" w:hAnsi="宋体" w:eastAsia="黑体"/>
      <w:bCs/>
      <w:spacing w:val="0"/>
    </w:rPr>
  </w:style>
  <w:style w:type="paragraph" w:customStyle="1" w:styleId="2464">
    <w:name w:val="表格内字体82"/>
    <w:basedOn w:val="315"/>
    <w:next w:val="315"/>
    <w:qFormat/>
    <w:uiPriority w:val="0"/>
    <w:pPr>
      <w:spacing w:line="240" w:lineRule="auto"/>
      <w:ind w:firstLine="0"/>
      <w:jc w:val="center"/>
    </w:pPr>
    <w:rPr>
      <w:rFonts w:hAnsi="宋体"/>
      <w:b w:val="0"/>
      <w:spacing w:val="0"/>
      <w:sz w:val="21"/>
    </w:rPr>
  </w:style>
  <w:style w:type="paragraph" w:customStyle="1" w:styleId="2465">
    <w:name w:val="Char116"/>
    <w:basedOn w:val="1"/>
    <w:qFormat/>
    <w:uiPriority w:val="0"/>
    <w:pPr>
      <w:ind w:left="-48"/>
    </w:pPr>
    <w:rPr>
      <w:rFonts w:ascii="宋体" w:hAnsi="宋体" w:cs="宋体"/>
    </w:rPr>
  </w:style>
  <w:style w:type="paragraph" w:customStyle="1" w:styleId="2466">
    <w:name w:val="表题162"/>
    <w:basedOn w:val="23"/>
    <w:qFormat/>
    <w:uiPriority w:val="0"/>
    <w:pPr>
      <w:widowControl w:val="0"/>
      <w:spacing w:line="360" w:lineRule="auto"/>
      <w:jc w:val="center"/>
    </w:pPr>
    <w:rPr>
      <w:rFonts w:ascii="黑体" w:hAnsi="Arial" w:cs="Arial"/>
      <w:b/>
      <w:kern w:val="2"/>
    </w:rPr>
  </w:style>
  <w:style w:type="character" w:customStyle="1" w:styleId="2467">
    <w:name w:val="表题1 Char72"/>
    <w:qFormat/>
    <w:uiPriority w:val="0"/>
    <w:rPr>
      <w:rFonts w:ascii="黑体" w:hAnsi="Arial" w:eastAsia="黑体" w:cs="Arial"/>
      <w:b/>
      <w:kern w:val="2"/>
      <w:sz w:val="24"/>
      <w:szCs w:val="24"/>
      <w:lang w:val="en-US" w:eastAsia="zh-CN" w:bidi="ar-SA"/>
    </w:rPr>
  </w:style>
  <w:style w:type="paragraph" w:customStyle="1" w:styleId="2468">
    <w:name w:val="燕山正文52"/>
    <w:basedOn w:val="1"/>
    <w:qFormat/>
    <w:uiPriority w:val="0"/>
    <w:pPr>
      <w:tabs>
        <w:tab w:val="left" w:pos="4680"/>
      </w:tabs>
      <w:adjustRightInd w:val="0"/>
      <w:snapToGrid w:val="0"/>
      <w:spacing w:line="480" w:lineRule="exact"/>
    </w:pPr>
    <w:rPr>
      <w:rFonts w:ascii="宋体" w:hAnsi="宋体" w:cs="宋体"/>
      <w:sz w:val="24"/>
    </w:rPr>
  </w:style>
  <w:style w:type="paragraph" w:customStyle="1" w:styleId="2469">
    <w:name w:val="正文修改52"/>
    <w:basedOn w:val="1180"/>
    <w:qFormat/>
    <w:uiPriority w:val="0"/>
    <w:rPr>
      <w:rFonts w:hAnsi="宋体"/>
      <w:color w:val="000000"/>
    </w:rPr>
  </w:style>
  <w:style w:type="character" w:customStyle="1" w:styleId="2470">
    <w:name w:val="正文修改 Char152"/>
    <w:qFormat/>
    <w:uiPriority w:val="0"/>
    <w:rPr>
      <w:rFonts w:ascii="宋体" w:hAnsi="宋体" w:eastAsia="宋体" w:cs="宋体"/>
      <w:color w:val="000000"/>
      <w:kern w:val="2"/>
      <w:sz w:val="24"/>
      <w:szCs w:val="24"/>
      <w:lang w:val="en-US" w:eastAsia="zh-CN" w:bidi="ar-SA"/>
    </w:rPr>
  </w:style>
  <w:style w:type="paragraph" w:customStyle="1" w:styleId="2471">
    <w:name w:val="表中文字62"/>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472">
    <w:name w:val="默认段落字体 Para Char Char Char Char62"/>
    <w:basedOn w:val="1"/>
    <w:qFormat/>
    <w:uiPriority w:val="0"/>
    <w:rPr>
      <w:rFonts w:ascii="宋体" w:hAnsi="宋体" w:cs="宋体"/>
    </w:rPr>
  </w:style>
  <w:style w:type="paragraph" w:customStyle="1" w:styleId="2473">
    <w:name w:val="Char122"/>
    <w:basedOn w:val="1"/>
    <w:qFormat/>
    <w:uiPriority w:val="0"/>
    <w:pPr>
      <w:adjustRightInd w:val="0"/>
      <w:snapToGrid w:val="0"/>
      <w:spacing w:line="360" w:lineRule="auto"/>
    </w:pPr>
    <w:rPr>
      <w:rFonts w:ascii="宋体" w:hAnsi="宋体" w:cs="宋体"/>
    </w:rPr>
  </w:style>
  <w:style w:type="paragraph" w:customStyle="1" w:styleId="2474">
    <w:name w:val="封面标准文稿编辑信息12"/>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475">
    <w:name w:val="样式 表内小5 + 黑体 加粗 倾斜 下划线12"/>
    <w:basedOn w:val="1"/>
    <w:qFormat/>
    <w:uiPriority w:val="0"/>
    <w:pPr>
      <w:adjustRightInd w:val="0"/>
      <w:snapToGrid w:val="0"/>
      <w:spacing w:line="300" w:lineRule="auto"/>
      <w:jc w:val="left"/>
    </w:pPr>
    <w:rPr>
      <w:rFonts w:ascii="黑体" w:hAnsi="黑体" w:eastAsia="黑体" w:cs="宋体"/>
      <w:b/>
      <w:bCs/>
      <w:i/>
      <w:iCs/>
      <w:sz w:val="18"/>
      <w:u w:val="single"/>
    </w:rPr>
  </w:style>
  <w:style w:type="paragraph" w:customStyle="1" w:styleId="2476">
    <w:name w:val="表内5中22"/>
    <w:basedOn w:val="1"/>
    <w:qFormat/>
    <w:uiPriority w:val="0"/>
    <w:pPr>
      <w:adjustRightInd w:val="0"/>
      <w:snapToGrid w:val="0"/>
      <w:jc w:val="center"/>
    </w:pPr>
    <w:rPr>
      <w:rFonts w:ascii="宋体" w:hAnsi="宋体" w:cs="Arial"/>
      <w:snapToGrid w:val="0"/>
      <w:color w:val="000000"/>
      <w:szCs w:val="21"/>
    </w:rPr>
  </w:style>
  <w:style w:type="paragraph" w:customStyle="1" w:styleId="2477">
    <w:name w:val="表内54152"/>
    <w:basedOn w:val="1"/>
    <w:qFormat/>
    <w:uiPriority w:val="0"/>
    <w:pPr>
      <w:adjustRightInd w:val="0"/>
      <w:snapToGrid w:val="0"/>
      <w:spacing w:line="300" w:lineRule="auto"/>
      <w:jc w:val="center"/>
    </w:pPr>
    <w:rPr>
      <w:rFonts w:ascii="宋体" w:hAnsi="宋体" w:cs="宋体"/>
    </w:rPr>
  </w:style>
  <w:style w:type="paragraph" w:customStyle="1" w:styleId="2478">
    <w:name w:val="表格112"/>
    <w:basedOn w:val="1"/>
    <w:qFormat/>
    <w:uiPriority w:val="0"/>
    <w:pPr>
      <w:adjustRightInd w:val="0"/>
      <w:jc w:val="center"/>
      <w:textAlignment w:val="baseline"/>
    </w:pPr>
    <w:rPr>
      <w:rFonts w:ascii="宋体" w:hAnsi="宋体" w:cs="宋体"/>
      <w:kern w:val="0"/>
      <w:sz w:val="24"/>
    </w:rPr>
  </w:style>
  <w:style w:type="paragraph" w:customStyle="1" w:styleId="2479">
    <w:name w:val="c12"/>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480">
    <w:name w:val="表题912"/>
    <w:basedOn w:val="46"/>
    <w:qFormat/>
    <w:uiPriority w:val="0"/>
    <w:pPr>
      <w:widowControl w:val="0"/>
      <w:adjustRightInd w:val="0"/>
      <w:snapToGrid w:val="0"/>
      <w:spacing w:line="300" w:lineRule="auto"/>
      <w:jc w:val="center"/>
    </w:pPr>
    <w:rPr>
      <w:rFonts w:ascii="黑体" w:eastAsia="黑体" w:cs="Times New Roman"/>
      <w:kern w:val="2"/>
      <w:szCs w:val="20"/>
    </w:rPr>
  </w:style>
  <w:style w:type="paragraph" w:customStyle="1" w:styleId="2481">
    <w:name w:val="福建正文缩进12"/>
    <w:basedOn w:val="6"/>
    <w:qFormat/>
    <w:uiPriority w:val="0"/>
    <w:pPr>
      <w:spacing w:line="360" w:lineRule="auto"/>
      <w:ind w:firstLine="567" w:firstLineChars="0"/>
    </w:pPr>
    <w:rPr>
      <w:rFonts w:ascii="宋体" w:hAnsi="Calibri" w:eastAsia="宋体" w:cs="宋体"/>
      <w:color w:val="auto"/>
      <w:kern w:val="0"/>
      <w:sz w:val="24"/>
    </w:rPr>
  </w:style>
  <w:style w:type="paragraph" w:customStyle="1" w:styleId="2482">
    <w:name w:val="表内文字小33"/>
    <w:basedOn w:val="1"/>
    <w:qFormat/>
    <w:uiPriority w:val="0"/>
    <w:pPr>
      <w:adjustRightInd w:val="0"/>
      <w:snapToGrid w:val="0"/>
      <w:jc w:val="center"/>
    </w:pPr>
    <w:rPr>
      <w:rFonts w:ascii="宋体" w:hAnsi="Times" w:cs="宋体"/>
    </w:rPr>
  </w:style>
  <w:style w:type="paragraph" w:customStyle="1" w:styleId="2483">
    <w:name w:val="表内5912"/>
    <w:basedOn w:val="1"/>
    <w:qFormat/>
    <w:uiPriority w:val="0"/>
    <w:pPr>
      <w:adjustRightInd w:val="0"/>
      <w:snapToGrid w:val="0"/>
      <w:spacing w:line="300" w:lineRule="auto"/>
      <w:jc w:val="center"/>
    </w:pPr>
    <w:rPr>
      <w:rFonts w:ascii="宋体" w:hAnsi="宋体" w:cs="宋体"/>
      <w:snapToGrid w:val="0"/>
      <w:szCs w:val="21"/>
    </w:rPr>
  </w:style>
  <w:style w:type="paragraph" w:customStyle="1" w:styleId="2484">
    <w:name w:val="表内小5中12"/>
    <w:basedOn w:val="1"/>
    <w:qFormat/>
    <w:uiPriority w:val="0"/>
    <w:pPr>
      <w:adjustRightInd w:val="0"/>
      <w:snapToGrid w:val="0"/>
      <w:jc w:val="center"/>
    </w:pPr>
    <w:rPr>
      <w:rFonts w:ascii="宋体" w:hAnsi="宋体" w:cs="宋体"/>
      <w:sz w:val="18"/>
    </w:rPr>
  </w:style>
  <w:style w:type="paragraph" w:customStyle="1" w:styleId="2485">
    <w:name w:val="表内5中412"/>
    <w:basedOn w:val="1"/>
    <w:qFormat/>
    <w:uiPriority w:val="0"/>
    <w:pPr>
      <w:adjustRightInd w:val="0"/>
      <w:snapToGrid w:val="0"/>
      <w:jc w:val="center"/>
    </w:pPr>
    <w:rPr>
      <w:rFonts w:ascii="宋体" w:hAnsi="宋体" w:cs="宋体"/>
      <w:bCs/>
    </w:rPr>
  </w:style>
  <w:style w:type="paragraph" w:customStyle="1" w:styleId="2486">
    <w:name w:val="表题4112"/>
    <w:basedOn w:val="36"/>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2487">
    <w:name w:val="表内文字小2142"/>
    <w:basedOn w:val="1"/>
    <w:qFormat/>
    <w:uiPriority w:val="0"/>
    <w:pPr>
      <w:adjustRightInd w:val="0"/>
      <w:snapToGrid w:val="0"/>
      <w:jc w:val="center"/>
    </w:pPr>
    <w:rPr>
      <w:rFonts w:ascii="宋体" w:hAnsi="Times" w:cs="宋体"/>
      <w:bCs/>
      <w:color w:val="000000"/>
    </w:rPr>
  </w:style>
  <w:style w:type="paragraph" w:customStyle="1" w:styleId="2488">
    <w:name w:val="表题3142"/>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489">
    <w:name w:val="Char Char Char Char Char Char Char32"/>
    <w:basedOn w:val="1"/>
    <w:qFormat/>
    <w:uiPriority w:val="0"/>
    <w:rPr>
      <w:rFonts w:ascii="宋体" w:hAnsi="宋体" w:cs="宋体"/>
    </w:rPr>
  </w:style>
  <w:style w:type="paragraph" w:customStyle="1" w:styleId="2490">
    <w:name w:val="表文字542"/>
    <w:basedOn w:val="1"/>
    <w:qFormat/>
    <w:uiPriority w:val="0"/>
    <w:pPr>
      <w:adjustRightInd w:val="0"/>
      <w:jc w:val="left"/>
      <w:textAlignment w:val="baseline"/>
    </w:pPr>
    <w:rPr>
      <w:rFonts w:ascii="宋体" w:hAnsi="宋体" w:cs="宋体"/>
      <w:kern w:val="0"/>
    </w:rPr>
  </w:style>
  <w:style w:type="paragraph" w:customStyle="1" w:styleId="2491">
    <w:name w:val="表内文字小3142"/>
    <w:basedOn w:val="1"/>
    <w:qFormat/>
    <w:uiPriority w:val="0"/>
    <w:pPr>
      <w:adjustRightInd w:val="0"/>
      <w:snapToGrid w:val="0"/>
      <w:jc w:val="center"/>
    </w:pPr>
    <w:rPr>
      <w:rFonts w:ascii="宋体" w:hAnsi="Times" w:cs="宋体"/>
      <w:bCs/>
      <w:color w:val="003366"/>
    </w:rPr>
  </w:style>
  <w:style w:type="paragraph" w:customStyle="1" w:styleId="2492">
    <w:name w:val="表内宋51122"/>
    <w:basedOn w:val="81"/>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2493">
    <w:name w:val="文本框22"/>
    <w:basedOn w:val="1"/>
    <w:qFormat/>
    <w:uiPriority w:val="0"/>
    <w:pPr>
      <w:adjustRightInd w:val="0"/>
      <w:snapToGrid w:val="0"/>
      <w:spacing w:after="6"/>
      <w:jc w:val="center"/>
    </w:pPr>
    <w:rPr>
      <w:rFonts w:ascii="宋体" w:hAnsi="宋体" w:eastAsia="仿宋_GB2312" w:cs="宋体"/>
    </w:rPr>
  </w:style>
  <w:style w:type="paragraph" w:customStyle="1" w:styleId="2494">
    <w:name w:val="正文.22"/>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495">
    <w:name w:val="表42"/>
    <w:basedOn w:val="1"/>
    <w:qFormat/>
    <w:uiPriority w:val="0"/>
    <w:pPr>
      <w:adjustRightInd w:val="0"/>
      <w:snapToGrid w:val="0"/>
      <w:jc w:val="center"/>
    </w:pPr>
    <w:rPr>
      <w:rFonts w:ascii="宋体" w:hAnsi="宋体" w:eastAsia="仿宋_GB2312" w:cs="宋体"/>
      <w:sz w:val="24"/>
    </w:rPr>
  </w:style>
  <w:style w:type="paragraph" w:customStyle="1" w:styleId="2496">
    <w:name w:val="黑体三号52"/>
    <w:basedOn w:val="315"/>
    <w:qFormat/>
    <w:uiPriority w:val="0"/>
    <w:pPr>
      <w:jc w:val="center"/>
    </w:pPr>
    <w:rPr>
      <w:rFonts w:ascii="黑体" w:hAnsi="宋体" w:eastAsia="黑体"/>
      <w:bCs/>
      <w:spacing w:val="0"/>
      <w:sz w:val="32"/>
    </w:rPr>
  </w:style>
  <w:style w:type="paragraph" w:customStyle="1" w:styleId="2497">
    <w:name w:val="Char132"/>
    <w:basedOn w:val="1"/>
    <w:qFormat/>
    <w:uiPriority w:val="0"/>
    <w:pPr>
      <w:ind w:left="-48"/>
    </w:pPr>
    <w:rPr>
      <w:rFonts w:ascii="宋体" w:hAnsi="宋体" w:cs="宋体"/>
    </w:rPr>
  </w:style>
  <w:style w:type="paragraph" w:customStyle="1" w:styleId="2498">
    <w:name w:val="样式132"/>
    <w:basedOn w:val="1227"/>
    <w:qFormat/>
    <w:uiPriority w:val="0"/>
    <w:pPr>
      <w:spacing w:line="240" w:lineRule="auto"/>
      <w:ind w:firstLine="0"/>
      <w:jc w:val="center"/>
    </w:pPr>
    <w:rPr>
      <w:rFonts w:cs="Times New Roman"/>
      <w:b/>
      <w:color w:val="auto"/>
      <w:szCs w:val="20"/>
    </w:rPr>
  </w:style>
  <w:style w:type="paragraph" w:customStyle="1" w:styleId="2499">
    <w:name w:val="首行缩进:  0.99 厘米 + 首行缩进:  2 字符12"/>
    <w:basedOn w:val="1"/>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paragraph" w:customStyle="1" w:styleId="2500">
    <w:name w:val="图表名称12"/>
    <w:basedOn w:val="86"/>
    <w:qFormat/>
    <w:uiPriority w:val="0"/>
    <w:pPr>
      <w:adjustRightInd w:val="0"/>
      <w:snapToGrid w:val="0"/>
      <w:spacing w:after="0" w:line="480" w:lineRule="exact"/>
      <w:ind w:firstLine="0" w:firstLineChars="0"/>
      <w:jc w:val="center"/>
    </w:pPr>
    <w:rPr>
      <w:bCs/>
      <w:kern w:val="2"/>
      <w:sz w:val="24"/>
    </w:rPr>
  </w:style>
  <w:style w:type="paragraph" w:customStyle="1" w:styleId="2501">
    <w:name w:val="表内文字边12"/>
    <w:basedOn w:val="1"/>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2502">
    <w:name w:val="正文缩12"/>
    <w:basedOn w:val="1"/>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2503">
    <w:name w:val="样式212"/>
    <w:basedOn w:val="1"/>
    <w:qFormat/>
    <w:uiPriority w:val="0"/>
    <w:pPr>
      <w:adjustRightInd w:val="0"/>
      <w:spacing w:line="360" w:lineRule="auto"/>
      <w:jc w:val="center"/>
      <w:textAlignment w:val="baseline"/>
      <w:outlineLvl w:val="0"/>
    </w:pPr>
    <w:rPr>
      <w:rFonts w:ascii="宋体" w:hAnsi="宋体" w:cs="宋体"/>
      <w:kern w:val="0"/>
    </w:rPr>
  </w:style>
  <w:style w:type="paragraph" w:customStyle="1" w:styleId="2504">
    <w:name w:val="默认段落字体 Para Char Char Char Char Char12"/>
    <w:basedOn w:val="1"/>
    <w:qFormat/>
    <w:uiPriority w:val="0"/>
    <w:rPr>
      <w:rFonts w:ascii="宋体" w:hAnsi="宋体" w:cs="宋体"/>
    </w:rPr>
  </w:style>
  <w:style w:type="paragraph" w:customStyle="1" w:styleId="2505">
    <w:name w:val="表内宋5中32"/>
    <w:basedOn w:val="1"/>
    <w:qFormat/>
    <w:uiPriority w:val="0"/>
    <w:pPr>
      <w:adjustRightInd w:val="0"/>
      <w:snapToGrid w:val="0"/>
      <w:textAlignment w:val="baseline"/>
    </w:pPr>
    <w:rPr>
      <w:rFonts w:ascii="宋体" w:hAnsi="宋体" w:cs="宋体"/>
      <w:color w:val="000000"/>
      <w:kern w:val="0"/>
    </w:rPr>
  </w:style>
  <w:style w:type="paragraph" w:customStyle="1" w:styleId="2506">
    <w:name w:val="样式 标题 3 + 段前: 12 磅12"/>
    <w:basedOn w:val="7"/>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2507">
    <w:name w:val="表内522"/>
    <w:basedOn w:val="1"/>
    <w:qFormat/>
    <w:uiPriority w:val="0"/>
    <w:pPr>
      <w:adjustRightInd w:val="0"/>
      <w:snapToGrid w:val="0"/>
      <w:spacing w:line="300" w:lineRule="auto"/>
      <w:jc w:val="left"/>
    </w:pPr>
    <w:rPr>
      <w:rFonts w:ascii="宋体" w:hAnsi="宋体" w:cs="宋体"/>
      <w:sz w:val="18"/>
    </w:rPr>
  </w:style>
  <w:style w:type="paragraph" w:customStyle="1" w:styleId="2508">
    <w:name w:val="Char Char Char Char1 Char Char Char12"/>
    <w:basedOn w:val="1"/>
    <w:qFormat/>
    <w:uiPriority w:val="0"/>
    <w:pPr>
      <w:widowControl/>
      <w:spacing w:after="160"/>
      <w:jc w:val="left"/>
    </w:pPr>
    <w:rPr>
      <w:rFonts w:ascii="Verdana" w:hAnsi="Verdana" w:cs="宋体"/>
      <w:kern w:val="0"/>
      <w:sz w:val="24"/>
      <w:lang w:eastAsia="en-US"/>
    </w:rPr>
  </w:style>
  <w:style w:type="paragraph" w:customStyle="1" w:styleId="2509">
    <w:name w:val="正文格式112"/>
    <w:basedOn w:val="1"/>
    <w:qFormat/>
    <w:uiPriority w:val="0"/>
    <w:pPr>
      <w:spacing w:line="360" w:lineRule="auto"/>
      <w:ind w:firstLine="482"/>
    </w:pPr>
    <w:rPr>
      <w:rFonts w:ascii="宋体" w:hAnsi="宋体" w:cs="宋体"/>
      <w:sz w:val="24"/>
    </w:rPr>
  </w:style>
  <w:style w:type="paragraph" w:customStyle="1" w:styleId="2510">
    <w:name w:val="图题112"/>
    <w:basedOn w:val="315"/>
    <w:next w:val="315"/>
    <w:qFormat/>
    <w:uiPriority w:val="0"/>
    <w:pPr>
      <w:ind w:firstLine="0"/>
      <w:jc w:val="center"/>
    </w:pPr>
    <w:rPr>
      <w:rFonts w:ascii="黑体" w:hAnsi="宋体" w:eastAsia="黑体"/>
      <w:bCs/>
      <w:spacing w:val="0"/>
    </w:rPr>
  </w:style>
  <w:style w:type="paragraph" w:customStyle="1" w:styleId="2511">
    <w:name w:val="表格内字体122"/>
    <w:basedOn w:val="315"/>
    <w:next w:val="315"/>
    <w:qFormat/>
    <w:uiPriority w:val="0"/>
    <w:pPr>
      <w:spacing w:line="240" w:lineRule="auto"/>
      <w:ind w:firstLine="0"/>
      <w:jc w:val="center"/>
    </w:pPr>
    <w:rPr>
      <w:rFonts w:hAnsi="宋体"/>
      <w:b w:val="0"/>
      <w:spacing w:val="0"/>
      <w:sz w:val="21"/>
    </w:rPr>
  </w:style>
  <w:style w:type="paragraph" w:customStyle="1" w:styleId="2512">
    <w:name w:val="Char142"/>
    <w:basedOn w:val="1"/>
    <w:qFormat/>
    <w:uiPriority w:val="0"/>
    <w:pPr>
      <w:ind w:left="-48"/>
    </w:pPr>
    <w:rPr>
      <w:rFonts w:ascii="宋体" w:hAnsi="宋体" w:cs="宋体"/>
    </w:rPr>
  </w:style>
  <w:style w:type="paragraph" w:customStyle="1" w:styleId="2513">
    <w:name w:val="正文格式222"/>
    <w:basedOn w:val="1"/>
    <w:qFormat/>
    <w:uiPriority w:val="0"/>
    <w:pPr>
      <w:spacing w:line="360" w:lineRule="auto"/>
      <w:ind w:firstLine="482"/>
    </w:pPr>
    <w:rPr>
      <w:rFonts w:ascii="宋体" w:hAnsi="宋体" w:cs="宋体"/>
      <w:sz w:val="24"/>
    </w:rPr>
  </w:style>
  <w:style w:type="paragraph" w:customStyle="1" w:styleId="2514">
    <w:name w:val="Char152"/>
    <w:basedOn w:val="1"/>
    <w:qFormat/>
    <w:uiPriority w:val="0"/>
    <w:pPr>
      <w:adjustRightInd w:val="0"/>
      <w:snapToGrid w:val="0"/>
      <w:spacing w:beforeLines="50" w:line="360" w:lineRule="auto"/>
    </w:pPr>
    <w:rPr>
      <w:rFonts w:ascii="黑体" w:hAnsi="宋体" w:eastAsia="黑体" w:cs="宋体"/>
      <w:sz w:val="32"/>
      <w:szCs w:val="32"/>
    </w:rPr>
  </w:style>
  <w:style w:type="character" w:customStyle="1" w:styleId="2515">
    <w:name w:val="题注 Char112"/>
    <w:qFormat/>
    <w:uiPriority w:val="0"/>
    <w:rPr>
      <w:rFonts w:ascii="黑体" w:hAnsi="Arial" w:eastAsia="黑体" w:cs="Arial"/>
      <w:spacing w:val="10"/>
      <w:kern w:val="2"/>
      <w:sz w:val="24"/>
      <w:szCs w:val="24"/>
      <w:lang w:val="en-US" w:eastAsia="zh-CN" w:bidi="ar-SA"/>
    </w:rPr>
  </w:style>
  <w:style w:type="paragraph" w:customStyle="1" w:styleId="2516">
    <w:name w:val="图题222"/>
    <w:basedOn w:val="315"/>
    <w:next w:val="315"/>
    <w:qFormat/>
    <w:uiPriority w:val="0"/>
    <w:pPr>
      <w:ind w:firstLine="0"/>
      <w:jc w:val="center"/>
    </w:pPr>
    <w:rPr>
      <w:rFonts w:ascii="黑体" w:hAnsi="宋体" w:eastAsia="黑体"/>
      <w:bCs/>
      <w:spacing w:val="0"/>
    </w:rPr>
  </w:style>
  <w:style w:type="paragraph" w:customStyle="1" w:styleId="2517">
    <w:name w:val="表格内字体222"/>
    <w:basedOn w:val="315"/>
    <w:next w:val="315"/>
    <w:qFormat/>
    <w:uiPriority w:val="0"/>
    <w:pPr>
      <w:spacing w:line="240" w:lineRule="auto"/>
      <w:ind w:firstLine="0"/>
      <w:jc w:val="center"/>
    </w:pPr>
    <w:rPr>
      <w:rFonts w:hAnsi="宋体"/>
      <w:b w:val="0"/>
      <w:spacing w:val="0"/>
      <w:sz w:val="21"/>
    </w:rPr>
  </w:style>
  <w:style w:type="paragraph" w:customStyle="1" w:styleId="2518">
    <w:name w:val="表内541112"/>
    <w:basedOn w:val="1"/>
    <w:qFormat/>
    <w:uiPriority w:val="0"/>
    <w:pPr>
      <w:adjustRightInd w:val="0"/>
      <w:snapToGrid w:val="0"/>
      <w:spacing w:line="300" w:lineRule="auto"/>
      <w:jc w:val="center"/>
    </w:pPr>
    <w:rPr>
      <w:rFonts w:ascii="宋体" w:hAnsi="宋体" w:cs="宋体"/>
    </w:rPr>
  </w:style>
  <w:style w:type="paragraph" w:customStyle="1" w:styleId="2519">
    <w:name w:val="表内文字小21112"/>
    <w:basedOn w:val="1"/>
    <w:qFormat/>
    <w:uiPriority w:val="0"/>
    <w:pPr>
      <w:adjustRightInd w:val="0"/>
      <w:snapToGrid w:val="0"/>
      <w:jc w:val="center"/>
    </w:pPr>
    <w:rPr>
      <w:rFonts w:ascii="宋体" w:hAnsi="Times" w:cs="宋体"/>
      <w:bCs/>
      <w:color w:val="000000"/>
    </w:rPr>
  </w:style>
  <w:style w:type="paragraph" w:customStyle="1" w:styleId="2520">
    <w:name w:val="表题31112"/>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521">
    <w:name w:val="Char Char Char Char Char Char Char112"/>
    <w:basedOn w:val="1"/>
    <w:qFormat/>
    <w:uiPriority w:val="0"/>
    <w:rPr>
      <w:rFonts w:ascii="宋体" w:hAnsi="宋体" w:cs="宋体"/>
    </w:rPr>
  </w:style>
  <w:style w:type="paragraph" w:customStyle="1" w:styleId="2522">
    <w:name w:val="标题431112"/>
    <w:basedOn w:val="1"/>
    <w:qFormat/>
    <w:uiPriority w:val="0"/>
    <w:pPr>
      <w:adjustRightInd w:val="0"/>
      <w:snapToGrid w:val="0"/>
      <w:spacing w:line="480" w:lineRule="exact"/>
      <w:jc w:val="center"/>
    </w:pPr>
    <w:rPr>
      <w:rFonts w:ascii="宋体" w:hAnsi="宋体" w:cs="宋体"/>
      <w:sz w:val="24"/>
    </w:rPr>
  </w:style>
  <w:style w:type="paragraph" w:customStyle="1" w:styleId="2523">
    <w:name w:val="燕山正文11112"/>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524">
    <w:name w:val="默认段落字体 Para Char Char Char Char112"/>
    <w:basedOn w:val="1"/>
    <w:qFormat/>
    <w:uiPriority w:val="0"/>
    <w:rPr>
      <w:rFonts w:ascii="宋体" w:hAnsi="宋体" w:cs="宋体"/>
    </w:rPr>
  </w:style>
  <w:style w:type="paragraph" w:customStyle="1" w:styleId="2525">
    <w:name w:val="附件112"/>
    <w:basedOn w:val="4"/>
    <w:next w:val="315"/>
    <w:qFormat/>
    <w:uiPriority w:val="0"/>
    <w:pPr>
      <w:keepLines/>
      <w:widowControl w:val="0"/>
      <w:numPr>
        <w:numId w:val="0"/>
      </w:numPr>
      <w:tabs>
        <w:tab w:val="left" w:pos="1566"/>
      </w:tabs>
      <w:spacing w:after="210"/>
    </w:pPr>
    <w:rPr>
      <w:rFonts w:ascii="黑体" w:eastAsia="黑体"/>
      <w:bCs/>
      <w:kern w:val="44"/>
      <w:szCs w:val="32"/>
    </w:rPr>
  </w:style>
  <w:style w:type="paragraph" w:customStyle="1" w:styleId="2526">
    <w:name w:val="黑体三号112"/>
    <w:basedOn w:val="315"/>
    <w:qFormat/>
    <w:uiPriority w:val="0"/>
    <w:pPr>
      <w:jc w:val="center"/>
    </w:pPr>
    <w:rPr>
      <w:rFonts w:ascii="黑体" w:hAnsi="宋体" w:eastAsia="黑体"/>
      <w:bCs/>
      <w:spacing w:val="0"/>
      <w:sz w:val="32"/>
    </w:rPr>
  </w:style>
  <w:style w:type="paragraph" w:customStyle="1" w:styleId="2527">
    <w:name w:val="表112"/>
    <w:basedOn w:val="1"/>
    <w:qFormat/>
    <w:uiPriority w:val="0"/>
    <w:pPr>
      <w:adjustRightInd w:val="0"/>
      <w:snapToGrid w:val="0"/>
      <w:jc w:val="center"/>
    </w:pPr>
    <w:rPr>
      <w:rFonts w:ascii="宋体" w:hAnsi="宋体" w:eastAsia="仿宋_GB2312" w:cs="宋体"/>
      <w:sz w:val="24"/>
    </w:rPr>
  </w:style>
  <w:style w:type="paragraph" w:customStyle="1" w:styleId="2528">
    <w:name w:val="表题1122"/>
    <w:basedOn w:val="23"/>
    <w:qFormat/>
    <w:uiPriority w:val="0"/>
    <w:pPr>
      <w:widowControl w:val="0"/>
      <w:spacing w:line="360" w:lineRule="auto"/>
      <w:jc w:val="center"/>
    </w:pPr>
    <w:rPr>
      <w:rFonts w:ascii="黑体" w:hAnsi="Arial" w:cs="Arial"/>
      <w:kern w:val="2"/>
    </w:rPr>
  </w:style>
  <w:style w:type="paragraph" w:customStyle="1" w:styleId="2529">
    <w:name w:val="燕山正文122"/>
    <w:basedOn w:val="1"/>
    <w:qFormat/>
    <w:uiPriority w:val="0"/>
    <w:pPr>
      <w:tabs>
        <w:tab w:val="left" w:pos="4680"/>
      </w:tabs>
      <w:adjustRightInd w:val="0"/>
      <w:snapToGrid w:val="0"/>
      <w:spacing w:line="480" w:lineRule="exact"/>
    </w:pPr>
    <w:rPr>
      <w:rFonts w:ascii="宋体" w:hAnsi="宋体" w:cs="宋体"/>
      <w:sz w:val="24"/>
    </w:rPr>
  </w:style>
  <w:style w:type="paragraph" w:customStyle="1" w:styleId="2530">
    <w:name w:val="正文修改112"/>
    <w:basedOn w:val="1180"/>
    <w:qFormat/>
    <w:uiPriority w:val="0"/>
    <w:rPr>
      <w:rFonts w:hAnsi="宋体"/>
      <w:color w:val="000000"/>
    </w:rPr>
  </w:style>
  <w:style w:type="character" w:customStyle="1" w:styleId="2531">
    <w:name w:val="正文修改 Char1112"/>
    <w:qFormat/>
    <w:uiPriority w:val="0"/>
    <w:rPr>
      <w:rFonts w:ascii="宋体" w:hAnsi="宋体" w:eastAsia="宋体" w:cs="宋体"/>
      <w:color w:val="000000"/>
      <w:kern w:val="2"/>
      <w:sz w:val="24"/>
      <w:szCs w:val="24"/>
      <w:lang w:val="en-US" w:eastAsia="zh-CN" w:bidi="ar-SA"/>
    </w:rPr>
  </w:style>
  <w:style w:type="paragraph" w:customStyle="1" w:styleId="2532">
    <w:name w:val="表中文字122"/>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533">
    <w:name w:val="表文字5122"/>
    <w:basedOn w:val="1"/>
    <w:qFormat/>
    <w:uiPriority w:val="0"/>
    <w:pPr>
      <w:adjustRightInd w:val="0"/>
      <w:jc w:val="left"/>
      <w:textAlignment w:val="baseline"/>
    </w:pPr>
    <w:rPr>
      <w:rFonts w:ascii="宋体" w:hAnsi="宋体" w:cs="宋体"/>
      <w:kern w:val="0"/>
    </w:rPr>
  </w:style>
  <w:style w:type="paragraph" w:customStyle="1" w:styleId="2534">
    <w:name w:val="表内文字小31112"/>
    <w:basedOn w:val="1"/>
    <w:qFormat/>
    <w:uiPriority w:val="0"/>
    <w:pPr>
      <w:adjustRightInd w:val="0"/>
      <w:snapToGrid w:val="0"/>
      <w:jc w:val="center"/>
    </w:pPr>
    <w:rPr>
      <w:rFonts w:ascii="宋体" w:hAnsi="Times" w:cs="宋体"/>
      <w:bCs/>
      <w:color w:val="003366"/>
    </w:rPr>
  </w:style>
  <w:style w:type="paragraph" w:customStyle="1" w:styleId="2535">
    <w:name w:val="样式1112"/>
    <w:basedOn w:val="1227"/>
    <w:qFormat/>
    <w:uiPriority w:val="0"/>
    <w:pPr>
      <w:spacing w:line="240" w:lineRule="auto"/>
      <w:ind w:firstLine="0"/>
      <w:jc w:val="center"/>
    </w:pPr>
    <w:rPr>
      <w:rFonts w:cs="Times New Roman"/>
      <w:b/>
      <w:color w:val="auto"/>
      <w:szCs w:val="20"/>
    </w:rPr>
  </w:style>
  <w:style w:type="paragraph" w:customStyle="1" w:styleId="2536">
    <w:name w:val="Char212"/>
    <w:basedOn w:val="1"/>
    <w:qFormat/>
    <w:uiPriority w:val="0"/>
    <w:pPr>
      <w:ind w:left="-48"/>
    </w:pPr>
    <w:rPr>
      <w:rFonts w:ascii="宋体" w:hAnsi="宋体" w:cs="宋体"/>
    </w:rPr>
  </w:style>
  <w:style w:type="paragraph" w:customStyle="1" w:styleId="2537">
    <w:name w:val="表内文字小232"/>
    <w:basedOn w:val="1"/>
    <w:qFormat/>
    <w:uiPriority w:val="0"/>
    <w:pPr>
      <w:adjustRightInd w:val="0"/>
      <w:snapToGrid w:val="0"/>
      <w:jc w:val="center"/>
    </w:pPr>
    <w:rPr>
      <w:rFonts w:ascii="宋体" w:hAnsi="Times" w:cs="宋体"/>
      <w:bCs/>
      <w:color w:val="000000"/>
    </w:rPr>
  </w:style>
  <w:style w:type="paragraph" w:customStyle="1" w:styleId="2538">
    <w:name w:val="表内5322"/>
    <w:basedOn w:val="1"/>
    <w:qFormat/>
    <w:uiPriority w:val="0"/>
    <w:pPr>
      <w:adjustRightInd w:val="0"/>
      <w:snapToGrid w:val="0"/>
      <w:spacing w:line="300" w:lineRule="auto"/>
      <w:jc w:val="left"/>
    </w:pPr>
    <w:rPr>
      <w:rFonts w:ascii="宋体" w:hAnsi="宋体" w:cs="宋体"/>
    </w:rPr>
  </w:style>
  <w:style w:type="paragraph" w:customStyle="1" w:styleId="2539">
    <w:name w:val="正文格式312"/>
    <w:basedOn w:val="1"/>
    <w:qFormat/>
    <w:uiPriority w:val="0"/>
    <w:pPr>
      <w:spacing w:line="360" w:lineRule="auto"/>
      <w:ind w:firstLine="482"/>
    </w:pPr>
    <w:rPr>
      <w:rFonts w:ascii="宋体" w:hAnsi="宋体" w:cs="宋体"/>
      <w:sz w:val="24"/>
    </w:rPr>
  </w:style>
  <w:style w:type="paragraph" w:customStyle="1" w:styleId="2540">
    <w:name w:val="Char222"/>
    <w:basedOn w:val="1"/>
    <w:qFormat/>
    <w:uiPriority w:val="0"/>
    <w:pPr>
      <w:adjustRightInd w:val="0"/>
      <w:snapToGrid w:val="0"/>
      <w:spacing w:beforeLines="50" w:line="360" w:lineRule="auto"/>
    </w:pPr>
    <w:rPr>
      <w:rFonts w:ascii="黑体" w:hAnsi="宋体" w:eastAsia="黑体" w:cs="宋体"/>
      <w:sz w:val="32"/>
      <w:szCs w:val="32"/>
    </w:rPr>
  </w:style>
  <w:style w:type="character" w:customStyle="1" w:styleId="2541">
    <w:name w:val="题注 Char212"/>
    <w:qFormat/>
    <w:uiPriority w:val="0"/>
    <w:rPr>
      <w:rFonts w:ascii="黑体" w:hAnsi="Arial" w:eastAsia="黑体" w:cs="Arial"/>
      <w:spacing w:val="10"/>
      <w:kern w:val="2"/>
      <w:sz w:val="24"/>
      <w:szCs w:val="24"/>
      <w:lang w:val="en-US" w:eastAsia="zh-CN" w:bidi="ar-SA"/>
    </w:rPr>
  </w:style>
  <w:style w:type="paragraph" w:customStyle="1" w:styleId="2542">
    <w:name w:val="图题312"/>
    <w:basedOn w:val="315"/>
    <w:next w:val="315"/>
    <w:qFormat/>
    <w:uiPriority w:val="0"/>
    <w:pPr>
      <w:ind w:firstLine="0"/>
      <w:jc w:val="center"/>
    </w:pPr>
    <w:rPr>
      <w:rFonts w:ascii="黑体" w:hAnsi="宋体" w:eastAsia="黑体"/>
      <w:bCs/>
      <w:spacing w:val="0"/>
    </w:rPr>
  </w:style>
  <w:style w:type="paragraph" w:customStyle="1" w:styleId="2543">
    <w:name w:val="表格内字体312"/>
    <w:basedOn w:val="315"/>
    <w:next w:val="315"/>
    <w:qFormat/>
    <w:uiPriority w:val="0"/>
    <w:pPr>
      <w:spacing w:line="240" w:lineRule="auto"/>
      <w:ind w:firstLine="0"/>
      <w:jc w:val="center"/>
    </w:pPr>
    <w:rPr>
      <w:rFonts w:hAnsi="宋体"/>
      <w:b w:val="0"/>
      <w:spacing w:val="0"/>
      <w:sz w:val="21"/>
    </w:rPr>
  </w:style>
  <w:style w:type="paragraph" w:customStyle="1" w:styleId="2544">
    <w:name w:val="表内541212"/>
    <w:basedOn w:val="1"/>
    <w:qFormat/>
    <w:uiPriority w:val="0"/>
    <w:pPr>
      <w:adjustRightInd w:val="0"/>
      <w:snapToGrid w:val="0"/>
      <w:spacing w:line="300" w:lineRule="auto"/>
      <w:jc w:val="center"/>
    </w:pPr>
    <w:rPr>
      <w:rFonts w:ascii="宋体" w:hAnsi="宋体" w:cs="宋体"/>
    </w:rPr>
  </w:style>
  <w:style w:type="paragraph" w:customStyle="1" w:styleId="2545">
    <w:name w:val="表内文字小21212"/>
    <w:basedOn w:val="1"/>
    <w:qFormat/>
    <w:uiPriority w:val="0"/>
    <w:pPr>
      <w:adjustRightInd w:val="0"/>
      <w:snapToGrid w:val="0"/>
      <w:jc w:val="center"/>
    </w:pPr>
    <w:rPr>
      <w:rFonts w:ascii="宋体" w:hAnsi="Times" w:cs="宋体"/>
      <w:bCs/>
      <w:color w:val="000000"/>
    </w:rPr>
  </w:style>
  <w:style w:type="paragraph" w:customStyle="1" w:styleId="2546">
    <w:name w:val="表题31212"/>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547">
    <w:name w:val="Char Char Char Char Char Char Char42"/>
    <w:basedOn w:val="1"/>
    <w:qFormat/>
    <w:uiPriority w:val="0"/>
    <w:rPr>
      <w:rFonts w:ascii="宋体" w:hAnsi="宋体" w:cs="宋体"/>
    </w:rPr>
  </w:style>
  <w:style w:type="paragraph" w:customStyle="1" w:styleId="2548">
    <w:name w:val="标题431212"/>
    <w:basedOn w:val="1"/>
    <w:qFormat/>
    <w:uiPriority w:val="0"/>
    <w:pPr>
      <w:adjustRightInd w:val="0"/>
      <w:snapToGrid w:val="0"/>
      <w:spacing w:line="480" w:lineRule="exact"/>
      <w:jc w:val="center"/>
    </w:pPr>
    <w:rPr>
      <w:rFonts w:ascii="宋体" w:hAnsi="宋体" w:cs="宋体"/>
      <w:sz w:val="24"/>
    </w:rPr>
  </w:style>
  <w:style w:type="paragraph" w:customStyle="1" w:styleId="2549">
    <w:name w:val="燕山正文11212"/>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550">
    <w:name w:val="默认段落字体 Para Char Char Char Char212"/>
    <w:basedOn w:val="1"/>
    <w:qFormat/>
    <w:uiPriority w:val="0"/>
    <w:rPr>
      <w:rFonts w:ascii="宋体" w:hAnsi="宋体" w:cs="宋体"/>
    </w:rPr>
  </w:style>
  <w:style w:type="paragraph" w:customStyle="1" w:styleId="2551">
    <w:name w:val="附件212"/>
    <w:basedOn w:val="4"/>
    <w:next w:val="315"/>
    <w:qFormat/>
    <w:uiPriority w:val="0"/>
    <w:pPr>
      <w:keepLines/>
      <w:widowControl w:val="0"/>
      <w:numPr>
        <w:numId w:val="0"/>
      </w:numPr>
      <w:tabs>
        <w:tab w:val="left" w:pos="1566"/>
      </w:tabs>
      <w:spacing w:after="210"/>
    </w:pPr>
    <w:rPr>
      <w:rFonts w:ascii="黑体" w:eastAsia="黑体"/>
      <w:bCs/>
      <w:kern w:val="44"/>
      <w:szCs w:val="32"/>
    </w:rPr>
  </w:style>
  <w:style w:type="paragraph" w:customStyle="1" w:styleId="2552">
    <w:name w:val="黑体三号212"/>
    <w:basedOn w:val="315"/>
    <w:qFormat/>
    <w:uiPriority w:val="0"/>
    <w:pPr>
      <w:jc w:val="center"/>
    </w:pPr>
    <w:rPr>
      <w:rFonts w:ascii="黑体" w:hAnsi="宋体" w:eastAsia="黑体"/>
      <w:bCs/>
      <w:spacing w:val="0"/>
      <w:sz w:val="32"/>
    </w:rPr>
  </w:style>
  <w:style w:type="paragraph" w:customStyle="1" w:styleId="2553">
    <w:name w:val="表212"/>
    <w:basedOn w:val="1"/>
    <w:qFormat/>
    <w:uiPriority w:val="0"/>
    <w:pPr>
      <w:adjustRightInd w:val="0"/>
      <w:snapToGrid w:val="0"/>
      <w:jc w:val="center"/>
    </w:pPr>
    <w:rPr>
      <w:rFonts w:ascii="宋体" w:hAnsi="宋体" w:eastAsia="仿宋_GB2312" w:cs="宋体"/>
      <w:sz w:val="24"/>
    </w:rPr>
  </w:style>
  <w:style w:type="paragraph" w:customStyle="1" w:styleId="2554">
    <w:name w:val="表题1212"/>
    <w:basedOn w:val="23"/>
    <w:qFormat/>
    <w:uiPriority w:val="0"/>
    <w:pPr>
      <w:widowControl w:val="0"/>
      <w:spacing w:line="360" w:lineRule="auto"/>
      <w:jc w:val="center"/>
    </w:pPr>
    <w:rPr>
      <w:rFonts w:ascii="黑体" w:hAnsi="Arial" w:cs="Arial"/>
      <w:kern w:val="2"/>
    </w:rPr>
  </w:style>
  <w:style w:type="paragraph" w:customStyle="1" w:styleId="2555">
    <w:name w:val="燕山正文212"/>
    <w:basedOn w:val="1"/>
    <w:qFormat/>
    <w:uiPriority w:val="0"/>
    <w:pPr>
      <w:tabs>
        <w:tab w:val="left" w:pos="4680"/>
      </w:tabs>
      <w:adjustRightInd w:val="0"/>
      <w:snapToGrid w:val="0"/>
      <w:spacing w:line="480" w:lineRule="exact"/>
    </w:pPr>
    <w:rPr>
      <w:rFonts w:ascii="宋体" w:hAnsi="宋体" w:cs="宋体"/>
      <w:sz w:val="24"/>
    </w:rPr>
  </w:style>
  <w:style w:type="paragraph" w:customStyle="1" w:styleId="2556">
    <w:name w:val="正文修改212"/>
    <w:basedOn w:val="1180"/>
    <w:qFormat/>
    <w:uiPriority w:val="0"/>
    <w:rPr>
      <w:rFonts w:hAnsi="宋体"/>
      <w:color w:val="000000"/>
    </w:rPr>
  </w:style>
  <w:style w:type="character" w:customStyle="1" w:styleId="2557">
    <w:name w:val="正文修改 Char1212"/>
    <w:qFormat/>
    <w:uiPriority w:val="0"/>
    <w:rPr>
      <w:rFonts w:ascii="宋体" w:hAnsi="宋体" w:eastAsia="宋体" w:cs="宋体"/>
      <w:color w:val="000000"/>
      <w:kern w:val="2"/>
      <w:sz w:val="24"/>
      <w:szCs w:val="24"/>
      <w:lang w:val="en-US" w:eastAsia="zh-CN" w:bidi="ar-SA"/>
    </w:rPr>
  </w:style>
  <w:style w:type="paragraph" w:customStyle="1" w:styleId="2558">
    <w:name w:val="表中文字212"/>
    <w:basedOn w:val="1"/>
    <w:qFormat/>
    <w:uiPriority w:val="0"/>
    <w:pPr>
      <w:widowControl/>
      <w:adjustRightInd w:val="0"/>
      <w:spacing w:line="240" w:lineRule="atLeast"/>
      <w:ind w:right="-42" w:rightChars="-20"/>
      <w:jc w:val="center"/>
      <w:textAlignment w:val="baseline"/>
    </w:pPr>
    <w:rPr>
      <w:rFonts w:ascii="宋体" w:hAnsi="宋体" w:cs="宋体"/>
      <w:kern w:val="0"/>
      <w:szCs w:val="21"/>
    </w:rPr>
  </w:style>
  <w:style w:type="paragraph" w:customStyle="1" w:styleId="2559">
    <w:name w:val="表文字5212"/>
    <w:basedOn w:val="1"/>
    <w:qFormat/>
    <w:uiPriority w:val="0"/>
    <w:pPr>
      <w:adjustRightInd w:val="0"/>
      <w:jc w:val="left"/>
      <w:textAlignment w:val="baseline"/>
    </w:pPr>
    <w:rPr>
      <w:rFonts w:ascii="宋体" w:hAnsi="宋体" w:cs="宋体"/>
      <w:kern w:val="0"/>
    </w:rPr>
  </w:style>
  <w:style w:type="paragraph" w:customStyle="1" w:styleId="2560">
    <w:name w:val="表内文字小31212"/>
    <w:basedOn w:val="1"/>
    <w:qFormat/>
    <w:uiPriority w:val="0"/>
    <w:pPr>
      <w:adjustRightInd w:val="0"/>
      <w:snapToGrid w:val="0"/>
      <w:jc w:val="center"/>
    </w:pPr>
    <w:rPr>
      <w:rFonts w:ascii="宋体" w:hAnsi="Times" w:cs="宋体"/>
      <w:bCs/>
      <w:color w:val="003366"/>
    </w:rPr>
  </w:style>
  <w:style w:type="paragraph" w:customStyle="1" w:styleId="2561">
    <w:name w:val="样式1212"/>
    <w:basedOn w:val="1227"/>
    <w:qFormat/>
    <w:uiPriority w:val="0"/>
    <w:pPr>
      <w:spacing w:line="240" w:lineRule="auto"/>
      <w:ind w:firstLine="0"/>
      <w:jc w:val="center"/>
    </w:pPr>
    <w:rPr>
      <w:rFonts w:cs="Times New Roman"/>
      <w:b/>
      <w:color w:val="auto"/>
      <w:szCs w:val="20"/>
    </w:rPr>
  </w:style>
  <w:style w:type="paragraph" w:customStyle="1" w:styleId="2562">
    <w:name w:val="Char312"/>
    <w:basedOn w:val="1"/>
    <w:qFormat/>
    <w:uiPriority w:val="0"/>
    <w:pPr>
      <w:ind w:left="-48"/>
    </w:pPr>
    <w:rPr>
      <w:rFonts w:ascii="宋体" w:hAnsi="宋体" w:cs="宋体"/>
    </w:rPr>
  </w:style>
  <w:style w:type="paragraph" w:customStyle="1" w:styleId="2563">
    <w:name w:val="表内文字小2212"/>
    <w:basedOn w:val="1"/>
    <w:qFormat/>
    <w:uiPriority w:val="0"/>
    <w:pPr>
      <w:adjustRightInd w:val="0"/>
      <w:snapToGrid w:val="0"/>
      <w:jc w:val="center"/>
    </w:pPr>
    <w:rPr>
      <w:rFonts w:ascii="宋体" w:hAnsi="Times" w:cs="宋体"/>
      <w:bCs/>
      <w:color w:val="000000"/>
    </w:rPr>
  </w:style>
  <w:style w:type="paragraph" w:customStyle="1" w:styleId="2564">
    <w:name w:val="表内53112"/>
    <w:basedOn w:val="1"/>
    <w:qFormat/>
    <w:uiPriority w:val="0"/>
    <w:pPr>
      <w:adjustRightInd w:val="0"/>
      <w:snapToGrid w:val="0"/>
      <w:spacing w:line="300" w:lineRule="auto"/>
      <w:jc w:val="left"/>
    </w:pPr>
    <w:rPr>
      <w:rFonts w:ascii="宋体" w:hAnsi="宋体" w:cs="宋体"/>
    </w:rPr>
  </w:style>
  <w:style w:type="paragraph" w:customStyle="1" w:styleId="2565">
    <w:name w:val="正文格式2112"/>
    <w:basedOn w:val="1"/>
    <w:qFormat/>
    <w:uiPriority w:val="0"/>
    <w:pPr>
      <w:spacing w:line="360" w:lineRule="auto"/>
      <w:ind w:firstLine="482"/>
    </w:pPr>
    <w:rPr>
      <w:rFonts w:ascii="宋体" w:hAnsi="宋体" w:cs="宋体"/>
      <w:sz w:val="24"/>
    </w:rPr>
  </w:style>
  <w:style w:type="paragraph" w:customStyle="1" w:styleId="2566">
    <w:name w:val="图题2112"/>
    <w:basedOn w:val="315"/>
    <w:next w:val="315"/>
    <w:qFormat/>
    <w:uiPriority w:val="0"/>
    <w:pPr>
      <w:ind w:firstLine="0"/>
      <w:jc w:val="center"/>
    </w:pPr>
    <w:rPr>
      <w:rFonts w:ascii="黑体" w:hAnsi="宋体" w:eastAsia="黑体"/>
      <w:bCs/>
      <w:spacing w:val="0"/>
    </w:rPr>
  </w:style>
  <w:style w:type="paragraph" w:customStyle="1" w:styleId="2567">
    <w:name w:val="表格内字体2112"/>
    <w:basedOn w:val="315"/>
    <w:next w:val="315"/>
    <w:qFormat/>
    <w:uiPriority w:val="0"/>
    <w:pPr>
      <w:spacing w:line="240" w:lineRule="auto"/>
      <w:ind w:firstLine="0"/>
      <w:jc w:val="center"/>
    </w:pPr>
    <w:rPr>
      <w:rFonts w:hAnsi="宋体"/>
      <w:b w:val="0"/>
      <w:spacing w:val="0"/>
      <w:sz w:val="21"/>
    </w:rPr>
  </w:style>
  <w:style w:type="paragraph" w:customStyle="1" w:styleId="2568">
    <w:name w:val="表题11112"/>
    <w:basedOn w:val="23"/>
    <w:qFormat/>
    <w:uiPriority w:val="0"/>
    <w:pPr>
      <w:widowControl w:val="0"/>
      <w:spacing w:line="360" w:lineRule="auto"/>
      <w:ind w:firstLine="480" w:firstLineChars="200"/>
      <w:jc w:val="both"/>
    </w:pPr>
    <w:rPr>
      <w:rFonts w:ascii="宋体" w:hAnsi="宋体" w:eastAsia="宋体" w:cs="Arial"/>
      <w:kern w:val="2"/>
    </w:rPr>
  </w:style>
  <w:style w:type="paragraph" w:customStyle="1" w:styleId="2569">
    <w:name w:val="表中文字1112"/>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570">
    <w:name w:val="表文字51112"/>
    <w:basedOn w:val="1"/>
    <w:qFormat/>
    <w:uiPriority w:val="0"/>
    <w:pPr>
      <w:adjustRightInd w:val="0"/>
      <w:jc w:val="left"/>
      <w:textAlignment w:val="baseline"/>
    </w:pPr>
    <w:rPr>
      <w:rFonts w:ascii="宋体" w:hAnsi="宋体" w:cs="宋体"/>
      <w:kern w:val="0"/>
    </w:rPr>
  </w:style>
  <w:style w:type="paragraph" w:customStyle="1" w:styleId="2571">
    <w:name w:val="正文格式412"/>
    <w:basedOn w:val="1"/>
    <w:qFormat/>
    <w:uiPriority w:val="0"/>
    <w:pPr>
      <w:spacing w:line="360" w:lineRule="auto"/>
      <w:ind w:firstLine="482"/>
    </w:pPr>
    <w:rPr>
      <w:rFonts w:ascii="宋体" w:hAnsi="宋体" w:cs="宋体"/>
      <w:sz w:val="24"/>
    </w:rPr>
  </w:style>
  <w:style w:type="paragraph" w:customStyle="1" w:styleId="2572">
    <w:name w:val="图题412"/>
    <w:basedOn w:val="315"/>
    <w:next w:val="315"/>
    <w:qFormat/>
    <w:uiPriority w:val="0"/>
    <w:pPr>
      <w:ind w:firstLine="0"/>
      <w:jc w:val="center"/>
    </w:pPr>
    <w:rPr>
      <w:rFonts w:ascii="黑体" w:hAnsi="宋体" w:eastAsia="黑体"/>
      <w:bCs/>
      <w:spacing w:val="0"/>
    </w:rPr>
  </w:style>
  <w:style w:type="paragraph" w:customStyle="1" w:styleId="2573">
    <w:name w:val="表格内字体412"/>
    <w:basedOn w:val="315"/>
    <w:next w:val="315"/>
    <w:qFormat/>
    <w:uiPriority w:val="0"/>
    <w:pPr>
      <w:spacing w:line="240" w:lineRule="auto"/>
      <w:ind w:firstLine="0"/>
      <w:jc w:val="center"/>
    </w:pPr>
    <w:rPr>
      <w:rFonts w:hAnsi="宋体"/>
      <w:b w:val="0"/>
      <w:spacing w:val="0"/>
      <w:sz w:val="21"/>
    </w:rPr>
  </w:style>
  <w:style w:type="paragraph" w:customStyle="1" w:styleId="2574">
    <w:name w:val="Char412"/>
    <w:basedOn w:val="1"/>
    <w:qFormat/>
    <w:uiPriority w:val="0"/>
    <w:pPr>
      <w:ind w:left="-48"/>
    </w:pPr>
    <w:rPr>
      <w:rFonts w:ascii="宋体" w:hAnsi="宋体" w:cs="宋体"/>
    </w:rPr>
  </w:style>
  <w:style w:type="paragraph" w:customStyle="1" w:styleId="2575">
    <w:name w:val="表题1312"/>
    <w:basedOn w:val="23"/>
    <w:qFormat/>
    <w:uiPriority w:val="0"/>
    <w:pPr>
      <w:widowControl w:val="0"/>
      <w:spacing w:line="360" w:lineRule="auto"/>
      <w:jc w:val="center"/>
    </w:pPr>
    <w:rPr>
      <w:rFonts w:ascii="黑体" w:hAnsi="Arial" w:cs="Arial"/>
      <w:b/>
      <w:kern w:val="2"/>
    </w:rPr>
  </w:style>
  <w:style w:type="paragraph" w:customStyle="1" w:styleId="2576">
    <w:name w:val="默认段落字体 Para Char112"/>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2577">
    <w:name w:val="23-47表名12"/>
    <w:basedOn w:val="1"/>
    <w:qFormat/>
    <w:uiPriority w:val="0"/>
    <w:pPr>
      <w:spacing w:afterLines="50" w:line="440" w:lineRule="exact"/>
      <w:jc w:val="center"/>
    </w:pPr>
    <w:rPr>
      <w:rFonts w:ascii="宋体" w:hAnsi="宋体" w:cs="宋体"/>
      <w:b/>
      <w:sz w:val="24"/>
    </w:rPr>
  </w:style>
  <w:style w:type="paragraph" w:customStyle="1" w:styleId="2578">
    <w:name w:val="xl2412"/>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579">
    <w:name w:val="Char Char Char Char Char Char Char122"/>
    <w:basedOn w:val="1"/>
    <w:qFormat/>
    <w:uiPriority w:val="0"/>
    <w:rPr>
      <w:rFonts w:ascii="宋体" w:hAnsi="宋体" w:cs="宋体"/>
    </w:rPr>
  </w:style>
  <w:style w:type="paragraph" w:customStyle="1" w:styleId="2580">
    <w:name w:val="Char512"/>
    <w:basedOn w:val="1"/>
    <w:qFormat/>
    <w:uiPriority w:val="0"/>
    <w:pPr>
      <w:adjustRightInd w:val="0"/>
      <w:snapToGrid w:val="0"/>
      <w:ind w:left="-45"/>
    </w:pPr>
    <w:rPr>
      <w:rFonts w:ascii="宋体" w:hAnsi="宋体" w:cs="宋体"/>
    </w:rPr>
  </w:style>
  <w:style w:type="paragraph" w:customStyle="1" w:styleId="2581">
    <w:name w:val="燕山正文11312"/>
    <w:basedOn w:val="1"/>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2582">
    <w:name w:val="正文格式512"/>
    <w:basedOn w:val="1"/>
    <w:qFormat/>
    <w:uiPriority w:val="0"/>
    <w:pPr>
      <w:spacing w:line="360" w:lineRule="auto"/>
      <w:ind w:firstLine="482"/>
    </w:pPr>
    <w:rPr>
      <w:rFonts w:ascii="宋体" w:hAnsi="宋体" w:cs="宋体"/>
      <w:sz w:val="24"/>
    </w:rPr>
  </w:style>
  <w:style w:type="paragraph" w:customStyle="1" w:styleId="2583">
    <w:name w:val="Char322"/>
    <w:basedOn w:val="1"/>
    <w:qFormat/>
    <w:uiPriority w:val="0"/>
    <w:pPr>
      <w:ind w:left="-48"/>
    </w:pPr>
    <w:rPr>
      <w:rFonts w:ascii="宋体" w:hAnsi="宋体" w:cs="宋体"/>
    </w:rPr>
  </w:style>
  <w:style w:type="character" w:customStyle="1" w:styleId="2584">
    <w:name w:val="题注 Char312"/>
    <w:qFormat/>
    <w:uiPriority w:val="0"/>
    <w:rPr>
      <w:rFonts w:ascii="黑体" w:hAnsi="Arial" w:eastAsia="黑体" w:cs="Arial"/>
      <w:spacing w:val="10"/>
      <w:kern w:val="2"/>
      <w:sz w:val="24"/>
      <w:szCs w:val="24"/>
      <w:lang w:val="en-US" w:eastAsia="zh-CN" w:bidi="ar-SA"/>
    </w:rPr>
  </w:style>
  <w:style w:type="paragraph" w:customStyle="1" w:styleId="2585">
    <w:name w:val="图题512"/>
    <w:basedOn w:val="315"/>
    <w:next w:val="315"/>
    <w:qFormat/>
    <w:uiPriority w:val="0"/>
    <w:pPr>
      <w:ind w:firstLine="0"/>
      <w:jc w:val="center"/>
    </w:pPr>
    <w:rPr>
      <w:rFonts w:ascii="黑体" w:hAnsi="宋体" w:eastAsia="黑体"/>
      <w:bCs/>
      <w:spacing w:val="0"/>
    </w:rPr>
  </w:style>
  <w:style w:type="paragraph" w:customStyle="1" w:styleId="2586">
    <w:name w:val="表格内字体512"/>
    <w:basedOn w:val="315"/>
    <w:next w:val="315"/>
    <w:qFormat/>
    <w:uiPriority w:val="0"/>
    <w:pPr>
      <w:adjustRightInd w:val="0"/>
      <w:snapToGrid w:val="0"/>
      <w:spacing w:line="240" w:lineRule="auto"/>
      <w:ind w:firstLine="0"/>
    </w:pPr>
    <w:rPr>
      <w:rFonts w:hAnsi="宋体"/>
      <w:b w:val="0"/>
      <w:spacing w:val="0"/>
      <w:sz w:val="21"/>
    </w:rPr>
  </w:style>
  <w:style w:type="paragraph" w:customStyle="1" w:styleId="2587">
    <w:name w:val="表312"/>
    <w:basedOn w:val="1"/>
    <w:qFormat/>
    <w:uiPriority w:val="0"/>
    <w:pPr>
      <w:adjustRightInd w:val="0"/>
      <w:snapToGrid w:val="0"/>
      <w:jc w:val="center"/>
    </w:pPr>
    <w:rPr>
      <w:rFonts w:ascii="宋体" w:hAnsi="宋体" w:eastAsia="仿宋_GB2312" w:cs="宋体"/>
      <w:sz w:val="24"/>
    </w:rPr>
  </w:style>
  <w:style w:type="paragraph" w:customStyle="1" w:styleId="2588">
    <w:name w:val="正文.112"/>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589">
    <w:name w:val="文本框112"/>
    <w:basedOn w:val="1"/>
    <w:qFormat/>
    <w:uiPriority w:val="0"/>
    <w:pPr>
      <w:adjustRightInd w:val="0"/>
      <w:snapToGrid w:val="0"/>
      <w:spacing w:after="6"/>
      <w:jc w:val="center"/>
    </w:pPr>
    <w:rPr>
      <w:rFonts w:ascii="宋体" w:hAnsi="宋体" w:eastAsia="仿宋_GB2312" w:cs="宋体"/>
    </w:rPr>
  </w:style>
  <w:style w:type="paragraph" w:customStyle="1" w:styleId="2590">
    <w:name w:val="表内宋511112"/>
    <w:basedOn w:val="81"/>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2591">
    <w:name w:val="表内文字小31312"/>
    <w:basedOn w:val="1"/>
    <w:qFormat/>
    <w:uiPriority w:val="0"/>
    <w:pPr>
      <w:adjustRightInd w:val="0"/>
      <w:snapToGrid w:val="0"/>
      <w:jc w:val="center"/>
    </w:pPr>
    <w:rPr>
      <w:rFonts w:ascii="宋体" w:hAnsi="Times" w:cs="宋体"/>
      <w:bCs/>
      <w:color w:val="003366"/>
    </w:rPr>
  </w:style>
  <w:style w:type="paragraph" w:customStyle="1" w:styleId="2592">
    <w:name w:val="表文字5312"/>
    <w:basedOn w:val="1"/>
    <w:qFormat/>
    <w:uiPriority w:val="0"/>
    <w:pPr>
      <w:adjustRightInd w:val="0"/>
      <w:jc w:val="left"/>
      <w:textAlignment w:val="baseline"/>
    </w:pPr>
    <w:rPr>
      <w:rFonts w:ascii="宋体" w:hAnsi="宋体" w:cs="宋体"/>
      <w:kern w:val="0"/>
    </w:rPr>
  </w:style>
  <w:style w:type="paragraph" w:customStyle="1" w:styleId="2593">
    <w:name w:val="Char Char Char Char Char Char Char212"/>
    <w:basedOn w:val="1"/>
    <w:qFormat/>
    <w:uiPriority w:val="0"/>
    <w:rPr>
      <w:rFonts w:ascii="宋体" w:hAnsi="宋体" w:cs="宋体"/>
    </w:rPr>
  </w:style>
  <w:style w:type="paragraph" w:customStyle="1" w:styleId="2594">
    <w:name w:val="表题31312"/>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595">
    <w:name w:val="表内文字小21312"/>
    <w:basedOn w:val="1"/>
    <w:qFormat/>
    <w:uiPriority w:val="0"/>
    <w:pPr>
      <w:adjustRightInd w:val="0"/>
      <w:snapToGrid w:val="0"/>
      <w:jc w:val="center"/>
      <w:textAlignment w:val="baseline"/>
    </w:pPr>
    <w:rPr>
      <w:rFonts w:ascii="宋体" w:hAnsi="Times" w:cs="宋体"/>
      <w:bCs/>
      <w:color w:val="000000"/>
    </w:rPr>
  </w:style>
  <w:style w:type="paragraph" w:customStyle="1" w:styleId="2596">
    <w:name w:val="燕山正文312"/>
    <w:basedOn w:val="1"/>
    <w:qFormat/>
    <w:uiPriority w:val="0"/>
    <w:pPr>
      <w:tabs>
        <w:tab w:val="left" w:pos="4680"/>
      </w:tabs>
      <w:adjustRightInd w:val="0"/>
      <w:snapToGrid w:val="0"/>
      <w:spacing w:line="480" w:lineRule="exact"/>
    </w:pPr>
    <w:rPr>
      <w:rFonts w:ascii="宋体" w:hAnsi="宋体" w:cs="宋体"/>
      <w:sz w:val="24"/>
    </w:rPr>
  </w:style>
  <w:style w:type="paragraph" w:customStyle="1" w:styleId="2597">
    <w:name w:val="正文修改312"/>
    <w:basedOn w:val="1180"/>
    <w:qFormat/>
    <w:uiPriority w:val="0"/>
    <w:rPr>
      <w:rFonts w:hAnsi="宋体"/>
      <w:color w:val="000000"/>
    </w:rPr>
  </w:style>
  <w:style w:type="character" w:customStyle="1" w:styleId="2598">
    <w:name w:val="正文修改 Char1312"/>
    <w:qFormat/>
    <w:uiPriority w:val="0"/>
    <w:rPr>
      <w:rFonts w:ascii="宋体" w:hAnsi="宋体" w:eastAsia="宋体" w:cs="宋体"/>
      <w:color w:val="000000"/>
      <w:kern w:val="2"/>
      <w:sz w:val="24"/>
      <w:szCs w:val="24"/>
      <w:lang w:val="en-US" w:eastAsia="zh-CN" w:bidi="ar-SA"/>
    </w:rPr>
  </w:style>
  <w:style w:type="paragraph" w:customStyle="1" w:styleId="2599">
    <w:name w:val="表题1422"/>
    <w:basedOn w:val="23"/>
    <w:qFormat/>
    <w:uiPriority w:val="0"/>
    <w:pPr>
      <w:widowControl w:val="0"/>
      <w:spacing w:line="360" w:lineRule="auto"/>
      <w:jc w:val="center"/>
    </w:pPr>
    <w:rPr>
      <w:rFonts w:ascii="黑体" w:hAnsi="Arial" w:cs="Arial"/>
      <w:b/>
      <w:kern w:val="2"/>
    </w:rPr>
  </w:style>
  <w:style w:type="character" w:customStyle="1" w:styleId="2600">
    <w:name w:val="表题1 Char412"/>
    <w:qFormat/>
    <w:uiPriority w:val="0"/>
    <w:rPr>
      <w:rFonts w:ascii="黑体" w:hAnsi="Arial" w:eastAsia="黑体" w:cs="Arial"/>
      <w:b/>
      <w:kern w:val="2"/>
      <w:sz w:val="24"/>
      <w:szCs w:val="24"/>
      <w:lang w:val="en-US" w:eastAsia="zh-CN" w:bidi="ar-SA"/>
    </w:rPr>
  </w:style>
  <w:style w:type="paragraph" w:customStyle="1" w:styleId="2601">
    <w:name w:val="表中文字312"/>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602">
    <w:name w:val="黑体三号312"/>
    <w:basedOn w:val="315"/>
    <w:qFormat/>
    <w:uiPriority w:val="0"/>
    <w:pPr>
      <w:jc w:val="center"/>
    </w:pPr>
    <w:rPr>
      <w:rFonts w:ascii="黑体" w:hAnsi="宋体" w:eastAsia="黑体"/>
      <w:bCs/>
      <w:spacing w:val="0"/>
      <w:sz w:val="32"/>
    </w:rPr>
  </w:style>
  <w:style w:type="paragraph" w:customStyle="1" w:styleId="2603">
    <w:name w:val="默认段落字体 Para Char Char Char Char312"/>
    <w:basedOn w:val="1"/>
    <w:qFormat/>
    <w:uiPriority w:val="0"/>
    <w:rPr>
      <w:rFonts w:ascii="宋体" w:hAnsi="宋体" w:cs="宋体"/>
    </w:rPr>
  </w:style>
  <w:style w:type="paragraph" w:customStyle="1" w:styleId="2604">
    <w:name w:val="表内541312"/>
    <w:basedOn w:val="1"/>
    <w:qFormat/>
    <w:uiPriority w:val="0"/>
    <w:pPr>
      <w:adjustRightInd w:val="0"/>
      <w:snapToGrid w:val="0"/>
      <w:spacing w:line="300" w:lineRule="auto"/>
      <w:jc w:val="center"/>
    </w:pPr>
    <w:rPr>
      <w:rFonts w:ascii="宋体" w:hAnsi="宋体" w:cs="宋体"/>
    </w:rPr>
  </w:style>
  <w:style w:type="paragraph" w:customStyle="1" w:styleId="2605">
    <w:name w:val="标题422"/>
    <w:basedOn w:val="1"/>
    <w:qFormat/>
    <w:uiPriority w:val="0"/>
    <w:pPr>
      <w:adjustRightInd w:val="0"/>
      <w:snapToGrid w:val="0"/>
      <w:spacing w:line="300" w:lineRule="auto"/>
      <w:jc w:val="left"/>
    </w:pPr>
    <w:rPr>
      <w:rFonts w:ascii="黑体" w:hAnsi="宋体" w:eastAsia="黑体" w:cs="宋体"/>
      <w:bCs/>
      <w:sz w:val="24"/>
    </w:rPr>
  </w:style>
  <w:style w:type="paragraph" w:customStyle="1" w:styleId="2606">
    <w:name w:val="Char612"/>
    <w:basedOn w:val="1"/>
    <w:qFormat/>
    <w:uiPriority w:val="0"/>
    <w:pPr>
      <w:adjustRightInd w:val="0"/>
      <w:snapToGrid w:val="0"/>
      <w:spacing w:beforeLines="50" w:line="360" w:lineRule="auto"/>
    </w:pPr>
    <w:rPr>
      <w:rFonts w:ascii="黑体" w:hAnsi="宋体" w:eastAsia="黑体" w:cs="宋体"/>
      <w:sz w:val="32"/>
      <w:szCs w:val="32"/>
    </w:rPr>
  </w:style>
  <w:style w:type="paragraph" w:customStyle="1" w:styleId="2607">
    <w:name w:val="表题21112"/>
    <w:basedOn w:val="1"/>
    <w:qFormat/>
    <w:uiPriority w:val="0"/>
    <w:pPr>
      <w:widowControl/>
      <w:adjustRightInd w:val="0"/>
      <w:snapToGrid w:val="0"/>
      <w:jc w:val="center"/>
    </w:pPr>
    <w:rPr>
      <w:rFonts w:ascii="黑体" w:hAnsi="宋体" w:eastAsia="黑体" w:cs="宋体"/>
      <w:kern w:val="0"/>
      <w:sz w:val="24"/>
    </w:rPr>
  </w:style>
  <w:style w:type="paragraph" w:customStyle="1" w:styleId="2608">
    <w:name w:val="表内宋5中1112"/>
    <w:basedOn w:val="1"/>
    <w:qFormat/>
    <w:uiPriority w:val="0"/>
    <w:pPr>
      <w:adjustRightInd w:val="0"/>
      <w:snapToGrid w:val="0"/>
      <w:jc w:val="center"/>
      <w:textAlignment w:val="baseline"/>
    </w:pPr>
    <w:rPr>
      <w:rFonts w:ascii="宋体" w:hAnsi="宋体" w:cs="宋体"/>
      <w:kern w:val="0"/>
    </w:rPr>
  </w:style>
  <w:style w:type="paragraph" w:customStyle="1" w:styleId="2609">
    <w:name w:val="表内宋5中122"/>
    <w:basedOn w:val="1"/>
    <w:qFormat/>
    <w:uiPriority w:val="0"/>
    <w:pPr>
      <w:adjustRightInd w:val="0"/>
      <w:snapToGrid w:val="0"/>
      <w:jc w:val="center"/>
      <w:textAlignment w:val="baseline"/>
    </w:pPr>
    <w:rPr>
      <w:rFonts w:ascii="宋体" w:hAnsi="宋体" w:cs="宋体"/>
      <w:kern w:val="0"/>
    </w:rPr>
  </w:style>
  <w:style w:type="paragraph" w:customStyle="1" w:styleId="2610">
    <w:name w:val="表内文字小1112"/>
    <w:basedOn w:val="1"/>
    <w:qFormat/>
    <w:uiPriority w:val="0"/>
    <w:pPr>
      <w:adjustRightInd w:val="0"/>
      <w:snapToGrid w:val="0"/>
    </w:pPr>
    <w:rPr>
      <w:rFonts w:ascii="宋体" w:hAnsi="Times" w:cs="宋体"/>
    </w:rPr>
  </w:style>
  <w:style w:type="paragraph" w:customStyle="1" w:styleId="2611">
    <w:name w:val="标题41112"/>
    <w:basedOn w:val="1"/>
    <w:qFormat/>
    <w:uiPriority w:val="0"/>
    <w:pPr>
      <w:adjustRightInd w:val="0"/>
      <w:snapToGrid w:val="0"/>
      <w:spacing w:line="300" w:lineRule="auto"/>
      <w:jc w:val="left"/>
    </w:pPr>
    <w:rPr>
      <w:rFonts w:ascii="黑体" w:hAnsi="宋体" w:eastAsia="黑体" w:cs="宋体"/>
      <w:bCs/>
      <w:sz w:val="24"/>
    </w:rPr>
  </w:style>
  <w:style w:type="paragraph" w:customStyle="1" w:styleId="2612">
    <w:name w:val="表题14112"/>
    <w:basedOn w:val="1"/>
    <w:qFormat/>
    <w:uiPriority w:val="0"/>
    <w:pPr>
      <w:widowControl/>
      <w:adjustRightInd w:val="0"/>
      <w:snapToGrid w:val="0"/>
      <w:jc w:val="center"/>
    </w:pPr>
    <w:rPr>
      <w:rFonts w:ascii="黑体" w:hAnsi="宋体" w:eastAsia="黑体" w:cs="宋体"/>
      <w:kern w:val="0"/>
      <w:sz w:val="24"/>
    </w:rPr>
  </w:style>
  <w:style w:type="paragraph" w:customStyle="1" w:styleId="2613">
    <w:name w:val="表内文字小812"/>
    <w:basedOn w:val="1"/>
    <w:qFormat/>
    <w:uiPriority w:val="0"/>
    <w:pPr>
      <w:adjustRightInd w:val="0"/>
      <w:snapToGrid w:val="0"/>
      <w:jc w:val="center"/>
    </w:pPr>
    <w:rPr>
      <w:rFonts w:ascii="宋体" w:hAnsi="Times" w:cs="宋体"/>
    </w:rPr>
  </w:style>
  <w:style w:type="paragraph" w:customStyle="1" w:styleId="2614">
    <w:name w:val="默认段落字体 Para Char212"/>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2615">
    <w:name w:val="Default12"/>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616">
    <w:name w:val="正文格式612"/>
    <w:basedOn w:val="1"/>
    <w:qFormat/>
    <w:uiPriority w:val="0"/>
    <w:pPr>
      <w:spacing w:line="360" w:lineRule="auto"/>
      <w:ind w:firstLine="482"/>
    </w:pPr>
    <w:rPr>
      <w:rFonts w:ascii="宋体" w:hAnsi="宋体" w:cs="宋体"/>
      <w:sz w:val="24"/>
    </w:rPr>
  </w:style>
  <w:style w:type="paragraph" w:customStyle="1" w:styleId="2617">
    <w:name w:val="附件312"/>
    <w:basedOn w:val="4"/>
    <w:next w:val="315"/>
    <w:qFormat/>
    <w:uiPriority w:val="0"/>
    <w:pPr>
      <w:keepLines/>
      <w:widowControl w:val="0"/>
      <w:numPr>
        <w:numId w:val="0"/>
      </w:numPr>
      <w:tabs>
        <w:tab w:val="left" w:pos="1566"/>
      </w:tabs>
      <w:adjustRightInd w:val="0"/>
      <w:snapToGrid w:val="0"/>
      <w:spacing w:after="120"/>
    </w:pPr>
    <w:rPr>
      <w:rFonts w:ascii="黑体" w:eastAsia="黑体"/>
      <w:bCs/>
      <w:kern w:val="44"/>
      <w:szCs w:val="32"/>
    </w:rPr>
  </w:style>
  <w:style w:type="paragraph" w:customStyle="1" w:styleId="2618">
    <w:name w:val="图题612"/>
    <w:basedOn w:val="315"/>
    <w:next w:val="315"/>
    <w:qFormat/>
    <w:uiPriority w:val="0"/>
    <w:pPr>
      <w:ind w:firstLine="0"/>
      <w:jc w:val="center"/>
    </w:pPr>
    <w:rPr>
      <w:rFonts w:ascii="黑体" w:hAnsi="宋体" w:eastAsia="黑体"/>
      <w:bCs/>
      <w:spacing w:val="0"/>
      <w:kern w:val="0"/>
    </w:rPr>
  </w:style>
  <w:style w:type="paragraph" w:customStyle="1" w:styleId="2619">
    <w:name w:val="表格内字体612"/>
    <w:basedOn w:val="315"/>
    <w:next w:val="315"/>
    <w:qFormat/>
    <w:uiPriority w:val="0"/>
    <w:pPr>
      <w:spacing w:line="240" w:lineRule="auto"/>
      <w:ind w:firstLine="0"/>
      <w:jc w:val="center"/>
    </w:pPr>
    <w:rPr>
      <w:rFonts w:hAnsi="宋体"/>
      <w:b w:val="0"/>
      <w:spacing w:val="0"/>
      <w:sz w:val="21"/>
    </w:rPr>
  </w:style>
  <w:style w:type="paragraph" w:customStyle="1" w:styleId="2620">
    <w:name w:val="黑体三号412"/>
    <w:basedOn w:val="315"/>
    <w:qFormat/>
    <w:uiPriority w:val="0"/>
    <w:pPr>
      <w:jc w:val="center"/>
    </w:pPr>
    <w:rPr>
      <w:rFonts w:ascii="黑体" w:hAnsi="宋体" w:eastAsia="黑体"/>
      <w:bCs/>
      <w:spacing w:val="0"/>
      <w:sz w:val="32"/>
    </w:rPr>
  </w:style>
  <w:style w:type="paragraph" w:customStyle="1" w:styleId="2621">
    <w:name w:val="默认段落字体 Para Char Char Char Char412"/>
    <w:basedOn w:val="1"/>
    <w:qFormat/>
    <w:uiPriority w:val="0"/>
    <w:rPr>
      <w:rFonts w:ascii="宋体" w:hAnsi="宋体" w:cs="宋体"/>
    </w:rPr>
  </w:style>
  <w:style w:type="paragraph" w:customStyle="1" w:styleId="2622">
    <w:name w:val="图表题12"/>
    <w:basedOn w:val="315"/>
    <w:next w:val="315"/>
    <w:qFormat/>
    <w:uiPriority w:val="0"/>
    <w:pPr>
      <w:ind w:firstLine="0"/>
      <w:jc w:val="center"/>
    </w:pPr>
    <w:rPr>
      <w:rFonts w:ascii="黑体" w:hAnsi="宋体" w:eastAsia="黑体"/>
      <w:bCs/>
      <w:spacing w:val="0"/>
    </w:rPr>
  </w:style>
  <w:style w:type="character" w:customStyle="1" w:styleId="2623">
    <w:name w:val="图表题 Char12"/>
    <w:qFormat/>
    <w:uiPriority w:val="0"/>
    <w:rPr>
      <w:rFonts w:ascii="黑体" w:hAnsi="宋体" w:eastAsia="黑体" w:cs="宋体"/>
      <w:bCs/>
      <w:spacing w:val="10"/>
      <w:kern w:val="2"/>
      <w:sz w:val="24"/>
      <w:szCs w:val="24"/>
      <w:lang w:val="en-US" w:eastAsia="zh-CN" w:bidi="ar-SA"/>
    </w:rPr>
  </w:style>
  <w:style w:type="paragraph" w:customStyle="1" w:styleId="2624">
    <w:name w:val="样式 表格内字体 +12"/>
    <w:basedOn w:val="1177"/>
    <w:qFormat/>
    <w:uiPriority w:val="0"/>
    <w:pPr>
      <w:spacing w:line="280" w:lineRule="exact"/>
      <w:ind w:firstLine="36"/>
      <w:jc w:val="both"/>
    </w:pPr>
    <w:rPr>
      <w:kern w:val="0"/>
    </w:rPr>
  </w:style>
  <w:style w:type="character" w:customStyle="1" w:styleId="2625">
    <w:name w:val="样式 表格内字体 + Char12"/>
    <w:qFormat/>
    <w:uiPriority w:val="0"/>
    <w:rPr>
      <w:rFonts w:ascii="宋体" w:hAnsi="宋体" w:eastAsia="宋体" w:cs="Times New Roman"/>
      <w:kern w:val="2"/>
      <w:sz w:val="21"/>
      <w:szCs w:val="24"/>
      <w:lang w:val="en-US" w:eastAsia="zh-CN" w:bidi="ar-SA"/>
    </w:rPr>
  </w:style>
  <w:style w:type="paragraph" w:customStyle="1" w:styleId="2626">
    <w:name w:val="A正文12"/>
    <w:basedOn w:val="1"/>
    <w:qFormat/>
    <w:uiPriority w:val="0"/>
    <w:pPr>
      <w:widowControl/>
      <w:overflowPunct w:val="0"/>
      <w:autoSpaceDE w:val="0"/>
      <w:autoSpaceDN w:val="0"/>
      <w:adjustRightInd w:val="0"/>
      <w:spacing w:line="360" w:lineRule="auto"/>
      <w:ind w:firstLine="200" w:firstLineChars="200"/>
      <w:jc w:val="left"/>
      <w:textAlignment w:val="baseline"/>
    </w:pPr>
    <w:rPr>
      <w:rFonts w:ascii="宋体" w:hAnsi="宋体" w:eastAsia="仿宋_GB2312" w:cs="宋体"/>
      <w:kern w:val="0"/>
      <w:sz w:val="24"/>
    </w:rPr>
  </w:style>
  <w:style w:type="paragraph" w:customStyle="1" w:styleId="2627">
    <w:name w:val="图题注12"/>
    <w:basedOn w:val="23"/>
    <w:qFormat/>
    <w:uiPriority w:val="0"/>
    <w:pPr>
      <w:widowControl w:val="0"/>
      <w:jc w:val="center"/>
    </w:pPr>
    <w:rPr>
      <w:rFonts w:ascii="黑体" w:hAnsi="Arial"/>
      <w:b/>
      <w:bCs/>
      <w:kern w:val="2"/>
    </w:rPr>
  </w:style>
  <w:style w:type="paragraph" w:customStyle="1" w:styleId="2628">
    <w:name w:val="Char712"/>
    <w:basedOn w:val="1"/>
    <w:qFormat/>
    <w:uiPriority w:val="0"/>
    <w:pPr>
      <w:ind w:left="-48"/>
    </w:pPr>
    <w:rPr>
      <w:rFonts w:ascii="宋体" w:hAnsi="宋体" w:cs="宋体"/>
    </w:rPr>
  </w:style>
  <w:style w:type="paragraph" w:customStyle="1" w:styleId="2629">
    <w:name w:val="表格内字体1112"/>
    <w:basedOn w:val="315"/>
    <w:qFormat/>
    <w:uiPriority w:val="0"/>
    <w:pPr>
      <w:spacing w:line="240" w:lineRule="auto"/>
      <w:ind w:firstLine="0"/>
      <w:jc w:val="center"/>
    </w:pPr>
    <w:rPr>
      <w:rFonts w:hAnsi="Times New Roman"/>
      <w:b w:val="0"/>
      <w:spacing w:val="0"/>
      <w:sz w:val="21"/>
    </w:rPr>
  </w:style>
  <w:style w:type="paragraph" w:customStyle="1" w:styleId="2630">
    <w:name w:val="样式 正文缩进 + 宋体 黑色 首行缩进:  2 字符12"/>
    <w:basedOn w:val="6"/>
    <w:qFormat/>
    <w:uiPriority w:val="0"/>
    <w:pPr>
      <w:adjustRightInd/>
      <w:snapToGrid/>
      <w:spacing w:line="360" w:lineRule="auto"/>
      <w:ind w:firstLine="480"/>
      <w:jc w:val="left"/>
    </w:pPr>
    <w:rPr>
      <w:rFonts w:ascii="宋体" w:hAnsi="宋体" w:eastAsia="宋体" w:cs="宋体"/>
      <w:color w:val="FF00FF"/>
      <w:sz w:val="24"/>
      <w:szCs w:val="20"/>
    </w:rPr>
  </w:style>
  <w:style w:type="paragraph" w:customStyle="1" w:styleId="2631">
    <w:name w:val="环评正文12"/>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2632">
    <w:name w:val="注释12"/>
    <w:basedOn w:val="315"/>
    <w:next w:val="35"/>
    <w:qFormat/>
    <w:uiPriority w:val="0"/>
    <w:pPr>
      <w:spacing w:before="120" w:after="120" w:line="240" w:lineRule="auto"/>
      <w:ind w:firstLine="200" w:firstLineChars="200"/>
    </w:pPr>
    <w:rPr>
      <w:rFonts w:hAnsi="Times New Roman"/>
      <w:b w:val="0"/>
      <w:spacing w:val="0"/>
      <w:sz w:val="21"/>
    </w:rPr>
  </w:style>
  <w:style w:type="paragraph" w:customStyle="1" w:styleId="2633">
    <w:name w:val="样式412"/>
    <w:basedOn w:val="35"/>
    <w:qFormat/>
    <w:uiPriority w:val="0"/>
    <w:pPr>
      <w:tabs>
        <w:tab w:val="left" w:pos="1820"/>
      </w:tabs>
      <w:snapToGrid w:val="0"/>
      <w:spacing w:after="0" w:line="240" w:lineRule="atLeast"/>
      <w:jc w:val="center"/>
    </w:pPr>
    <w:rPr>
      <w:rFonts w:ascii="Calibri" w:hAnsi="Calibri" w:eastAsia="幼圆" w:cs="宋体"/>
      <w:kern w:val="0"/>
    </w:rPr>
  </w:style>
  <w:style w:type="paragraph" w:customStyle="1" w:styleId="2634">
    <w:name w:val="标题4122"/>
    <w:basedOn w:val="8"/>
    <w:next w:val="1"/>
    <w:qFormat/>
    <w:uiPriority w:val="0"/>
    <w:pPr>
      <w:widowControl w:val="0"/>
      <w:tabs>
        <w:tab w:val="clear" w:pos="1276"/>
      </w:tabs>
      <w:spacing w:before="160" w:after="170"/>
      <w:ind w:left="0" w:firstLine="0"/>
      <w:jc w:val="both"/>
    </w:pPr>
    <w:rPr>
      <w:rFonts w:ascii="黑体" w:eastAsia="黑体"/>
    </w:rPr>
  </w:style>
  <w:style w:type="paragraph" w:customStyle="1" w:styleId="2635">
    <w:name w:val="表中文字412"/>
    <w:basedOn w:val="1"/>
    <w:qFormat/>
    <w:uiPriority w:val="0"/>
    <w:pPr>
      <w:snapToGrid w:val="0"/>
      <w:spacing w:line="340" w:lineRule="exact"/>
      <w:ind w:firstLine="480" w:firstLineChars="200"/>
      <w:jc w:val="center"/>
    </w:pPr>
    <w:rPr>
      <w:rFonts w:ascii="Arial" w:hAnsi="Arial" w:cs="宋体"/>
      <w:kern w:val="0"/>
      <w:sz w:val="24"/>
      <w:lang w:eastAsia="zh-TW"/>
    </w:rPr>
  </w:style>
  <w:style w:type="paragraph" w:customStyle="1" w:styleId="2636">
    <w:name w:val="样式 正文缩进 + 宋体 黑色12"/>
    <w:basedOn w:val="6"/>
    <w:qFormat/>
    <w:uiPriority w:val="0"/>
    <w:pPr>
      <w:adjustRightInd/>
      <w:snapToGrid/>
      <w:spacing w:line="360" w:lineRule="auto"/>
      <w:jc w:val="left"/>
    </w:pPr>
    <w:rPr>
      <w:rFonts w:ascii="宋体" w:hAnsi="宋体" w:eastAsia="宋体" w:cs="宋体"/>
      <w:sz w:val="24"/>
    </w:rPr>
  </w:style>
  <w:style w:type="paragraph" w:customStyle="1" w:styleId="2637">
    <w:name w:val="表内5112"/>
    <w:basedOn w:val="1"/>
    <w:qFormat/>
    <w:uiPriority w:val="0"/>
    <w:pPr>
      <w:adjustRightInd w:val="0"/>
      <w:snapToGrid w:val="0"/>
      <w:jc w:val="center"/>
    </w:pPr>
    <w:rPr>
      <w:rFonts w:ascii="宋体" w:hAnsi="宋体" w:cs="宋体"/>
      <w:kern w:val="0"/>
      <w:sz w:val="24"/>
    </w:rPr>
  </w:style>
  <w:style w:type="paragraph" w:customStyle="1" w:styleId="2638">
    <w:name w:val="样式 样式 宋体 + 首行缩进:  2 字符112"/>
    <w:basedOn w:val="1"/>
    <w:qFormat/>
    <w:uiPriority w:val="0"/>
    <w:pPr>
      <w:spacing w:line="360" w:lineRule="auto"/>
      <w:ind w:firstLine="480" w:firstLineChars="200"/>
      <w:jc w:val="left"/>
    </w:pPr>
    <w:rPr>
      <w:rFonts w:ascii="宋体" w:hAnsi="宋体" w:cs="宋体"/>
      <w:sz w:val="24"/>
    </w:rPr>
  </w:style>
  <w:style w:type="paragraph" w:customStyle="1" w:styleId="2639">
    <w:name w:val="表内宋5中212"/>
    <w:basedOn w:val="1"/>
    <w:qFormat/>
    <w:uiPriority w:val="0"/>
    <w:pPr>
      <w:adjustRightInd w:val="0"/>
      <w:snapToGrid w:val="0"/>
      <w:jc w:val="center"/>
      <w:textAlignment w:val="baseline"/>
    </w:pPr>
    <w:rPr>
      <w:rFonts w:ascii="宋体" w:hAnsi="宋体" w:cs="宋体"/>
      <w:kern w:val="0"/>
    </w:rPr>
  </w:style>
  <w:style w:type="paragraph" w:customStyle="1" w:styleId="2640">
    <w:name w:val="xl6312"/>
    <w:basedOn w:val="1"/>
    <w:qFormat/>
    <w:uiPriority w:val="0"/>
    <w:pPr>
      <w:widowControl/>
      <w:spacing w:before="100" w:beforeAutospacing="1" w:after="100" w:afterAutospacing="1"/>
      <w:jc w:val="center"/>
      <w:textAlignment w:val="center"/>
    </w:pPr>
    <w:rPr>
      <w:rFonts w:hint="eastAsia" w:ascii="黑体" w:hAnsi="宋体" w:eastAsia="黑体" w:cs="宋体"/>
      <w:kern w:val="0"/>
      <w:sz w:val="24"/>
    </w:rPr>
  </w:style>
  <w:style w:type="paragraph" w:customStyle="1" w:styleId="2641">
    <w:name w:val="标准12"/>
    <w:basedOn w:val="1"/>
    <w:qFormat/>
    <w:uiPriority w:val="0"/>
    <w:pPr>
      <w:adjustRightInd w:val="0"/>
      <w:spacing w:before="120" w:line="336" w:lineRule="auto"/>
      <w:jc w:val="center"/>
      <w:textAlignment w:val="baseline"/>
    </w:pPr>
    <w:rPr>
      <w:rFonts w:ascii="黑体" w:hAnsi="宋体" w:eastAsia="黑体" w:cs="宋体"/>
    </w:rPr>
  </w:style>
  <w:style w:type="paragraph" w:customStyle="1" w:styleId="2642">
    <w:name w:val="Fax Header12"/>
    <w:basedOn w:val="1"/>
    <w:qFormat/>
    <w:uiPriority w:val="0"/>
    <w:pPr>
      <w:widowControl/>
      <w:spacing w:before="240" w:after="60"/>
      <w:jc w:val="left"/>
    </w:pPr>
    <w:rPr>
      <w:rFonts w:ascii="宋体" w:hAnsi="宋体" w:cs="宋体"/>
      <w:kern w:val="0"/>
      <w:sz w:val="24"/>
    </w:rPr>
  </w:style>
  <w:style w:type="paragraph" w:customStyle="1" w:styleId="2643">
    <w:name w:val="样式 表格内字体1 +12"/>
    <w:basedOn w:val="1264"/>
    <w:next w:val="1177"/>
    <w:qFormat/>
    <w:uiPriority w:val="0"/>
    <w:rPr>
      <w:rFonts w:hAnsi="Times New Roman"/>
    </w:rPr>
  </w:style>
  <w:style w:type="paragraph" w:customStyle="1" w:styleId="2644">
    <w:name w:val="默认段落字体 Para Char312"/>
    <w:basedOn w:val="1"/>
    <w:qFormat/>
    <w:uiPriority w:val="0"/>
    <w:pPr>
      <w:spacing w:line="360" w:lineRule="auto"/>
      <w:ind w:firstLine="200" w:firstLineChars="200"/>
    </w:pPr>
    <w:rPr>
      <w:rFonts w:ascii="宋体" w:hAnsi="宋体" w:cs="宋体"/>
      <w:sz w:val="24"/>
    </w:rPr>
  </w:style>
  <w:style w:type="paragraph" w:customStyle="1" w:styleId="2645">
    <w:name w:val="正文斜体12"/>
    <w:basedOn w:val="315"/>
    <w:next w:val="315"/>
    <w:qFormat/>
    <w:uiPriority w:val="0"/>
    <w:rPr>
      <w:rFonts w:hAnsi="宋体"/>
      <w:b w:val="0"/>
      <w:i/>
      <w:iCs/>
      <w:spacing w:val="0"/>
    </w:rPr>
  </w:style>
  <w:style w:type="character" w:customStyle="1" w:styleId="2646">
    <w:name w:val="正文斜体 Char12"/>
    <w:qFormat/>
    <w:uiPriority w:val="0"/>
    <w:rPr>
      <w:rFonts w:ascii="宋体" w:hAnsi="宋体" w:eastAsia="宋体" w:cs="Times New Roman"/>
      <w:b/>
      <w:i/>
      <w:iCs/>
      <w:spacing w:val="10"/>
      <w:kern w:val="2"/>
      <w:sz w:val="24"/>
      <w:szCs w:val="24"/>
      <w:lang w:val="en-US" w:eastAsia="zh-CN" w:bidi="ar-SA"/>
    </w:rPr>
  </w:style>
  <w:style w:type="paragraph" w:customStyle="1" w:styleId="2647">
    <w:name w:val="Char812"/>
    <w:basedOn w:val="1"/>
    <w:qFormat/>
    <w:uiPriority w:val="0"/>
    <w:pPr>
      <w:ind w:left="-48"/>
    </w:pPr>
    <w:rPr>
      <w:rFonts w:ascii="宋体" w:hAnsi="宋体" w:cs="宋体"/>
    </w:rPr>
  </w:style>
  <w:style w:type="paragraph" w:customStyle="1" w:styleId="2648">
    <w:name w:val="正文格式712"/>
    <w:basedOn w:val="1"/>
    <w:qFormat/>
    <w:uiPriority w:val="0"/>
    <w:pPr>
      <w:spacing w:line="360" w:lineRule="auto"/>
      <w:ind w:firstLine="482"/>
    </w:pPr>
    <w:rPr>
      <w:rFonts w:ascii="宋体" w:hAnsi="宋体" w:cs="宋体"/>
      <w:sz w:val="24"/>
    </w:rPr>
  </w:style>
  <w:style w:type="character" w:customStyle="1" w:styleId="2649">
    <w:name w:val="题注 Char512"/>
    <w:qFormat/>
    <w:uiPriority w:val="0"/>
    <w:rPr>
      <w:rFonts w:ascii="黑体" w:hAnsi="Arial" w:eastAsia="黑体" w:cs="Arial"/>
      <w:spacing w:val="10"/>
      <w:kern w:val="2"/>
      <w:sz w:val="24"/>
      <w:szCs w:val="24"/>
      <w:lang w:val="en-US" w:eastAsia="zh-CN" w:bidi="ar-SA"/>
    </w:rPr>
  </w:style>
  <w:style w:type="paragraph" w:customStyle="1" w:styleId="2650">
    <w:name w:val="图题712"/>
    <w:basedOn w:val="315"/>
    <w:next w:val="315"/>
    <w:qFormat/>
    <w:uiPriority w:val="0"/>
    <w:pPr>
      <w:ind w:firstLine="0"/>
      <w:jc w:val="center"/>
    </w:pPr>
    <w:rPr>
      <w:rFonts w:ascii="黑体" w:hAnsi="宋体" w:eastAsia="黑体"/>
      <w:bCs/>
      <w:spacing w:val="0"/>
    </w:rPr>
  </w:style>
  <w:style w:type="paragraph" w:customStyle="1" w:styleId="2651">
    <w:name w:val="表格内字体712"/>
    <w:basedOn w:val="315"/>
    <w:next w:val="315"/>
    <w:qFormat/>
    <w:uiPriority w:val="0"/>
    <w:pPr>
      <w:spacing w:line="240" w:lineRule="auto"/>
      <w:ind w:firstLine="0"/>
      <w:jc w:val="center"/>
    </w:pPr>
    <w:rPr>
      <w:rFonts w:hAnsi="宋体"/>
      <w:b w:val="0"/>
      <w:spacing w:val="0"/>
      <w:sz w:val="21"/>
    </w:rPr>
  </w:style>
  <w:style w:type="paragraph" w:customStyle="1" w:styleId="2652">
    <w:name w:val="Char912"/>
    <w:basedOn w:val="1"/>
    <w:qFormat/>
    <w:uiPriority w:val="0"/>
    <w:pPr>
      <w:ind w:left="-48"/>
    </w:pPr>
    <w:rPr>
      <w:rFonts w:ascii="宋体" w:hAnsi="宋体" w:cs="宋体"/>
    </w:rPr>
  </w:style>
  <w:style w:type="paragraph" w:customStyle="1" w:styleId="2653">
    <w:name w:val="表题1512"/>
    <w:basedOn w:val="23"/>
    <w:qFormat/>
    <w:uiPriority w:val="0"/>
    <w:pPr>
      <w:widowControl w:val="0"/>
      <w:spacing w:line="360" w:lineRule="auto"/>
      <w:jc w:val="center"/>
    </w:pPr>
    <w:rPr>
      <w:rFonts w:ascii="黑体" w:hAnsi="Arial" w:cs="Arial"/>
      <w:b/>
      <w:kern w:val="2"/>
    </w:rPr>
  </w:style>
  <w:style w:type="character" w:customStyle="1" w:styleId="2654">
    <w:name w:val="表题1 Char612"/>
    <w:qFormat/>
    <w:uiPriority w:val="0"/>
    <w:rPr>
      <w:rFonts w:ascii="黑体" w:hAnsi="Arial" w:eastAsia="黑体" w:cs="Arial"/>
      <w:b/>
      <w:kern w:val="2"/>
      <w:sz w:val="24"/>
      <w:szCs w:val="24"/>
      <w:lang w:val="en-US" w:eastAsia="zh-CN" w:bidi="ar-SA"/>
    </w:rPr>
  </w:style>
  <w:style w:type="paragraph" w:customStyle="1" w:styleId="2655">
    <w:name w:val="燕山正文412"/>
    <w:basedOn w:val="1"/>
    <w:qFormat/>
    <w:uiPriority w:val="0"/>
    <w:pPr>
      <w:tabs>
        <w:tab w:val="left" w:pos="4680"/>
      </w:tabs>
      <w:adjustRightInd w:val="0"/>
      <w:snapToGrid w:val="0"/>
      <w:spacing w:line="480" w:lineRule="exact"/>
    </w:pPr>
    <w:rPr>
      <w:rFonts w:ascii="宋体" w:hAnsi="宋体" w:cs="宋体"/>
      <w:sz w:val="24"/>
    </w:rPr>
  </w:style>
  <w:style w:type="paragraph" w:customStyle="1" w:styleId="2656">
    <w:name w:val="正文修改412"/>
    <w:basedOn w:val="1180"/>
    <w:qFormat/>
    <w:uiPriority w:val="0"/>
    <w:rPr>
      <w:rFonts w:hAnsi="宋体"/>
      <w:color w:val="000000"/>
    </w:rPr>
  </w:style>
  <w:style w:type="character" w:customStyle="1" w:styleId="2657">
    <w:name w:val="正文修改 Char1412"/>
    <w:qFormat/>
    <w:uiPriority w:val="0"/>
    <w:rPr>
      <w:rFonts w:ascii="宋体" w:hAnsi="Times New Roman" w:eastAsia="宋体" w:cs="宋体"/>
      <w:kern w:val="2"/>
      <w:sz w:val="24"/>
      <w:szCs w:val="24"/>
      <w:lang w:val="en-US" w:eastAsia="zh-CN" w:bidi="ar-SA"/>
    </w:rPr>
  </w:style>
  <w:style w:type="paragraph" w:customStyle="1" w:styleId="2658">
    <w:name w:val="表中文字512"/>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659">
    <w:name w:val="默认段落字体 Para Char Char Char Char512"/>
    <w:basedOn w:val="1"/>
    <w:qFormat/>
    <w:uiPriority w:val="0"/>
    <w:rPr>
      <w:rFonts w:ascii="宋体" w:hAnsi="宋体" w:cs="宋体"/>
    </w:rPr>
  </w:style>
  <w:style w:type="paragraph" w:customStyle="1" w:styleId="2660">
    <w:name w:val="Char1012"/>
    <w:basedOn w:val="1"/>
    <w:qFormat/>
    <w:uiPriority w:val="0"/>
    <w:pPr>
      <w:adjustRightInd w:val="0"/>
      <w:snapToGrid w:val="0"/>
      <w:spacing w:line="360" w:lineRule="auto"/>
    </w:pPr>
    <w:rPr>
      <w:rFonts w:ascii="宋体" w:hAnsi="宋体" w:cs="宋体"/>
    </w:rPr>
  </w:style>
  <w:style w:type="paragraph" w:customStyle="1" w:styleId="2661">
    <w:name w:val="表内5中112"/>
    <w:basedOn w:val="1"/>
    <w:qFormat/>
    <w:uiPriority w:val="0"/>
    <w:pPr>
      <w:adjustRightInd w:val="0"/>
      <w:snapToGrid w:val="0"/>
      <w:jc w:val="center"/>
    </w:pPr>
    <w:rPr>
      <w:rFonts w:ascii="宋体" w:hAnsi="宋体" w:cs="Arial"/>
      <w:snapToGrid w:val="0"/>
      <w:color w:val="000000"/>
      <w:szCs w:val="21"/>
    </w:rPr>
  </w:style>
  <w:style w:type="paragraph" w:customStyle="1" w:styleId="2662">
    <w:name w:val="表内541412"/>
    <w:basedOn w:val="1"/>
    <w:qFormat/>
    <w:uiPriority w:val="0"/>
    <w:pPr>
      <w:adjustRightInd w:val="0"/>
      <w:snapToGrid w:val="0"/>
      <w:spacing w:line="300" w:lineRule="auto"/>
      <w:jc w:val="center"/>
    </w:pPr>
    <w:rPr>
      <w:rFonts w:ascii="宋体" w:hAnsi="宋体" w:cs="宋体"/>
    </w:rPr>
  </w:style>
  <w:style w:type="paragraph" w:customStyle="1" w:styleId="2663">
    <w:name w:val="表内文字小122"/>
    <w:basedOn w:val="1"/>
    <w:qFormat/>
    <w:uiPriority w:val="0"/>
    <w:pPr>
      <w:adjustRightInd w:val="0"/>
      <w:snapToGrid w:val="0"/>
      <w:jc w:val="center"/>
    </w:pPr>
    <w:rPr>
      <w:rFonts w:ascii="宋体" w:hAnsi="Times" w:cs="宋体"/>
    </w:rPr>
  </w:style>
  <w:style w:type="character" w:customStyle="1" w:styleId="2664">
    <w:name w:val="正文首行缩进 2 Char12"/>
    <w:qFormat/>
    <w:uiPriority w:val="0"/>
    <w:rPr>
      <w:rFonts w:eastAsia="宋体"/>
      <w:kern w:val="2"/>
      <w:sz w:val="21"/>
      <w:szCs w:val="24"/>
      <w:lang w:val="en-US" w:eastAsia="zh-CN" w:bidi="ar-SA"/>
    </w:rPr>
  </w:style>
  <w:style w:type="paragraph" w:customStyle="1" w:styleId="2665">
    <w:name w:val="默认段落字体 Para Char412"/>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2666">
    <w:name w:val="正文格式812"/>
    <w:basedOn w:val="1"/>
    <w:qFormat/>
    <w:uiPriority w:val="0"/>
    <w:pPr>
      <w:spacing w:line="360" w:lineRule="auto"/>
      <w:ind w:firstLine="482"/>
    </w:pPr>
    <w:rPr>
      <w:rFonts w:ascii="宋体" w:hAnsi="宋体" w:cs="宋体"/>
      <w:sz w:val="24"/>
    </w:rPr>
  </w:style>
  <w:style w:type="paragraph" w:customStyle="1" w:styleId="2667">
    <w:name w:val="正文格式912"/>
    <w:basedOn w:val="1"/>
    <w:qFormat/>
    <w:uiPriority w:val="0"/>
    <w:pPr>
      <w:spacing w:line="360" w:lineRule="auto"/>
      <w:ind w:firstLine="482"/>
    </w:pPr>
    <w:rPr>
      <w:rFonts w:ascii="宋体" w:hAnsi="宋体" w:cs="宋体"/>
      <w:sz w:val="24"/>
    </w:rPr>
  </w:style>
  <w:style w:type="paragraph" w:customStyle="1" w:styleId="2668">
    <w:name w:val="Char422"/>
    <w:basedOn w:val="1"/>
    <w:qFormat/>
    <w:uiPriority w:val="0"/>
    <w:pPr>
      <w:ind w:left="-48"/>
    </w:pPr>
    <w:rPr>
      <w:rFonts w:ascii="宋体" w:hAnsi="宋体" w:cs="宋体"/>
    </w:rPr>
  </w:style>
  <w:style w:type="paragraph" w:customStyle="1" w:styleId="2669">
    <w:name w:val="Char Char Char Char Char Char Char52"/>
    <w:basedOn w:val="1"/>
    <w:qFormat/>
    <w:uiPriority w:val="0"/>
    <w:rPr>
      <w:rFonts w:ascii="宋体" w:hAnsi="宋体" w:cs="宋体"/>
    </w:rPr>
  </w:style>
  <w:style w:type="paragraph" w:customStyle="1" w:styleId="2670">
    <w:name w:val="Char162"/>
    <w:basedOn w:val="1"/>
    <w:qFormat/>
    <w:uiPriority w:val="0"/>
    <w:pPr>
      <w:ind w:left="-48"/>
    </w:pPr>
    <w:rPr>
      <w:rFonts w:ascii="宋体" w:hAnsi="宋体" w:cs="宋体"/>
    </w:rPr>
  </w:style>
  <w:style w:type="paragraph" w:customStyle="1" w:styleId="2671">
    <w:name w:val="Char Char Char Char1 Char Char Char22"/>
    <w:basedOn w:val="1"/>
    <w:qFormat/>
    <w:uiPriority w:val="0"/>
    <w:pPr>
      <w:widowControl/>
      <w:spacing w:after="160"/>
      <w:jc w:val="left"/>
    </w:pPr>
    <w:rPr>
      <w:rFonts w:ascii="Verdana" w:hAnsi="Verdana" w:cs="宋体"/>
      <w:kern w:val="0"/>
      <w:sz w:val="24"/>
      <w:lang w:eastAsia="en-US"/>
    </w:rPr>
  </w:style>
  <w:style w:type="paragraph" w:customStyle="1" w:styleId="2672">
    <w:name w:val="Char172"/>
    <w:basedOn w:val="1"/>
    <w:qFormat/>
    <w:uiPriority w:val="0"/>
    <w:pPr>
      <w:ind w:left="-48"/>
    </w:pPr>
    <w:rPr>
      <w:rFonts w:ascii="宋体" w:hAnsi="宋体" w:cs="宋体"/>
    </w:rPr>
  </w:style>
  <w:style w:type="paragraph" w:customStyle="1" w:styleId="2673">
    <w:name w:val="Char Char Char Char Char Char Char132"/>
    <w:basedOn w:val="1"/>
    <w:qFormat/>
    <w:uiPriority w:val="0"/>
    <w:rPr>
      <w:rFonts w:ascii="宋体" w:hAnsi="宋体" w:cs="宋体"/>
    </w:rPr>
  </w:style>
  <w:style w:type="paragraph" w:customStyle="1" w:styleId="2674">
    <w:name w:val="Char232"/>
    <w:basedOn w:val="1"/>
    <w:qFormat/>
    <w:uiPriority w:val="0"/>
    <w:pPr>
      <w:ind w:left="-48"/>
    </w:pPr>
    <w:rPr>
      <w:rFonts w:ascii="宋体" w:hAnsi="宋体" w:cs="宋体"/>
    </w:rPr>
  </w:style>
  <w:style w:type="paragraph" w:customStyle="1" w:styleId="2675">
    <w:name w:val="Char332"/>
    <w:basedOn w:val="1"/>
    <w:qFormat/>
    <w:uiPriority w:val="0"/>
    <w:pPr>
      <w:ind w:left="-48"/>
    </w:pPr>
    <w:rPr>
      <w:rFonts w:ascii="宋体" w:hAnsi="宋体" w:cs="宋体"/>
    </w:rPr>
  </w:style>
  <w:style w:type="paragraph" w:customStyle="1" w:styleId="2676">
    <w:name w:val="Char Char Char Char Char Char Char222"/>
    <w:basedOn w:val="1"/>
    <w:qFormat/>
    <w:uiPriority w:val="0"/>
    <w:rPr>
      <w:rFonts w:ascii="宋体" w:hAnsi="宋体" w:cs="宋体"/>
    </w:rPr>
  </w:style>
  <w:style w:type="paragraph" w:customStyle="1" w:styleId="2677">
    <w:name w:val="Char432"/>
    <w:basedOn w:val="1"/>
    <w:qFormat/>
    <w:uiPriority w:val="0"/>
    <w:pPr>
      <w:ind w:left="-48"/>
    </w:pPr>
    <w:rPr>
      <w:rFonts w:ascii="宋体" w:hAnsi="宋体" w:cs="宋体"/>
    </w:rPr>
  </w:style>
  <w:style w:type="paragraph" w:customStyle="1" w:styleId="2678">
    <w:name w:val="表格内容12"/>
    <w:qFormat/>
    <w:uiPriority w:val="0"/>
    <w:pPr>
      <w:jc w:val="center"/>
    </w:pPr>
    <w:rPr>
      <w:rFonts w:ascii="Times New Roman" w:hAnsi="Times New Roman" w:eastAsia="宋体" w:cs="Times New Roman"/>
      <w:kern w:val="2"/>
      <w:sz w:val="21"/>
      <w:szCs w:val="21"/>
      <w:lang w:val="en-US" w:eastAsia="zh-CN" w:bidi="ar-SA"/>
    </w:rPr>
  </w:style>
  <w:style w:type="paragraph" w:customStyle="1" w:styleId="2679">
    <w:name w:val="正文格式822"/>
    <w:basedOn w:val="1"/>
    <w:qFormat/>
    <w:uiPriority w:val="0"/>
    <w:pPr>
      <w:spacing w:line="360" w:lineRule="auto"/>
      <w:ind w:firstLine="482"/>
    </w:pPr>
    <w:rPr>
      <w:rFonts w:ascii="宋体" w:hAnsi="宋体" w:cs="宋体"/>
      <w:sz w:val="24"/>
    </w:rPr>
  </w:style>
  <w:style w:type="paragraph" w:customStyle="1" w:styleId="2680">
    <w:name w:val="正文格式16"/>
    <w:basedOn w:val="1"/>
    <w:qFormat/>
    <w:uiPriority w:val="0"/>
    <w:pPr>
      <w:spacing w:line="360" w:lineRule="auto"/>
      <w:ind w:firstLine="482"/>
    </w:pPr>
    <w:rPr>
      <w:rFonts w:ascii="宋体" w:hAnsi="宋体" w:cs="宋体"/>
      <w:sz w:val="24"/>
    </w:rPr>
  </w:style>
  <w:style w:type="character" w:customStyle="1" w:styleId="2681">
    <w:name w:val="正文格式 Char13"/>
    <w:qFormat/>
    <w:uiPriority w:val="0"/>
    <w:rPr>
      <w:rFonts w:ascii="宋体" w:hAnsi="宋体" w:eastAsia="宋体"/>
      <w:kern w:val="2"/>
      <w:sz w:val="24"/>
      <w:szCs w:val="24"/>
      <w:lang w:val="en-US" w:eastAsia="zh-CN" w:bidi="ar-SA"/>
    </w:rPr>
  </w:style>
  <w:style w:type="paragraph" w:customStyle="1" w:styleId="2682">
    <w:name w:val="Char39"/>
    <w:basedOn w:val="1"/>
    <w:qFormat/>
    <w:uiPriority w:val="0"/>
    <w:pPr>
      <w:adjustRightInd w:val="0"/>
      <w:snapToGrid w:val="0"/>
      <w:spacing w:beforeLines="50" w:line="360" w:lineRule="auto"/>
    </w:pPr>
    <w:rPr>
      <w:rFonts w:ascii="黑体" w:hAnsi="宋体" w:eastAsia="黑体" w:cs="宋体"/>
      <w:sz w:val="32"/>
      <w:szCs w:val="32"/>
    </w:rPr>
  </w:style>
  <w:style w:type="character" w:customStyle="1" w:styleId="2683">
    <w:name w:val="节 Char13"/>
    <w:qFormat/>
    <w:uiPriority w:val="0"/>
    <w:rPr>
      <w:rFonts w:ascii="黑体" w:hAnsi="Arial" w:eastAsia="黑体"/>
      <w:bCs/>
      <w:kern w:val="2"/>
      <w:sz w:val="30"/>
      <w:szCs w:val="30"/>
      <w:lang w:val="en-US" w:eastAsia="zh-CN" w:bidi="ar-SA"/>
    </w:rPr>
  </w:style>
  <w:style w:type="character" w:customStyle="1" w:styleId="2684">
    <w:name w:val="三级标题 Char23"/>
    <w:qFormat/>
    <w:uiPriority w:val="0"/>
    <w:rPr>
      <w:rFonts w:ascii="黑体" w:hAnsi="宋体" w:eastAsia="黑体"/>
      <w:bCs/>
      <w:kern w:val="2"/>
      <w:sz w:val="28"/>
      <w:szCs w:val="28"/>
      <w:lang w:val="en-US" w:eastAsia="zh-CN" w:bidi="ar-SA"/>
    </w:rPr>
  </w:style>
  <w:style w:type="character" w:customStyle="1" w:styleId="2685">
    <w:name w:val="表题 Char9"/>
    <w:qFormat/>
    <w:uiPriority w:val="0"/>
    <w:rPr>
      <w:rFonts w:ascii="黑体" w:hAnsi="Arial" w:eastAsia="黑体" w:cs="Arial"/>
      <w:spacing w:val="10"/>
      <w:kern w:val="2"/>
      <w:sz w:val="24"/>
      <w:szCs w:val="24"/>
      <w:lang w:val="en-US" w:eastAsia="zh-CN" w:bidi="ar-SA"/>
    </w:rPr>
  </w:style>
  <w:style w:type="paragraph" w:customStyle="1" w:styleId="2686">
    <w:name w:val="图题14"/>
    <w:basedOn w:val="315"/>
    <w:next w:val="315"/>
    <w:qFormat/>
    <w:uiPriority w:val="0"/>
    <w:pPr>
      <w:ind w:firstLine="0"/>
      <w:jc w:val="center"/>
    </w:pPr>
    <w:rPr>
      <w:rFonts w:ascii="黑体" w:hAnsi="宋体" w:eastAsia="黑体"/>
      <w:bCs/>
      <w:spacing w:val="0"/>
    </w:rPr>
  </w:style>
  <w:style w:type="paragraph" w:customStyle="1" w:styleId="2687">
    <w:name w:val="表格内字体15"/>
    <w:basedOn w:val="315"/>
    <w:next w:val="315"/>
    <w:qFormat/>
    <w:uiPriority w:val="0"/>
    <w:pPr>
      <w:spacing w:line="240" w:lineRule="auto"/>
      <w:ind w:firstLine="0"/>
      <w:jc w:val="center"/>
    </w:pPr>
    <w:rPr>
      <w:rFonts w:hAnsi="宋体"/>
      <w:b w:val="0"/>
      <w:spacing w:val="0"/>
      <w:sz w:val="21"/>
    </w:rPr>
  </w:style>
  <w:style w:type="character" w:customStyle="1" w:styleId="2688">
    <w:name w:val="表格内字体 Char11"/>
    <w:qFormat/>
    <w:uiPriority w:val="0"/>
    <w:rPr>
      <w:rFonts w:ascii="宋体" w:hAnsi="宋体" w:eastAsia="宋体"/>
      <w:kern w:val="2"/>
      <w:sz w:val="21"/>
      <w:szCs w:val="24"/>
      <w:lang w:val="en-US" w:eastAsia="zh-CN" w:bidi="ar-SA"/>
    </w:rPr>
  </w:style>
  <w:style w:type="character" w:customStyle="1" w:styleId="2689">
    <w:name w:val="标题2 Char12"/>
    <w:qFormat/>
    <w:uiPriority w:val="0"/>
    <w:rPr>
      <w:rFonts w:ascii="宋体" w:hAnsi="宋体" w:eastAsia="宋体" w:cs="宋体"/>
      <w:color w:val="000000"/>
      <w:kern w:val="2"/>
      <w:sz w:val="24"/>
      <w:szCs w:val="24"/>
      <w:lang w:val="en-US" w:eastAsia="zh-CN" w:bidi="ar-SA"/>
    </w:rPr>
  </w:style>
  <w:style w:type="paragraph" w:customStyle="1" w:styleId="2690">
    <w:name w:val="表内5418"/>
    <w:basedOn w:val="1"/>
    <w:qFormat/>
    <w:uiPriority w:val="0"/>
    <w:pPr>
      <w:adjustRightInd w:val="0"/>
      <w:snapToGrid w:val="0"/>
      <w:spacing w:line="300" w:lineRule="auto"/>
      <w:jc w:val="center"/>
    </w:pPr>
    <w:rPr>
      <w:rFonts w:ascii="宋体" w:hAnsi="宋体" w:cs="宋体"/>
    </w:rPr>
  </w:style>
  <w:style w:type="paragraph" w:customStyle="1" w:styleId="2691">
    <w:name w:val="表内文字小217"/>
    <w:basedOn w:val="1"/>
    <w:qFormat/>
    <w:uiPriority w:val="0"/>
    <w:pPr>
      <w:adjustRightInd w:val="0"/>
      <w:snapToGrid w:val="0"/>
      <w:jc w:val="center"/>
    </w:pPr>
    <w:rPr>
      <w:rFonts w:ascii="宋体" w:hAnsi="Times" w:cs="宋体"/>
      <w:bCs/>
      <w:color w:val="000000"/>
    </w:rPr>
  </w:style>
  <w:style w:type="paragraph" w:customStyle="1" w:styleId="2692">
    <w:name w:val="表题317"/>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693">
    <w:name w:val="Char Char Char Char Char Char Char19"/>
    <w:basedOn w:val="1"/>
    <w:qFormat/>
    <w:uiPriority w:val="0"/>
    <w:rPr>
      <w:rFonts w:ascii="宋体" w:hAnsi="宋体" w:cs="宋体"/>
    </w:rPr>
  </w:style>
  <w:style w:type="paragraph" w:customStyle="1" w:styleId="2694">
    <w:name w:val="标题4316"/>
    <w:basedOn w:val="1"/>
    <w:qFormat/>
    <w:uiPriority w:val="0"/>
    <w:pPr>
      <w:adjustRightInd w:val="0"/>
      <w:snapToGrid w:val="0"/>
      <w:spacing w:line="480" w:lineRule="exact"/>
      <w:jc w:val="center"/>
    </w:pPr>
    <w:rPr>
      <w:rFonts w:ascii="宋体" w:hAnsi="宋体" w:cs="宋体"/>
      <w:sz w:val="24"/>
    </w:rPr>
  </w:style>
  <w:style w:type="paragraph" w:customStyle="1" w:styleId="2695">
    <w:name w:val="燕山正文117"/>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696">
    <w:name w:val="默认段落字体 Para Char Char Char Char9"/>
    <w:basedOn w:val="1"/>
    <w:qFormat/>
    <w:uiPriority w:val="0"/>
    <w:rPr>
      <w:rFonts w:ascii="宋体" w:hAnsi="宋体" w:cs="宋体"/>
    </w:rPr>
  </w:style>
  <w:style w:type="paragraph" w:customStyle="1" w:styleId="2697">
    <w:name w:val="附件7"/>
    <w:basedOn w:val="4"/>
    <w:next w:val="315"/>
    <w:qFormat/>
    <w:uiPriority w:val="0"/>
    <w:pPr>
      <w:keepLines/>
      <w:widowControl w:val="0"/>
      <w:numPr>
        <w:numId w:val="0"/>
      </w:numPr>
      <w:tabs>
        <w:tab w:val="left" w:pos="1566"/>
      </w:tabs>
      <w:spacing w:after="210"/>
    </w:pPr>
    <w:rPr>
      <w:rFonts w:ascii="黑体" w:eastAsia="黑体"/>
      <w:bCs/>
      <w:kern w:val="44"/>
      <w:szCs w:val="32"/>
    </w:rPr>
  </w:style>
  <w:style w:type="paragraph" w:customStyle="1" w:styleId="2698">
    <w:name w:val="黑体三号8"/>
    <w:basedOn w:val="315"/>
    <w:qFormat/>
    <w:uiPriority w:val="0"/>
    <w:pPr>
      <w:jc w:val="center"/>
    </w:pPr>
    <w:rPr>
      <w:rFonts w:ascii="黑体" w:hAnsi="宋体" w:eastAsia="黑体"/>
      <w:bCs/>
      <w:spacing w:val="0"/>
      <w:sz w:val="32"/>
    </w:rPr>
  </w:style>
  <w:style w:type="paragraph" w:customStyle="1" w:styleId="2699">
    <w:name w:val="表7"/>
    <w:basedOn w:val="1"/>
    <w:qFormat/>
    <w:uiPriority w:val="0"/>
    <w:pPr>
      <w:adjustRightInd w:val="0"/>
      <w:snapToGrid w:val="0"/>
      <w:jc w:val="center"/>
    </w:pPr>
    <w:rPr>
      <w:rFonts w:ascii="宋体" w:hAnsi="宋体" w:eastAsia="仿宋_GB2312" w:cs="宋体"/>
      <w:sz w:val="24"/>
    </w:rPr>
  </w:style>
  <w:style w:type="character" w:customStyle="1" w:styleId="2700">
    <w:name w:val="Char Char81"/>
    <w:qFormat/>
    <w:uiPriority w:val="0"/>
    <w:rPr>
      <w:rFonts w:eastAsia="宋体"/>
      <w:kern w:val="2"/>
      <w:sz w:val="16"/>
      <w:szCs w:val="16"/>
      <w:lang w:val="en-US" w:eastAsia="zh-CN" w:bidi="ar-SA"/>
    </w:rPr>
  </w:style>
  <w:style w:type="character" w:customStyle="1" w:styleId="2701">
    <w:name w:val="Char Char13"/>
    <w:qFormat/>
    <w:uiPriority w:val="0"/>
    <w:rPr>
      <w:rFonts w:ascii="黑体" w:hAnsi="Arial" w:eastAsia="黑体"/>
      <w:b/>
      <w:bCs/>
      <w:kern w:val="2"/>
      <w:sz w:val="30"/>
      <w:szCs w:val="30"/>
      <w:lang w:val="en-US" w:eastAsia="zh-CN" w:bidi="ar-SA"/>
    </w:rPr>
  </w:style>
  <w:style w:type="character" w:customStyle="1" w:styleId="2702">
    <w:name w:val="Char Char7"/>
    <w:qFormat/>
    <w:uiPriority w:val="0"/>
    <w:rPr>
      <w:rFonts w:ascii="黑体" w:eastAsia="黑体"/>
      <w:b/>
      <w:bCs/>
      <w:kern w:val="2"/>
      <w:sz w:val="28"/>
      <w:szCs w:val="28"/>
      <w:lang w:val="en-US" w:eastAsia="zh-CN" w:bidi="ar-SA"/>
    </w:rPr>
  </w:style>
  <w:style w:type="paragraph" w:customStyle="1" w:styleId="2703">
    <w:name w:val="表题19"/>
    <w:basedOn w:val="23"/>
    <w:qFormat/>
    <w:uiPriority w:val="0"/>
    <w:pPr>
      <w:widowControl w:val="0"/>
      <w:spacing w:line="360" w:lineRule="auto"/>
      <w:jc w:val="center"/>
    </w:pPr>
    <w:rPr>
      <w:rFonts w:ascii="黑体" w:hAnsi="Arial" w:cs="Arial"/>
      <w:kern w:val="2"/>
    </w:rPr>
  </w:style>
  <w:style w:type="character" w:customStyle="1" w:styleId="2704">
    <w:name w:val="表题1 Char10"/>
    <w:qFormat/>
    <w:uiPriority w:val="0"/>
    <w:rPr>
      <w:rFonts w:hAnsi="Arial" w:eastAsia="宋体" w:cs="Arial"/>
      <w:kern w:val="2"/>
      <w:sz w:val="24"/>
      <w:szCs w:val="24"/>
      <w:lang w:val="en-US" w:eastAsia="zh-CN" w:bidi="ar-SA"/>
    </w:rPr>
  </w:style>
  <w:style w:type="paragraph" w:customStyle="1" w:styleId="2705">
    <w:name w:val="燕山正文8"/>
    <w:basedOn w:val="1"/>
    <w:qFormat/>
    <w:uiPriority w:val="0"/>
    <w:pPr>
      <w:tabs>
        <w:tab w:val="left" w:pos="4680"/>
      </w:tabs>
      <w:adjustRightInd w:val="0"/>
      <w:snapToGrid w:val="0"/>
      <w:spacing w:line="480" w:lineRule="exact"/>
    </w:pPr>
    <w:rPr>
      <w:rFonts w:ascii="宋体" w:hAnsi="宋体" w:cs="宋体"/>
      <w:sz w:val="24"/>
    </w:rPr>
  </w:style>
  <w:style w:type="character" w:customStyle="1" w:styleId="2706">
    <w:name w:val="燕山正文 Char18"/>
    <w:qFormat/>
    <w:uiPriority w:val="0"/>
    <w:rPr>
      <w:rFonts w:ascii="宋体" w:eastAsia="宋体" w:cs="宋体"/>
      <w:kern w:val="2"/>
      <w:sz w:val="24"/>
      <w:szCs w:val="24"/>
      <w:lang w:val="en-US" w:eastAsia="zh-CN" w:bidi="ar-SA"/>
    </w:rPr>
  </w:style>
  <w:style w:type="paragraph" w:customStyle="1" w:styleId="2707">
    <w:name w:val="正文修改8"/>
    <w:basedOn w:val="1180"/>
    <w:qFormat/>
    <w:uiPriority w:val="0"/>
    <w:rPr>
      <w:rFonts w:hAnsi="宋体"/>
      <w:color w:val="000000"/>
    </w:rPr>
  </w:style>
  <w:style w:type="character" w:customStyle="1" w:styleId="2708">
    <w:name w:val="正文修改 Char18"/>
    <w:qFormat/>
    <w:uiPriority w:val="0"/>
    <w:rPr>
      <w:rFonts w:ascii="宋体" w:hAnsi="宋体" w:eastAsia="宋体" w:cs="宋体"/>
      <w:color w:val="000000"/>
      <w:kern w:val="2"/>
      <w:sz w:val="24"/>
      <w:szCs w:val="24"/>
      <w:lang w:val="en-US" w:eastAsia="zh-CN" w:bidi="ar-SA"/>
    </w:rPr>
  </w:style>
  <w:style w:type="character" w:customStyle="1" w:styleId="2709">
    <w:name w:val="标题正文黑 Char2"/>
    <w:qFormat/>
    <w:uiPriority w:val="0"/>
    <w:rPr>
      <w:rFonts w:ascii="黑体" w:eastAsia="黑体"/>
      <w:kern w:val="2"/>
      <w:sz w:val="28"/>
      <w:szCs w:val="28"/>
      <w:lang w:val="en-US" w:eastAsia="zh-CN" w:bidi="ar-SA"/>
    </w:rPr>
  </w:style>
  <w:style w:type="paragraph" w:customStyle="1" w:styleId="2710">
    <w:name w:val="表中文字9"/>
    <w:basedOn w:val="1"/>
    <w:qFormat/>
    <w:uiPriority w:val="0"/>
    <w:pPr>
      <w:widowControl/>
      <w:adjustRightInd w:val="0"/>
      <w:spacing w:line="240" w:lineRule="atLeast"/>
      <w:ind w:right="-42" w:rightChars="-20"/>
      <w:jc w:val="center"/>
      <w:textAlignment w:val="baseline"/>
    </w:pPr>
    <w:rPr>
      <w:rFonts w:ascii="宋体" w:hAnsi="宋体" w:cs="宋体"/>
      <w:kern w:val="0"/>
      <w:szCs w:val="21"/>
    </w:rPr>
  </w:style>
  <w:style w:type="character" w:customStyle="1" w:styleId="2711">
    <w:name w:val="表中文字 Char28"/>
    <w:qFormat/>
    <w:uiPriority w:val="0"/>
    <w:rPr>
      <w:rFonts w:ascii="宋体" w:eastAsia="宋体"/>
      <w:kern w:val="2"/>
      <w:sz w:val="21"/>
      <w:szCs w:val="21"/>
      <w:lang w:val="en-US" w:eastAsia="zh-CN" w:bidi="ar-SA"/>
    </w:rPr>
  </w:style>
  <w:style w:type="paragraph" w:customStyle="1" w:styleId="2712">
    <w:name w:val="表文字57"/>
    <w:basedOn w:val="1"/>
    <w:qFormat/>
    <w:uiPriority w:val="0"/>
    <w:pPr>
      <w:adjustRightInd w:val="0"/>
      <w:jc w:val="left"/>
      <w:textAlignment w:val="baseline"/>
    </w:pPr>
    <w:rPr>
      <w:rFonts w:ascii="宋体" w:hAnsi="宋体" w:cs="宋体"/>
      <w:kern w:val="0"/>
    </w:rPr>
  </w:style>
  <w:style w:type="paragraph" w:customStyle="1" w:styleId="2713">
    <w:name w:val="表内文字小317"/>
    <w:basedOn w:val="1"/>
    <w:qFormat/>
    <w:uiPriority w:val="0"/>
    <w:pPr>
      <w:adjustRightInd w:val="0"/>
      <w:snapToGrid w:val="0"/>
      <w:jc w:val="center"/>
    </w:pPr>
    <w:rPr>
      <w:rFonts w:ascii="宋体" w:hAnsi="Times" w:cs="宋体"/>
      <w:bCs/>
      <w:color w:val="003366"/>
    </w:rPr>
  </w:style>
  <w:style w:type="paragraph" w:customStyle="1" w:styleId="2714">
    <w:name w:val="样式16"/>
    <w:basedOn w:val="1227"/>
    <w:qFormat/>
    <w:uiPriority w:val="0"/>
    <w:pPr>
      <w:spacing w:line="240" w:lineRule="auto"/>
      <w:ind w:firstLine="0"/>
      <w:jc w:val="center"/>
    </w:pPr>
    <w:rPr>
      <w:rFonts w:cs="Times New Roman"/>
      <w:b/>
      <w:color w:val="auto"/>
      <w:szCs w:val="20"/>
    </w:rPr>
  </w:style>
  <w:style w:type="character" w:customStyle="1" w:styleId="2715">
    <w:name w:val="样式 表内小5 + 黑体 加粗 倾斜 下划线 Char52"/>
    <w:qFormat/>
    <w:uiPriority w:val="0"/>
    <w:rPr>
      <w:rFonts w:ascii="黑体" w:hAnsi="黑体" w:eastAsia="黑体"/>
      <w:b/>
      <w:bCs/>
      <w:i/>
      <w:iCs/>
      <w:kern w:val="2"/>
      <w:sz w:val="18"/>
      <w:szCs w:val="24"/>
      <w:u w:val="single"/>
      <w:lang w:val="en-US" w:eastAsia="zh-CN" w:bidi="ar-SA"/>
    </w:rPr>
  </w:style>
  <w:style w:type="character" w:customStyle="1" w:styleId="2716">
    <w:name w:val="标题2 Char9"/>
    <w:qFormat/>
    <w:uiPriority w:val="0"/>
    <w:rPr>
      <w:rFonts w:ascii="宋体" w:hAnsi="宋体" w:eastAsia="宋体" w:cs="宋体"/>
      <w:color w:val="000000"/>
      <w:kern w:val="2"/>
      <w:sz w:val="24"/>
      <w:szCs w:val="24"/>
      <w:lang w:val="en-US" w:eastAsia="zh-CN" w:bidi="ar-SA"/>
    </w:rPr>
  </w:style>
  <w:style w:type="paragraph" w:customStyle="1" w:styleId="2717">
    <w:name w:val="Char40"/>
    <w:basedOn w:val="1"/>
    <w:qFormat/>
    <w:uiPriority w:val="0"/>
    <w:pPr>
      <w:ind w:left="-48"/>
    </w:pPr>
    <w:rPr>
      <w:rFonts w:ascii="宋体" w:hAnsi="宋体" w:cs="宋体"/>
    </w:rPr>
  </w:style>
  <w:style w:type="paragraph" w:customStyle="1" w:styleId="2718">
    <w:name w:val="表内文字小26"/>
    <w:basedOn w:val="1"/>
    <w:qFormat/>
    <w:uiPriority w:val="0"/>
    <w:pPr>
      <w:adjustRightInd w:val="0"/>
      <w:snapToGrid w:val="0"/>
      <w:jc w:val="center"/>
    </w:pPr>
    <w:rPr>
      <w:rFonts w:ascii="宋体" w:hAnsi="Times" w:cs="宋体"/>
      <w:bCs/>
      <w:color w:val="000000"/>
    </w:rPr>
  </w:style>
  <w:style w:type="paragraph" w:customStyle="1" w:styleId="2719">
    <w:name w:val="表内535"/>
    <w:basedOn w:val="1"/>
    <w:qFormat/>
    <w:uiPriority w:val="0"/>
    <w:pPr>
      <w:adjustRightInd w:val="0"/>
      <w:snapToGrid w:val="0"/>
      <w:spacing w:line="300" w:lineRule="auto"/>
      <w:jc w:val="left"/>
    </w:pPr>
    <w:rPr>
      <w:rFonts w:ascii="宋体" w:hAnsi="宋体" w:cs="宋体"/>
    </w:rPr>
  </w:style>
  <w:style w:type="paragraph" w:customStyle="1" w:styleId="2720">
    <w:name w:val="正文格式25"/>
    <w:basedOn w:val="1"/>
    <w:qFormat/>
    <w:uiPriority w:val="0"/>
    <w:pPr>
      <w:spacing w:line="360" w:lineRule="auto"/>
      <w:ind w:firstLine="482"/>
    </w:pPr>
    <w:rPr>
      <w:rFonts w:ascii="宋体" w:hAnsi="宋体" w:cs="宋体"/>
      <w:sz w:val="24"/>
    </w:rPr>
  </w:style>
  <w:style w:type="paragraph" w:customStyle="1" w:styleId="2721">
    <w:name w:val="图题25"/>
    <w:basedOn w:val="315"/>
    <w:next w:val="315"/>
    <w:qFormat/>
    <w:uiPriority w:val="0"/>
    <w:pPr>
      <w:ind w:firstLine="0"/>
      <w:jc w:val="center"/>
    </w:pPr>
    <w:rPr>
      <w:rFonts w:ascii="黑体" w:hAnsi="宋体" w:eastAsia="黑体"/>
      <w:bCs/>
      <w:spacing w:val="0"/>
    </w:rPr>
  </w:style>
  <w:style w:type="paragraph" w:customStyle="1" w:styleId="2722">
    <w:name w:val="表格内字体25"/>
    <w:basedOn w:val="315"/>
    <w:next w:val="315"/>
    <w:qFormat/>
    <w:uiPriority w:val="0"/>
    <w:pPr>
      <w:spacing w:line="240" w:lineRule="auto"/>
      <w:ind w:firstLine="0"/>
      <w:jc w:val="center"/>
    </w:pPr>
    <w:rPr>
      <w:rFonts w:hAnsi="宋体"/>
      <w:b w:val="0"/>
      <w:spacing w:val="0"/>
      <w:sz w:val="21"/>
    </w:rPr>
  </w:style>
  <w:style w:type="character" w:customStyle="1" w:styleId="2723">
    <w:name w:val="Char Char67"/>
    <w:qFormat/>
    <w:uiPriority w:val="0"/>
    <w:rPr>
      <w:rFonts w:eastAsia="宋体"/>
      <w:b/>
      <w:bCs/>
      <w:kern w:val="2"/>
      <w:sz w:val="28"/>
      <w:szCs w:val="28"/>
      <w:lang w:val="en-US" w:eastAsia="zh-CN" w:bidi="ar-SA"/>
    </w:rPr>
  </w:style>
  <w:style w:type="paragraph" w:customStyle="1" w:styleId="2724">
    <w:name w:val="表题115"/>
    <w:basedOn w:val="23"/>
    <w:qFormat/>
    <w:uiPriority w:val="0"/>
    <w:pPr>
      <w:widowControl w:val="0"/>
      <w:spacing w:line="360" w:lineRule="auto"/>
      <w:jc w:val="center"/>
    </w:pPr>
    <w:rPr>
      <w:rFonts w:ascii="黑体" w:hAnsi="Arial" w:cs="Arial"/>
      <w:kern w:val="2"/>
    </w:rPr>
  </w:style>
  <w:style w:type="character" w:customStyle="1" w:styleId="2725">
    <w:name w:val="表题1 Char12"/>
    <w:qFormat/>
    <w:uiPriority w:val="0"/>
    <w:rPr>
      <w:rFonts w:hAnsi="Arial" w:eastAsia="宋体" w:cs="Arial"/>
      <w:kern w:val="2"/>
      <w:sz w:val="24"/>
      <w:szCs w:val="24"/>
      <w:lang w:val="en-US" w:eastAsia="zh-CN" w:bidi="ar-SA"/>
    </w:rPr>
  </w:style>
  <w:style w:type="paragraph" w:customStyle="1" w:styleId="2726">
    <w:name w:val="表中文字15"/>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727">
    <w:name w:val="表文字515"/>
    <w:basedOn w:val="1"/>
    <w:qFormat/>
    <w:uiPriority w:val="0"/>
    <w:pPr>
      <w:adjustRightInd w:val="0"/>
      <w:jc w:val="left"/>
      <w:textAlignment w:val="baseline"/>
    </w:pPr>
    <w:rPr>
      <w:rFonts w:ascii="宋体" w:hAnsi="宋体" w:cs="宋体"/>
      <w:kern w:val="0"/>
    </w:rPr>
  </w:style>
  <w:style w:type="paragraph" w:customStyle="1" w:styleId="2728">
    <w:name w:val="默认段落字体 Para Char8"/>
    <w:basedOn w:val="1"/>
    <w:qFormat/>
    <w:uiPriority w:val="0"/>
    <w:pPr>
      <w:spacing w:line="360" w:lineRule="auto"/>
      <w:ind w:firstLine="200" w:firstLineChars="200"/>
    </w:pPr>
    <w:rPr>
      <w:rFonts w:ascii="宋体" w:hAnsi="宋体" w:cs="宋体"/>
      <w:sz w:val="24"/>
    </w:rPr>
  </w:style>
  <w:style w:type="paragraph" w:customStyle="1" w:styleId="2729">
    <w:name w:val="表题414"/>
    <w:basedOn w:val="36"/>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2730">
    <w:name w:val="Char Char Char Char Char Char Char20"/>
    <w:basedOn w:val="1"/>
    <w:qFormat/>
    <w:uiPriority w:val="0"/>
    <w:rPr>
      <w:rFonts w:ascii="宋体" w:hAnsi="宋体" w:cs="宋体"/>
    </w:rPr>
  </w:style>
  <w:style w:type="character" w:customStyle="1" w:styleId="2731">
    <w:name w:val="表内5 Char21"/>
    <w:qFormat/>
    <w:uiPriority w:val="0"/>
    <w:rPr>
      <w:rFonts w:ascii="宋体" w:hAnsi="宋体" w:eastAsia="宋体" w:cs="宋体"/>
      <w:kern w:val="2"/>
      <w:sz w:val="21"/>
      <w:szCs w:val="24"/>
      <w:lang w:val="en-US" w:eastAsia="zh-CN" w:bidi="ar-SA"/>
    </w:rPr>
  </w:style>
  <w:style w:type="paragraph" w:customStyle="1" w:styleId="2732">
    <w:name w:val="表内宋5115"/>
    <w:basedOn w:val="81"/>
    <w:qFormat/>
    <w:uiPriority w:val="0"/>
    <w:pPr>
      <w:widowControl w:val="0"/>
      <w:spacing w:before="0" w:beforeAutospacing="0" w:after="0" w:afterAutospacing="0"/>
      <w:jc w:val="both"/>
    </w:pPr>
    <w:rPr>
      <w:rFonts w:ascii="Times New Roman" w:hAnsi="Times New Roman" w:cs="Times New Roman"/>
      <w:szCs w:val="24"/>
    </w:rPr>
  </w:style>
  <w:style w:type="character" w:customStyle="1" w:styleId="2733">
    <w:name w:val="正文文字 Char Char Char Char Char3"/>
    <w:qFormat/>
    <w:uiPriority w:val="0"/>
    <w:rPr>
      <w:rFonts w:eastAsia="宋体"/>
      <w:kern w:val="2"/>
      <w:sz w:val="21"/>
      <w:szCs w:val="24"/>
      <w:lang w:val="en-US" w:eastAsia="zh-CN" w:bidi="ar-SA"/>
    </w:rPr>
  </w:style>
  <w:style w:type="paragraph" w:customStyle="1" w:styleId="2734">
    <w:name w:val="文本框5"/>
    <w:basedOn w:val="1"/>
    <w:qFormat/>
    <w:uiPriority w:val="0"/>
    <w:pPr>
      <w:adjustRightInd w:val="0"/>
      <w:snapToGrid w:val="0"/>
      <w:spacing w:after="6"/>
      <w:jc w:val="center"/>
    </w:pPr>
    <w:rPr>
      <w:rFonts w:ascii="宋体" w:hAnsi="宋体" w:eastAsia="仿宋_GB2312" w:cs="宋体"/>
    </w:rPr>
  </w:style>
  <w:style w:type="paragraph" w:customStyle="1" w:styleId="2735">
    <w:name w:val="正文.5"/>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736">
    <w:name w:val="Char49"/>
    <w:basedOn w:val="1"/>
    <w:qFormat/>
    <w:uiPriority w:val="0"/>
    <w:pPr>
      <w:ind w:left="-48"/>
    </w:pPr>
    <w:rPr>
      <w:rFonts w:ascii="宋体" w:hAnsi="宋体" w:cs="宋体"/>
    </w:rPr>
  </w:style>
  <w:style w:type="character" w:customStyle="1" w:styleId="2737">
    <w:name w:val="Char Char44"/>
    <w:qFormat/>
    <w:uiPriority w:val="0"/>
    <w:rPr>
      <w:rFonts w:ascii="黑体" w:hAnsi="Arial" w:eastAsia="黑体"/>
      <w:b/>
      <w:bCs/>
      <w:kern w:val="2"/>
      <w:sz w:val="30"/>
      <w:szCs w:val="30"/>
      <w:lang w:val="en-US" w:eastAsia="zh-CN" w:bidi="ar-SA"/>
    </w:rPr>
  </w:style>
  <w:style w:type="character" w:customStyle="1" w:styleId="2738">
    <w:name w:val="Char Char33"/>
    <w:qFormat/>
    <w:uiPriority w:val="0"/>
    <w:rPr>
      <w:rFonts w:ascii="黑体" w:hAnsi="宋体" w:eastAsia="黑体"/>
      <w:b/>
      <w:bCs/>
      <w:kern w:val="2"/>
      <w:sz w:val="28"/>
      <w:szCs w:val="28"/>
      <w:lang w:val="en-US" w:eastAsia="zh-CN" w:bidi="ar-SA"/>
    </w:rPr>
  </w:style>
  <w:style w:type="character" w:customStyle="1" w:styleId="2739">
    <w:name w:val="标题 2 Char Char2"/>
    <w:qFormat/>
    <w:uiPriority w:val="0"/>
    <w:rPr>
      <w:rFonts w:ascii="黑体" w:hAnsi="Arial" w:eastAsia="黑体"/>
      <w:b/>
      <w:bCs/>
      <w:kern w:val="2"/>
      <w:sz w:val="30"/>
      <w:szCs w:val="30"/>
      <w:lang w:val="en-US" w:eastAsia="zh-CN" w:bidi="ar-SA"/>
    </w:rPr>
  </w:style>
  <w:style w:type="character" w:customStyle="1" w:styleId="2740">
    <w:name w:val="标题 3 Char Char12"/>
    <w:qFormat/>
    <w:uiPriority w:val="0"/>
    <w:rPr>
      <w:rFonts w:ascii="黑体" w:hAnsi="宋体" w:eastAsia="黑体"/>
      <w:b/>
      <w:bCs/>
      <w:kern w:val="2"/>
      <w:sz w:val="28"/>
      <w:szCs w:val="28"/>
      <w:lang w:val="en-US" w:eastAsia="zh-CN" w:bidi="ar-SA"/>
    </w:rPr>
  </w:style>
  <w:style w:type="paragraph" w:customStyle="1" w:styleId="2741">
    <w:name w:val="首行缩进:  0.99 厘米 + 首行缩进:  2 字符4"/>
    <w:basedOn w:val="1"/>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paragraph" w:customStyle="1" w:styleId="2742">
    <w:name w:val="图表名称4"/>
    <w:basedOn w:val="86"/>
    <w:qFormat/>
    <w:uiPriority w:val="0"/>
    <w:pPr>
      <w:adjustRightInd w:val="0"/>
      <w:snapToGrid w:val="0"/>
      <w:spacing w:after="0" w:line="480" w:lineRule="exact"/>
      <w:ind w:firstLine="0" w:firstLineChars="0"/>
      <w:jc w:val="center"/>
    </w:pPr>
    <w:rPr>
      <w:bCs/>
      <w:kern w:val="2"/>
      <w:sz w:val="24"/>
    </w:rPr>
  </w:style>
  <w:style w:type="paragraph" w:customStyle="1" w:styleId="2743">
    <w:name w:val="表内文字边4"/>
    <w:basedOn w:val="1"/>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2744">
    <w:name w:val="正文缩4"/>
    <w:basedOn w:val="1"/>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2745">
    <w:name w:val="样式24"/>
    <w:basedOn w:val="1"/>
    <w:qFormat/>
    <w:uiPriority w:val="0"/>
    <w:pPr>
      <w:adjustRightInd w:val="0"/>
      <w:spacing w:line="360" w:lineRule="auto"/>
      <w:jc w:val="center"/>
      <w:textAlignment w:val="baseline"/>
      <w:outlineLvl w:val="0"/>
    </w:pPr>
    <w:rPr>
      <w:rFonts w:ascii="宋体" w:hAnsi="宋体" w:cs="宋体"/>
      <w:kern w:val="0"/>
    </w:rPr>
  </w:style>
  <w:style w:type="character" w:customStyle="1" w:styleId="2746">
    <w:name w:val="样式 黑色1"/>
    <w:qFormat/>
    <w:uiPriority w:val="0"/>
    <w:rPr>
      <w:rFonts w:eastAsia="宋体"/>
      <w:color w:val="auto"/>
      <w:kern w:val="2"/>
      <w:sz w:val="24"/>
      <w:szCs w:val="24"/>
      <w:lang w:val="en-US" w:eastAsia="zh-CN" w:bidi="ar-SA"/>
    </w:rPr>
  </w:style>
  <w:style w:type="paragraph" w:customStyle="1" w:styleId="2747">
    <w:name w:val="默认段落字体 Para Char Char Char Char Char4"/>
    <w:basedOn w:val="1"/>
    <w:qFormat/>
    <w:uiPriority w:val="0"/>
    <w:rPr>
      <w:rFonts w:ascii="宋体" w:hAnsi="宋体" w:cs="宋体"/>
    </w:rPr>
  </w:style>
  <w:style w:type="paragraph" w:customStyle="1" w:styleId="2748">
    <w:name w:val="表内宋5中6"/>
    <w:basedOn w:val="1"/>
    <w:qFormat/>
    <w:uiPriority w:val="0"/>
    <w:pPr>
      <w:adjustRightInd w:val="0"/>
      <w:snapToGrid w:val="0"/>
      <w:textAlignment w:val="baseline"/>
    </w:pPr>
    <w:rPr>
      <w:rFonts w:ascii="宋体" w:hAnsi="宋体" w:cs="宋体"/>
      <w:color w:val="000000"/>
      <w:kern w:val="0"/>
    </w:rPr>
  </w:style>
  <w:style w:type="paragraph" w:customStyle="1" w:styleId="2749">
    <w:name w:val="样式 标题 3 + 段前: 12 磅4"/>
    <w:basedOn w:val="7"/>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2750">
    <w:name w:val="表内文字小6"/>
    <w:basedOn w:val="1"/>
    <w:qFormat/>
    <w:uiPriority w:val="0"/>
    <w:pPr>
      <w:adjustRightInd w:val="0"/>
      <w:snapToGrid w:val="0"/>
      <w:jc w:val="center"/>
    </w:pPr>
    <w:rPr>
      <w:rFonts w:ascii="宋体" w:hAnsi="Times" w:cs="宋体"/>
    </w:rPr>
  </w:style>
  <w:style w:type="paragraph" w:customStyle="1" w:styleId="2751">
    <w:name w:val="表内56"/>
    <w:basedOn w:val="1"/>
    <w:qFormat/>
    <w:uiPriority w:val="0"/>
    <w:pPr>
      <w:adjustRightInd w:val="0"/>
      <w:snapToGrid w:val="0"/>
      <w:spacing w:line="300" w:lineRule="auto"/>
      <w:jc w:val="left"/>
    </w:pPr>
    <w:rPr>
      <w:rFonts w:ascii="宋体" w:hAnsi="宋体" w:cs="宋体"/>
      <w:sz w:val="18"/>
    </w:rPr>
  </w:style>
  <w:style w:type="paragraph" w:customStyle="1" w:styleId="2752">
    <w:name w:val="Char Char Char Char1 Char Char Char7"/>
    <w:basedOn w:val="1"/>
    <w:qFormat/>
    <w:uiPriority w:val="0"/>
    <w:pPr>
      <w:widowControl/>
      <w:spacing w:after="160"/>
      <w:jc w:val="left"/>
    </w:pPr>
    <w:rPr>
      <w:rFonts w:ascii="Verdana" w:hAnsi="Verdana" w:cs="宋体"/>
      <w:kern w:val="0"/>
      <w:sz w:val="24"/>
      <w:lang w:eastAsia="en-US"/>
    </w:rPr>
  </w:style>
  <w:style w:type="paragraph" w:customStyle="1" w:styleId="2753">
    <w:name w:val="正文格式17"/>
    <w:basedOn w:val="1"/>
    <w:qFormat/>
    <w:uiPriority w:val="0"/>
    <w:pPr>
      <w:spacing w:line="360" w:lineRule="auto"/>
      <w:ind w:firstLine="482"/>
    </w:pPr>
    <w:rPr>
      <w:rFonts w:ascii="宋体" w:hAnsi="宋体" w:cs="宋体"/>
      <w:sz w:val="24"/>
    </w:rPr>
  </w:style>
  <w:style w:type="paragraph" w:customStyle="1" w:styleId="2754">
    <w:name w:val="图题15"/>
    <w:basedOn w:val="315"/>
    <w:next w:val="315"/>
    <w:qFormat/>
    <w:uiPriority w:val="0"/>
    <w:pPr>
      <w:ind w:firstLine="0"/>
      <w:jc w:val="center"/>
    </w:pPr>
    <w:rPr>
      <w:rFonts w:ascii="黑体" w:hAnsi="宋体" w:eastAsia="黑体"/>
      <w:bCs/>
      <w:spacing w:val="0"/>
    </w:rPr>
  </w:style>
  <w:style w:type="paragraph" w:customStyle="1" w:styleId="2755">
    <w:name w:val="表格内字体16"/>
    <w:basedOn w:val="315"/>
    <w:next w:val="315"/>
    <w:qFormat/>
    <w:uiPriority w:val="0"/>
    <w:pPr>
      <w:spacing w:line="240" w:lineRule="auto"/>
      <w:ind w:firstLine="0"/>
      <w:jc w:val="center"/>
    </w:pPr>
    <w:rPr>
      <w:rFonts w:hAnsi="宋体"/>
      <w:b w:val="0"/>
      <w:spacing w:val="0"/>
      <w:sz w:val="21"/>
    </w:rPr>
  </w:style>
  <w:style w:type="character" w:customStyle="1" w:styleId="2756">
    <w:name w:val="表格内字体 Char12"/>
    <w:qFormat/>
    <w:uiPriority w:val="0"/>
    <w:rPr>
      <w:rFonts w:ascii="宋体" w:hAnsi="宋体" w:eastAsia="宋体"/>
      <w:kern w:val="2"/>
      <w:sz w:val="21"/>
      <w:szCs w:val="24"/>
      <w:lang w:val="en-US" w:eastAsia="zh-CN" w:bidi="ar-SA"/>
    </w:rPr>
  </w:style>
  <w:style w:type="character" w:customStyle="1" w:styleId="2757">
    <w:name w:val="正文格式 Char14"/>
    <w:qFormat/>
    <w:uiPriority w:val="0"/>
    <w:rPr>
      <w:rFonts w:ascii="宋体" w:hAnsi="宋体" w:eastAsia="宋体"/>
      <w:kern w:val="2"/>
      <w:sz w:val="24"/>
      <w:szCs w:val="24"/>
      <w:lang w:val="en-US" w:eastAsia="zh-CN" w:bidi="ar-SA"/>
    </w:rPr>
  </w:style>
  <w:style w:type="character" w:customStyle="1" w:styleId="2758">
    <w:name w:val="Char Char117"/>
    <w:qFormat/>
    <w:uiPriority w:val="0"/>
    <w:rPr>
      <w:rFonts w:ascii="黑体" w:hAnsi="Arial" w:eastAsia="黑体"/>
      <w:bCs/>
      <w:kern w:val="2"/>
      <w:sz w:val="30"/>
      <w:szCs w:val="30"/>
      <w:lang w:val="en-US" w:eastAsia="zh-CN" w:bidi="ar-SA"/>
    </w:rPr>
  </w:style>
  <w:style w:type="character" w:customStyle="1" w:styleId="2759">
    <w:name w:val="Char Char53"/>
    <w:qFormat/>
    <w:uiPriority w:val="0"/>
    <w:rPr>
      <w:rFonts w:ascii="黑体" w:hAnsi="宋体" w:eastAsia="黑体"/>
      <w:bCs/>
      <w:kern w:val="2"/>
      <w:sz w:val="28"/>
      <w:szCs w:val="28"/>
      <w:lang w:val="en-US" w:eastAsia="zh-CN" w:bidi="ar-SA"/>
    </w:rPr>
  </w:style>
  <w:style w:type="paragraph" w:customStyle="1" w:styleId="2760">
    <w:name w:val="Char117"/>
    <w:basedOn w:val="1"/>
    <w:qFormat/>
    <w:uiPriority w:val="0"/>
    <w:pPr>
      <w:ind w:left="-48"/>
    </w:pPr>
    <w:rPr>
      <w:rFonts w:ascii="宋体" w:hAnsi="宋体" w:cs="宋体"/>
    </w:rPr>
  </w:style>
  <w:style w:type="character" w:customStyle="1" w:styleId="2761">
    <w:name w:val="正文缩进 Char14"/>
    <w:qFormat/>
    <w:uiPriority w:val="0"/>
    <w:rPr>
      <w:rFonts w:ascii="宋体" w:hAnsi="宋体" w:eastAsia="宋体" w:cs="宋体"/>
      <w:color w:val="000000"/>
      <w:kern w:val="2"/>
      <w:sz w:val="24"/>
      <w:szCs w:val="24"/>
      <w:lang w:val="en-US" w:eastAsia="zh-CN" w:bidi="ar-SA"/>
    </w:rPr>
  </w:style>
  <w:style w:type="character" w:customStyle="1" w:styleId="2762">
    <w:name w:val="正文格式 Char21"/>
    <w:qFormat/>
    <w:uiPriority w:val="0"/>
    <w:rPr>
      <w:rFonts w:ascii="宋体" w:hAnsi="宋体" w:eastAsia="宋体"/>
      <w:kern w:val="2"/>
      <w:sz w:val="24"/>
      <w:szCs w:val="24"/>
      <w:lang w:val="en-US" w:eastAsia="zh-CN" w:bidi="ar-SA"/>
    </w:rPr>
  </w:style>
  <w:style w:type="paragraph" w:customStyle="1" w:styleId="2763">
    <w:name w:val="Char118"/>
    <w:basedOn w:val="1"/>
    <w:qFormat/>
    <w:uiPriority w:val="0"/>
    <w:pPr>
      <w:adjustRightInd w:val="0"/>
      <w:snapToGrid w:val="0"/>
      <w:spacing w:beforeLines="50" w:line="360" w:lineRule="auto"/>
    </w:pPr>
    <w:rPr>
      <w:rFonts w:ascii="黑体" w:hAnsi="宋体" w:eastAsia="黑体" w:cs="宋体"/>
      <w:sz w:val="32"/>
      <w:szCs w:val="32"/>
    </w:rPr>
  </w:style>
  <w:style w:type="character" w:customStyle="1" w:styleId="2764">
    <w:name w:val="标题 2 Char Char11"/>
    <w:qFormat/>
    <w:uiPriority w:val="0"/>
    <w:rPr>
      <w:rFonts w:ascii="黑体" w:hAnsi="Arial" w:eastAsia="黑体"/>
      <w:bCs/>
      <w:kern w:val="2"/>
      <w:sz w:val="30"/>
      <w:szCs w:val="30"/>
      <w:lang w:val="en-US" w:eastAsia="zh-CN" w:bidi="ar-SA"/>
    </w:rPr>
  </w:style>
  <w:style w:type="character" w:customStyle="1" w:styleId="2765">
    <w:name w:val="标题 3 Char Char111"/>
    <w:qFormat/>
    <w:uiPriority w:val="0"/>
    <w:rPr>
      <w:rFonts w:ascii="黑体" w:hAnsi="宋体" w:eastAsia="黑体"/>
      <w:bCs/>
      <w:kern w:val="2"/>
      <w:sz w:val="28"/>
      <w:szCs w:val="28"/>
      <w:lang w:val="en-US" w:eastAsia="zh-CN" w:bidi="ar-SA"/>
    </w:rPr>
  </w:style>
  <w:style w:type="character" w:customStyle="1" w:styleId="2766">
    <w:name w:val="题注 Char14"/>
    <w:qFormat/>
    <w:uiPriority w:val="0"/>
    <w:rPr>
      <w:rFonts w:ascii="黑体" w:hAnsi="Arial" w:eastAsia="黑体" w:cs="Arial"/>
      <w:spacing w:val="10"/>
      <w:kern w:val="2"/>
      <w:sz w:val="24"/>
      <w:szCs w:val="24"/>
      <w:lang w:val="en-US" w:eastAsia="zh-CN" w:bidi="ar-SA"/>
    </w:rPr>
  </w:style>
  <w:style w:type="character" w:customStyle="1" w:styleId="2767">
    <w:name w:val="表格内字体 Char21"/>
    <w:qFormat/>
    <w:uiPriority w:val="0"/>
    <w:rPr>
      <w:rFonts w:ascii="宋体" w:hAnsi="宋体" w:eastAsia="宋体"/>
      <w:kern w:val="2"/>
      <w:sz w:val="21"/>
      <w:szCs w:val="24"/>
      <w:lang w:val="en-US" w:eastAsia="zh-CN" w:bidi="ar-SA"/>
    </w:rPr>
  </w:style>
  <w:style w:type="character" w:customStyle="1" w:styleId="2768">
    <w:name w:val="正文缩进 Char21"/>
    <w:qFormat/>
    <w:uiPriority w:val="0"/>
    <w:rPr>
      <w:rFonts w:ascii="宋体" w:hAnsi="宋体" w:eastAsia="宋体" w:cs="宋体"/>
      <w:color w:val="000000"/>
      <w:kern w:val="2"/>
      <w:sz w:val="24"/>
      <w:szCs w:val="24"/>
      <w:lang w:val="en-US" w:eastAsia="zh-CN" w:bidi="ar-SA"/>
    </w:rPr>
  </w:style>
  <w:style w:type="paragraph" w:customStyle="1" w:styleId="2769">
    <w:name w:val="表内54114"/>
    <w:basedOn w:val="1"/>
    <w:qFormat/>
    <w:uiPriority w:val="0"/>
    <w:pPr>
      <w:adjustRightInd w:val="0"/>
      <w:snapToGrid w:val="0"/>
      <w:spacing w:line="300" w:lineRule="auto"/>
      <w:jc w:val="center"/>
    </w:pPr>
    <w:rPr>
      <w:rFonts w:ascii="宋体" w:hAnsi="宋体" w:cs="宋体"/>
    </w:rPr>
  </w:style>
  <w:style w:type="paragraph" w:customStyle="1" w:styleId="2770">
    <w:name w:val="表内文字小2114"/>
    <w:basedOn w:val="1"/>
    <w:qFormat/>
    <w:uiPriority w:val="0"/>
    <w:pPr>
      <w:adjustRightInd w:val="0"/>
      <w:snapToGrid w:val="0"/>
      <w:jc w:val="center"/>
    </w:pPr>
    <w:rPr>
      <w:rFonts w:ascii="宋体" w:hAnsi="Times" w:cs="宋体"/>
      <w:bCs/>
      <w:color w:val="000000"/>
    </w:rPr>
  </w:style>
  <w:style w:type="paragraph" w:customStyle="1" w:styleId="2771">
    <w:name w:val="表题3114"/>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772">
    <w:name w:val="Char Char Char Char Char Char Char110"/>
    <w:basedOn w:val="1"/>
    <w:qFormat/>
    <w:uiPriority w:val="0"/>
    <w:rPr>
      <w:rFonts w:ascii="宋体" w:hAnsi="宋体" w:cs="宋体"/>
    </w:rPr>
  </w:style>
  <w:style w:type="paragraph" w:customStyle="1" w:styleId="2773">
    <w:name w:val="标题43114"/>
    <w:basedOn w:val="1"/>
    <w:qFormat/>
    <w:uiPriority w:val="0"/>
    <w:pPr>
      <w:adjustRightInd w:val="0"/>
      <w:snapToGrid w:val="0"/>
      <w:spacing w:line="480" w:lineRule="exact"/>
      <w:jc w:val="center"/>
    </w:pPr>
    <w:rPr>
      <w:rFonts w:ascii="宋体" w:hAnsi="宋体" w:cs="宋体"/>
      <w:sz w:val="24"/>
    </w:rPr>
  </w:style>
  <w:style w:type="paragraph" w:customStyle="1" w:styleId="2774">
    <w:name w:val="燕山正文1114"/>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775">
    <w:name w:val="默认段落字体 Para Char Char Char Char14"/>
    <w:basedOn w:val="1"/>
    <w:qFormat/>
    <w:uiPriority w:val="0"/>
    <w:rPr>
      <w:rFonts w:ascii="宋体" w:hAnsi="宋体" w:cs="宋体"/>
    </w:rPr>
  </w:style>
  <w:style w:type="paragraph" w:customStyle="1" w:styleId="2776">
    <w:name w:val="附件14"/>
    <w:basedOn w:val="4"/>
    <w:next w:val="315"/>
    <w:qFormat/>
    <w:uiPriority w:val="0"/>
    <w:pPr>
      <w:keepLines/>
      <w:widowControl w:val="0"/>
      <w:numPr>
        <w:numId w:val="0"/>
      </w:numPr>
      <w:tabs>
        <w:tab w:val="left" w:pos="1566"/>
      </w:tabs>
      <w:spacing w:after="210"/>
    </w:pPr>
    <w:rPr>
      <w:rFonts w:ascii="黑体" w:eastAsia="黑体"/>
      <w:bCs/>
      <w:kern w:val="44"/>
      <w:szCs w:val="32"/>
    </w:rPr>
  </w:style>
  <w:style w:type="paragraph" w:customStyle="1" w:styleId="2777">
    <w:name w:val="黑体三号14"/>
    <w:basedOn w:val="315"/>
    <w:qFormat/>
    <w:uiPriority w:val="0"/>
    <w:pPr>
      <w:jc w:val="center"/>
    </w:pPr>
    <w:rPr>
      <w:rFonts w:ascii="黑体" w:hAnsi="宋体" w:eastAsia="黑体"/>
      <w:bCs/>
      <w:spacing w:val="0"/>
      <w:sz w:val="32"/>
    </w:rPr>
  </w:style>
  <w:style w:type="paragraph" w:customStyle="1" w:styleId="2778">
    <w:name w:val="表14"/>
    <w:basedOn w:val="1"/>
    <w:qFormat/>
    <w:uiPriority w:val="0"/>
    <w:pPr>
      <w:adjustRightInd w:val="0"/>
      <w:snapToGrid w:val="0"/>
      <w:jc w:val="center"/>
    </w:pPr>
    <w:rPr>
      <w:rFonts w:ascii="宋体" w:hAnsi="宋体" w:eastAsia="仿宋_GB2312" w:cs="宋体"/>
      <w:sz w:val="24"/>
    </w:rPr>
  </w:style>
  <w:style w:type="character" w:customStyle="1" w:styleId="2779">
    <w:name w:val="Char Char213"/>
    <w:qFormat/>
    <w:uiPriority w:val="0"/>
    <w:rPr>
      <w:rFonts w:ascii="黑体" w:eastAsia="宋体"/>
      <w:kern w:val="2"/>
      <w:sz w:val="16"/>
      <w:szCs w:val="16"/>
      <w:lang w:val="en-US" w:eastAsia="zh-CN" w:bidi="ar-SA"/>
    </w:rPr>
  </w:style>
  <w:style w:type="character" w:customStyle="1" w:styleId="2780">
    <w:name w:val="Char Char123"/>
    <w:qFormat/>
    <w:uiPriority w:val="0"/>
    <w:rPr>
      <w:rFonts w:ascii="黑体" w:hAnsi="Arial" w:eastAsia="黑体"/>
      <w:b/>
      <w:bCs/>
      <w:kern w:val="2"/>
      <w:sz w:val="30"/>
      <w:szCs w:val="30"/>
      <w:lang w:val="en-US" w:eastAsia="zh-CN" w:bidi="ar-SA"/>
    </w:rPr>
  </w:style>
  <w:style w:type="character" w:customStyle="1" w:styleId="2781">
    <w:name w:val="Char Char68"/>
    <w:qFormat/>
    <w:uiPriority w:val="0"/>
    <w:rPr>
      <w:rFonts w:ascii="黑体" w:eastAsia="黑体"/>
      <w:b/>
      <w:bCs/>
      <w:kern w:val="2"/>
      <w:sz w:val="28"/>
      <w:szCs w:val="28"/>
      <w:lang w:val="en-US" w:eastAsia="zh-CN" w:bidi="ar-SA"/>
    </w:rPr>
  </w:style>
  <w:style w:type="paragraph" w:customStyle="1" w:styleId="2782">
    <w:name w:val="燕山正文16"/>
    <w:basedOn w:val="1"/>
    <w:qFormat/>
    <w:uiPriority w:val="0"/>
    <w:pPr>
      <w:tabs>
        <w:tab w:val="left" w:pos="4680"/>
      </w:tabs>
      <w:adjustRightInd w:val="0"/>
      <w:snapToGrid w:val="0"/>
      <w:spacing w:line="480" w:lineRule="exact"/>
    </w:pPr>
    <w:rPr>
      <w:rFonts w:ascii="宋体" w:hAnsi="宋体" w:cs="宋体"/>
      <w:sz w:val="24"/>
    </w:rPr>
  </w:style>
  <w:style w:type="character" w:customStyle="1" w:styleId="2783">
    <w:name w:val="燕山正文 Char111"/>
    <w:qFormat/>
    <w:uiPriority w:val="0"/>
    <w:rPr>
      <w:rFonts w:ascii="宋体" w:eastAsia="宋体" w:cs="宋体"/>
      <w:kern w:val="2"/>
      <w:sz w:val="24"/>
      <w:szCs w:val="24"/>
      <w:lang w:val="en-US" w:eastAsia="zh-CN" w:bidi="ar-SA"/>
    </w:rPr>
  </w:style>
  <w:style w:type="paragraph" w:customStyle="1" w:styleId="2784">
    <w:name w:val="正文修改14"/>
    <w:basedOn w:val="1180"/>
    <w:qFormat/>
    <w:uiPriority w:val="0"/>
    <w:rPr>
      <w:rFonts w:hAnsi="宋体"/>
      <w:color w:val="000000"/>
    </w:rPr>
  </w:style>
  <w:style w:type="character" w:customStyle="1" w:styleId="2785">
    <w:name w:val="正文修改 Char114"/>
    <w:qFormat/>
    <w:uiPriority w:val="0"/>
    <w:rPr>
      <w:rFonts w:ascii="宋体" w:hAnsi="宋体" w:eastAsia="宋体" w:cs="宋体"/>
      <w:color w:val="000000"/>
      <w:kern w:val="2"/>
      <w:sz w:val="24"/>
      <w:szCs w:val="24"/>
      <w:lang w:val="en-US" w:eastAsia="zh-CN" w:bidi="ar-SA"/>
    </w:rPr>
  </w:style>
  <w:style w:type="character" w:customStyle="1" w:styleId="2786">
    <w:name w:val="表中文字 Char211"/>
    <w:qFormat/>
    <w:uiPriority w:val="0"/>
    <w:rPr>
      <w:rFonts w:ascii="宋体" w:eastAsia="宋体"/>
      <w:kern w:val="2"/>
      <w:sz w:val="21"/>
      <w:szCs w:val="21"/>
      <w:lang w:val="en-US" w:eastAsia="zh-CN" w:bidi="ar-SA"/>
    </w:rPr>
  </w:style>
  <w:style w:type="paragraph" w:customStyle="1" w:styleId="2787">
    <w:name w:val="表内文字小3114"/>
    <w:basedOn w:val="1"/>
    <w:qFormat/>
    <w:uiPriority w:val="0"/>
    <w:pPr>
      <w:adjustRightInd w:val="0"/>
      <w:snapToGrid w:val="0"/>
      <w:jc w:val="center"/>
    </w:pPr>
    <w:rPr>
      <w:rFonts w:ascii="宋体" w:hAnsi="Times" w:cs="宋体"/>
      <w:bCs/>
      <w:color w:val="003366"/>
    </w:rPr>
  </w:style>
  <w:style w:type="paragraph" w:customStyle="1" w:styleId="2788">
    <w:name w:val="样式114"/>
    <w:basedOn w:val="1227"/>
    <w:qFormat/>
    <w:uiPriority w:val="0"/>
    <w:pPr>
      <w:spacing w:line="240" w:lineRule="auto"/>
      <w:ind w:firstLine="0"/>
      <w:jc w:val="center"/>
    </w:pPr>
    <w:rPr>
      <w:rFonts w:cs="Times New Roman"/>
      <w:b/>
      <w:color w:val="auto"/>
      <w:szCs w:val="20"/>
    </w:rPr>
  </w:style>
  <w:style w:type="paragraph" w:customStyle="1" w:styleId="2789">
    <w:name w:val="Char213"/>
    <w:basedOn w:val="1"/>
    <w:qFormat/>
    <w:uiPriority w:val="0"/>
    <w:pPr>
      <w:ind w:left="-48"/>
    </w:pPr>
    <w:rPr>
      <w:rFonts w:ascii="宋体" w:hAnsi="宋体" w:cs="宋体"/>
    </w:rPr>
  </w:style>
  <w:style w:type="paragraph" w:customStyle="1" w:styleId="2790">
    <w:name w:val="正文格式34"/>
    <w:basedOn w:val="1"/>
    <w:qFormat/>
    <w:uiPriority w:val="0"/>
    <w:pPr>
      <w:spacing w:line="360" w:lineRule="auto"/>
      <w:ind w:firstLine="482"/>
    </w:pPr>
    <w:rPr>
      <w:rFonts w:ascii="宋体" w:hAnsi="宋体" w:cs="宋体"/>
      <w:sz w:val="24"/>
    </w:rPr>
  </w:style>
  <w:style w:type="character" w:customStyle="1" w:styleId="2791">
    <w:name w:val="正文格式 Char31"/>
    <w:qFormat/>
    <w:uiPriority w:val="0"/>
    <w:rPr>
      <w:rFonts w:ascii="宋体" w:hAnsi="宋体" w:eastAsia="宋体"/>
      <w:kern w:val="2"/>
      <w:sz w:val="24"/>
      <w:szCs w:val="24"/>
      <w:lang w:val="en-US" w:eastAsia="zh-CN" w:bidi="ar-SA"/>
    </w:rPr>
  </w:style>
  <w:style w:type="paragraph" w:customStyle="1" w:styleId="2792">
    <w:name w:val="Char214"/>
    <w:basedOn w:val="1"/>
    <w:qFormat/>
    <w:uiPriority w:val="0"/>
    <w:pPr>
      <w:adjustRightInd w:val="0"/>
      <w:snapToGrid w:val="0"/>
      <w:spacing w:beforeLines="50" w:line="360" w:lineRule="auto"/>
    </w:pPr>
    <w:rPr>
      <w:rFonts w:ascii="黑体" w:hAnsi="宋体" w:eastAsia="黑体" w:cs="宋体"/>
      <w:sz w:val="32"/>
      <w:szCs w:val="32"/>
    </w:rPr>
  </w:style>
  <w:style w:type="character" w:customStyle="1" w:styleId="2793">
    <w:name w:val="标题 2 Char11"/>
    <w:qFormat/>
    <w:uiPriority w:val="0"/>
    <w:rPr>
      <w:rFonts w:hAnsi="Arial" w:eastAsia="宋体"/>
      <w:bCs/>
      <w:kern w:val="2"/>
      <w:sz w:val="30"/>
      <w:szCs w:val="30"/>
      <w:lang w:val="en-US" w:eastAsia="zh-CN" w:bidi="ar-SA"/>
    </w:rPr>
  </w:style>
  <w:style w:type="character" w:customStyle="1" w:styleId="2794">
    <w:name w:val="标题 3 Char15"/>
    <w:qFormat/>
    <w:uiPriority w:val="0"/>
    <w:rPr>
      <w:rFonts w:hAnsi="宋体" w:eastAsia="宋体"/>
      <w:bCs/>
      <w:kern w:val="2"/>
      <w:sz w:val="28"/>
      <w:szCs w:val="28"/>
      <w:lang w:val="en-US" w:eastAsia="zh-CN" w:bidi="ar-SA"/>
    </w:rPr>
  </w:style>
  <w:style w:type="character" w:customStyle="1" w:styleId="2795">
    <w:name w:val="题注 Char24"/>
    <w:qFormat/>
    <w:uiPriority w:val="0"/>
    <w:rPr>
      <w:rFonts w:ascii="黑体" w:hAnsi="Arial" w:eastAsia="黑体" w:cs="Arial"/>
      <w:spacing w:val="10"/>
      <w:kern w:val="2"/>
      <w:sz w:val="24"/>
      <w:szCs w:val="24"/>
      <w:lang w:val="en-US" w:eastAsia="zh-CN" w:bidi="ar-SA"/>
    </w:rPr>
  </w:style>
  <w:style w:type="paragraph" w:customStyle="1" w:styleId="2796">
    <w:name w:val="图题34"/>
    <w:basedOn w:val="315"/>
    <w:next w:val="315"/>
    <w:qFormat/>
    <w:uiPriority w:val="0"/>
    <w:pPr>
      <w:ind w:firstLine="0"/>
      <w:jc w:val="center"/>
    </w:pPr>
    <w:rPr>
      <w:rFonts w:ascii="黑体" w:hAnsi="宋体" w:eastAsia="黑体"/>
      <w:bCs/>
      <w:spacing w:val="0"/>
    </w:rPr>
  </w:style>
  <w:style w:type="paragraph" w:customStyle="1" w:styleId="2797">
    <w:name w:val="表格内字体34"/>
    <w:basedOn w:val="315"/>
    <w:next w:val="315"/>
    <w:qFormat/>
    <w:uiPriority w:val="0"/>
    <w:pPr>
      <w:spacing w:line="240" w:lineRule="auto"/>
      <w:ind w:firstLine="0"/>
      <w:jc w:val="center"/>
    </w:pPr>
    <w:rPr>
      <w:rFonts w:hAnsi="宋体"/>
      <w:b w:val="0"/>
      <w:spacing w:val="0"/>
      <w:sz w:val="21"/>
    </w:rPr>
  </w:style>
  <w:style w:type="character" w:customStyle="1" w:styleId="2798">
    <w:name w:val="表格内字体 Char31"/>
    <w:qFormat/>
    <w:uiPriority w:val="0"/>
    <w:rPr>
      <w:rFonts w:ascii="宋体" w:hAnsi="宋体" w:eastAsia="宋体"/>
      <w:kern w:val="2"/>
      <w:sz w:val="21"/>
      <w:szCs w:val="24"/>
      <w:lang w:val="en-US" w:eastAsia="zh-CN" w:bidi="ar-SA"/>
    </w:rPr>
  </w:style>
  <w:style w:type="character" w:customStyle="1" w:styleId="2799">
    <w:name w:val="正文缩进 Char41"/>
    <w:qFormat/>
    <w:uiPriority w:val="0"/>
    <w:rPr>
      <w:rFonts w:ascii="宋体" w:hAnsi="宋体" w:eastAsia="宋体" w:cs="宋体"/>
      <w:color w:val="000000"/>
      <w:kern w:val="2"/>
      <w:sz w:val="24"/>
      <w:szCs w:val="24"/>
      <w:lang w:val="en-US" w:eastAsia="zh-CN" w:bidi="ar-SA"/>
    </w:rPr>
  </w:style>
  <w:style w:type="paragraph" w:customStyle="1" w:styleId="2800">
    <w:name w:val="表内54124"/>
    <w:basedOn w:val="1"/>
    <w:qFormat/>
    <w:uiPriority w:val="0"/>
    <w:pPr>
      <w:adjustRightInd w:val="0"/>
      <w:snapToGrid w:val="0"/>
      <w:spacing w:line="300" w:lineRule="auto"/>
      <w:jc w:val="center"/>
    </w:pPr>
    <w:rPr>
      <w:rFonts w:ascii="宋体" w:hAnsi="宋体" w:cs="宋体"/>
    </w:rPr>
  </w:style>
  <w:style w:type="paragraph" w:customStyle="1" w:styleId="2801">
    <w:name w:val="表内文字小2124"/>
    <w:basedOn w:val="1"/>
    <w:qFormat/>
    <w:uiPriority w:val="0"/>
    <w:pPr>
      <w:adjustRightInd w:val="0"/>
      <w:snapToGrid w:val="0"/>
      <w:jc w:val="center"/>
    </w:pPr>
    <w:rPr>
      <w:rFonts w:ascii="宋体" w:hAnsi="Times" w:cs="宋体"/>
      <w:bCs/>
      <w:color w:val="000000"/>
    </w:rPr>
  </w:style>
  <w:style w:type="paragraph" w:customStyle="1" w:styleId="2802">
    <w:name w:val="表题3124"/>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803">
    <w:name w:val="标题43124"/>
    <w:basedOn w:val="1"/>
    <w:qFormat/>
    <w:uiPriority w:val="0"/>
    <w:pPr>
      <w:adjustRightInd w:val="0"/>
      <w:snapToGrid w:val="0"/>
      <w:spacing w:line="480" w:lineRule="exact"/>
      <w:jc w:val="center"/>
    </w:pPr>
    <w:rPr>
      <w:rFonts w:ascii="宋体" w:hAnsi="宋体" w:cs="宋体"/>
      <w:sz w:val="24"/>
    </w:rPr>
  </w:style>
  <w:style w:type="paragraph" w:customStyle="1" w:styleId="2804">
    <w:name w:val="燕山正文1124"/>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805">
    <w:name w:val="默认段落字体 Para Char Char Char Char24"/>
    <w:basedOn w:val="1"/>
    <w:qFormat/>
    <w:uiPriority w:val="0"/>
    <w:rPr>
      <w:rFonts w:ascii="宋体" w:hAnsi="宋体" w:cs="宋体"/>
    </w:rPr>
  </w:style>
  <w:style w:type="paragraph" w:customStyle="1" w:styleId="2806">
    <w:name w:val="附件24"/>
    <w:basedOn w:val="4"/>
    <w:next w:val="315"/>
    <w:qFormat/>
    <w:uiPriority w:val="0"/>
    <w:pPr>
      <w:keepLines/>
      <w:widowControl w:val="0"/>
      <w:numPr>
        <w:numId w:val="0"/>
      </w:numPr>
      <w:tabs>
        <w:tab w:val="left" w:pos="1566"/>
      </w:tabs>
      <w:spacing w:after="210"/>
    </w:pPr>
    <w:rPr>
      <w:rFonts w:ascii="黑体" w:eastAsia="黑体"/>
      <w:bCs/>
      <w:kern w:val="44"/>
      <w:szCs w:val="32"/>
    </w:rPr>
  </w:style>
  <w:style w:type="paragraph" w:customStyle="1" w:styleId="2807">
    <w:name w:val="黑体三号24"/>
    <w:basedOn w:val="315"/>
    <w:qFormat/>
    <w:uiPriority w:val="0"/>
    <w:pPr>
      <w:jc w:val="center"/>
    </w:pPr>
    <w:rPr>
      <w:rFonts w:ascii="黑体" w:hAnsi="宋体" w:eastAsia="黑体"/>
      <w:bCs/>
      <w:spacing w:val="0"/>
      <w:sz w:val="32"/>
    </w:rPr>
  </w:style>
  <w:style w:type="paragraph" w:customStyle="1" w:styleId="2808">
    <w:name w:val="表24"/>
    <w:basedOn w:val="1"/>
    <w:qFormat/>
    <w:uiPriority w:val="0"/>
    <w:pPr>
      <w:adjustRightInd w:val="0"/>
      <w:snapToGrid w:val="0"/>
      <w:jc w:val="center"/>
    </w:pPr>
    <w:rPr>
      <w:rFonts w:ascii="宋体" w:hAnsi="宋体" w:eastAsia="仿宋_GB2312" w:cs="宋体"/>
      <w:sz w:val="24"/>
    </w:rPr>
  </w:style>
  <w:style w:type="character" w:customStyle="1" w:styleId="2809">
    <w:name w:val="正文文本缩进 3 Char11"/>
    <w:qFormat/>
    <w:uiPriority w:val="0"/>
    <w:rPr>
      <w:rFonts w:eastAsia="宋体"/>
      <w:kern w:val="2"/>
      <w:sz w:val="16"/>
      <w:szCs w:val="16"/>
      <w:lang w:val="en-US" w:eastAsia="zh-CN" w:bidi="ar-SA"/>
    </w:rPr>
  </w:style>
  <w:style w:type="paragraph" w:customStyle="1" w:styleId="2810">
    <w:name w:val="表题124"/>
    <w:basedOn w:val="23"/>
    <w:qFormat/>
    <w:uiPriority w:val="0"/>
    <w:pPr>
      <w:widowControl w:val="0"/>
      <w:spacing w:line="360" w:lineRule="auto"/>
      <w:jc w:val="center"/>
    </w:pPr>
    <w:rPr>
      <w:rFonts w:ascii="黑体" w:hAnsi="Arial" w:cs="Arial"/>
      <w:kern w:val="2"/>
    </w:rPr>
  </w:style>
  <w:style w:type="character" w:customStyle="1" w:styleId="2811">
    <w:name w:val="表题1 Char21"/>
    <w:qFormat/>
    <w:uiPriority w:val="0"/>
    <w:rPr>
      <w:rFonts w:hAnsi="Arial" w:eastAsia="宋体" w:cs="Arial"/>
      <w:kern w:val="2"/>
      <w:sz w:val="24"/>
      <w:szCs w:val="24"/>
      <w:lang w:val="en-US" w:eastAsia="zh-CN" w:bidi="ar-SA"/>
    </w:rPr>
  </w:style>
  <w:style w:type="paragraph" w:customStyle="1" w:styleId="2812">
    <w:name w:val="燕山正文24"/>
    <w:basedOn w:val="1"/>
    <w:qFormat/>
    <w:uiPriority w:val="0"/>
    <w:pPr>
      <w:tabs>
        <w:tab w:val="left" w:pos="4680"/>
      </w:tabs>
      <w:adjustRightInd w:val="0"/>
      <w:snapToGrid w:val="0"/>
      <w:spacing w:line="480" w:lineRule="exact"/>
    </w:pPr>
    <w:rPr>
      <w:rFonts w:ascii="宋体" w:hAnsi="宋体" w:cs="宋体"/>
      <w:sz w:val="24"/>
    </w:rPr>
  </w:style>
  <w:style w:type="character" w:customStyle="1" w:styleId="2813">
    <w:name w:val="燕山正文 Char121"/>
    <w:qFormat/>
    <w:uiPriority w:val="0"/>
    <w:rPr>
      <w:rFonts w:ascii="宋体" w:eastAsia="宋体" w:cs="宋体"/>
      <w:kern w:val="2"/>
      <w:sz w:val="24"/>
      <w:szCs w:val="24"/>
      <w:lang w:val="en-US" w:eastAsia="zh-CN" w:bidi="ar-SA"/>
    </w:rPr>
  </w:style>
  <w:style w:type="paragraph" w:customStyle="1" w:styleId="2814">
    <w:name w:val="正文修改24"/>
    <w:basedOn w:val="1180"/>
    <w:qFormat/>
    <w:uiPriority w:val="0"/>
    <w:rPr>
      <w:rFonts w:hAnsi="宋体"/>
      <w:color w:val="000000"/>
    </w:rPr>
  </w:style>
  <w:style w:type="character" w:customStyle="1" w:styleId="2815">
    <w:name w:val="正文修改 Char124"/>
    <w:qFormat/>
    <w:uiPriority w:val="0"/>
    <w:rPr>
      <w:rFonts w:ascii="宋体" w:hAnsi="宋体" w:eastAsia="宋体" w:cs="宋体"/>
      <w:color w:val="000000"/>
      <w:kern w:val="2"/>
      <w:sz w:val="24"/>
      <w:szCs w:val="24"/>
      <w:lang w:val="en-US" w:eastAsia="zh-CN" w:bidi="ar-SA"/>
    </w:rPr>
  </w:style>
  <w:style w:type="character" w:customStyle="1" w:styleId="2816">
    <w:name w:val="标题正文黑 Char11"/>
    <w:qFormat/>
    <w:uiPriority w:val="0"/>
    <w:rPr>
      <w:rFonts w:ascii="黑体" w:eastAsia="黑体"/>
      <w:kern w:val="2"/>
      <w:sz w:val="28"/>
      <w:szCs w:val="28"/>
      <w:lang w:val="en-US" w:eastAsia="zh-CN" w:bidi="ar-SA"/>
    </w:rPr>
  </w:style>
  <w:style w:type="paragraph" w:customStyle="1" w:styleId="2817">
    <w:name w:val="表中文字24"/>
    <w:basedOn w:val="1"/>
    <w:qFormat/>
    <w:uiPriority w:val="0"/>
    <w:pPr>
      <w:widowControl/>
      <w:adjustRightInd w:val="0"/>
      <w:spacing w:line="240" w:lineRule="atLeast"/>
      <w:ind w:right="-42" w:rightChars="-20"/>
      <w:jc w:val="center"/>
      <w:textAlignment w:val="baseline"/>
    </w:pPr>
    <w:rPr>
      <w:rFonts w:ascii="宋体" w:hAnsi="宋体" w:cs="宋体"/>
      <w:kern w:val="0"/>
      <w:szCs w:val="21"/>
    </w:rPr>
  </w:style>
  <w:style w:type="character" w:customStyle="1" w:styleId="2818">
    <w:name w:val="表中文字 Char221"/>
    <w:qFormat/>
    <w:uiPriority w:val="0"/>
    <w:rPr>
      <w:rFonts w:ascii="宋体" w:eastAsia="宋体"/>
      <w:kern w:val="2"/>
      <w:sz w:val="21"/>
      <w:szCs w:val="21"/>
      <w:lang w:val="en-US" w:eastAsia="zh-CN" w:bidi="ar-SA"/>
    </w:rPr>
  </w:style>
  <w:style w:type="paragraph" w:customStyle="1" w:styleId="2819">
    <w:name w:val="表文字524"/>
    <w:basedOn w:val="1"/>
    <w:qFormat/>
    <w:uiPriority w:val="0"/>
    <w:pPr>
      <w:adjustRightInd w:val="0"/>
      <w:jc w:val="left"/>
      <w:textAlignment w:val="baseline"/>
    </w:pPr>
    <w:rPr>
      <w:rFonts w:ascii="宋体" w:hAnsi="宋体" w:cs="宋体"/>
      <w:kern w:val="0"/>
    </w:rPr>
  </w:style>
  <w:style w:type="paragraph" w:customStyle="1" w:styleId="2820">
    <w:name w:val="表内文字小3124"/>
    <w:basedOn w:val="1"/>
    <w:qFormat/>
    <w:uiPriority w:val="0"/>
    <w:pPr>
      <w:adjustRightInd w:val="0"/>
      <w:snapToGrid w:val="0"/>
      <w:jc w:val="center"/>
    </w:pPr>
    <w:rPr>
      <w:rFonts w:ascii="宋体" w:hAnsi="Times" w:cs="宋体"/>
      <w:bCs/>
      <w:color w:val="003366"/>
    </w:rPr>
  </w:style>
  <w:style w:type="paragraph" w:customStyle="1" w:styleId="2821">
    <w:name w:val="样式124"/>
    <w:basedOn w:val="1227"/>
    <w:qFormat/>
    <w:uiPriority w:val="0"/>
    <w:pPr>
      <w:spacing w:line="240" w:lineRule="auto"/>
      <w:ind w:firstLine="0"/>
      <w:jc w:val="center"/>
    </w:pPr>
    <w:rPr>
      <w:rFonts w:cs="Times New Roman"/>
      <w:b/>
      <w:color w:val="auto"/>
      <w:szCs w:val="20"/>
    </w:rPr>
  </w:style>
  <w:style w:type="character" w:customStyle="1" w:styleId="2822">
    <w:name w:val="样式 表内小5 + 黑体 加粗 倾斜 下划线 Char511"/>
    <w:qFormat/>
    <w:uiPriority w:val="0"/>
    <w:rPr>
      <w:rFonts w:ascii="黑体" w:hAnsi="黑体" w:eastAsia="黑体"/>
      <w:b/>
      <w:bCs/>
      <w:i/>
      <w:iCs/>
      <w:kern w:val="2"/>
      <w:sz w:val="18"/>
      <w:szCs w:val="24"/>
      <w:u w:val="single"/>
      <w:lang w:val="en-US" w:eastAsia="zh-CN" w:bidi="ar-SA"/>
    </w:rPr>
  </w:style>
  <w:style w:type="character" w:customStyle="1" w:styleId="2823">
    <w:name w:val="标题2 Char21"/>
    <w:qFormat/>
    <w:uiPriority w:val="0"/>
    <w:rPr>
      <w:rFonts w:ascii="宋体" w:hAnsi="宋体" w:eastAsia="宋体" w:cs="宋体"/>
      <w:color w:val="000000"/>
      <w:kern w:val="2"/>
      <w:sz w:val="24"/>
      <w:szCs w:val="24"/>
      <w:lang w:val="en-US" w:eastAsia="zh-CN" w:bidi="ar-SA"/>
    </w:rPr>
  </w:style>
  <w:style w:type="paragraph" w:customStyle="1" w:styleId="2824">
    <w:name w:val="Char310"/>
    <w:basedOn w:val="1"/>
    <w:qFormat/>
    <w:uiPriority w:val="0"/>
    <w:pPr>
      <w:ind w:left="-48"/>
    </w:pPr>
    <w:rPr>
      <w:rFonts w:ascii="宋体" w:hAnsi="宋体" w:cs="宋体"/>
    </w:rPr>
  </w:style>
  <w:style w:type="paragraph" w:customStyle="1" w:styleId="2825">
    <w:name w:val="表内文字小224"/>
    <w:basedOn w:val="1"/>
    <w:qFormat/>
    <w:uiPriority w:val="0"/>
    <w:pPr>
      <w:adjustRightInd w:val="0"/>
      <w:snapToGrid w:val="0"/>
      <w:jc w:val="center"/>
    </w:pPr>
    <w:rPr>
      <w:rFonts w:ascii="宋体" w:hAnsi="Times" w:cs="宋体"/>
      <w:bCs/>
      <w:color w:val="000000"/>
    </w:rPr>
  </w:style>
  <w:style w:type="paragraph" w:customStyle="1" w:styleId="2826">
    <w:name w:val="表内5314"/>
    <w:basedOn w:val="1"/>
    <w:qFormat/>
    <w:uiPriority w:val="0"/>
    <w:pPr>
      <w:adjustRightInd w:val="0"/>
      <w:snapToGrid w:val="0"/>
      <w:spacing w:line="300" w:lineRule="auto"/>
      <w:jc w:val="left"/>
    </w:pPr>
    <w:rPr>
      <w:rFonts w:ascii="宋体" w:hAnsi="宋体" w:cs="宋体"/>
    </w:rPr>
  </w:style>
  <w:style w:type="paragraph" w:customStyle="1" w:styleId="2827">
    <w:name w:val="正文格式214"/>
    <w:basedOn w:val="1"/>
    <w:qFormat/>
    <w:uiPriority w:val="0"/>
    <w:pPr>
      <w:spacing w:line="360" w:lineRule="auto"/>
      <w:ind w:firstLine="482"/>
    </w:pPr>
    <w:rPr>
      <w:rFonts w:ascii="宋体" w:hAnsi="宋体" w:cs="宋体"/>
      <w:sz w:val="24"/>
    </w:rPr>
  </w:style>
  <w:style w:type="paragraph" w:customStyle="1" w:styleId="2828">
    <w:name w:val="图题214"/>
    <w:basedOn w:val="315"/>
    <w:next w:val="315"/>
    <w:qFormat/>
    <w:uiPriority w:val="0"/>
    <w:pPr>
      <w:ind w:firstLine="0"/>
      <w:jc w:val="center"/>
    </w:pPr>
    <w:rPr>
      <w:rFonts w:ascii="黑体" w:hAnsi="宋体" w:eastAsia="黑体"/>
      <w:bCs/>
      <w:spacing w:val="0"/>
    </w:rPr>
  </w:style>
  <w:style w:type="paragraph" w:customStyle="1" w:styleId="2829">
    <w:name w:val="表格内字体214"/>
    <w:basedOn w:val="315"/>
    <w:next w:val="315"/>
    <w:qFormat/>
    <w:uiPriority w:val="0"/>
    <w:pPr>
      <w:spacing w:line="240" w:lineRule="auto"/>
      <w:ind w:firstLine="0"/>
      <w:jc w:val="center"/>
    </w:pPr>
    <w:rPr>
      <w:rFonts w:hAnsi="宋体"/>
      <w:b w:val="0"/>
      <w:spacing w:val="0"/>
      <w:sz w:val="21"/>
    </w:rPr>
  </w:style>
  <w:style w:type="paragraph" w:customStyle="1" w:styleId="2830">
    <w:name w:val="表题1114"/>
    <w:basedOn w:val="23"/>
    <w:qFormat/>
    <w:uiPriority w:val="0"/>
    <w:pPr>
      <w:widowControl w:val="0"/>
      <w:spacing w:line="360" w:lineRule="auto"/>
      <w:jc w:val="center"/>
    </w:pPr>
    <w:rPr>
      <w:rFonts w:ascii="黑体" w:hAnsi="Arial" w:cs="Arial"/>
      <w:kern w:val="2"/>
    </w:rPr>
  </w:style>
  <w:style w:type="character" w:customStyle="1" w:styleId="2831">
    <w:name w:val="表题1 Char111"/>
    <w:qFormat/>
    <w:uiPriority w:val="0"/>
    <w:rPr>
      <w:rFonts w:hAnsi="Arial" w:eastAsia="宋体" w:cs="Arial"/>
      <w:kern w:val="2"/>
      <w:sz w:val="24"/>
      <w:szCs w:val="24"/>
      <w:lang w:val="en-US" w:eastAsia="zh-CN" w:bidi="ar-SA"/>
    </w:rPr>
  </w:style>
  <w:style w:type="paragraph" w:customStyle="1" w:styleId="2832">
    <w:name w:val="表中文字114"/>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833">
    <w:name w:val="表文字5114"/>
    <w:basedOn w:val="1"/>
    <w:qFormat/>
    <w:uiPriority w:val="0"/>
    <w:pPr>
      <w:adjustRightInd w:val="0"/>
      <w:jc w:val="left"/>
      <w:textAlignment w:val="baseline"/>
    </w:pPr>
    <w:rPr>
      <w:rFonts w:ascii="宋体" w:hAnsi="宋体" w:cs="宋体"/>
      <w:kern w:val="0"/>
    </w:rPr>
  </w:style>
  <w:style w:type="character" w:customStyle="1" w:styleId="2834">
    <w:name w:val="批注框文本 Char11"/>
    <w:qFormat/>
    <w:uiPriority w:val="0"/>
    <w:rPr>
      <w:rFonts w:eastAsia="宋体"/>
      <w:kern w:val="2"/>
      <w:sz w:val="18"/>
      <w:szCs w:val="18"/>
      <w:lang w:val="en-US" w:eastAsia="zh-CN" w:bidi="ar-SA"/>
    </w:rPr>
  </w:style>
  <w:style w:type="paragraph" w:customStyle="1" w:styleId="2835">
    <w:name w:val="正文格式44"/>
    <w:basedOn w:val="1"/>
    <w:qFormat/>
    <w:uiPriority w:val="0"/>
    <w:pPr>
      <w:spacing w:line="360" w:lineRule="auto"/>
      <w:ind w:firstLine="482"/>
    </w:pPr>
    <w:rPr>
      <w:rFonts w:ascii="宋体" w:hAnsi="宋体" w:cs="宋体"/>
      <w:sz w:val="24"/>
    </w:rPr>
  </w:style>
  <w:style w:type="paragraph" w:customStyle="1" w:styleId="2836">
    <w:name w:val="图题44"/>
    <w:basedOn w:val="315"/>
    <w:next w:val="315"/>
    <w:qFormat/>
    <w:uiPriority w:val="0"/>
    <w:pPr>
      <w:ind w:firstLine="0"/>
      <w:jc w:val="center"/>
    </w:pPr>
    <w:rPr>
      <w:rFonts w:ascii="黑体" w:hAnsi="宋体" w:eastAsia="黑体"/>
      <w:bCs/>
      <w:spacing w:val="0"/>
    </w:rPr>
  </w:style>
  <w:style w:type="paragraph" w:customStyle="1" w:styleId="2837">
    <w:name w:val="表格内字体44"/>
    <w:basedOn w:val="315"/>
    <w:next w:val="315"/>
    <w:qFormat/>
    <w:uiPriority w:val="0"/>
    <w:pPr>
      <w:spacing w:line="240" w:lineRule="auto"/>
      <w:ind w:firstLine="0"/>
      <w:jc w:val="center"/>
    </w:pPr>
    <w:rPr>
      <w:rFonts w:hAnsi="宋体"/>
      <w:b w:val="0"/>
      <w:spacing w:val="0"/>
      <w:sz w:val="21"/>
    </w:rPr>
  </w:style>
  <w:style w:type="character" w:customStyle="1" w:styleId="2838">
    <w:name w:val="表格内字体 Char41"/>
    <w:qFormat/>
    <w:uiPriority w:val="0"/>
    <w:rPr>
      <w:rFonts w:ascii="宋体" w:hAnsi="宋体" w:eastAsia="宋体"/>
      <w:kern w:val="2"/>
      <w:sz w:val="21"/>
      <w:szCs w:val="24"/>
      <w:lang w:val="en-US" w:eastAsia="zh-CN" w:bidi="ar-SA"/>
    </w:rPr>
  </w:style>
  <w:style w:type="character" w:customStyle="1" w:styleId="2839">
    <w:name w:val="正文格式 Char41"/>
    <w:qFormat/>
    <w:uiPriority w:val="0"/>
    <w:rPr>
      <w:rFonts w:ascii="宋体" w:hAnsi="宋体" w:eastAsia="宋体"/>
      <w:kern w:val="2"/>
      <w:sz w:val="24"/>
      <w:szCs w:val="24"/>
      <w:lang w:val="en-US" w:eastAsia="zh-CN" w:bidi="ar-SA"/>
    </w:rPr>
  </w:style>
  <w:style w:type="character" w:customStyle="1" w:styleId="2840">
    <w:name w:val="标题 2 Char21"/>
    <w:qFormat/>
    <w:uiPriority w:val="0"/>
    <w:rPr>
      <w:rFonts w:ascii="黑体" w:hAnsi="Arial" w:eastAsia="黑体"/>
      <w:b/>
      <w:bCs/>
      <w:kern w:val="2"/>
      <w:sz w:val="30"/>
      <w:szCs w:val="30"/>
      <w:lang w:val="en-US" w:eastAsia="zh-CN" w:bidi="ar-SA"/>
    </w:rPr>
  </w:style>
  <w:style w:type="character" w:customStyle="1" w:styleId="2841">
    <w:name w:val="标题 3 Char21"/>
    <w:qFormat/>
    <w:uiPriority w:val="0"/>
    <w:rPr>
      <w:rFonts w:ascii="黑体" w:hAnsi="宋体" w:eastAsia="黑体"/>
      <w:b/>
      <w:bCs/>
      <w:kern w:val="2"/>
      <w:sz w:val="28"/>
      <w:szCs w:val="28"/>
      <w:lang w:val="en-US" w:eastAsia="zh-CN" w:bidi="ar-SA"/>
    </w:rPr>
  </w:style>
  <w:style w:type="paragraph" w:customStyle="1" w:styleId="2842">
    <w:name w:val="Char410"/>
    <w:basedOn w:val="1"/>
    <w:qFormat/>
    <w:uiPriority w:val="0"/>
    <w:pPr>
      <w:ind w:left="-48"/>
    </w:pPr>
    <w:rPr>
      <w:rFonts w:ascii="宋体" w:hAnsi="宋体" w:cs="宋体"/>
    </w:rPr>
  </w:style>
  <w:style w:type="character" w:customStyle="1" w:styleId="2843">
    <w:name w:val="Char Char118"/>
    <w:qFormat/>
    <w:uiPriority w:val="0"/>
    <w:rPr>
      <w:rFonts w:ascii="黑体" w:hAnsi="Arial" w:eastAsia="黑体"/>
      <w:b/>
      <w:bCs/>
      <w:kern w:val="2"/>
      <w:sz w:val="30"/>
      <w:szCs w:val="30"/>
      <w:lang w:val="en-US" w:eastAsia="zh-CN" w:bidi="ar-SA"/>
    </w:rPr>
  </w:style>
  <w:style w:type="character" w:customStyle="1" w:styleId="2844">
    <w:name w:val="Char Char22"/>
    <w:qFormat/>
    <w:uiPriority w:val="0"/>
    <w:rPr>
      <w:rFonts w:ascii="黑体" w:eastAsia="黑体"/>
      <w:b/>
      <w:bCs/>
      <w:kern w:val="2"/>
      <w:sz w:val="28"/>
      <w:szCs w:val="28"/>
      <w:lang w:val="en-US" w:eastAsia="zh-CN" w:bidi="ar-SA"/>
    </w:rPr>
  </w:style>
  <w:style w:type="paragraph" w:customStyle="1" w:styleId="2845">
    <w:name w:val="表题134"/>
    <w:basedOn w:val="23"/>
    <w:qFormat/>
    <w:uiPriority w:val="0"/>
    <w:pPr>
      <w:widowControl w:val="0"/>
      <w:spacing w:line="360" w:lineRule="auto"/>
      <w:jc w:val="center"/>
    </w:pPr>
    <w:rPr>
      <w:rFonts w:ascii="黑体" w:hAnsi="Arial" w:cs="Arial"/>
      <w:b/>
      <w:kern w:val="2"/>
    </w:rPr>
  </w:style>
  <w:style w:type="character" w:customStyle="1" w:styleId="2846">
    <w:name w:val="表题1 Char31"/>
    <w:qFormat/>
    <w:uiPriority w:val="0"/>
    <w:rPr>
      <w:rFonts w:ascii="黑体" w:hAnsi="Arial" w:eastAsia="黑体" w:cs="Arial"/>
      <w:b/>
      <w:kern w:val="2"/>
      <w:sz w:val="24"/>
      <w:szCs w:val="24"/>
      <w:lang w:val="en-US" w:eastAsia="zh-CN" w:bidi="ar-SA"/>
    </w:rPr>
  </w:style>
  <w:style w:type="paragraph" w:customStyle="1" w:styleId="2847">
    <w:name w:val="默认段落字体 Para Char14"/>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2848">
    <w:name w:val="23-47表名4"/>
    <w:basedOn w:val="1"/>
    <w:qFormat/>
    <w:uiPriority w:val="0"/>
    <w:pPr>
      <w:spacing w:afterLines="50" w:line="440" w:lineRule="exact"/>
      <w:jc w:val="center"/>
    </w:pPr>
    <w:rPr>
      <w:rFonts w:ascii="宋体" w:hAnsi="宋体" w:cs="宋体"/>
      <w:b/>
      <w:sz w:val="24"/>
    </w:rPr>
  </w:style>
  <w:style w:type="paragraph" w:customStyle="1" w:styleId="2849">
    <w:name w:val="xl244"/>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850">
    <w:name w:val="Char Char Char Char Char Char Char113"/>
    <w:basedOn w:val="1"/>
    <w:qFormat/>
    <w:uiPriority w:val="0"/>
    <w:rPr>
      <w:rFonts w:ascii="宋体" w:hAnsi="宋体" w:cs="宋体"/>
    </w:rPr>
  </w:style>
  <w:style w:type="character" w:customStyle="1" w:styleId="2851">
    <w:name w:val="普通文字 Char34"/>
    <w:qFormat/>
    <w:uiPriority w:val="0"/>
    <w:rPr>
      <w:rFonts w:ascii="宋体" w:hAnsi="Courier New" w:eastAsia="宋体" w:cs="Courier New"/>
      <w:kern w:val="2"/>
      <w:sz w:val="21"/>
      <w:szCs w:val="21"/>
      <w:lang w:val="en-US" w:eastAsia="zh-CN" w:bidi="ar-SA"/>
    </w:rPr>
  </w:style>
  <w:style w:type="paragraph" w:customStyle="1" w:styleId="2852">
    <w:name w:val="Char54"/>
    <w:basedOn w:val="1"/>
    <w:qFormat/>
    <w:uiPriority w:val="0"/>
    <w:pPr>
      <w:adjustRightInd w:val="0"/>
      <w:snapToGrid w:val="0"/>
      <w:ind w:left="-45"/>
    </w:pPr>
    <w:rPr>
      <w:rFonts w:ascii="宋体" w:hAnsi="宋体" w:cs="宋体"/>
    </w:rPr>
  </w:style>
  <w:style w:type="paragraph" w:customStyle="1" w:styleId="2853">
    <w:name w:val="燕山正文1134"/>
    <w:basedOn w:val="1"/>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character" w:customStyle="1" w:styleId="2854">
    <w:name w:val="批注框文本 Char21"/>
    <w:qFormat/>
    <w:uiPriority w:val="0"/>
    <w:rPr>
      <w:rFonts w:eastAsia="宋体"/>
      <w:kern w:val="2"/>
      <w:sz w:val="18"/>
      <w:szCs w:val="18"/>
      <w:lang w:val="en-US" w:eastAsia="zh-CN" w:bidi="ar-SA"/>
    </w:rPr>
  </w:style>
  <w:style w:type="paragraph" w:customStyle="1" w:styleId="2855">
    <w:name w:val="正文格式54"/>
    <w:basedOn w:val="1"/>
    <w:qFormat/>
    <w:uiPriority w:val="0"/>
    <w:pPr>
      <w:spacing w:line="360" w:lineRule="auto"/>
      <w:ind w:firstLine="482"/>
    </w:pPr>
    <w:rPr>
      <w:rFonts w:ascii="宋体" w:hAnsi="宋体" w:cs="宋体"/>
      <w:sz w:val="24"/>
    </w:rPr>
  </w:style>
  <w:style w:type="character" w:customStyle="1" w:styleId="2856">
    <w:name w:val="正文格式 Char51"/>
    <w:qFormat/>
    <w:uiPriority w:val="0"/>
    <w:rPr>
      <w:rFonts w:ascii="宋体" w:hAnsi="宋体" w:eastAsia="宋体"/>
      <w:kern w:val="2"/>
      <w:sz w:val="24"/>
      <w:szCs w:val="24"/>
      <w:lang w:val="en-US" w:eastAsia="zh-CN" w:bidi="ar-SA"/>
    </w:rPr>
  </w:style>
  <w:style w:type="character" w:customStyle="1" w:styleId="2857">
    <w:name w:val="标题 2 Char31"/>
    <w:qFormat/>
    <w:uiPriority w:val="0"/>
    <w:rPr>
      <w:rFonts w:ascii="黑体" w:hAnsi="Arial" w:eastAsia="黑体"/>
      <w:bCs/>
      <w:kern w:val="2"/>
      <w:sz w:val="30"/>
      <w:szCs w:val="30"/>
      <w:lang w:val="en-US" w:eastAsia="zh-CN" w:bidi="ar-SA"/>
    </w:rPr>
  </w:style>
  <w:style w:type="character" w:customStyle="1" w:styleId="2858">
    <w:name w:val="标题 3 Char31"/>
    <w:qFormat/>
    <w:uiPriority w:val="0"/>
    <w:rPr>
      <w:rFonts w:ascii="黑体" w:hAnsi="宋体" w:eastAsia="黑体"/>
      <w:b/>
      <w:bCs/>
      <w:kern w:val="2"/>
      <w:sz w:val="28"/>
      <w:szCs w:val="28"/>
      <w:lang w:val="en-US" w:eastAsia="zh-CN" w:bidi="ar-SA"/>
    </w:rPr>
  </w:style>
  <w:style w:type="paragraph" w:customStyle="1" w:styleId="2859">
    <w:name w:val="Char313"/>
    <w:basedOn w:val="1"/>
    <w:qFormat/>
    <w:uiPriority w:val="0"/>
    <w:pPr>
      <w:ind w:left="-48"/>
    </w:pPr>
    <w:rPr>
      <w:rFonts w:ascii="宋体" w:hAnsi="宋体" w:cs="宋体"/>
    </w:rPr>
  </w:style>
  <w:style w:type="character" w:customStyle="1" w:styleId="2860">
    <w:name w:val="题注 Char34"/>
    <w:qFormat/>
    <w:uiPriority w:val="0"/>
    <w:rPr>
      <w:rFonts w:ascii="黑体" w:hAnsi="Arial" w:eastAsia="黑体" w:cs="Arial"/>
      <w:spacing w:val="10"/>
      <w:kern w:val="2"/>
      <w:sz w:val="24"/>
      <w:szCs w:val="24"/>
      <w:lang w:val="en-US" w:eastAsia="zh-CN" w:bidi="ar-SA"/>
    </w:rPr>
  </w:style>
  <w:style w:type="paragraph" w:customStyle="1" w:styleId="2861">
    <w:name w:val="图题54"/>
    <w:basedOn w:val="315"/>
    <w:next w:val="315"/>
    <w:qFormat/>
    <w:uiPriority w:val="0"/>
    <w:pPr>
      <w:ind w:firstLine="0"/>
      <w:jc w:val="center"/>
    </w:pPr>
    <w:rPr>
      <w:rFonts w:ascii="黑体" w:hAnsi="宋体" w:eastAsia="黑体"/>
      <w:bCs/>
      <w:spacing w:val="0"/>
    </w:rPr>
  </w:style>
  <w:style w:type="paragraph" w:customStyle="1" w:styleId="2862">
    <w:name w:val="表格内字体54"/>
    <w:basedOn w:val="315"/>
    <w:next w:val="315"/>
    <w:qFormat/>
    <w:uiPriority w:val="0"/>
    <w:pPr>
      <w:adjustRightInd w:val="0"/>
      <w:snapToGrid w:val="0"/>
      <w:spacing w:line="240" w:lineRule="auto"/>
      <w:ind w:firstLine="0"/>
    </w:pPr>
    <w:rPr>
      <w:rFonts w:hAnsi="宋体"/>
      <w:b w:val="0"/>
      <w:spacing w:val="0"/>
      <w:sz w:val="21"/>
    </w:rPr>
  </w:style>
  <w:style w:type="character" w:customStyle="1" w:styleId="2863">
    <w:name w:val="表格内字体 Char51"/>
    <w:qFormat/>
    <w:uiPriority w:val="0"/>
    <w:rPr>
      <w:rFonts w:ascii="宋体" w:hAnsi="宋体" w:eastAsia="宋体"/>
      <w:kern w:val="2"/>
      <w:sz w:val="21"/>
      <w:szCs w:val="24"/>
      <w:lang w:val="en-US" w:eastAsia="zh-CN" w:bidi="ar-SA"/>
    </w:rPr>
  </w:style>
  <w:style w:type="character" w:customStyle="1" w:styleId="2864">
    <w:name w:val="正文缩进 Char111"/>
    <w:qFormat/>
    <w:uiPriority w:val="0"/>
    <w:rPr>
      <w:rFonts w:ascii="宋体" w:hAnsi="宋体" w:eastAsia="宋体" w:cs="宋体"/>
      <w:color w:val="000000"/>
      <w:kern w:val="2"/>
      <w:sz w:val="24"/>
      <w:szCs w:val="24"/>
      <w:lang w:val="en-US" w:eastAsia="zh-CN" w:bidi="ar-SA"/>
    </w:rPr>
  </w:style>
  <w:style w:type="paragraph" w:customStyle="1" w:styleId="2865">
    <w:name w:val="表34"/>
    <w:basedOn w:val="1"/>
    <w:qFormat/>
    <w:uiPriority w:val="0"/>
    <w:pPr>
      <w:adjustRightInd w:val="0"/>
      <w:snapToGrid w:val="0"/>
      <w:jc w:val="center"/>
    </w:pPr>
    <w:rPr>
      <w:rFonts w:ascii="宋体" w:hAnsi="宋体" w:eastAsia="仿宋_GB2312" w:cs="宋体"/>
      <w:sz w:val="24"/>
    </w:rPr>
  </w:style>
  <w:style w:type="paragraph" w:customStyle="1" w:styleId="2866">
    <w:name w:val="正文.14"/>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867">
    <w:name w:val="文本框14"/>
    <w:basedOn w:val="1"/>
    <w:qFormat/>
    <w:uiPriority w:val="0"/>
    <w:pPr>
      <w:adjustRightInd w:val="0"/>
      <w:snapToGrid w:val="0"/>
      <w:spacing w:after="6"/>
      <w:jc w:val="center"/>
    </w:pPr>
    <w:rPr>
      <w:rFonts w:ascii="宋体" w:hAnsi="宋体" w:eastAsia="仿宋_GB2312" w:cs="宋体"/>
    </w:rPr>
  </w:style>
  <w:style w:type="paragraph" w:customStyle="1" w:styleId="2868">
    <w:name w:val="表内宋51114"/>
    <w:basedOn w:val="81"/>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2869">
    <w:name w:val="表内文字小3134"/>
    <w:basedOn w:val="1"/>
    <w:qFormat/>
    <w:uiPriority w:val="0"/>
    <w:pPr>
      <w:adjustRightInd w:val="0"/>
      <w:snapToGrid w:val="0"/>
      <w:jc w:val="center"/>
    </w:pPr>
    <w:rPr>
      <w:rFonts w:ascii="宋体" w:hAnsi="Times" w:cs="宋体"/>
      <w:bCs/>
      <w:color w:val="003366"/>
    </w:rPr>
  </w:style>
  <w:style w:type="paragraph" w:customStyle="1" w:styleId="2870">
    <w:name w:val="表文字534"/>
    <w:basedOn w:val="1"/>
    <w:qFormat/>
    <w:uiPriority w:val="0"/>
    <w:pPr>
      <w:adjustRightInd w:val="0"/>
      <w:jc w:val="left"/>
      <w:textAlignment w:val="baseline"/>
    </w:pPr>
    <w:rPr>
      <w:rFonts w:ascii="宋体" w:hAnsi="宋体" w:cs="宋体"/>
      <w:kern w:val="0"/>
    </w:rPr>
  </w:style>
  <w:style w:type="paragraph" w:customStyle="1" w:styleId="2871">
    <w:name w:val="Char Char Char Char Char Char Char27"/>
    <w:basedOn w:val="1"/>
    <w:qFormat/>
    <w:uiPriority w:val="0"/>
    <w:rPr>
      <w:rFonts w:ascii="宋体" w:hAnsi="宋体" w:cs="宋体"/>
    </w:rPr>
  </w:style>
  <w:style w:type="paragraph" w:customStyle="1" w:styleId="2872">
    <w:name w:val="表题3134"/>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873">
    <w:name w:val="表内文字小2134"/>
    <w:basedOn w:val="1"/>
    <w:qFormat/>
    <w:uiPriority w:val="0"/>
    <w:pPr>
      <w:adjustRightInd w:val="0"/>
      <w:snapToGrid w:val="0"/>
      <w:jc w:val="center"/>
      <w:textAlignment w:val="baseline"/>
    </w:pPr>
    <w:rPr>
      <w:rFonts w:ascii="宋体" w:hAnsi="Times" w:cs="宋体"/>
      <w:bCs/>
      <w:color w:val="000000"/>
    </w:rPr>
  </w:style>
  <w:style w:type="character" w:customStyle="1" w:styleId="2874">
    <w:name w:val="Char Char91"/>
    <w:qFormat/>
    <w:uiPriority w:val="0"/>
    <w:rPr>
      <w:rFonts w:eastAsia="宋体"/>
      <w:kern w:val="2"/>
      <w:sz w:val="21"/>
      <w:szCs w:val="24"/>
      <w:shd w:val="clear" w:color="auto" w:fill="000080"/>
      <w:lang w:val="en-US" w:eastAsia="zh-CN" w:bidi="ar-SA"/>
    </w:rPr>
  </w:style>
  <w:style w:type="paragraph" w:customStyle="1" w:styleId="2875">
    <w:name w:val="燕山正文34"/>
    <w:basedOn w:val="1"/>
    <w:qFormat/>
    <w:uiPriority w:val="0"/>
    <w:pPr>
      <w:tabs>
        <w:tab w:val="left" w:pos="4680"/>
      </w:tabs>
      <w:adjustRightInd w:val="0"/>
      <w:snapToGrid w:val="0"/>
      <w:spacing w:line="480" w:lineRule="exact"/>
    </w:pPr>
    <w:rPr>
      <w:rFonts w:ascii="宋体" w:hAnsi="宋体" w:cs="宋体"/>
      <w:sz w:val="24"/>
    </w:rPr>
  </w:style>
  <w:style w:type="character" w:customStyle="1" w:styleId="2876">
    <w:name w:val="燕山正文 Char131"/>
    <w:qFormat/>
    <w:uiPriority w:val="0"/>
    <w:rPr>
      <w:rFonts w:ascii="宋体" w:eastAsia="宋体" w:cs="宋体"/>
      <w:kern w:val="2"/>
      <w:sz w:val="24"/>
      <w:szCs w:val="24"/>
      <w:lang w:val="en-US" w:eastAsia="zh-CN" w:bidi="ar-SA"/>
    </w:rPr>
  </w:style>
  <w:style w:type="paragraph" w:customStyle="1" w:styleId="2877">
    <w:name w:val="正文修改34"/>
    <w:basedOn w:val="1180"/>
    <w:qFormat/>
    <w:uiPriority w:val="0"/>
    <w:rPr>
      <w:rFonts w:hAnsi="宋体"/>
      <w:color w:val="000000"/>
    </w:rPr>
  </w:style>
  <w:style w:type="character" w:customStyle="1" w:styleId="2878">
    <w:name w:val="正文修改 Char134"/>
    <w:qFormat/>
    <w:uiPriority w:val="0"/>
    <w:rPr>
      <w:rFonts w:ascii="宋体" w:hAnsi="宋体" w:eastAsia="宋体" w:cs="宋体"/>
      <w:color w:val="000000"/>
      <w:kern w:val="2"/>
      <w:sz w:val="24"/>
      <w:szCs w:val="24"/>
      <w:lang w:val="en-US" w:eastAsia="zh-CN" w:bidi="ar-SA"/>
    </w:rPr>
  </w:style>
  <w:style w:type="paragraph" w:customStyle="1" w:styleId="2879">
    <w:name w:val="表题145"/>
    <w:basedOn w:val="23"/>
    <w:qFormat/>
    <w:uiPriority w:val="0"/>
    <w:pPr>
      <w:widowControl w:val="0"/>
      <w:spacing w:line="360" w:lineRule="auto"/>
      <w:jc w:val="center"/>
    </w:pPr>
    <w:rPr>
      <w:rFonts w:ascii="黑体" w:hAnsi="Arial" w:cs="Arial"/>
      <w:b/>
      <w:kern w:val="2"/>
    </w:rPr>
  </w:style>
  <w:style w:type="character" w:customStyle="1" w:styleId="2880">
    <w:name w:val="表题1 Char44"/>
    <w:qFormat/>
    <w:uiPriority w:val="0"/>
    <w:rPr>
      <w:rFonts w:ascii="黑体" w:hAnsi="Arial" w:eastAsia="黑体" w:cs="Arial"/>
      <w:b/>
      <w:kern w:val="2"/>
      <w:sz w:val="24"/>
      <w:szCs w:val="24"/>
      <w:lang w:val="en-US" w:eastAsia="zh-CN" w:bidi="ar-SA"/>
    </w:rPr>
  </w:style>
  <w:style w:type="paragraph" w:customStyle="1" w:styleId="2881">
    <w:name w:val="表中文字34"/>
    <w:basedOn w:val="1"/>
    <w:qFormat/>
    <w:uiPriority w:val="0"/>
    <w:pPr>
      <w:widowControl/>
      <w:spacing w:line="240" w:lineRule="atLeast"/>
      <w:ind w:left="-24" w:leftChars="-10" w:right="-48" w:rightChars="-20"/>
      <w:jc w:val="center"/>
    </w:pPr>
    <w:rPr>
      <w:rFonts w:ascii="宋体" w:hAnsi="宋体" w:cs="宋体"/>
      <w:kern w:val="0"/>
      <w:szCs w:val="21"/>
    </w:rPr>
  </w:style>
  <w:style w:type="character" w:customStyle="1" w:styleId="2882">
    <w:name w:val="表中文字 Char231"/>
    <w:qFormat/>
    <w:uiPriority w:val="0"/>
    <w:rPr>
      <w:rFonts w:ascii="宋体" w:eastAsia="宋体"/>
      <w:kern w:val="2"/>
      <w:sz w:val="21"/>
      <w:szCs w:val="21"/>
      <w:lang w:val="en-US" w:eastAsia="zh-CN" w:bidi="ar-SA"/>
    </w:rPr>
  </w:style>
  <w:style w:type="paragraph" w:customStyle="1" w:styleId="2883">
    <w:name w:val="黑体三号34"/>
    <w:basedOn w:val="315"/>
    <w:qFormat/>
    <w:uiPriority w:val="0"/>
    <w:pPr>
      <w:jc w:val="center"/>
    </w:pPr>
    <w:rPr>
      <w:rFonts w:ascii="黑体" w:hAnsi="宋体" w:eastAsia="黑体"/>
      <w:bCs/>
      <w:spacing w:val="0"/>
      <w:sz w:val="32"/>
    </w:rPr>
  </w:style>
  <w:style w:type="paragraph" w:customStyle="1" w:styleId="2884">
    <w:name w:val="默认段落字体 Para Char Char Char Char34"/>
    <w:basedOn w:val="1"/>
    <w:qFormat/>
    <w:uiPriority w:val="0"/>
    <w:rPr>
      <w:rFonts w:ascii="宋体" w:hAnsi="宋体" w:cs="宋体"/>
    </w:rPr>
  </w:style>
  <w:style w:type="paragraph" w:customStyle="1" w:styleId="2885">
    <w:name w:val="表内54134"/>
    <w:basedOn w:val="1"/>
    <w:qFormat/>
    <w:uiPriority w:val="0"/>
    <w:pPr>
      <w:adjustRightInd w:val="0"/>
      <w:snapToGrid w:val="0"/>
      <w:spacing w:line="300" w:lineRule="auto"/>
      <w:jc w:val="center"/>
    </w:pPr>
    <w:rPr>
      <w:rFonts w:ascii="宋体" w:hAnsi="宋体" w:cs="宋体"/>
    </w:rPr>
  </w:style>
  <w:style w:type="paragraph" w:customStyle="1" w:styleId="2886">
    <w:name w:val="标题45"/>
    <w:basedOn w:val="1"/>
    <w:qFormat/>
    <w:uiPriority w:val="0"/>
    <w:pPr>
      <w:adjustRightInd w:val="0"/>
      <w:snapToGrid w:val="0"/>
      <w:spacing w:line="300" w:lineRule="auto"/>
      <w:jc w:val="left"/>
    </w:pPr>
    <w:rPr>
      <w:rFonts w:ascii="黑体" w:hAnsi="宋体" w:eastAsia="黑体" w:cs="宋体"/>
      <w:bCs/>
      <w:sz w:val="24"/>
    </w:rPr>
  </w:style>
  <w:style w:type="paragraph" w:customStyle="1" w:styleId="2887">
    <w:name w:val="Char64"/>
    <w:basedOn w:val="1"/>
    <w:qFormat/>
    <w:uiPriority w:val="0"/>
    <w:pPr>
      <w:adjustRightInd w:val="0"/>
      <w:snapToGrid w:val="0"/>
      <w:spacing w:beforeLines="50" w:line="360" w:lineRule="auto"/>
    </w:pPr>
    <w:rPr>
      <w:rFonts w:ascii="黑体" w:hAnsi="宋体" w:eastAsia="黑体" w:cs="宋体"/>
      <w:sz w:val="32"/>
      <w:szCs w:val="32"/>
    </w:rPr>
  </w:style>
  <w:style w:type="paragraph" w:customStyle="1" w:styleId="2888">
    <w:name w:val="表题2114"/>
    <w:basedOn w:val="1"/>
    <w:qFormat/>
    <w:uiPriority w:val="0"/>
    <w:pPr>
      <w:widowControl/>
      <w:adjustRightInd w:val="0"/>
      <w:snapToGrid w:val="0"/>
      <w:jc w:val="center"/>
    </w:pPr>
    <w:rPr>
      <w:rFonts w:ascii="黑体" w:hAnsi="宋体" w:eastAsia="黑体" w:cs="宋体"/>
      <w:kern w:val="0"/>
      <w:sz w:val="24"/>
    </w:rPr>
  </w:style>
  <w:style w:type="paragraph" w:customStyle="1" w:styleId="2889">
    <w:name w:val="表内宋5中114"/>
    <w:basedOn w:val="1"/>
    <w:qFormat/>
    <w:uiPriority w:val="0"/>
    <w:pPr>
      <w:adjustRightInd w:val="0"/>
      <w:snapToGrid w:val="0"/>
      <w:jc w:val="center"/>
      <w:textAlignment w:val="baseline"/>
    </w:pPr>
    <w:rPr>
      <w:rFonts w:ascii="宋体" w:hAnsi="宋体" w:cs="宋体"/>
      <w:kern w:val="0"/>
    </w:rPr>
  </w:style>
  <w:style w:type="paragraph" w:customStyle="1" w:styleId="2890">
    <w:name w:val="表内宋5中15"/>
    <w:basedOn w:val="1"/>
    <w:qFormat/>
    <w:uiPriority w:val="0"/>
    <w:pPr>
      <w:adjustRightInd w:val="0"/>
      <w:snapToGrid w:val="0"/>
      <w:jc w:val="center"/>
      <w:textAlignment w:val="baseline"/>
    </w:pPr>
    <w:rPr>
      <w:rFonts w:ascii="宋体" w:hAnsi="宋体" w:cs="宋体"/>
      <w:kern w:val="0"/>
    </w:rPr>
  </w:style>
  <w:style w:type="paragraph" w:customStyle="1" w:styleId="2891">
    <w:name w:val="表内文字小114"/>
    <w:basedOn w:val="1"/>
    <w:qFormat/>
    <w:uiPriority w:val="0"/>
    <w:pPr>
      <w:adjustRightInd w:val="0"/>
      <w:snapToGrid w:val="0"/>
    </w:pPr>
    <w:rPr>
      <w:rFonts w:ascii="宋体" w:hAnsi="Times" w:cs="宋体"/>
    </w:rPr>
  </w:style>
  <w:style w:type="paragraph" w:customStyle="1" w:styleId="2892">
    <w:name w:val="标题4114"/>
    <w:basedOn w:val="1"/>
    <w:qFormat/>
    <w:uiPriority w:val="0"/>
    <w:pPr>
      <w:adjustRightInd w:val="0"/>
      <w:snapToGrid w:val="0"/>
      <w:spacing w:line="300" w:lineRule="auto"/>
      <w:jc w:val="left"/>
    </w:pPr>
    <w:rPr>
      <w:rFonts w:ascii="黑体" w:hAnsi="宋体" w:eastAsia="黑体" w:cs="宋体"/>
      <w:bCs/>
      <w:sz w:val="24"/>
    </w:rPr>
  </w:style>
  <w:style w:type="paragraph" w:customStyle="1" w:styleId="2893">
    <w:name w:val="表题1414"/>
    <w:basedOn w:val="1"/>
    <w:qFormat/>
    <w:uiPriority w:val="0"/>
    <w:pPr>
      <w:widowControl/>
      <w:adjustRightInd w:val="0"/>
      <w:snapToGrid w:val="0"/>
      <w:jc w:val="center"/>
    </w:pPr>
    <w:rPr>
      <w:rFonts w:ascii="黑体" w:hAnsi="宋体" w:eastAsia="黑体" w:cs="宋体"/>
      <w:kern w:val="0"/>
      <w:sz w:val="24"/>
    </w:rPr>
  </w:style>
  <w:style w:type="paragraph" w:customStyle="1" w:styleId="2894">
    <w:name w:val="表内文字小84"/>
    <w:basedOn w:val="1"/>
    <w:qFormat/>
    <w:uiPriority w:val="0"/>
    <w:pPr>
      <w:adjustRightInd w:val="0"/>
      <w:snapToGrid w:val="0"/>
      <w:jc w:val="center"/>
    </w:pPr>
    <w:rPr>
      <w:rFonts w:ascii="宋体" w:hAnsi="Times" w:cs="宋体"/>
    </w:rPr>
  </w:style>
  <w:style w:type="paragraph" w:customStyle="1" w:styleId="2895">
    <w:name w:val="默认段落字体 Para Char24"/>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2896">
    <w:name w:val="表内5中6"/>
    <w:basedOn w:val="1"/>
    <w:qFormat/>
    <w:uiPriority w:val="0"/>
    <w:pPr>
      <w:adjustRightInd w:val="0"/>
      <w:snapToGrid w:val="0"/>
      <w:jc w:val="center"/>
    </w:pPr>
    <w:rPr>
      <w:rFonts w:ascii="宋体" w:hAnsi="宋体" w:cs="Arial"/>
      <w:snapToGrid w:val="0"/>
      <w:color w:val="000000"/>
      <w:szCs w:val="21"/>
    </w:rPr>
  </w:style>
  <w:style w:type="paragraph" w:customStyle="1" w:styleId="2897">
    <w:name w:val="Default4"/>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2898">
    <w:name w:val="河石1 Char14"/>
    <w:qFormat/>
    <w:uiPriority w:val="0"/>
    <w:rPr>
      <w:rFonts w:ascii="黑体" w:hAnsi="宋体" w:eastAsia="黑体"/>
      <w:bCs/>
      <w:kern w:val="44"/>
      <w:sz w:val="32"/>
      <w:szCs w:val="32"/>
      <w:lang w:val="en-US" w:eastAsia="zh-CN" w:bidi="ar-SA"/>
    </w:rPr>
  </w:style>
  <w:style w:type="character" w:customStyle="1" w:styleId="2899">
    <w:name w:val="标题 2 Char41"/>
    <w:qFormat/>
    <w:uiPriority w:val="0"/>
    <w:rPr>
      <w:rFonts w:ascii="黑体" w:hAnsi="Arial" w:eastAsia="黑体" w:cs="Times New Roman"/>
      <w:bCs/>
      <w:kern w:val="2"/>
      <w:sz w:val="30"/>
      <w:szCs w:val="30"/>
      <w:lang w:val="en-US" w:eastAsia="zh-CN" w:bidi="ar-SA"/>
    </w:rPr>
  </w:style>
  <w:style w:type="character" w:customStyle="1" w:styleId="2900">
    <w:name w:val="标题 3 Char91"/>
    <w:qFormat/>
    <w:uiPriority w:val="0"/>
    <w:rPr>
      <w:rFonts w:ascii="黑体" w:hAnsi="宋体" w:eastAsia="黑体" w:cs="Times New Roman"/>
      <w:b/>
      <w:bCs/>
      <w:kern w:val="2"/>
      <w:sz w:val="28"/>
      <w:szCs w:val="28"/>
      <w:lang w:val="en-US" w:eastAsia="zh-CN" w:bidi="ar-SA"/>
    </w:rPr>
  </w:style>
  <w:style w:type="character" w:customStyle="1" w:styleId="2901">
    <w:name w:val="河石管道4 Char4"/>
    <w:qFormat/>
    <w:uiPriority w:val="0"/>
    <w:rPr>
      <w:rFonts w:ascii="黑体" w:hAnsi="Arial" w:eastAsia="黑体"/>
      <w:bCs/>
      <w:kern w:val="2"/>
      <w:sz w:val="24"/>
      <w:szCs w:val="24"/>
      <w:lang w:val="en-US" w:eastAsia="zh-CN" w:bidi="ar-SA"/>
    </w:rPr>
  </w:style>
  <w:style w:type="character" w:customStyle="1" w:styleId="2902">
    <w:name w:val="一级项 Char2"/>
    <w:qFormat/>
    <w:uiPriority w:val="0"/>
    <w:rPr>
      <w:rFonts w:eastAsia="宋体"/>
      <w:b/>
      <w:bCs/>
      <w:kern w:val="2"/>
      <w:sz w:val="28"/>
      <w:szCs w:val="28"/>
      <w:lang w:val="en-US" w:eastAsia="zh-CN" w:bidi="ar-SA"/>
    </w:rPr>
  </w:style>
  <w:style w:type="character" w:customStyle="1" w:styleId="2903">
    <w:name w:val="二级项 Char3"/>
    <w:qFormat/>
    <w:uiPriority w:val="0"/>
    <w:rPr>
      <w:rFonts w:ascii="Arial" w:hAnsi="Arial" w:eastAsia="黑体"/>
      <w:b/>
      <w:bCs/>
      <w:kern w:val="2"/>
      <w:sz w:val="24"/>
      <w:szCs w:val="24"/>
      <w:lang w:val="en-US" w:eastAsia="zh-CN" w:bidi="ar-SA"/>
    </w:rPr>
  </w:style>
  <w:style w:type="character" w:customStyle="1" w:styleId="2904">
    <w:name w:val="无级项 Char3"/>
    <w:qFormat/>
    <w:uiPriority w:val="0"/>
    <w:rPr>
      <w:rFonts w:eastAsia="宋体"/>
      <w:b/>
      <w:bCs/>
      <w:kern w:val="2"/>
      <w:sz w:val="24"/>
      <w:szCs w:val="24"/>
      <w:lang w:val="en-US" w:eastAsia="zh-CN" w:bidi="ar-SA"/>
    </w:rPr>
  </w:style>
  <w:style w:type="character" w:customStyle="1" w:styleId="2905">
    <w:name w:val="注 Char3"/>
    <w:qFormat/>
    <w:uiPriority w:val="0"/>
    <w:rPr>
      <w:rFonts w:ascii="Arial" w:hAnsi="Arial" w:eastAsia="黑体"/>
      <w:kern w:val="2"/>
      <w:sz w:val="24"/>
      <w:szCs w:val="24"/>
      <w:lang w:val="en-US" w:eastAsia="zh-CN" w:bidi="ar-SA"/>
    </w:rPr>
  </w:style>
  <w:style w:type="character" w:customStyle="1" w:styleId="2906">
    <w:name w:val="干标题(a) Char3"/>
    <w:qFormat/>
    <w:uiPriority w:val="0"/>
    <w:rPr>
      <w:rFonts w:ascii="Arial" w:hAnsi="Arial" w:eastAsia="黑体"/>
      <w:kern w:val="2"/>
      <w:sz w:val="21"/>
      <w:szCs w:val="21"/>
      <w:lang w:val="en-US" w:eastAsia="zh-CN" w:bidi="ar-SA"/>
    </w:rPr>
  </w:style>
  <w:style w:type="paragraph" w:customStyle="1" w:styleId="2907">
    <w:name w:val="正文格式64"/>
    <w:basedOn w:val="1"/>
    <w:qFormat/>
    <w:uiPriority w:val="0"/>
    <w:pPr>
      <w:spacing w:line="360" w:lineRule="auto"/>
      <w:ind w:firstLine="482"/>
    </w:pPr>
    <w:rPr>
      <w:rFonts w:ascii="宋体" w:hAnsi="宋体" w:cs="宋体"/>
      <w:sz w:val="24"/>
    </w:rPr>
  </w:style>
  <w:style w:type="character" w:customStyle="1" w:styleId="2908">
    <w:name w:val="正文格式 Char61"/>
    <w:qFormat/>
    <w:uiPriority w:val="0"/>
    <w:rPr>
      <w:rFonts w:ascii="宋体" w:hAnsi="宋体" w:eastAsia="宋体" w:cs="Times New Roman"/>
      <w:kern w:val="2"/>
      <w:sz w:val="24"/>
      <w:szCs w:val="24"/>
      <w:lang w:val="en-US" w:eastAsia="zh-CN" w:bidi="ar-SA"/>
    </w:rPr>
  </w:style>
  <w:style w:type="paragraph" w:customStyle="1" w:styleId="2909">
    <w:name w:val="附件34"/>
    <w:basedOn w:val="4"/>
    <w:next w:val="315"/>
    <w:qFormat/>
    <w:uiPriority w:val="0"/>
    <w:pPr>
      <w:keepLines/>
      <w:widowControl w:val="0"/>
      <w:numPr>
        <w:numId w:val="0"/>
      </w:numPr>
      <w:tabs>
        <w:tab w:val="left" w:pos="1566"/>
      </w:tabs>
      <w:adjustRightInd w:val="0"/>
      <w:snapToGrid w:val="0"/>
      <w:spacing w:after="120"/>
    </w:pPr>
    <w:rPr>
      <w:rFonts w:ascii="黑体" w:eastAsia="黑体"/>
      <w:bCs/>
      <w:kern w:val="44"/>
      <w:szCs w:val="32"/>
    </w:rPr>
  </w:style>
  <w:style w:type="character" w:customStyle="1" w:styleId="2910">
    <w:name w:val="题注 Char41"/>
    <w:qFormat/>
    <w:uiPriority w:val="0"/>
    <w:rPr>
      <w:rFonts w:ascii="黑体" w:hAnsi="Arial" w:eastAsia="黑体" w:cs="Arial"/>
      <w:b/>
      <w:kern w:val="2"/>
      <w:sz w:val="24"/>
      <w:szCs w:val="24"/>
      <w:lang w:val="en-US" w:eastAsia="zh-CN" w:bidi="ar-SA"/>
    </w:rPr>
  </w:style>
  <w:style w:type="paragraph" w:customStyle="1" w:styleId="2911">
    <w:name w:val="图题64"/>
    <w:basedOn w:val="315"/>
    <w:next w:val="315"/>
    <w:qFormat/>
    <w:uiPriority w:val="0"/>
    <w:pPr>
      <w:ind w:firstLine="0"/>
      <w:jc w:val="center"/>
    </w:pPr>
    <w:rPr>
      <w:rFonts w:ascii="黑体" w:hAnsi="宋体" w:eastAsia="黑体"/>
      <w:bCs/>
      <w:spacing w:val="0"/>
      <w:kern w:val="0"/>
    </w:rPr>
  </w:style>
  <w:style w:type="character" w:customStyle="1" w:styleId="2912">
    <w:name w:val="图题 Char4"/>
    <w:qFormat/>
    <w:uiPriority w:val="0"/>
    <w:rPr>
      <w:rFonts w:ascii="黑体" w:hAnsi="宋体" w:eastAsia="黑体" w:cs="宋体"/>
      <w:b/>
      <w:bCs/>
      <w:kern w:val="2"/>
      <w:sz w:val="24"/>
      <w:szCs w:val="24"/>
      <w:lang w:val="en-US" w:eastAsia="zh-CN" w:bidi="ar-SA"/>
    </w:rPr>
  </w:style>
  <w:style w:type="paragraph" w:customStyle="1" w:styleId="2913">
    <w:name w:val="表格内字体64"/>
    <w:basedOn w:val="315"/>
    <w:next w:val="315"/>
    <w:qFormat/>
    <w:uiPriority w:val="0"/>
    <w:pPr>
      <w:spacing w:line="240" w:lineRule="auto"/>
      <w:ind w:firstLine="0"/>
      <w:jc w:val="center"/>
    </w:pPr>
    <w:rPr>
      <w:rFonts w:hAnsi="宋体"/>
      <w:b w:val="0"/>
      <w:spacing w:val="0"/>
      <w:sz w:val="21"/>
    </w:rPr>
  </w:style>
  <w:style w:type="character" w:customStyle="1" w:styleId="2914">
    <w:name w:val="表格内字体 Char61"/>
    <w:qFormat/>
    <w:uiPriority w:val="0"/>
    <w:rPr>
      <w:rFonts w:ascii="宋体" w:hAnsi="宋体" w:eastAsia="宋体" w:cs="Times New Roman"/>
      <w:kern w:val="2"/>
      <w:sz w:val="24"/>
      <w:szCs w:val="24"/>
      <w:lang w:val="en-US" w:eastAsia="zh-CN" w:bidi="ar-SA"/>
    </w:rPr>
  </w:style>
  <w:style w:type="paragraph" w:customStyle="1" w:styleId="2915">
    <w:name w:val="黑体三号44"/>
    <w:basedOn w:val="315"/>
    <w:qFormat/>
    <w:uiPriority w:val="0"/>
    <w:pPr>
      <w:jc w:val="center"/>
    </w:pPr>
    <w:rPr>
      <w:rFonts w:ascii="黑体" w:hAnsi="宋体" w:eastAsia="黑体"/>
      <w:bCs/>
      <w:spacing w:val="0"/>
      <w:sz w:val="32"/>
    </w:rPr>
  </w:style>
  <w:style w:type="paragraph" w:customStyle="1" w:styleId="2916">
    <w:name w:val="默认段落字体 Para Char Char Char Char44"/>
    <w:basedOn w:val="1"/>
    <w:qFormat/>
    <w:uiPriority w:val="0"/>
    <w:rPr>
      <w:rFonts w:ascii="宋体" w:hAnsi="宋体" w:cs="宋体"/>
    </w:rPr>
  </w:style>
  <w:style w:type="paragraph" w:customStyle="1" w:styleId="2917">
    <w:name w:val="图表题4"/>
    <w:basedOn w:val="315"/>
    <w:next w:val="315"/>
    <w:qFormat/>
    <w:uiPriority w:val="0"/>
    <w:pPr>
      <w:ind w:firstLine="0"/>
      <w:jc w:val="center"/>
    </w:pPr>
    <w:rPr>
      <w:rFonts w:ascii="黑体" w:hAnsi="宋体" w:eastAsia="黑体"/>
      <w:bCs/>
      <w:spacing w:val="0"/>
    </w:rPr>
  </w:style>
  <w:style w:type="character" w:customStyle="1" w:styleId="2918">
    <w:name w:val="图表题 Char4"/>
    <w:qFormat/>
    <w:uiPriority w:val="0"/>
    <w:rPr>
      <w:rFonts w:ascii="黑体" w:hAnsi="宋体" w:eastAsia="黑体" w:cs="宋体"/>
      <w:bCs/>
      <w:spacing w:val="10"/>
      <w:kern w:val="2"/>
      <w:sz w:val="24"/>
      <w:szCs w:val="24"/>
      <w:lang w:val="en-US" w:eastAsia="zh-CN" w:bidi="ar-SA"/>
    </w:rPr>
  </w:style>
  <w:style w:type="character" w:customStyle="1" w:styleId="2919">
    <w:name w:val="表题 Char41"/>
    <w:qFormat/>
    <w:uiPriority w:val="0"/>
    <w:rPr>
      <w:rFonts w:ascii="黑体" w:hAnsi="Arial" w:eastAsia="黑体" w:cs="Arial"/>
      <w:b/>
      <w:kern w:val="2"/>
      <w:sz w:val="24"/>
      <w:szCs w:val="24"/>
      <w:lang w:val="en-US" w:eastAsia="zh-CN" w:bidi="ar-SA"/>
    </w:rPr>
  </w:style>
  <w:style w:type="paragraph" w:customStyle="1" w:styleId="2920">
    <w:name w:val="样式 表格内字体 +4"/>
    <w:basedOn w:val="1177"/>
    <w:qFormat/>
    <w:uiPriority w:val="0"/>
    <w:pPr>
      <w:spacing w:line="280" w:lineRule="exact"/>
      <w:ind w:firstLine="36"/>
      <w:jc w:val="both"/>
    </w:pPr>
    <w:rPr>
      <w:kern w:val="0"/>
    </w:rPr>
  </w:style>
  <w:style w:type="character" w:customStyle="1" w:styleId="2921">
    <w:name w:val="样式 表格内字体 + Char4"/>
    <w:basedOn w:val="1178"/>
    <w:qFormat/>
    <w:uiPriority w:val="0"/>
  </w:style>
  <w:style w:type="paragraph" w:customStyle="1" w:styleId="2922">
    <w:name w:val="A正文4"/>
    <w:basedOn w:val="1"/>
    <w:qFormat/>
    <w:uiPriority w:val="0"/>
    <w:pPr>
      <w:widowControl/>
      <w:overflowPunct w:val="0"/>
      <w:autoSpaceDE w:val="0"/>
      <w:autoSpaceDN w:val="0"/>
      <w:adjustRightInd w:val="0"/>
      <w:spacing w:line="360" w:lineRule="auto"/>
      <w:ind w:firstLine="200" w:firstLineChars="200"/>
      <w:jc w:val="left"/>
      <w:textAlignment w:val="baseline"/>
    </w:pPr>
    <w:rPr>
      <w:rFonts w:ascii="宋体" w:hAnsi="宋体" w:eastAsia="仿宋_GB2312" w:cs="宋体"/>
      <w:kern w:val="0"/>
      <w:sz w:val="24"/>
    </w:rPr>
  </w:style>
  <w:style w:type="character" w:customStyle="1" w:styleId="2923">
    <w:name w:val="A正文 Char4"/>
    <w:qFormat/>
    <w:uiPriority w:val="0"/>
    <w:rPr>
      <w:rFonts w:eastAsia="仿宋_GB2312"/>
      <w:kern w:val="2"/>
      <w:sz w:val="24"/>
      <w:szCs w:val="24"/>
      <w:lang w:val="en-US" w:eastAsia="zh-CN" w:bidi="ar-SA"/>
    </w:rPr>
  </w:style>
  <w:style w:type="paragraph" w:customStyle="1" w:styleId="2924">
    <w:name w:val="图题注4"/>
    <w:basedOn w:val="23"/>
    <w:qFormat/>
    <w:uiPriority w:val="0"/>
    <w:pPr>
      <w:widowControl w:val="0"/>
      <w:jc w:val="center"/>
    </w:pPr>
    <w:rPr>
      <w:rFonts w:ascii="黑体" w:hAnsi="Arial"/>
      <w:b/>
      <w:bCs/>
      <w:kern w:val="2"/>
    </w:rPr>
  </w:style>
  <w:style w:type="character" w:customStyle="1" w:styleId="2925">
    <w:name w:val="图题注 Char4"/>
    <w:qFormat/>
    <w:uiPriority w:val="0"/>
    <w:rPr>
      <w:rFonts w:ascii="黑体" w:hAnsi="Arial" w:eastAsia="黑体" w:cs="宋体"/>
      <w:b/>
      <w:bCs/>
      <w:kern w:val="2"/>
      <w:sz w:val="24"/>
      <w:szCs w:val="24"/>
      <w:lang w:val="en-US" w:eastAsia="zh-CN" w:bidi="ar-SA"/>
    </w:rPr>
  </w:style>
  <w:style w:type="paragraph" w:customStyle="1" w:styleId="2926">
    <w:name w:val="Char74"/>
    <w:basedOn w:val="1"/>
    <w:qFormat/>
    <w:uiPriority w:val="0"/>
    <w:pPr>
      <w:ind w:left="-48"/>
    </w:pPr>
    <w:rPr>
      <w:rFonts w:ascii="宋体" w:hAnsi="宋体" w:cs="宋体"/>
    </w:rPr>
  </w:style>
  <w:style w:type="paragraph" w:customStyle="1" w:styleId="2927">
    <w:name w:val="表格内字体114"/>
    <w:basedOn w:val="315"/>
    <w:qFormat/>
    <w:uiPriority w:val="0"/>
    <w:pPr>
      <w:spacing w:line="240" w:lineRule="auto"/>
      <w:ind w:firstLine="0"/>
      <w:jc w:val="center"/>
    </w:pPr>
    <w:rPr>
      <w:rFonts w:hAnsi="Times New Roman"/>
      <w:b w:val="0"/>
      <w:spacing w:val="0"/>
      <w:sz w:val="21"/>
    </w:rPr>
  </w:style>
  <w:style w:type="paragraph" w:customStyle="1" w:styleId="2928">
    <w:name w:val="样式 正文缩进 + 宋体 黑色 首行缩进:  2 字符4"/>
    <w:basedOn w:val="6"/>
    <w:qFormat/>
    <w:uiPriority w:val="0"/>
    <w:pPr>
      <w:adjustRightInd/>
      <w:snapToGrid/>
      <w:spacing w:line="360" w:lineRule="auto"/>
      <w:ind w:firstLine="480"/>
      <w:jc w:val="left"/>
    </w:pPr>
    <w:rPr>
      <w:rFonts w:ascii="宋体" w:hAnsi="宋体" w:eastAsia="宋体" w:cs="宋体"/>
      <w:color w:val="FF00FF"/>
      <w:sz w:val="24"/>
      <w:szCs w:val="20"/>
    </w:rPr>
  </w:style>
  <w:style w:type="paragraph" w:customStyle="1" w:styleId="2929">
    <w:name w:val="环评正文4"/>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character" w:customStyle="1" w:styleId="2930">
    <w:name w:val="环评正文 Char4"/>
    <w:qFormat/>
    <w:uiPriority w:val="0"/>
    <w:rPr>
      <w:rFonts w:eastAsia="宋体"/>
      <w:bCs/>
      <w:kern w:val="2"/>
      <w:sz w:val="24"/>
      <w:szCs w:val="24"/>
      <w:lang w:val="en-US" w:eastAsia="zh-CN" w:bidi="ar-SA"/>
    </w:rPr>
  </w:style>
  <w:style w:type="paragraph" w:customStyle="1" w:styleId="2931">
    <w:name w:val="注释4"/>
    <w:basedOn w:val="315"/>
    <w:next w:val="35"/>
    <w:qFormat/>
    <w:uiPriority w:val="0"/>
    <w:pPr>
      <w:spacing w:before="120" w:after="120" w:line="240" w:lineRule="auto"/>
      <w:ind w:firstLine="200" w:firstLineChars="200"/>
    </w:pPr>
    <w:rPr>
      <w:rFonts w:hAnsi="Times New Roman"/>
      <w:b w:val="0"/>
      <w:spacing w:val="0"/>
      <w:sz w:val="21"/>
    </w:rPr>
  </w:style>
  <w:style w:type="paragraph" w:customStyle="1" w:styleId="2932">
    <w:name w:val="样式44"/>
    <w:basedOn w:val="35"/>
    <w:qFormat/>
    <w:uiPriority w:val="0"/>
    <w:rPr>
      <w:rFonts w:ascii="Calibri" w:hAnsi="Calibri" w:cs="宋体"/>
    </w:rPr>
  </w:style>
  <w:style w:type="paragraph" w:customStyle="1" w:styleId="2933">
    <w:name w:val="标题415"/>
    <w:basedOn w:val="8"/>
    <w:next w:val="1"/>
    <w:qFormat/>
    <w:uiPriority w:val="0"/>
    <w:pPr>
      <w:widowControl w:val="0"/>
      <w:tabs>
        <w:tab w:val="clear" w:pos="1276"/>
      </w:tabs>
      <w:spacing w:before="160" w:after="170"/>
      <w:ind w:left="0" w:firstLine="0"/>
      <w:jc w:val="both"/>
    </w:pPr>
    <w:rPr>
      <w:rFonts w:ascii="黑体" w:eastAsia="黑体"/>
    </w:rPr>
  </w:style>
  <w:style w:type="character" w:customStyle="1" w:styleId="2934">
    <w:name w:val="标题4 Char4"/>
    <w:qFormat/>
    <w:uiPriority w:val="0"/>
    <w:rPr>
      <w:rFonts w:ascii="黑体" w:hAnsi="Arial" w:eastAsia="黑体" w:cs="Times New Roman"/>
      <w:b/>
      <w:bCs/>
      <w:kern w:val="2"/>
      <w:sz w:val="24"/>
      <w:szCs w:val="28"/>
      <w:lang w:val="en-US" w:eastAsia="zh-CN" w:bidi="ar-SA"/>
    </w:rPr>
  </w:style>
  <w:style w:type="paragraph" w:customStyle="1" w:styleId="2935">
    <w:name w:val="表中文字44"/>
    <w:basedOn w:val="1"/>
    <w:qFormat/>
    <w:uiPriority w:val="0"/>
    <w:pPr>
      <w:snapToGrid w:val="0"/>
      <w:spacing w:line="340" w:lineRule="exact"/>
      <w:ind w:firstLine="480" w:firstLineChars="200"/>
      <w:jc w:val="center"/>
    </w:pPr>
    <w:rPr>
      <w:rFonts w:ascii="Arial" w:hAnsi="Arial" w:cs="宋体"/>
      <w:kern w:val="0"/>
      <w:sz w:val="24"/>
      <w:lang w:eastAsia="zh-TW"/>
    </w:rPr>
  </w:style>
  <w:style w:type="character" w:customStyle="1" w:styleId="2936">
    <w:name w:val="表中文字 Char5"/>
    <w:qFormat/>
    <w:uiPriority w:val="0"/>
    <w:rPr>
      <w:rFonts w:ascii="Arial" w:hAnsi="Arial" w:eastAsia="宋体"/>
      <w:kern w:val="2"/>
      <w:sz w:val="24"/>
      <w:szCs w:val="24"/>
      <w:lang w:val="en-US" w:eastAsia="zh-TW" w:bidi="ar-SA"/>
    </w:rPr>
  </w:style>
  <w:style w:type="paragraph" w:customStyle="1" w:styleId="2937">
    <w:name w:val="样式 正文缩进 + 宋体 黑色4"/>
    <w:basedOn w:val="6"/>
    <w:qFormat/>
    <w:uiPriority w:val="0"/>
    <w:pPr>
      <w:adjustRightInd/>
      <w:snapToGrid/>
      <w:spacing w:line="360" w:lineRule="auto"/>
      <w:jc w:val="left"/>
    </w:pPr>
    <w:rPr>
      <w:rFonts w:ascii="宋体" w:hAnsi="宋体" w:eastAsia="宋体" w:cs="宋体"/>
      <w:sz w:val="24"/>
    </w:rPr>
  </w:style>
  <w:style w:type="character" w:customStyle="1" w:styleId="2938">
    <w:name w:val="样式 正文缩进 + 宋体 黑色 Char4"/>
    <w:qFormat/>
    <w:uiPriority w:val="0"/>
    <w:rPr>
      <w:rFonts w:ascii="宋体" w:hAnsi="宋体" w:eastAsia="宋体"/>
      <w:color w:val="000000"/>
      <w:kern w:val="2"/>
      <w:sz w:val="24"/>
      <w:szCs w:val="24"/>
      <w:lang w:val="en-US" w:eastAsia="zh-CN" w:bidi="ar-SA"/>
    </w:rPr>
  </w:style>
  <w:style w:type="paragraph" w:customStyle="1" w:styleId="2939">
    <w:name w:val="表内514"/>
    <w:basedOn w:val="1"/>
    <w:qFormat/>
    <w:uiPriority w:val="0"/>
    <w:pPr>
      <w:adjustRightInd w:val="0"/>
      <w:snapToGrid w:val="0"/>
      <w:jc w:val="center"/>
    </w:pPr>
    <w:rPr>
      <w:rFonts w:ascii="宋体" w:hAnsi="宋体" w:cs="宋体"/>
      <w:kern w:val="0"/>
      <w:sz w:val="24"/>
    </w:rPr>
  </w:style>
  <w:style w:type="character" w:customStyle="1" w:styleId="2940">
    <w:name w:val="表内5 Char5"/>
    <w:qFormat/>
    <w:uiPriority w:val="0"/>
    <w:rPr>
      <w:rFonts w:ascii="宋体" w:hAnsi="宋体" w:eastAsia="宋体" w:cs="Times New Roman"/>
      <w:kern w:val="2"/>
      <w:sz w:val="24"/>
      <w:szCs w:val="24"/>
      <w:lang w:val="en-US" w:eastAsia="zh-CN" w:bidi="ar-SA"/>
    </w:rPr>
  </w:style>
  <w:style w:type="paragraph" w:customStyle="1" w:styleId="2941">
    <w:name w:val="样式 样式 宋体 + 首行缩进:  2 字符14"/>
    <w:basedOn w:val="1"/>
    <w:qFormat/>
    <w:uiPriority w:val="0"/>
    <w:pPr>
      <w:spacing w:line="360" w:lineRule="auto"/>
      <w:ind w:firstLine="480" w:firstLineChars="200"/>
      <w:jc w:val="left"/>
    </w:pPr>
    <w:rPr>
      <w:rFonts w:ascii="宋体" w:hAnsi="宋体" w:cs="宋体"/>
      <w:sz w:val="24"/>
    </w:rPr>
  </w:style>
  <w:style w:type="paragraph" w:customStyle="1" w:styleId="2942">
    <w:name w:val="表内宋5中24"/>
    <w:basedOn w:val="1"/>
    <w:qFormat/>
    <w:uiPriority w:val="0"/>
    <w:pPr>
      <w:adjustRightInd w:val="0"/>
      <w:snapToGrid w:val="0"/>
      <w:jc w:val="center"/>
      <w:textAlignment w:val="baseline"/>
    </w:pPr>
    <w:rPr>
      <w:rFonts w:ascii="宋体" w:hAnsi="宋体" w:cs="宋体"/>
      <w:kern w:val="0"/>
    </w:rPr>
  </w:style>
  <w:style w:type="character" w:customStyle="1" w:styleId="2943">
    <w:name w:val="标题 5 Char11"/>
    <w:qFormat/>
    <w:uiPriority w:val="0"/>
    <w:rPr>
      <w:rFonts w:ascii="宋体" w:hAnsi="宋体" w:eastAsia="宋体" w:cs="宋体"/>
      <w:b/>
      <w:bCs/>
      <w:kern w:val="2"/>
      <w:sz w:val="28"/>
      <w:szCs w:val="28"/>
      <w:lang w:val="en-US" w:eastAsia="zh-CN" w:bidi="ar-SA"/>
    </w:rPr>
  </w:style>
  <w:style w:type="paragraph" w:customStyle="1" w:styleId="2944">
    <w:name w:val="xl634"/>
    <w:basedOn w:val="1"/>
    <w:qFormat/>
    <w:uiPriority w:val="0"/>
    <w:pPr>
      <w:widowControl/>
      <w:spacing w:before="100" w:beforeAutospacing="1" w:after="100" w:afterAutospacing="1"/>
      <w:jc w:val="center"/>
      <w:textAlignment w:val="center"/>
    </w:pPr>
    <w:rPr>
      <w:rFonts w:hint="eastAsia" w:ascii="黑体" w:hAnsi="宋体" w:eastAsia="黑体" w:cs="宋体"/>
      <w:kern w:val="0"/>
      <w:sz w:val="24"/>
    </w:rPr>
  </w:style>
  <w:style w:type="paragraph" w:customStyle="1" w:styleId="2945">
    <w:name w:val="标准4"/>
    <w:basedOn w:val="1"/>
    <w:qFormat/>
    <w:uiPriority w:val="0"/>
    <w:pPr>
      <w:adjustRightInd w:val="0"/>
      <w:spacing w:before="120" w:line="336" w:lineRule="auto"/>
      <w:jc w:val="center"/>
      <w:textAlignment w:val="baseline"/>
    </w:pPr>
    <w:rPr>
      <w:rFonts w:ascii="黑体" w:hAnsi="宋体" w:eastAsia="黑体" w:cs="宋体"/>
    </w:rPr>
  </w:style>
  <w:style w:type="paragraph" w:customStyle="1" w:styleId="2946">
    <w:name w:val="Fax Header4"/>
    <w:basedOn w:val="1"/>
    <w:qFormat/>
    <w:uiPriority w:val="0"/>
    <w:pPr>
      <w:widowControl/>
      <w:spacing w:before="240" w:after="60"/>
      <w:jc w:val="left"/>
    </w:pPr>
    <w:rPr>
      <w:rFonts w:ascii="宋体" w:hAnsi="宋体" w:cs="宋体"/>
      <w:kern w:val="0"/>
      <w:sz w:val="24"/>
    </w:rPr>
  </w:style>
  <w:style w:type="paragraph" w:customStyle="1" w:styleId="2947">
    <w:name w:val="样式 表格内字体1 +4"/>
    <w:basedOn w:val="1264"/>
    <w:next w:val="1177"/>
    <w:qFormat/>
    <w:uiPriority w:val="0"/>
    <w:rPr>
      <w:rFonts w:hAnsi="Times New Roman"/>
    </w:rPr>
  </w:style>
  <w:style w:type="paragraph" w:customStyle="1" w:styleId="2948">
    <w:name w:val="默认段落字体 Para Char34"/>
    <w:basedOn w:val="1"/>
    <w:qFormat/>
    <w:uiPriority w:val="0"/>
    <w:pPr>
      <w:spacing w:line="360" w:lineRule="auto"/>
      <w:ind w:firstLine="200" w:firstLineChars="200"/>
    </w:pPr>
    <w:rPr>
      <w:rFonts w:ascii="宋体" w:hAnsi="宋体" w:cs="宋体"/>
      <w:sz w:val="24"/>
    </w:rPr>
  </w:style>
  <w:style w:type="paragraph" w:customStyle="1" w:styleId="2949">
    <w:name w:val="正文斜体4"/>
    <w:basedOn w:val="315"/>
    <w:next w:val="315"/>
    <w:qFormat/>
    <w:uiPriority w:val="0"/>
    <w:rPr>
      <w:rFonts w:hAnsi="宋体"/>
      <w:b w:val="0"/>
      <w:i/>
      <w:iCs/>
      <w:spacing w:val="0"/>
    </w:rPr>
  </w:style>
  <w:style w:type="character" w:customStyle="1" w:styleId="2950">
    <w:name w:val="正文斜体 Char4"/>
    <w:qFormat/>
    <w:uiPriority w:val="0"/>
    <w:rPr>
      <w:rFonts w:ascii="宋体" w:hAnsi="宋体" w:eastAsia="宋体" w:cs="宋体"/>
      <w:b/>
      <w:i/>
      <w:iCs/>
      <w:spacing w:val="10"/>
      <w:kern w:val="2"/>
      <w:sz w:val="24"/>
      <w:szCs w:val="24"/>
      <w:lang w:val="en-US" w:eastAsia="zh-CN" w:bidi="ar-SA"/>
    </w:rPr>
  </w:style>
  <w:style w:type="paragraph" w:customStyle="1" w:styleId="2951">
    <w:name w:val="Char84"/>
    <w:basedOn w:val="1"/>
    <w:qFormat/>
    <w:uiPriority w:val="0"/>
    <w:pPr>
      <w:ind w:left="-48"/>
    </w:pPr>
    <w:rPr>
      <w:rFonts w:ascii="宋体" w:hAnsi="宋体" w:cs="宋体"/>
    </w:rPr>
  </w:style>
  <w:style w:type="paragraph" w:customStyle="1" w:styleId="2952">
    <w:name w:val="正文格式74"/>
    <w:basedOn w:val="1"/>
    <w:qFormat/>
    <w:uiPriority w:val="0"/>
    <w:pPr>
      <w:spacing w:line="360" w:lineRule="auto"/>
      <w:ind w:firstLine="482"/>
    </w:pPr>
    <w:rPr>
      <w:rFonts w:ascii="宋体" w:hAnsi="宋体" w:cs="宋体"/>
      <w:sz w:val="24"/>
    </w:rPr>
  </w:style>
  <w:style w:type="character" w:customStyle="1" w:styleId="2953">
    <w:name w:val="正文格式 Char71"/>
    <w:qFormat/>
    <w:uiPriority w:val="0"/>
    <w:rPr>
      <w:rFonts w:ascii="宋体" w:hAnsi="宋体" w:eastAsia="宋体"/>
      <w:kern w:val="2"/>
      <w:sz w:val="24"/>
      <w:szCs w:val="24"/>
      <w:lang w:val="en-US" w:eastAsia="zh-CN" w:bidi="ar-SA"/>
    </w:rPr>
  </w:style>
  <w:style w:type="character" w:customStyle="1" w:styleId="2954">
    <w:name w:val="标题 2 Char51"/>
    <w:qFormat/>
    <w:uiPriority w:val="0"/>
    <w:rPr>
      <w:rFonts w:ascii="黑体" w:hAnsi="Arial" w:eastAsia="黑体"/>
      <w:bCs/>
      <w:kern w:val="2"/>
      <w:sz w:val="30"/>
      <w:szCs w:val="30"/>
      <w:lang w:val="en-US" w:eastAsia="zh-CN" w:bidi="ar-SA"/>
    </w:rPr>
  </w:style>
  <w:style w:type="character" w:customStyle="1" w:styleId="2955">
    <w:name w:val="标题 3 Char101"/>
    <w:qFormat/>
    <w:uiPriority w:val="0"/>
    <w:rPr>
      <w:rFonts w:ascii="黑体" w:hAnsi="宋体" w:eastAsia="黑体"/>
      <w:b/>
      <w:bCs/>
      <w:kern w:val="2"/>
      <w:sz w:val="28"/>
      <w:szCs w:val="28"/>
      <w:lang w:val="en-US" w:eastAsia="zh-CN" w:bidi="ar-SA"/>
    </w:rPr>
  </w:style>
  <w:style w:type="character" w:customStyle="1" w:styleId="2956">
    <w:name w:val="题注 Char54"/>
    <w:qFormat/>
    <w:uiPriority w:val="0"/>
    <w:rPr>
      <w:rFonts w:ascii="黑体" w:hAnsi="Arial" w:eastAsia="黑体" w:cs="Arial"/>
      <w:spacing w:val="10"/>
      <w:kern w:val="2"/>
      <w:sz w:val="24"/>
      <w:szCs w:val="24"/>
      <w:lang w:val="en-US" w:eastAsia="zh-CN" w:bidi="ar-SA"/>
    </w:rPr>
  </w:style>
  <w:style w:type="paragraph" w:customStyle="1" w:styleId="2957">
    <w:name w:val="图题74"/>
    <w:basedOn w:val="315"/>
    <w:next w:val="315"/>
    <w:qFormat/>
    <w:uiPriority w:val="0"/>
    <w:pPr>
      <w:ind w:firstLine="0"/>
      <w:jc w:val="center"/>
    </w:pPr>
    <w:rPr>
      <w:rFonts w:ascii="黑体" w:hAnsi="宋体" w:eastAsia="黑体"/>
      <w:bCs/>
      <w:spacing w:val="0"/>
    </w:rPr>
  </w:style>
  <w:style w:type="paragraph" w:customStyle="1" w:styleId="2958">
    <w:name w:val="表格内字体74"/>
    <w:basedOn w:val="315"/>
    <w:next w:val="315"/>
    <w:qFormat/>
    <w:uiPriority w:val="0"/>
    <w:pPr>
      <w:spacing w:line="240" w:lineRule="auto"/>
      <w:ind w:firstLine="0"/>
      <w:jc w:val="center"/>
    </w:pPr>
    <w:rPr>
      <w:rFonts w:hAnsi="宋体"/>
      <w:b w:val="0"/>
      <w:spacing w:val="0"/>
      <w:sz w:val="21"/>
    </w:rPr>
  </w:style>
  <w:style w:type="character" w:customStyle="1" w:styleId="2959">
    <w:name w:val="表格内字体 Char71"/>
    <w:qFormat/>
    <w:uiPriority w:val="0"/>
    <w:rPr>
      <w:rFonts w:ascii="宋体" w:hAnsi="宋体" w:eastAsia="宋体"/>
      <w:kern w:val="2"/>
      <w:sz w:val="21"/>
      <w:szCs w:val="24"/>
      <w:lang w:val="en-US" w:eastAsia="zh-CN" w:bidi="ar-SA"/>
    </w:rPr>
  </w:style>
  <w:style w:type="paragraph" w:customStyle="1" w:styleId="2960">
    <w:name w:val="Char94"/>
    <w:basedOn w:val="1"/>
    <w:qFormat/>
    <w:uiPriority w:val="0"/>
    <w:pPr>
      <w:ind w:left="-48"/>
    </w:pPr>
    <w:rPr>
      <w:rFonts w:ascii="宋体" w:hAnsi="宋体" w:cs="宋体"/>
    </w:rPr>
  </w:style>
  <w:style w:type="character" w:customStyle="1" w:styleId="2961">
    <w:name w:val="正文缩进 Char121"/>
    <w:qFormat/>
    <w:uiPriority w:val="0"/>
    <w:rPr>
      <w:rFonts w:ascii="宋体" w:hAnsi="宋体" w:eastAsia="宋体" w:cs="宋体"/>
      <w:color w:val="000000"/>
      <w:kern w:val="2"/>
      <w:sz w:val="24"/>
      <w:szCs w:val="24"/>
      <w:lang w:val="en-US" w:eastAsia="zh-CN" w:bidi="ar-SA"/>
    </w:rPr>
  </w:style>
  <w:style w:type="character" w:customStyle="1" w:styleId="2962">
    <w:name w:val="正文文本缩进 3 Char21"/>
    <w:qFormat/>
    <w:uiPriority w:val="0"/>
    <w:rPr>
      <w:rFonts w:eastAsia="宋体"/>
      <w:kern w:val="2"/>
      <w:sz w:val="16"/>
      <w:szCs w:val="16"/>
      <w:lang w:val="en-US" w:eastAsia="zh-CN" w:bidi="ar-SA"/>
    </w:rPr>
  </w:style>
  <w:style w:type="paragraph" w:customStyle="1" w:styleId="2963">
    <w:name w:val="表题154"/>
    <w:basedOn w:val="23"/>
    <w:qFormat/>
    <w:uiPriority w:val="0"/>
    <w:pPr>
      <w:widowControl w:val="0"/>
      <w:spacing w:line="360" w:lineRule="auto"/>
      <w:jc w:val="center"/>
    </w:pPr>
    <w:rPr>
      <w:rFonts w:ascii="黑体" w:hAnsi="Arial" w:cs="Arial"/>
      <w:b/>
      <w:kern w:val="2"/>
    </w:rPr>
  </w:style>
  <w:style w:type="character" w:customStyle="1" w:styleId="2964">
    <w:name w:val="表题1 Char64"/>
    <w:qFormat/>
    <w:uiPriority w:val="0"/>
    <w:rPr>
      <w:rFonts w:ascii="黑体" w:hAnsi="Arial" w:eastAsia="黑体" w:cs="Arial"/>
      <w:b/>
      <w:kern w:val="2"/>
      <w:sz w:val="24"/>
      <w:szCs w:val="24"/>
      <w:lang w:val="en-US" w:eastAsia="zh-CN" w:bidi="ar-SA"/>
    </w:rPr>
  </w:style>
  <w:style w:type="character" w:customStyle="1" w:styleId="2965">
    <w:name w:val="Char Char45"/>
    <w:qFormat/>
    <w:uiPriority w:val="0"/>
    <w:rPr>
      <w:rFonts w:ascii="黑体" w:hAnsi="Arial" w:eastAsia="黑体"/>
      <w:b/>
      <w:bCs/>
      <w:kern w:val="2"/>
      <w:sz w:val="30"/>
      <w:szCs w:val="30"/>
      <w:lang w:val="en-US" w:eastAsia="zh-CN" w:bidi="ar-SA"/>
    </w:rPr>
  </w:style>
  <w:style w:type="paragraph" w:customStyle="1" w:styleId="2966">
    <w:name w:val="燕山正文44"/>
    <w:basedOn w:val="1"/>
    <w:qFormat/>
    <w:uiPriority w:val="0"/>
    <w:pPr>
      <w:tabs>
        <w:tab w:val="left" w:pos="4680"/>
      </w:tabs>
      <w:adjustRightInd w:val="0"/>
      <w:snapToGrid w:val="0"/>
      <w:spacing w:line="480" w:lineRule="exact"/>
    </w:pPr>
    <w:rPr>
      <w:rFonts w:ascii="宋体" w:hAnsi="宋体" w:cs="宋体"/>
      <w:sz w:val="24"/>
    </w:rPr>
  </w:style>
  <w:style w:type="character" w:customStyle="1" w:styleId="2967">
    <w:name w:val="燕山正文 Char141"/>
    <w:qFormat/>
    <w:uiPriority w:val="0"/>
    <w:rPr>
      <w:rFonts w:ascii="宋体" w:eastAsia="宋体" w:cs="宋体"/>
      <w:kern w:val="2"/>
      <w:sz w:val="24"/>
      <w:szCs w:val="24"/>
      <w:lang w:val="en-US" w:eastAsia="zh-CN" w:bidi="ar-SA"/>
    </w:rPr>
  </w:style>
  <w:style w:type="paragraph" w:customStyle="1" w:styleId="2968">
    <w:name w:val="正文修改44"/>
    <w:basedOn w:val="1180"/>
    <w:qFormat/>
    <w:uiPriority w:val="0"/>
    <w:rPr>
      <w:rFonts w:hAnsi="宋体"/>
      <w:color w:val="000000"/>
    </w:rPr>
  </w:style>
  <w:style w:type="character" w:customStyle="1" w:styleId="2969">
    <w:name w:val="正文修改 Char144"/>
    <w:basedOn w:val="1181"/>
    <w:qFormat/>
    <w:uiPriority w:val="0"/>
  </w:style>
  <w:style w:type="paragraph" w:customStyle="1" w:styleId="2970">
    <w:name w:val="表中文字54"/>
    <w:basedOn w:val="1"/>
    <w:qFormat/>
    <w:uiPriority w:val="0"/>
    <w:pPr>
      <w:widowControl/>
      <w:spacing w:line="240" w:lineRule="atLeast"/>
      <w:ind w:left="-24" w:leftChars="-10" w:right="-48" w:rightChars="-20"/>
      <w:jc w:val="center"/>
    </w:pPr>
    <w:rPr>
      <w:rFonts w:ascii="宋体" w:hAnsi="宋体" w:cs="宋体"/>
      <w:kern w:val="0"/>
      <w:szCs w:val="21"/>
    </w:rPr>
  </w:style>
  <w:style w:type="character" w:customStyle="1" w:styleId="2971">
    <w:name w:val="表中文字 Char241"/>
    <w:qFormat/>
    <w:uiPriority w:val="0"/>
    <w:rPr>
      <w:rFonts w:ascii="宋体" w:eastAsia="宋体"/>
      <w:kern w:val="2"/>
      <w:sz w:val="21"/>
      <w:szCs w:val="21"/>
      <w:lang w:val="en-US" w:eastAsia="zh-CN" w:bidi="ar-SA"/>
    </w:rPr>
  </w:style>
  <w:style w:type="paragraph" w:customStyle="1" w:styleId="2972">
    <w:name w:val="默认段落字体 Para Char Char Char Char54"/>
    <w:basedOn w:val="1"/>
    <w:qFormat/>
    <w:uiPriority w:val="0"/>
    <w:rPr>
      <w:rFonts w:ascii="宋体" w:hAnsi="宋体" w:cs="宋体"/>
    </w:rPr>
  </w:style>
  <w:style w:type="paragraph" w:customStyle="1" w:styleId="2973">
    <w:name w:val="Char104"/>
    <w:basedOn w:val="1"/>
    <w:qFormat/>
    <w:uiPriority w:val="0"/>
    <w:pPr>
      <w:adjustRightInd w:val="0"/>
      <w:snapToGrid w:val="0"/>
      <w:spacing w:line="360" w:lineRule="auto"/>
    </w:pPr>
    <w:rPr>
      <w:rFonts w:ascii="宋体" w:hAnsi="宋体" w:cs="宋体"/>
    </w:rPr>
  </w:style>
  <w:style w:type="paragraph" w:customStyle="1" w:styleId="2974">
    <w:name w:val="封面标准文稿编辑信息4"/>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975">
    <w:name w:val="样式 表内小5 + 黑体 加粗 倾斜 下划线4"/>
    <w:basedOn w:val="1"/>
    <w:qFormat/>
    <w:uiPriority w:val="0"/>
    <w:pPr>
      <w:adjustRightInd w:val="0"/>
      <w:snapToGrid w:val="0"/>
      <w:spacing w:line="300" w:lineRule="auto"/>
      <w:jc w:val="left"/>
    </w:pPr>
    <w:rPr>
      <w:rFonts w:ascii="黑体" w:hAnsi="黑体" w:eastAsia="黑体" w:cs="宋体"/>
      <w:b/>
      <w:bCs/>
      <w:i/>
      <w:iCs/>
      <w:sz w:val="18"/>
      <w:u w:val="single"/>
    </w:rPr>
  </w:style>
  <w:style w:type="character" w:customStyle="1" w:styleId="2976">
    <w:name w:val="样式 表内小5 + 黑体 加粗 倾斜 下划线 Char4"/>
    <w:qFormat/>
    <w:uiPriority w:val="0"/>
    <w:rPr>
      <w:rFonts w:ascii="黑体" w:hAnsi="黑体" w:eastAsia="黑体"/>
      <w:b/>
      <w:bCs/>
      <w:i/>
      <w:iCs/>
      <w:kern w:val="2"/>
      <w:sz w:val="18"/>
      <w:szCs w:val="24"/>
      <w:u w:val="single"/>
      <w:lang w:val="en-US" w:eastAsia="zh-CN" w:bidi="ar-SA"/>
    </w:rPr>
  </w:style>
  <w:style w:type="paragraph" w:customStyle="1" w:styleId="2977">
    <w:name w:val="表内5中14"/>
    <w:basedOn w:val="1"/>
    <w:qFormat/>
    <w:uiPriority w:val="0"/>
    <w:pPr>
      <w:adjustRightInd w:val="0"/>
      <w:snapToGrid w:val="0"/>
      <w:jc w:val="center"/>
    </w:pPr>
    <w:rPr>
      <w:rFonts w:ascii="宋体" w:hAnsi="宋体" w:cs="Arial"/>
      <w:snapToGrid w:val="0"/>
      <w:color w:val="000000"/>
      <w:szCs w:val="21"/>
    </w:rPr>
  </w:style>
  <w:style w:type="paragraph" w:customStyle="1" w:styleId="2978">
    <w:name w:val="表内54144"/>
    <w:basedOn w:val="1"/>
    <w:qFormat/>
    <w:uiPriority w:val="0"/>
    <w:pPr>
      <w:adjustRightInd w:val="0"/>
      <w:snapToGrid w:val="0"/>
      <w:spacing w:line="300" w:lineRule="auto"/>
      <w:jc w:val="center"/>
    </w:pPr>
    <w:rPr>
      <w:rFonts w:ascii="宋体" w:hAnsi="宋体" w:cs="宋体"/>
    </w:rPr>
  </w:style>
  <w:style w:type="paragraph" w:customStyle="1" w:styleId="2979">
    <w:name w:val="表格14"/>
    <w:basedOn w:val="1"/>
    <w:qFormat/>
    <w:uiPriority w:val="0"/>
    <w:pPr>
      <w:adjustRightInd w:val="0"/>
      <w:jc w:val="center"/>
      <w:textAlignment w:val="baseline"/>
    </w:pPr>
    <w:rPr>
      <w:rFonts w:ascii="宋体" w:hAnsi="宋体" w:cs="宋体"/>
      <w:kern w:val="0"/>
      <w:sz w:val="24"/>
    </w:rPr>
  </w:style>
  <w:style w:type="paragraph" w:customStyle="1" w:styleId="2980">
    <w:name w:val="c4"/>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981">
    <w:name w:val="表题94"/>
    <w:basedOn w:val="46"/>
    <w:qFormat/>
    <w:uiPriority w:val="0"/>
    <w:pPr>
      <w:widowControl w:val="0"/>
      <w:adjustRightInd w:val="0"/>
      <w:snapToGrid w:val="0"/>
      <w:spacing w:line="300" w:lineRule="auto"/>
      <w:jc w:val="center"/>
    </w:pPr>
    <w:rPr>
      <w:rFonts w:ascii="黑体" w:eastAsia="黑体" w:cs="Times New Roman"/>
      <w:kern w:val="2"/>
      <w:szCs w:val="20"/>
    </w:rPr>
  </w:style>
  <w:style w:type="character" w:customStyle="1" w:styleId="2982">
    <w:name w:val="正文缩进 Char61"/>
    <w:qFormat/>
    <w:uiPriority w:val="0"/>
    <w:rPr>
      <w:rFonts w:ascii="宋体" w:hAnsi="宋体" w:eastAsia="宋体"/>
      <w:kern w:val="2"/>
      <w:sz w:val="24"/>
      <w:szCs w:val="24"/>
      <w:lang w:val="en-US" w:eastAsia="zh-CN" w:bidi="ar-SA"/>
    </w:rPr>
  </w:style>
  <w:style w:type="paragraph" w:customStyle="1" w:styleId="2983">
    <w:name w:val="福建正文缩进4"/>
    <w:basedOn w:val="6"/>
    <w:qFormat/>
    <w:uiPriority w:val="0"/>
    <w:pPr>
      <w:widowControl/>
      <w:tabs>
        <w:tab w:val="left" w:pos="5837"/>
      </w:tabs>
      <w:spacing w:line="480" w:lineRule="exact"/>
      <w:ind w:firstLine="0" w:firstLineChars="0"/>
    </w:pPr>
    <w:rPr>
      <w:rFonts w:ascii="宋体" w:hAnsi="宋体" w:eastAsia="宋体" w:cs="宋体"/>
      <w:kern w:val="0"/>
      <w:sz w:val="24"/>
    </w:rPr>
  </w:style>
  <w:style w:type="character" w:customStyle="1" w:styleId="2984">
    <w:name w:val="福建正文缩进 Char4"/>
    <w:qFormat/>
    <w:uiPriority w:val="0"/>
    <w:rPr>
      <w:rFonts w:ascii="宋体" w:hAnsi="宋体" w:eastAsia="宋体" w:cs="宋体"/>
      <w:color w:val="000000"/>
      <w:kern w:val="2"/>
      <w:sz w:val="24"/>
      <w:szCs w:val="24"/>
      <w:lang w:val="en-US" w:eastAsia="zh-CN" w:bidi="ar-SA"/>
    </w:rPr>
  </w:style>
  <w:style w:type="paragraph" w:customStyle="1" w:styleId="2985">
    <w:name w:val="表内文字小15"/>
    <w:basedOn w:val="1"/>
    <w:qFormat/>
    <w:uiPriority w:val="0"/>
    <w:pPr>
      <w:adjustRightInd w:val="0"/>
      <w:snapToGrid w:val="0"/>
      <w:jc w:val="center"/>
    </w:pPr>
    <w:rPr>
      <w:rFonts w:ascii="宋体" w:hAnsi="Times" w:cs="宋体"/>
    </w:rPr>
  </w:style>
  <w:style w:type="paragraph" w:customStyle="1" w:styleId="2986">
    <w:name w:val="表内594"/>
    <w:basedOn w:val="1"/>
    <w:qFormat/>
    <w:uiPriority w:val="0"/>
    <w:pPr>
      <w:adjustRightInd w:val="0"/>
      <w:snapToGrid w:val="0"/>
      <w:spacing w:line="300" w:lineRule="auto"/>
      <w:jc w:val="center"/>
    </w:pPr>
    <w:rPr>
      <w:rFonts w:ascii="宋体" w:hAnsi="宋体" w:cs="宋体"/>
      <w:snapToGrid w:val="0"/>
      <w:szCs w:val="21"/>
    </w:rPr>
  </w:style>
  <w:style w:type="character" w:customStyle="1" w:styleId="2987">
    <w:name w:val="Char Char102"/>
    <w:qFormat/>
    <w:uiPriority w:val="0"/>
    <w:rPr>
      <w:rFonts w:ascii="宋体" w:hAnsi="宋体" w:eastAsia="宋体" w:cs="宋体"/>
      <w:color w:val="000000"/>
      <w:kern w:val="2"/>
      <w:sz w:val="24"/>
      <w:szCs w:val="24"/>
      <w:lang w:val="en-US" w:eastAsia="zh-CN" w:bidi="ar-SA"/>
    </w:rPr>
  </w:style>
  <w:style w:type="paragraph" w:customStyle="1" w:styleId="2988">
    <w:name w:val="表内小5中4"/>
    <w:basedOn w:val="1"/>
    <w:qFormat/>
    <w:uiPriority w:val="0"/>
    <w:pPr>
      <w:adjustRightInd w:val="0"/>
      <w:snapToGrid w:val="0"/>
      <w:jc w:val="center"/>
    </w:pPr>
    <w:rPr>
      <w:rFonts w:ascii="宋体" w:hAnsi="宋体" w:cs="宋体"/>
      <w:sz w:val="18"/>
    </w:rPr>
  </w:style>
  <w:style w:type="paragraph" w:customStyle="1" w:styleId="2989">
    <w:name w:val="表内5中44"/>
    <w:basedOn w:val="1"/>
    <w:qFormat/>
    <w:uiPriority w:val="0"/>
    <w:pPr>
      <w:adjustRightInd w:val="0"/>
      <w:snapToGrid w:val="0"/>
      <w:jc w:val="center"/>
    </w:pPr>
    <w:rPr>
      <w:rFonts w:ascii="宋体" w:hAnsi="宋体" w:cs="宋体"/>
      <w:bCs/>
    </w:rPr>
  </w:style>
  <w:style w:type="paragraph" w:customStyle="1" w:styleId="2990">
    <w:name w:val="默认段落字体 Para Char44"/>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2991">
    <w:name w:val="燕山正文134"/>
    <w:basedOn w:val="1"/>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character" w:customStyle="1" w:styleId="2992">
    <w:name w:val="批注框文本 Char41"/>
    <w:qFormat/>
    <w:uiPriority w:val="0"/>
    <w:rPr>
      <w:rFonts w:eastAsia="宋体"/>
      <w:kern w:val="2"/>
      <w:sz w:val="18"/>
      <w:szCs w:val="18"/>
      <w:lang w:val="en-US" w:eastAsia="zh-CN" w:bidi="ar-SA"/>
    </w:rPr>
  </w:style>
  <w:style w:type="paragraph" w:customStyle="1" w:styleId="2993">
    <w:name w:val="样式 标题 4无效格式无效格式1河石管道4H4H41小小节河石管道41H42H411小小节1河石管道42...5"/>
    <w:basedOn w:val="8"/>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2994">
    <w:name w:val="样式 标题 4无效格式无效格式1河石管道4H4H41小小节河石管道41H42H411小小节1河石管道42...14"/>
    <w:basedOn w:val="8"/>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2995">
    <w:name w:val="正文格式85"/>
    <w:basedOn w:val="1"/>
    <w:qFormat/>
    <w:uiPriority w:val="0"/>
    <w:pPr>
      <w:spacing w:line="360" w:lineRule="auto"/>
      <w:ind w:firstLine="482"/>
    </w:pPr>
    <w:rPr>
      <w:rFonts w:ascii="宋体" w:hAnsi="宋体" w:cs="宋体"/>
      <w:sz w:val="24"/>
    </w:rPr>
  </w:style>
  <w:style w:type="character" w:customStyle="1" w:styleId="2996">
    <w:name w:val="正文格式 Char81"/>
    <w:qFormat/>
    <w:uiPriority w:val="0"/>
    <w:rPr>
      <w:rFonts w:ascii="宋体" w:hAnsi="宋体" w:eastAsia="宋体"/>
      <w:kern w:val="2"/>
      <w:sz w:val="24"/>
      <w:szCs w:val="24"/>
      <w:lang w:val="en-US" w:eastAsia="zh-CN" w:bidi="ar-SA"/>
    </w:rPr>
  </w:style>
  <w:style w:type="paragraph" w:customStyle="1" w:styleId="2997">
    <w:name w:val="正文格式94"/>
    <w:basedOn w:val="1"/>
    <w:qFormat/>
    <w:uiPriority w:val="0"/>
    <w:pPr>
      <w:spacing w:line="360" w:lineRule="auto"/>
      <w:ind w:firstLine="482"/>
    </w:pPr>
    <w:rPr>
      <w:rFonts w:ascii="宋体" w:hAnsi="宋体" w:cs="宋体"/>
      <w:sz w:val="24"/>
    </w:rPr>
  </w:style>
  <w:style w:type="character" w:customStyle="1" w:styleId="2998">
    <w:name w:val="正文格式 Char91"/>
    <w:qFormat/>
    <w:uiPriority w:val="0"/>
    <w:rPr>
      <w:rFonts w:ascii="宋体" w:hAnsi="宋体" w:eastAsia="宋体"/>
      <w:kern w:val="2"/>
      <w:sz w:val="24"/>
      <w:szCs w:val="24"/>
      <w:lang w:val="en-US" w:eastAsia="zh-CN" w:bidi="ar-SA"/>
    </w:rPr>
  </w:style>
  <w:style w:type="character" w:customStyle="1" w:styleId="2999">
    <w:name w:val="标题 3 Char111"/>
    <w:qFormat/>
    <w:uiPriority w:val="0"/>
    <w:rPr>
      <w:rFonts w:ascii="黑体" w:hAnsi="宋体" w:eastAsia="黑体"/>
      <w:b/>
      <w:bCs/>
      <w:kern w:val="2"/>
      <w:sz w:val="28"/>
      <w:szCs w:val="28"/>
      <w:lang w:val="en-US" w:eastAsia="zh-CN" w:bidi="ar-SA"/>
    </w:rPr>
  </w:style>
  <w:style w:type="paragraph" w:customStyle="1" w:styleId="3000">
    <w:name w:val="Char413"/>
    <w:basedOn w:val="1"/>
    <w:qFormat/>
    <w:uiPriority w:val="0"/>
    <w:pPr>
      <w:ind w:left="-48"/>
    </w:pPr>
    <w:rPr>
      <w:rFonts w:ascii="宋体" w:hAnsi="宋体" w:cs="宋体"/>
    </w:rPr>
  </w:style>
  <w:style w:type="paragraph" w:customStyle="1" w:styleId="3001">
    <w:name w:val="Char Char Char Char Char Char Char28"/>
    <w:basedOn w:val="1"/>
    <w:qFormat/>
    <w:uiPriority w:val="0"/>
    <w:rPr>
      <w:rFonts w:ascii="宋体" w:hAnsi="宋体" w:cs="宋体"/>
    </w:rPr>
  </w:style>
  <w:style w:type="paragraph" w:customStyle="1" w:styleId="3002">
    <w:name w:val="Char50"/>
    <w:basedOn w:val="1"/>
    <w:qFormat/>
    <w:uiPriority w:val="0"/>
    <w:pPr>
      <w:ind w:left="-48"/>
    </w:pPr>
    <w:rPr>
      <w:rFonts w:ascii="宋体" w:hAnsi="宋体" w:cs="宋体"/>
    </w:rPr>
  </w:style>
  <w:style w:type="character" w:customStyle="1" w:styleId="3003">
    <w:name w:val="Char Char46"/>
    <w:qFormat/>
    <w:uiPriority w:val="0"/>
    <w:rPr>
      <w:rFonts w:ascii="黑体" w:hAnsi="Arial" w:eastAsia="黑体"/>
      <w:b/>
      <w:bCs/>
      <w:kern w:val="2"/>
      <w:sz w:val="30"/>
      <w:szCs w:val="30"/>
      <w:lang w:val="en-US" w:eastAsia="zh-CN" w:bidi="ar-SA"/>
    </w:rPr>
  </w:style>
  <w:style w:type="character" w:customStyle="1" w:styleId="3004">
    <w:name w:val="Char Char34"/>
    <w:qFormat/>
    <w:uiPriority w:val="0"/>
    <w:rPr>
      <w:rFonts w:ascii="黑体" w:hAnsi="宋体" w:eastAsia="黑体"/>
      <w:b/>
      <w:bCs/>
      <w:kern w:val="2"/>
      <w:sz w:val="28"/>
      <w:szCs w:val="28"/>
      <w:lang w:val="en-US" w:eastAsia="zh-CN" w:bidi="ar-SA"/>
    </w:rPr>
  </w:style>
  <w:style w:type="paragraph" w:customStyle="1" w:styleId="3005">
    <w:name w:val="Char Char Char Char1 Char Char Char8"/>
    <w:basedOn w:val="1"/>
    <w:qFormat/>
    <w:uiPriority w:val="0"/>
    <w:pPr>
      <w:widowControl/>
      <w:spacing w:after="160"/>
      <w:jc w:val="left"/>
    </w:pPr>
    <w:rPr>
      <w:rFonts w:ascii="Verdana" w:hAnsi="Verdana" w:cs="宋体"/>
      <w:kern w:val="0"/>
      <w:sz w:val="24"/>
      <w:lang w:eastAsia="en-US"/>
    </w:rPr>
  </w:style>
  <w:style w:type="character" w:customStyle="1" w:styleId="3006">
    <w:name w:val="Char Char119"/>
    <w:qFormat/>
    <w:uiPriority w:val="0"/>
    <w:rPr>
      <w:rFonts w:ascii="黑体" w:hAnsi="Arial" w:eastAsia="黑体"/>
      <w:bCs/>
      <w:kern w:val="2"/>
      <w:sz w:val="30"/>
      <w:szCs w:val="30"/>
      <w:lang w:val="en-US" w:eastAsia="zh-CN" w:bidi="ar-SA"/>
    </w:rPr>
  </w:style>
  <w:style w:type="character" w:customStyle="1" w:styleId="3007">
    <w:name w:val="Char Char54"/>
    <w:qFormat/>
    <w:uiPriority w:val="0"/>
    <w:rPr>
      <w:rFonts w:ascii="黑体" w:hAnsi="宋体" w:eastAsia="黑体"/>
      <w:bCs/>
      <w:kern w:val="2"/>
      <w:sz w:val="28"/>
      <w:szCs w:val="28"/>
      <w:lang w:val="en-US" w:eastAsia="zh-CN" w:bidi="ar-SA"/>
    </w:rPr>
  </w:style>
  <w:style w:type="paragraph" w:customStyle="1" w:styleId="3008">
    <w:name w:val="Char119"/>
    <w:basedOn w:val="1"/>
    <w:qFormat/>
    <w:uiPriority w:val="0"/>
    <w:pPr>
      <w:ind w:left="-48"/>
    </w:pPr>
    <w:rPr>
      <w:rFonts w:ascii="宋体" w:hAnsi="宋体" w:cs="宋体"/>
    </w:rPr>
  </w:style>
  <w:style w:type="paragraph" w:customStyle="1" w:styleId="3009">
    <w:name w:val="Char Char Char Char Char Char Char114"/>
    <w:basedOn w:val="1"/>
    <w:qFormat/>
    <w:uiPriority w:val="0"/>
    <w:rPr>
      <w:rFonts w:ascii="宋体" w:hAnsi="宋体" w:cs="宋体"/>
    </w:rPr>
  </w:style>
  <w:style w:type="character" w:customStyle="1" w:styleId="3010">
    <w:name w:val="Char Char214"/>
    <w:qFormat/>
    <w:uiPriority w:val="0"/>
    <w:rPr>
      <w:rFonts w:ascii="黑体" w:eastAsia="宋体"/>
      <w:kern w:val="2"/>
      <w:sz w:val="16"/>
      <w:szCs w:val="16"/>
      <w:lang w:val="en-US" w:eastAsia="zh-CN" w:bidi="ar-SA"/>
    </w:rPr>
  </w:style>
  <w:style w:type="character" w:customStyle="1" w:styleId="3011">
    <w:name w:val="Char Char124"/>
    <w:qFormat/>
    <w:uiPriority w:val="0"/>
    <w:rPr>
      <w:rFonts w:ascii="黑体" w:hAnsi="Arial" w:eastAsia="黑体"/>
      <w:b/>
      <w:bCs/>
      <w:kern w:val="2"/>
      <w:sz w:val="30"/>
      <w:szCs w:val="30"/>
      <w:lang w:val="en-US" w:eastAsia="zh-CN" w:bidi="ar-SA"/>
    </w:rPr>
  </w:style>
  <w:style w:type="character" w:customStyle="1" w:styleId="3012">
    <w:name w:val="Char Char69"/>
    <w:qFormat/>
    <w:uiPriority w:val="0"/>
    <w:rPr>
      <w:rFonts w:ascii="黑体" w:eastAsia="黑体"/>
      <w:b/>
      <w:bCs/>
      <w:kern w:val="2"/>
      <w:sz w:val="28"/>
      <w:szCs w:val="28"/>
      <w:lang w:val="en-US" w:eastAsia="zh-CN" w:bidi="ar-SA"/>
    </w:rPr>
  </w:style>
  <w:style w:type="paragraph" w:customStyle="1" w:styleId="3013">
    <w:name w:val="Char215"/>
    <w:basedOn w:val="1"/>
    <w:qFormat/>
    <w:uiPriority w:val="0"/>
    <w:pPr>
      <w:ind w:left="-48"/>
    </w:pPr>
    <w:rPr>
      <w:rFonts w:ascii="宋体" w:hAnsi="宋体" w:cs="宋体"/>
    </w:rPr>
  </w:style>
  <w:style w:type="paragraph" w:customStyle="1" w:styleId="3014">
    <w:name w:val="Char314"/>
    <w:basedOn w:val="1"/>
    <w:qFormat/>
    <w:uiPriority w:val="0"/>
    <w:pPr>
      <w:ind w:left="-48"/>
    </w:pPr>
    <w:rPr>
      <w:rFonts w:ascii="宋体" w:hAnsi="宋体" w:cs="宋体"/>
    </w:rPr>
  </w:style>
  <w:style w:type="paragraph" w:customStyle="1" w:styleId="3015">
    <w:name w:val="Char Char Char Char Char Char Char29"/>
    <w:basedOn w:val="1"/>
    <w:qFormat/>
    <w:uiPriority w:val="0"/>
    <w:rPr>
      <w:rFonts w:ascii="宋体" w:hAnsi="宋体" w:cs="宋体"/>
    </w:rPr>
  </w:style>
  <w:style w:type="paragraph" w:customStyle="1" w:styleId="3016">
    <w:name w:val="Char414"/>
    <w:basedOn w:val="1"/>
    <w:qFormat/>
    <w:uiPriority w:val="0"/>
    <w:pPr>
      <w:ind w:left="-48"/>
    </w:pPr>
    <w:rPr>
      <w:rFonts w:ascii="宋体" w:hAnsi="宋体" w:cs="宋体"/>
    </w:rPr>
  </w:style>
  <w:style w:type="paragraph" w:customStyle="1" w:styleId="3017">
    <w:name w:val="Char Char Char Char Char Char Char30"/>
    <w:basedOn w:val="1"/>
    <w:qFormat/>
    <w:uiPriority w:val="0"/>
    <w:rPr>
      <w:rFonts w:ascii="宋体" w:hAnsi="宋体" w:cs="宋体"/>
    </w:rPr>
  </w:style>
  <w:style w:type="paragraph" w:customStyle="1" w:styleId="3018">
    <w:name w:val="Char55"/>
    <w:basedOn w:val="1"/>
    <w:qFormat/>
    <w:uiPriority w:val="0"/>
    <w:pPr>
      <w:ind w:left="-48"/>
    </w:pPr>
    <w:rPr>
      <w:rFonts w:ascii="宋体" w:hAnsi="宋体" w:cs="宋体"/>
    </w:rPr>
  </w:style>
  <w:style w:type="character" w:customStyle="1" w:styleId="3019">
    <w:name w:val="Char Char47"/>
    <w:qFormat/>
    <w:uiPriority w:val="0"/>
    <w:rPr>
      <w:rFonts w:ascii="黑体" w:hAnsi="Arial" w:eastAsia="黑体"/>
      <w:b/>
      <w:bCs/>
      <w:kern w:val="2"/>
      <w:sz w:val="30"/>
      <w:szCs w:val="30"/>
      <w:lang w:val="en-US" w:eastAsia="zh-CN" w:bidi="ar-SA"/>
    </w:rPr>
  </w:style>
  <w:style w:type="character" w:customStyle="1" w:styleId="3020">
    <w:name w:val="Char Char35"/>
    <w:qFormat/>
    <w:uiPriority w:val="0"/>
    <w:rPr>
      <w:rFonts w:ascii="黑体" w:hAnsi="宋体" w:eastAsia="黑体"/>
      <w:b/>
      <w:bCs/>
      <w:kern w:val="2"/>
      <w:sz w:val="28"/>
      <w:szCs w:val="28"/>
      <w:lang w:val="en-US" w:eastAsia="zh-CN" w:bidi="ar-SA"/>
    </w:rPr>
  </w:style>
  <w:style w:type="paragraph" w:customStyle="1" w:styleId="3021">
    <w:name w:val="Char Char Char Char1 Char Char Char9"/>
    <w:basedOn w:val="1"/>
    <w:qFormat/>
    <w:uiPriority w:val="0"/>
    <w:pPr>
      <w:widowControl/>
      <w:spacing w:after="160"/>
      <w:jc w:val="left"/>
    </w:pPr>
    <w:rPr>
      <w:rFonts w:ascii="Verdana" w:hAnsi="Verdana" w:cs="宋体"/>
      <w:kern w:val="0"/>
      <w:sz w:val="24"/>
      <w:lang w:eastAsia="en-US"/>
    </w:rPr>
  </w:style>
  <w:style w:type="character" w:customStyle="1" w:styleId="3022">
    <w:name w:val="Char Char1110"/>
    <w:qFormat/>
    <w:uiPriority w:val="0"/>
    <w:rPr>
      <w:rFonts w:ascii="黑体" w:hAnsi="Arial" w:eastAsia="黑体"/>
      <w:bCs/>
      <w:kern w:val="2"/>
      <w:sz w:val="30"/>
      <w:szCs w:val="30"/>
      <w:lang w:val="en-US" w:eastAsia="zh-CN" w:bidi="ar-SA"/>
    </w:rPr>
  </w:style>
  <w:style w:type="character" w:customStyle="1" w:styleId="3023">
    <w:name w:val="Char Char55"/>
    <w:qFormat/>
    <w:uiPriority w:val="0"/>
    <w:rPr>
      <w:rFonts w:ascii="黑体" w:hAnsi="宋体" w:eastAsia="黑体"/>
      <w:bCs/>
      <w:kern w:val="2"/>
      <w:sz w:val="28"/>
      <w:szCs w:val="28"/>
      <w:lang w:val="en-US" w:eastAsia="zh-CN" w:bidi="ar-SA"/>
    </w:rPr>
  </w:style>
  <w:style w:type="paragraph" w:customStyle="1" w:styleId="3024">
    <w:name w:val="Char120"/>
    <w:basedOn w:val="1"/>
    <w:qFormat/>
    <w:uiPriority w:val="0"/>
    <w:pPr>
      <w:ind w:left="-48"/>
    </w:pPr>
    <w:rPr>
      <w:rFonts w:ascii="宋体" w:hAnsi="宋体" w:cs="宋体"/>
    </w:rPr>
  </w:style>
  <w:style w:type="paragraph" w:customStyle="1" w:styleId="3025">
    <w:name w:val="Char Char Char Char Char Char Char115"/>
    <w:basedOn w:val="1"/>
    <w:qFormat/>
    <w:uiPriority w:val="0"/>
    <w:rPr>
      <w:rFonts w:ascii="宋体" w:hAnsi="宋体" w:cs="宋体"/>
    </w:rPr>
  </w:style>
  <w:style w:type="character" w:customStyle="1" w:styleId="3026">
    <w:name w:val="Char Char215"/>
    <w:qFormat/>
    <w:uiPriority w:val="0"/>
    <w:rPr>
      <w:rFonts w:ascii="黑体" w:eastAsia="宋体"/>
      <w:kern w:val="2"/>
      <w:sz w:val="16"/>
      <w:szCs w:val="16"/>
      <w:lang w:val="en-US" w:eastAsia="zh-CN" w:bidi="ar-SA"/>
    </w:rPr>
  </w:style>
  <w:style w:type="character" w:customStyle="1" w:styleId="3027">
    <w:name w:val="Char Char125"/>
    <w:qFormat/>
    <w:uiPriority w:val="0"/>
    <w:rPr>
      <w:rFonts w:ascii="黑体" w:hAnsi="Arial" w:eastAsia="黑体"/>
      <w:b/>
      <w:bCs/>
      <w:kern w:val="2"/>
      <w:sz w:val="30"/>
      <w:szCs w:val="30"/>
      <w:lang w:val="en-US" w:eastAsia="zh-CN" w:bidi="ar-SA"/>
    </w:rPr>
  </w:style>
  <w:style w:type="character" w:customStyle="1" w:styleId="3028">
    <w:name w:val="Char Char610"/>
    <w:qFormat/>
    <w:uiPriority w:val="0"/>
    <w:rPr>
      <w:rFonts w:ascii="黑体" w:eastAsia="黑体"/>
      <w:b/>
      <w:bCs/>
      <w:kern w:val="2"/>
      <w:sz w:val="28"/>
      <w:szCs w:val="28"/>
      <w:lang w:val="en-US" w:eastAsia="zh-CN" w:bidi="ar-SA"/>
    </w:rPr>
  </w:style>
  <w:style w:type="paragraph" w:customStyle="1" w:styleId="3029">
    <w:name w:val="Char216"/>
    <w:basedOn w:val="1"/>
    <w:qFormat/>
    <w:uiPriority w:val="0"/>
    <w:pPr>
      <w:ind w:left="-48"/>
    </w:pPr>
    <w:rPr>
      <w:rFonts w:ascii="宋体" w:hAnsi="宋体" w:cs="宋体"/>
    </w:rPr>
  </w:style>
  <w:style w:type="paragraph" w:customStyle="1" w:styleId="3030">
    <w:name w:val="Char315"/>
    <w:basedOn w:val="1"/>
    <w:qFormat/>
    <w:uiPriority w:val="0"/>
    <w:pPr>
      <w:ind w:left="-48"/>
    </w:pPr>
    <w:rPr>
      <w:rFonts w:ascii="宋体" w:hAnsi="宋体" w:cs="宋体"/>
    </w:rPr>
  </w:style>
  <w:style w:type="paragraph" w:customStyle="1" w:styleId="3031">
    <w:name w:val="Char Char Char Char Char Char Char210"/>
    <w:basedOn w:val="1"/>
    <w:qFormat/>
    <w:uiPriority w:val="0"/>
    <w:rPr>
      <w:rFonts w:ascii="宋体" w:hAnsi="宋体" w:cs="宋体"/>
    </w:rPr>
  </w:style>
  <w:style w:type="paragraph" w:customStyle="1" w:styleId="3032">
    <w:name w:val="Char415"/>
    <w:basedOn w:val="1"/>
    <w:qFormat/>
    <w:uiPriority w:val="0"/>
    <w:pPr>
      <w:ind w:left="-48"/>
    </w:pPr>
    <w:rPr>
      <w:rFonts w:ascii="宋体" w:hAnsi="宋体" w:cs="宋体"/>
    </w:rPr>
  </w:style>
  <w:style w:type="paragraph" w:customStyle="1" w:styleId="3033">
    <w:name w:val="Char Char Char Char Char Char Char33"/>
    <w:basedOn w:val="1"/>
    <w:qFormat/>
    <w:uiPriority w:val="0"/>
    <w:rPr>
      <w:rFonts w:ascii="宋体" w:hAnsi="宋体" w:cs="宋体"/>
    </w:rPr>
  </w:style>
  <w:style w:type="paragraph" w:customStyle="1" w:styleId="3034">
    <w:name w:val="Char56"/>
    <w:basedOn w:val="1"/>
    <w:qFormat/>
    <w:uiPriority w:val="0"/>
    <w:pPr>
      <w:ind w:left="-48"/>
    </w:pPr>
    <w:rPr>
      <w:rFonts w:ascii="宋体" w:hAnsi="宋体" w:cs="宋体"/>
    </w:rPr>
  </w:style>
  <w:style w:type="character" w:customStyle="1" w:styleId="3035">
    <w:name w:val="Char Char48"/>
    <w:qFormat/>
    <w:uiPriority w:val="0"/>
    <w:rPr>
      <w:rFonts w:ascii="黑体" w:hAnsi="Arial" w:eastAsia="黑体"/>
      <w:b/>
      <w:bCs/>
      <w:kern w:val="2"/>
      <w:sz w:val="30"/>
      <w:szCs w:val="30"/>
      <w:lang w:val="en-US" w:eastAsia="zh-CN" w:bidi="ar-SA"/>
    </w:rPr>
  </w:style>
  <w:style w:type="character" w:customStyle="1" w:styleId="3036">
    <w:name w:val="Char Char36"/>
    <w:qFormat/>
    <w:uiPriority w:val="0"/>
    <w:rPr>
      <w:rFonts w:ascii="黑体" w:hAnsi="宋体" w:eastAsia="黑体"/>
      <w:b/>
      <w:bCs/>
      <w:kern w:val="2"/>
      <w:sz w:val="28"/>
      <w:szCs w:val="28"/>
      <w:lang w:val="en-US" w:eastAsia="zh-CN" w:bidi="ar-SA"/>
    </w:rPr>
  </w:style>
  <w:style w:type="paragraph" w:customStyle="1" w:styleId="3037">
    <w:name w:val="Char Char Char Char1 Char Char Char10"/>
    <w:basedOn w:val="1"/>
    <w:qFormat/>
    <w:uiPriority w:val="0"/>
    <w:pPr>
      <w:widowControl/>
      <w:spacing w:after="160"/>
      <w:jc w:val="left"/>
    </w:pPr>
    <w:rPr>
      <w:rFonts w:ascii="Verdana" w:hAnsi="Verdana" w:cs="宋体"/>
      <w:kern w:val="0"/>
      <w:sz w:val="24"/>
      <w:lang w:eastAsia="en-US"/>
    </w:rPr>
  </w:style>
  <w:style w:type="character" w:customStyle="1" w:styleId="3038">
    <w:name w:val="Char Char1112"/>
    <w:qFormat/>
    <w:uiPriority w:val="0"/>
    <w:rPr>
      <w:rFonts w:ascii="黑体" w:hAnsi="Arial" w:eastAsia="黑体"/>
      <w:bCs/>
      <w:kern w:val="2"/>
      <w:sz w:val="30"/>
      <w:szCs w:val="30"/>
      <w:lang w:val="en-US" w:eastAsia="zh-CN" w:bidi="ar-SA"/>
    </w:rPr>
  </w:style>
  <w:style w:type="character" w:customStyle="1" w:styleId="3039">
    <w:name w:val="Char Char56"/>
    <w:qFormat/>
    <w:uiPriority w:val="0"/>
    <w:rPr>
      <w:rFonts w:ascii="黑体" w:hAnsi="宋体" w:eastAsia="黑体"/>
      <w:bCs/>
      <w:kern w:val="2"/>
      <w:sz w:val="28"/>
      <w:szCs w:val="28"/>
      <w:lang w:val="en-US" w:eastAsia="zh-CN" w:bidi="ar-SA"/>
    </w:rPr>
  </w:style>
  <w:style w:type="paragraph" w:customStyle="1" w:styleId="3040">
    <w:name w:val="Char123"/>
    <w:basedOn w:val="1"/>
    <w:qFormat/>
    <w:uiPriority w:val="0"/>
    <w:pPr>
      <w:ind w:left="-48"/>
    </w:pPr>
    <w:rPr>
      <w:rFonts w:ascii="宋体" w:hAnsi="宋体" w:cs="宋体"/>
    </w:rPr>
  </w:style>
  <w:style w:type="paragraph" w:customStyle="1" w:styleId="3041">
    <w:name w:val="Char Char Char Char Char Char Char116"/>
    <w:basedOn w:val="1"/>
    <w:qFormat/>
    <w:uiPriority w:val="0"/>
    <w:rPr>
      <w:rFonts w:ascii="宋体" w:hAnsi="宋体" w:cs="宋体"/>
    </w:rPr>
  </w:style>
  <w:style w:type="character" w:customStyle="1" w:styleId="3042">
    <w:name w:val="Char Char216"/>
    <w:qFormat/>
    <w:uiPriority w:val="0"/>
    <w:rPr>
      <w:rFonts w:ascii="黑体" w:eastAsia="宋体"/>
      <w:kern w:val="2"/>
      <w:sz w:val="16"/>
      <w:szCs w:val="16"/>
      <w:lang w:val="en-US" w:eastAsia="zh-CN" w:bidi="ar-SA"/>
    </w:rPr>
  </w:style>
  <w:style w:type="character" w:customStyle="1" w:styleId="3043">
    <w:name w:val="Char Char126"/>
    <w:qFormat/>
    <w:uiPriority w:val="0"/>
    <w:rPr>
      <w:rFonts w:ascii="黑体" w:hAnsi="Arial" w:eastAsia="黑体"/>
      <w:b/>
      <w:bCs/>
      <w:kern w:val="2"/>
      <w:sz w:val="30"/>
      <w:szCs w:val="30"/>
      <w:lang w:val="en-US" w:eastAsia="zh-CN" w:bidi="ar-SA"/>
    </w:rPr>
  </w:style>
  <w:style w:type="character" w:customStyle="1" w:styleId="3044">
    <w:name w:val="Char Char612"/>
    <w:qFormat/>
    <w:uiPriority w:val="0"/>
    <w:rPr>
      <w:rFonts w:ascii="黑体" w:eastAsia="黑体"/>
      <w:b/>
      <w:bCs/>
      <w:kern w:val="2"/>
      <w:sz w:val="28"/>
      <w:szCs w:val="28"/>
      <w:lang w:val="en-US" w:eastAsia="zh-CN" w:bidi="ar-SA"/>
    </w:rPr>
  </w:style>
  <w:style w:type="paragraph" w:customStyle="1" w:styleId="3045">
    <w:name w:val="Char217"/>
    <w:basedOn w:val="1"/>
    <w:qFormat/>
    <w:uiPriority w:val="0"/>
    <w:pPr>
      <w:ind w:left="-48"/>
    </w:pPr>
    <w:rPr>
      <w:rFonts w:ascii="宋体" w:hAnsi="宋体" w:cs="宋体"/>
    </w:rPr>
  </w:style>
  <w:style w:type="paragraph" w:customStyle="1" w:styleId="3046">
    <w:name w:val="Char316"/>
    <w:basedOn w:val="1"/>
    <w:qFormat/>
    <w:uiPriority w:val="0"/>
    <w:pPr>
      <w:ind w:left="-48"/>
    </w:pPr>
    <w:rPr>
      <w:rFonts w:ascii="宋体" w:hAnsi="宋体" w:cs="宋体"/>
    </w:rPr>
  </w:style>
  <w:style w:type="paragraph" w:customStyle="1" w:styleId="3047">
    <w:name w:val="Char Char Char Char Char Char Char213"/>
    <w:basedOn w:val="1"/>
    <w:qFormat/>
    <w:uiPriority w:val="0"/>
    <w:rPr>
      <w:rFonts w:ascii="宋体" w:hAnsi="宋体" w:cs="宋体"/>
    </w:rPr>
  </w:style>
  <w:style w:type="paragraph" w:customStyle="1" w:styleId="3048">
    <w:name w:val="Char416"/>
    <w:basedOn w:val="1"/>
    <w:qFormat/>
    <w:uiPriority w:val="0"/>
    <w:pPr>
      <w:ind w:left="-48"/>
    </w:pPr>
    <w:rPr>
      <w:rFonts w:ascii="宋体" w:hAnsi="宋体" w:cs="宋体"/>
    </w:rPr>
  </w:style>
  <w:style w:type="paragraph" w:customStyle="1" w:styleId="3049">
    <w:name w:val="Char Char Char Char Char Char Char34"/>
    <w:basedOn w:val="1"/>
    <w:qFormat/>
    <w:uiPriority w:val="0"/>
    <w:rPr>
      <w:rFonts w:ascii="宋体" w:hAnsi="宋体" w:cs="宋体"/>
    </w:rPr>
  </w:style>
  <w:style w:type="paragraph" w:customStyle="1" w:styleId="3050">
    <w:name w:val="Char57"/>
    <w:basedOn w:val="1"/>
    <w:qFormat/>
    <w:uiPriority w:val="0"/>
    <w:pPr>
      <w:ind w:left="-48"/>
    </w:pPr>
    <w:rPr>
      <w:rFonts w:ascii="宋体" w:hAnsi="宋体" w:cs="宋体"/>
    </w:rPr>
  </w:style>
  <w:style w:type="character" w:customStyle="1" w:styleId="3051">
    <w:name w:val="Char Char49"/>
    <w:qFormat/>
    <w:uiPriority w:val="0"/>
    <w:rPr>
      <w:rFonts w:ascii="黑体" w:hAnsi="Arial" w:eastAsia="黑体"/>
      <w:b/>
      <w:bCs/>
      <w:kern w:val="2"/>
      <w:sz w:val="30"/>
      <w:szCs w:val="30"/>
      <w:lang w:val="en-US" w:eastAsia="zh-CN" w:bidi="ar-SA"/>
    </w:rPr>
  </w:style>
  <w:style w:type="character" w:customStyle="1" w:styleId="3052">
    <w:name w:val="Char Char37"/>
    <w:qFormat/>
    <w:uiPriority w:val="0"/>
    <w:rPr>
      <w:rFonts w:ascii="黑体" w:hAnsi="宋体" w:eastAsia="黑体"/>
      <w:b/>
      <w:bCs/>
      <w:kern w:val="2"/>
      <w:sz w:val="28"/>
      <w:szCs w:val="28"/>
      <w:lang w:val="en-US" w:eastAsia="zh-CN" w:bidi="ar-SA"/>
    </w:rPr>
  </w:style>
  <w:style w:type="paragraph" w:customStyle="1" w:styleId="3053">
    <w:name w:val="Char Char Char Char1 Char Char Char13"/>
    <w:basedOn w:val="1"/>
    <w:qFormat/>
    <w:uiPriority w:val="0"/>
    <w:pPr>
      <w:widowControl/>
      <w:spacing w:after="160"/>
      <w:jc w:val="left"/>
    </w:pPr>
    <w:rPr>
      <w:rFonts w:ascii="Verdana" w:hAnsi="Verdana" w:cs="宋体"/>
      <w:kern w:val="0"/>
      <w:sz w:val="24"/>
      <w:lang w:eastAsia="en-US"/>
    </w:rPr>
  </w:style>
  <w:style w:type="character" w:customStyle="1" w:styleId="3054">
    <w:name w:val="Char Char1113"/>
    <w:qFormat/>
    <w:uiPriority w:val="0"/>
    <w:rPr>
      <w:rFonts w:ascii="黑体" w:hAnsi="Arial" w:eastAsia="黑体"/>
      <w:bCs/>
      <w:kern w:val="2"/>
      <w:sz w:val="30"/>
      <w:szCs w:val="30"/>
      <w:lang w:val="en-US" w:eastAsia="zh-CN" w:bidi="ar-SA"/>
    </w:rPr>
  </w:style>
  <w:style w:type="character" w:customStyle="1" w:styleId="3055">
    <w:name w:val="Char Char57"/>
    <w:qFormat/>
    <w:uiPriority w:val="0"/>
    <w:rPr>
      <w:rFonts w:ascii="黑体" w:hAnsi="宋体" w:eastAsia="黑体"/>
      <w:bCs/>
      <w:kern w:val="2"/>
      <w:sz w:val="28"/>
      <w:szCs w:val="28"/>
      <w:lang w:val="en-US" w:eastAsia="zh-CN" w:bidi="ar-SA"/>
    </w:rPr>
  </w:style>
  <w:style w:type="paragraph" w:customStyle="1" w:styleId="3056">
    <w:name w:val="Char124"/>
    <w:basedOn w:val="1"/>
    <w:qFormat/>
    <w:uiPriority w:val="0"/>
    <w:pPr>
      <w:ind w:left="-48"/>
    </w:pPr>
    <w:rPr>
      <w:rFonts w:ascii="宋体" w:hAnsi="宋体" w:cs="宋体"/>
    </w:rPr>
  </w:style>
  <w:style w:type="paragraph" w:customStyle="1" w:styleId="3057">
    <w:name w:val="Char Char Char Char Char Char Char117"/>
    <w:basedOn w:val="1"/>
    <w:qFormat/>
    <w:uiPriority w:val="0"/>
    <w:rPr>
      <w:rFonts w:ascii="宋体" w:hAnsi="宋体" w:cs="宋体"/>
    </w:rPr>
  </w:style>
  <w:style w:type="character" w:customStyle="1" w:styleId="3058">
    <w:name w:val="Char Char217"/>
    <w:qFormat/>
    <w:uiPriority w:val="0"/>
    <w:rPr>
      <w:rFonts w:ascii="黑体" w:eastAsia="宋体"/>
      <w:kern w:val="2"/>
      <w:sz w:val="16"/>
      <w:szCs w:val="16"/>
      <w:lang w:val="en-US" w:eastAsia="zh-CN" w:bidi="ar-SA"/>
    </w:rPr>
  </w:style>
  <w:style w:type="character" w:customStyle="1" w:styleId="3059">
    <w:name w:val="Char Char127"/>
    <w:qFormat/>
    <w:uiPriority w:val="0"/>
    <w:rPr>
      <w:rFonts w:ascii="黑体" w:hAnsi="Arial" w:eastAsia="黑体"/>
      <w:b/>
      <w:bCs/>
      <w:kern w:val="2"/>
      <w:sz w:val="30"/>
      <w:szCs w:val="30"/>
      <w:lang w:val="en-US" w:eastAsia="zh-CN" w:bidi="ar-SA"/>
    </w:rPr>
  </w:style>
  <w:style w:type="character" w:customStyle="1" w:styleId="3060">
    <w:name w:val="Char Char613"/>
    <w:qFormat/>
    <w:uiPriority w:val="0"/>
    <w:rPr>
      <w:rFonts w:ascii="黑体" w:eastAsia="黑体"/>
      <w:b/>
      <w:bCs/>
      <w:kern w:val="2"/>
      <w:sz w:val="28"/>
      <w:szCs w:val="28"/>
      <w:lang w:val="en-US" w:eastAsia="zh-CN" w:bidi="ar-SA"/>
    </w:rPr>
  </w:style>
  <w:style w:type="paragraph" w:customStyle="1" w:styleId="3061">
    <w:name w:val="Char218"/>
    <w:basedOn w:val="1"/>
    <w:qFormat/>
    <w:uiPriority w:val="0"/>
    <w:pPr>
      <w:ind w:left="-48"/>
    </w:pPr>
    <w:rPr>
      <w:rFonts w:ascii="宋体" w:hAnsi="宋体" w:cs="宋体"/>
    </w:rPr>
  </w:style>
  <w:style w:type="paragraph" w:customStyle="1" w:styleId="3062">
    <w:name w:val="Char317"/>
    <w:basedOn w:val="1"/>
    <w:qFormat/>
    <w:uiPriority w:val="0"/>
    <w:pPr>
      <w:ind w:left="-48"/>
    </w:pPr>
    <w:rPr>
      <w:rFonts w:ascii="宋体" w:hAnsi="宋体" w:cs="宋体"/>
    </w:rPr>
  </w:style>
  <w:style w:type="paragraph" w:customStyle="1" w:styleId="3063">
    <w:name w:val="Char Char Char Char Char Char Char214"/>
    <w:basedOn w:val="1"/>
    <w:qFormat/>
    <w:uiPriority w:val="0"/>
    <w:rPr>
      <w:rFonts w:ascii="宋体" w:hAnsi="宋体" w:cs="宋体"/>
    </w:rPr>
  </w:style>
  <w:style w:type="paragraph" w:customStyle="1" w:styleId="3064">
    <w:name w:val="Char417"/>
    <w:basedOn w:val="1"/>
    <w:qFormat/>
    <w:uiPriority w:val="0"/>
    <w:pPr>
      <w:ind w:left="-48"/>
    </w:pPr>
    <w:rPr>
      <w:rFonts w:ascii="宋体" w:hAnsi="宋体" w:cs="宋体"/>
    </w:rPr>
  </w:style>
  <w:style w:type="paragraph" w:customStyle="1" w:styleId="3065">
    <w:name w:val="Char Char Char Char Char Char Char35"/>
    <w:basedOn w:val="1"/>
    <w:qFormat/>
    <w:uiPriority w:val="0"/>
    <w:rPr>
      <w:rFonts w:ascii="宋体" w:hAnsi="宋体" w:cs="宋体"/>
    </w:rPr>
  </w:style>
  <w:style w:type="paragraph" w:customStyle="1" w:styleId="3066">
    <w:name w:val="Char58"/>
    <w:basedOn w:val="1"/>
    <w:qFormat/>
    <w:uiPriority w:val="0"/>
    <w:pPr>
      <w:ind w:left="-48"/>
    </w:pPr>
    <w:rPr>
      <w:rFonts w:ascii="宋体" w:hAnsi="宋体" w:cs="宋体"/>
    </w:rPr>
  </w:style>
  <w:style w:type="character" w:customStyle="1" w:styleId="3067">
    <w:name w:val="Char Char410"/>
    <w:qFormat/>
    <w:uiPriority w:val="0"/>
    <w:rPr>
      <w:rFonts w:ascii="黑体" w:hAnsi="Arial" w:eastAsia="黑体"/>
      <w:b/>
      <w:bCs/>
      <w:kern w:val="2"/>
      <w:sz w:val="30"/>
      <w:szCs w:val="30"/>
      <w:lang w:val="en-US" w:eastAsia="zh-CN" w:bidi="ar-SA"/>
    </w:rPr>
  </w:style>
  <w:style w:type="character" w:customStyle="1" w:styleId="3068">
    <w:name w:val="Char Char38"/>
    <w:qFormat/>
    <w:uiPriority w:val="0"/>
    <w:rPr>
      <w:rFonts w:ascii="黑体" w:hAnsi="宋体" w:eastAsia="黑体"/>
      <w:b/>
      <w:bCs/>
      <w:kern w:val="2"/>
      <w:sz w:val="28"/>
      <w:szCs w:val="28"/>
      <w:lang w:val="en-US" w:eastAsia="zh-CN" w:bidi="ar-SA"/>
    </w:rPr>
  </w:style>
  <w:style w:type="paragraph" w:customStyle="1" w:styleId="3069">
    <w:name w:val="Char Char Char Char1 Char Char Char14"/>
    <w:basedOn w:val="1"/>
    <w:qFormat/>
    <w:uiPriority w:val="0"/>
    <w:pPr>
      <w:widowControl/>
      <w:spacing w:after="160"/>
      <w:jc w:val="left"/>
    </w:pPr>
    <w:rPr>
      <w:rFonts w:ascii="Verdana" w:hAnsi="Verdana" w:cs="宋体"/>
      <w:kern w:val="0"/>
      <w:sz w:val="24"/>
      <w:lang w:eastAsia="en-US"/>
    </w:rPr>
  </w:style>
  <w:style w:type="character" w:customStyle="1" w:styleId="3070">
    <w:name w:val="Char Char1114"/>
    <w:qFormat/>
    <w:uiPriority w:val="0"/>
    <w:rPr>
      <w:rFonts w:ascii="黑体" w:hAnsi="Arial" w:eastAsia="黑体"/>
      <w:bCs/>
      <w:kern w:val="2"/>
      <w:sz w:val="30"/>
      <w:szCs w:val="30"/>
      <w:lang w:val="en-US" w:eastAsia="zh-CN" w:bidi="ar-SA"/>
    </w:rPr>
  </w:style>
  <w:style w:type="character" w:customStyle="1" w:styleId="3071">
    <w:name w:val="Char Char58"/>
    <w:qFormat/>
    <w:uiPriority w:val="0"/>
    <w:rPr>
      <w:rFonts w:ascii="黑体" w:hAnsi="宋体" w:eastAsia="黑体"/>
      <w:bCs/>
      <w:kern w:val="2"/>
      <w:sz w:val="28"/>
      <w:szCs w:val="28"/>
      <w:lang w:val="en-US" w:eastAsia="zh-CN" w:bidi="ar-SA"/>
    </w:rPr>
  </w:style>
  <w:style w:type="paragraph" w:customStyle="1" w:styleId="3072">
    <w:name w:val="Char125"/>
    <w:basedOn w:val="1"/>
    <w:qFormat/>
    <w:uiPriority w:val="0"/>
    <w:pPr>
      <w:ind w:left="-48"/>
    </w:pPr>
    <w:rPr>
      <w:rFonts w:ascii="宋体" w:hAnsi="宋体" w:cs="宋体"/>
    </w:rPr>
  </w:style>
  <w:style w:type="paragraph" w:customStyle="1" w:styleId="3073">
    <w:name w:val="Char Char Char Char Char Char Char118"/>
    <w:basedOn w:val="1"/>
    <w:qFormat/>
    <w:uiPriority w:val="0"/>
    <w:rPr>
      <w:rFonts w:ascii="宋体" w:hAnsi="宋体" w:cs="宋体"/>
    </w:rPr>
  </w:style>
  <w:style w:type="character" w:customStyle="1" w:styleId="3074">
    <w:name w:val="Char Char218"/>
    <w:qFormat/>
    <w:uiPriority w:val="0"/>
    <w:rPr>
      <w:rFonts w:ascii="黑体" w:eastAsia="宋体"/>
      <w:kern w:val="2"/>
      <w:sz w:val="16"/>
      <w:szCs w:val="16"/>
      <w:lang w:val="en-US" w:eastAsia="zh-CN" w:bidi="ar-SA"/>
    </w:rPr>
  </w:style>
  <w:style w:type="character" w:customStyle="1" w:styleId="3075">
    <w:name w:val="Char Char128"/>
    <w:qFormat/>
    <w:uiPriority w:val="0"/>
    <w:rPr>
      <w:rFonts w:ascii="黑体" w:hAnsi="Arial" w:eastAsia="黑体"/>
      <w:b/>
      <w:bCs/>
      <w:kern w:val="2"/>
      <w:sz w:val="30"/>
      <w:szCs w:val="30"/>
      <w:lang w:val="en-US" w:eastAsia="zh-CN" w:bidi="ar-SA"/>
    </w:rPr>
  </w:style>
  <w:style w:type="character" w:customStyle="1" w:styleId="3076">
    <w:name w:val="Char Char614"/>
    <w:qFormat/>
    <w:uiPriority w:val="0"/>
    <w:rPr>
      <w:rFonts w:ascii="黑体" w:eastAsia="黑体"/>
      <w:b/>
      <w:bCs/>
      <w:kern w:val="2"/>
      <w:sz w:val="28"/>
      <w:szCs w:val="28"/>
      <w:lang w:val="en-US" w:eastAsia="zh-CN" w:bidi="ar-SA"/>
    </w:rPr>
  </w:style>
  <w:style w:type="paragraph" w:customStyle="1" w:styleId="3077">
    <w:name w:val="Char219"/>
    <w:basedOn w:val="1"/>
    <w:qFormat/>
    <w:uiPriority w:val="0"/>
    <w:pPr>
      <w:ind w:left="-48"/>
    </w:pPr>
    <w:rPr>
      <w:rFonts w:ascii="宋体" w:hAnsi="宋体" w:cs="宋体"/>
    </w:rPr>
  </w:style>
  <w:style w:type="paragraph" w:customStyle="1" w:styleId="3078">
    <w:name w:val="Char318"/>
    <w:basedOn w:val="1"/>
    <w:qFormat/>
    <w:uiPriority w:val="0"/>
    <w:pPr>
      <w:ind w:left="-48"/>
    </w:pPr>
    <w:rPr>
      <w:rFonts w:ascii="宋体" w:hAnsi="宋体" w:cs="宋体"/>
    </w:rPr>
  </w:style>
  <w:style w:type="paragraph" w:customStyle="1" w:styleId="3079">
    <w:name w:val="Char Char Char Char Char Char Char215"/>
    <w:basedOn w:val="1"/>
    <w:qFormat/>
    <w:uiPriority w:val="0"/>
    <w:rPr>
      <w:rFonts w:ascii="宋体" w:hAnsi="宋体" w:cs="宋体"/>
    </w:rPr>
  </w:style>
  <w:style w:type="paragraph" w:customStyle="1" w:styleId="3080">
    <w:name w:val="Char418"/>
    <w:basedOn w:val="1"/>
    <w:qFormat/>
    <w:uiPriority w:val="0"/>
    <w:pPr>
      <w:ind w:left="-48"/>
    </w:pPr>
    <w:rPr>
      <w:rFonts w:ascii="宋体" w:hAnsi="宋体" w:cs="宋体"/>
    </w:rPr>
  </w:style>
  <w:style w:type="paragraph" w:customStyle="1" w:styleId="3081">
    <w:name w:val="Char Char Char Char Char Char Char36"/>
    <w:basedOn w:val="1"/>
    <w:qFormat/>
    <w:uiPriority w:val="0"/>
    <w:rPr>
      <w:rFonts w:ascii="宋体" w:hAnsi="宋体" w:cs="宋体"/>
    </w:rPr>
  </w:style>
  <w:style w:type="paragraph" w:customStyle="1" w:styleId="3082">
    <w:name w:val="Char59"/>
    <w:basedOn w:val="1"/>
    <w:qFormat/>
    <w:uiPriority w:val="0"/>
    <w:pPr>
      <w:ind w:left="-48"/>
    </w:pPr>
    <w:rPr>
      <w:rFonts w:ascii="宋体" w:hAnsi="宋体" w:cs="宋体"/>
    </w:rPr>
  </w:style>
  <w:style w:type="character" w:customStyle="1" w:styleId="3083">
    <w:name w:val="Char Char411"/>
    <w:qFormat/>
    <w:uiPriority w:val="0"/>
    <w:rPr>
      <w:rFonts w:ascii="黑体" w:hAnsi="Arial" w:eastAsia="黑体"/>
      <w:b/>
      <w:bCs/>
      <w:kern w:val="2"/>
      <w:sz w:val="30"/>
      <w:szCs w:val="30"/>
      <w:lang w:val="en-US" w:eastAsia="zh-CN" w:bidi="ar-SA"/>
    </w:rPr>
  </w:style>
  <w:style w:type="character" w:customStyle="1" w:styleId="3084">
    <w:name w:val="Char Char39"/>
    <w:qFormat/>
    <w:uiPriority w:val="0"/>
    <w:rPr>
      <w:rFonts w:ascii="黑体" w:hAnsi="宋体" w:eastAsia="黑体"/>
      <w:b/>
      <w:bCs/>
      <w:kern w:val="2"/>
      <w:sz w:val="28"/>
      <w:szCs w:val="28"/>
      <w:lang w:val="en-US" w:eastAsia="zh-CN" w:bidi="ar-SA"/>
    </w:rPr>
  </w:style>
  <w:style w:type="paragraph" w:customStyle="1" w:styleId="3085">
    <w:name w:val="Char Char Char Char1 Char Char Char15"/>
    <w:basedOn w:val="1"/>
    <w:qFormat/>
    <w:uiPriority w:val="0"/>
    <w:pPr>
      <w:widowControl/>
      <w:spacing w:after="160"/>
      <w:jc w:val="left"/>
    </w:pPr>
    <w:rPr>
      <w:rFonts w:ascii="Verdana" w:hAnsi="Verdana" w:cs="宋体"/>
      <w:kern w:val="0"/>
      <w:sz w:val="24"/>
      <w:lang w:eastAsia="en-US"/>
    </w:rPr>
  </w:style>
  <w:style w:type="character" w:customStyle="1" w:styleId="3086">
    <w:name w:val="Char Char1115"/>
    <w:qFormat/>
    <w:uiPriority w:val="0"/>
    <w:rPr>
      <w:rFonts w:ascii="黑体" w:hAnsi="Arial" w:eastAsia="黑体"/>
      <w:bCs/>
      <w:kern w:val="2"/>
      <w:sz w:val="30"/>
      <w:szCs w:val="30"/>
      <w:lang w:val="en-US" w:eastAsia="zh-CN" w:bidi="ar-SA"/>
    </w:rPr>
  </w:style>
  <w:style w:type="character" w:customStyle="1" w:styleId="3087">
    <w:name w:val="Char Char59"/>
    <w:qFormat/>
    <w:uiPriority w:val="0"/>
    <w:rPr>
      <w:rFonts w:ascii="黑体" w:hAnsi="宋体" w:eastAsia="黑体"/>
      <w:bCs/>
      <w:kern w:val="2"/>
      <w:sz w:val="28"/>
      <w:szCs w:val="28"/>
      <w:lang w:val="en-US" w:eastAsia="zh-CN" w:bidi="ar-SA"/>
    </w:rPr>
  </w:style>
  <w:style w:type="paragraph" w:customStyle="1" w:styleId="3088">
    <w:name w:val="Char126"/>
    <w:basedOn w:val="1"/>
    <w:qFormat/>
    <w:uiPriority w:val="0"/>
    <w:pPr>
      <w:ind w:left="-48"/>
    </w:pPr>
    <w:rPr>
      <w:rFonts w:ascii="宋体" w:hAnsi="宋体" w:cs="宋体"/>
    </w:rPr>
  </w:style>
  <w:style w:type="paragraph" w:customStyle="1" w:styleId="3089">
    <w:name w:val="Char Char Char Char Char Char Char119"/>
    <w:basedOn w:val="1"/>
    <w:qFormat/>
    <w:uiPriority w:val="0"/>
    <w:rPr>
      <w:rFonts w:ascii="宋体" w:hAnsi="宋体" w:cs="宋体"/>
    </w:rPr>
  </w:style>
  <w:style w:type="character" w:customStyle="1" w:styleId="3090">
    <w:name w:val="Char Char219"/>
    <w:qFormat/>
    <w:uiPriority w:val="0"/>
    <w:rPr>
      <w:rFonts w:ascii="黑体" w:eastAsia="宋体"/>
      <w:kern w:val="2"/>
      <w:sz w:val="16"/>
      <w:szCs w:val="16"/>
      <w:lang w:val="en-US" w:eastAsia="zh-CN" w:bidi="ar-SA"/>
    </w:rPr>
  </w:style>
  <w:style w:type="character" w:customStyle="1" w:styleId="3091">
    <w:name w:val="Char Char129"/>
    <w:qFormat/>
    <w:uiPriority w:val="0"/>
    <w:rPr>
      <w:rFonts w:ascii="黑体" w:hAnsi="Arial" w:eastAsia="黑体"/>
      <w:b/>
      <w:bCs/>
      <w:kern w:val="2"/>
      <w:sz w:val="30"/>
      <w:szCs w:val="30"/>
      <w:lang w:val="en-US" w:eastAsia="zh-CN" w:bidi="ar-SA"/>
    </w:rPr>
  </w:style>
  <w:style w:type="character" w:customStyle="1" w:styleId="3092">
    <w:name w:val="Char Char615"/>
    <w:qFormat/>
    <w:uiPriority w:val="0"/>
    <w:rPr>
      <w:rFonts w:ascii="黑体" w:eastAsia="黑体"/>
      <w:b/>
      <w:bCs/>
      <w:kern w:val="2"/>
      <w:sz w:val="28"/>
      <w:szCs w:val="28"/>
      <w:lang w:val="en-US" w:eastAsia="zh-CN" w:bidi="ar-SA"/>
    </w:rPr>
  </w:style>
  <w:style w:type="paragraph" w:customStyle="1" w:styleId="3093">
    <w:name w:val="Char220"/>
    <w:basedOn w:val="1"/>
    <w:qFormat/>
    <w:uiPriority w:val="0"/>
    <w:pPr>
      <w:ind w:left="-48"/>
    </w:pPr>
    <w:rPr>
      <w:rFonts w:ascii="宋体" w:hAnsi="宋体" w:cs="宋体"/>
    </w:rPr>
  </w:style>
  <w:style w:type="paragraph" w:customStyle="1" w:styleId="3094">
    <w:name w:val="Char319"/>
    <w:basedOn w:val="1"/>
    <w:qFormat/>
    <w:uiPriority w:val="0"/>
    <w:pPr>
      <w:ind w:left="-48"/>
    </w:pPr>
    <w:rPr>
      <w:rFonts w:ascii="宋体" w:hAnsi="宋体" w:cs="宋体"/>
    </w:rPr>
  </w:style>
  <w:style w:type="paragraph" w:customStyle="1" w:styleId="3095">
    <w:name w:val="Char Char Char Char Char Char Char216"/>
    <w:basedOn w:val="1"/>
    <w:qFormat/>
    <w:uiPriority w:val="0"/>
    <w:rPr>
      <w:rFonts w:ascii="宋体" w:hAnsi="宋体" w:cs="宋体"/>
    </w:rPr>
  </w:style>
  <w:style w:type="paragraph" w:customStyle="1" w:styleId="3096">
    <w:name w:val="Char419"/>
    <w:basedOn w:val="1"/>
    <w:qFormat/>
    <w:uiPriority w:val="0"/>
    <w:pPr>
      <w:ind w:left="-48"/>
    </w:pPr>
    <w:rPr>
      <w:rFonts w:ascii="宋体" w:hAnsi="宋体" w:cs="宋体"/>
    </w:rPr>
  </w:style>
  <w:style w:type="paragraph" w:customStyle="1" w:styleId="3097">
    <w:name w:val="Char Char Char Char Char Char Char37"/>
    <w:basedOn w:val="1"/>
    <w:qFormat/>
    <w:uiPriority w:val="0"/>
    <w:rPr>
      <w:rFonts w:ascii="宋体" w:hAnsi="宋体" w:cs="宋体"/>
    </w:rPr>
  </w:style>
  <w:style w:type="paragraph" w:customStyle="1" w:styleId="3098">
    <w:name w:val="Char60"/>
    <w:basedOn w:val="1"/>
    <w:qFormat/>
    <w:uiPriority w:val="0"/>
    <w:pPr>
      <w:ind w:left="-48"/>
    </w:pPr>
    <w:rPr>
      <w:rFonts w:ascii="宋体" w:hAnsi="宋体" w:cs="宋体"/>
    </w:rPr>
  </w:style>
  <w:style w:type="character" w:customStyle="1" w:styleId="3099">
    <w:name w:val="Char Char412"/>
    <w:qFormat/>
    <w:uiPriority w:val="0"/>
    <w:rPr>
      <w:rFonts w:ascii="黑体" w:hAnsi="Arial" w:eastAsia="黑体"/>
      <w:b/>
      <w:bCs/>
      <w:kern w:val="2"/>
      <w:sz w:val="30"/>
      <w:szCs w:val="30"/>
      <w:lang w:val="en-US" w:eastAsia="zh-CN" w:bidi="ar-SA"/>
    </w:rPr>
  </w:style>
  <w:style w:type="character" w:customStyle="1" w:styleId="3100">
    <w:name w:val="Char Char310"/>
    <w:qFormat/>
    <w:uiPriority w:val="0"/>
    <w:rPr>
      <w:rFonts w:ascii="黑体" w:hAnsi="宋体" w:eastAsia="黑体"/>
      <w:b/>
      <w:bCs/>
      <w:kern w:val="2"/>
      <w:sz w:val="28"/>
      <w:szCs w:val="28"/>
      <w:lang w:val="en-US" w:eastAsia="zh-CN" w:bidi="ar-SA"/>
    </w:rPr>
  </w:style>
  <w:style w:type="paragraph" w:customStyle="1" w:styleId="3101">
    <w:name w:val="Char Char Char Char1 Char Char Char16"/>
    <w:basedOn w:val="1"/>
    <w:qFormat/>
    <w:uiPriority w:val="0"/>
    <w:pPr>
      <w:widowControl/>
      <w:spacing w:after="160"/>
      <w:jc w:val="left"/>
    </w:pPr>
    <w:rPr>
      <w:rFonts w:ascii="Verdana" w:hAnsi="Verdana" w:cs="宋体"/>
      <w:kern w:val="0"/>
      <w:sz w:val="24"/>
      <w:lang w:eastAsia="en-US"/>
    </w:rPr>
  </w:style>
  <w:style w:type="character" w:customStyle="1" w:styleId="3102">
    <w:name w:val="Char Char1116"/>
    <w:qFormat/>
    <w:uiPriority w:val="0"/>
    <w:rPr>
      <w:rFonts w:ascii="黑体" w:hAnsi="Arial" w:eastAsia="黑体"/>
      <w:bCs/>
      <w:kern w:val="2"/>
      <w:sz w:val="30"/>
      <w:szCs w:val="30"/>
      <w:lang w:val="en-US" w:eastAsia="zh-CN" w:bidi="ar-SA"/>
    </w:rPr>
  </w:style>
  <w:style w:type="character" w:customStyle="1" w:styleId="3103">
    <w:name w:val="Char Char510"/>
    <w:qFormat/>
    <w:uiPriority w:val="0"/>
    <w:rPr>
      <w:rFonts w:ascii="黑体" w:hAnsi="宋体" w:eastAsia="黑体"/>
      <w:bCs/>
      <w:kern w:val="2"/>
      <w:sz w:val="28"/>
      <w:szCs w:val="28"/>
      <w:lang w:val="en-US" w:eastAsia="zh-CN" w:bidi="ar-SA"/>
    </w:rPr>
  </w:style>
  <w:style w:type="paragraph" w:customStyle="1" w:styleId="3104">
    <w:name w:val="Char127"/>
    <w:basedOn w:val="1"/>
    <w:qFormat/>
    <w:uiPriority w:val="0"/>
    <w:pPr>
      <w:ind w:left="-48"/>
    </w:pPr>
    <w:rPr>
      <w:rFonts w:ascii="宋体" w:hAnsi="宋体" w:cs="宋体"/>
    </w:rPr>
  </w:style>
  <w:style w:type="paragraph" w:customStyle="1" w:styleId="3105">
    <w:name w:val="Char Char Char Char Char Char Char120"/>
    <w:basedOn w:val="1"/>
    <w:qFormat/>
    <w:uiPriority w:val="0"/>
    <w:rPr>
      <w:rFonts w:ascii="宋体" w:hAnsi="宋体" w:cs="宋体"/>
    </w:rPr>
  </w:style>
  <w:style w:type="character" w:customStyle="1" w:styleId="3106">
    <w:name w:val="Char Char2110"/>
    <w:qFormat/>
    <w:uiPriority w:val="0"/>
    <w:rPr>
      <w:rFonts w:ascii="黑体" w:eastAsia="宋体"/>
      <w:kern w:val="2"/>
      <w:sz w:val="16"/>
      <w:szCs w:val="16"/>
      <w:lang w:val="en-US" w:eastAsia="zh-CN" w:bidi="ar-SA"/>
    </w:rPr>
  </w:style>
  <w:style w:type="character" w:customStyle="1" w:styleId="3107">
    <w:name w:val="Char Char1210"/>
    <w:qFormat/>
    <w:uiPriority w:val="0"/>
    <w:rPr>
      <w:rFonts w:ascii="黑体" w:hAnsi="Arial" w:eastAsia="黑体"/>
      <w:b/>
      <w:bCs/>
      <w:kern w:val="2"/>
      <w:sz w:val="30"/>
      <w:szCs w:val="30"/>
      <w:lang w:val="en-US" w:eastAsia="zh-CN" w:bidi="ar-SA"/>
    </w:rPr>
  </w:style>
  <w:style w:type="character" w:customStyle="1" w:styleId="3108">
    <w:name w:val="Char Char616"/>
    <w:qFormat/>
    <w:uiPriority w:val="0"/>
    <w:rPr>
      <w:rFonts w:ascii="黑体" w:eastAsia="黑体"/>
      <w:b/>
      <w:bCs/>
      <w:kern w:val="2"/>
      <w:sz w:val="28"/>
      <w:szCs w:val="28"/>
      <w:lang w:val="en-US" w:eastAsia="zh-CN" w:bidi="ar-SA"/>
    </w:rPr>
  </w:style>
  <w:style w:type="paragraph" w:customStyle="1" w:styleId="3109">
    <w:name w:val="Char223"/>
    <w:basedOn w:val="1"/>
    <w:qFormat/>
    <w:uiPriority w:val="0"/>
    <w:pPr>
      <w:ind w:left="-48"/>
    </w:pPr>
    <w:rPr>
      <w:rFonts w:ascii="宋体" w:hAnsi="宋体" w:cs="宋体"/>
    </w:rPr>
  </w:style>
  <w:style w:type="paragraph" w:customStyle="1" w:styleId="3110">
    <w:name w:val="Char320"/>
    <w:basedOn w:val="1"/>
    <w:qFormat/>
    <w:uiPriority w:val="0"/>
    <w:pPr>
      <w:ind w:left="-48"/>
    </w:pPr>
    <w:rPr>
      <w:rFonts w:ascii="宋体" w:hAnsi="宋体" w:cs="宋体"/>
    </w:rPr>
  </w:style>
  <w:style w:type="paragraph" w:customStyle="1" w:styleId="3111">
    <w:name w:val="Char Char Char Char Char Char Char217"/>
    <w:basedOn w:val="1"/>
    <w:qFormat/>
    <w:uiPriority w:val="0"/>
    <w:rPr>
      <w:rFonts w:ascii="宋体" w:hAnsi="宋体" w:cs="宋体"/>
    </w:rPr>
  </w:style>
  <w:style w:type="paragraph" w:customStyle="1" w:styleId="3112">
    <w:name w:val="Char420"/>
    <w:basedOn w:val="1"/>
    <w:qFormat/>
    <w:uiPriority w:val="0"/>
    <w:pPr>
      <w:ind w:left="-48"/>
    </w:pPr>
    <w:rPr>
      <w:rFonts w:ascii="宋体" w:hAnsi="宋体" w:cs="宋体"/>
    </w:rPr>
  </w:style>
  <w:style w:type="paragraph" w:customStyle="1" w:styleId="3113">
    <w:name w:val="Char Char Char Char Char Char Char38"/>
    <w:basedOn w:val="1"/>
    <w:qFormat/>
    <w:uiPriority w:val="0"/>
    <w:rPr>
      <w:rFonts w:ascii="宋体" w:hAnsi="宋体" w:cs="宋体"/>
    </w:rPr>
  </w:style>
  <w:style w:type="paragraph" w:customStyle="1" w:styleId="3114">
    <w:name w:val="Char65"/>
    <w:basedOn w:val="1"/>
    <w:qFormat/>
    <w:uiPriority w:val="0"/>
    <w:pPr>
      <w:ind w:left="-48"/>
    </w:pPr>
    <w:rPr>
      <w:rFonts w:ascii="宋体" w:hAnsi="宋体" w:cs="宋体"/>
    </w:rPr>
  </w:style>
  <w:style w:type="character" w:customStyle="1" w:styleId="3115">
    <w:name w:val="Char Char413"/>
    <w:qFormat/>
    <w:uiPriority w:val="0"/>
    <w:rPr>
      <w:rFonts w:ascii="黑体" w:hAnsi="Arial" w:eastAsia="黑体"/>
      <w:b/>
      <w:bCs/>
      <w:kern w:val="2"/>
      <w:sz w:val="30"/>
      <w:szCs w:val="30"/>
      <w:lang w:val="en-US" w:eastAsia="zh-CN" w:bidi="ar-SA"/>
    </w:rPr>
  </w:style>
  <w:style w:type="character" w:customStyle="1" w:styleId="3116">
    <w:name w:val="Char Char311"/>
    <w:qFormat/>
    <w:uiPriority w:val="0"/>
    <w:rPr>
      <w:rFonts w:ascii="黑体" w:hAnsi="宋体" w:eastAsia="黑体"/>
      <w:b/>
      <w:bCs/>
      <w:kern w:val="2"/>
      <w:sz w:val="28"/>
      <w:szCs w:val="28"/>
      <w:lang w:val="en-US" w:eastAsia="zh-CN" w:bidi="ar-SA"/>
    </w:rPr>
  </w:style>
  <w:style w:type="paragraph" w:customStyle="1" w:styleId="3117">
    <w:name w:val="Char Char Char Char1 Char Char Char17"/>
    <w:basedOn w:val="1"/>
    <w:qFormat/>
    <w:uiPriority w:val="0"/>
    <w:pPr>
      <w:widowControl/>
      <w:spacing w:after="160"/>
      <w:jc w:val="left"/>
    </w:pPr>
    <w:rPr>
      <w:rFonts w:ascii="Verdana" w:hAnsi="Verdana" w:cs="宋体"/>
      <w:kern w:val="0"/>
      <w:sz w:val="24"/>
      <w:lang w:eastAsia="en-US"/>
    </w:rPr>
  </w:style>
  <w:style w:type="character" w:customStyle="1" w:styleId="3118">
    <w:name w:val="Char Char1117"/>
    <w:qFormat/>
    <w:uiPriority w:val="0"/>
    <w:rPr>
      <w:rFonts w:ascii="黑体" w:hAnsi="Arial" w:eastAsia="黑体"/>
      <w:bCs/>
      <w:kern w:val="2"/>
      <w:sz w:val="30"/>
      <w:szCs w:val="30"/>
      <w:lang w:val="en-US" w:eastAsia="zh-CN" w:bidi="ar-SA"/>
    </w:rPr>
  </w:style>
  <w:style w:type="character" w:customStyle="1" w:styleId="3119">
    <w:name w:val="Char Char511"/>
    <w:qFormat/>
    <w:uiPriority w:val="0"/>
    <w:rPr>
      <w:rFonts w:ascii="黑体" w:hAnsi="宋体" w:eastAsia="黑体"/>
      <w:bCs/>
      <w:kern w:val="2"/>
      <w:sz w:val="28"/>
      <w:szCs w:val="28"/>
      <w:lang w:val="en-US" w:eastAsia="zh-CN" w:bidi="ar-SA"/>
    </w:rPr>
  </w:style>
  <w:style w:type="paragraph" w:customStyle="1" w:styleId="3120">
    <w:name w:val="Char128"/>
    <w:basedOn w:val="1"/>
    <w:qFormat/>
    <w:uiPriority w:val="0"/>
    <w:pPr>
      <w:ind w:left="-48"/>
    </w:pPr>
    <w:rPr>
      <w:rFonts w:ascii="宋体" w:hAnsi="宋体" w:cs="宋体"/>
    </w:rPr>
  </w:style>
  <w:style w:type="paragraph" w:customStyle="1" w:styleId="3121">
    <w:name w:val="Char Char Char Char Char Char Char123"/>
    <w:basedOn w:val="1"/>
    <w:qFormat/>
    <w:uiPriority w:val="0"/>
    <w:rPr>
      <w:rFonts w:ascii="宋体" w:hAnsi="宋体" w:cs="宋体"/>
    </w:rPr>
  </w:style>
  <w:style w:type="character" w:customStyle="1" w:styleId="3122">
    <w:name w:val="Char Char2111"/>
    <w:qFormat/>
    <w:uiPriority w:val="0"/>
    <w:rPr>
      <w:rFonts w:ascii="黑体" w:eastAsia="宋体"/>
      <w:kern w:val="2"/>
      <w:sz w:val="16"/>
      <w:szCs w:val="16"/>
      <w:lang w:val="en-US" w:eastAsia="zh-CN" w:bidi="ar-SA"/>
    </w:rPr>
  </w:style>
  <w:style w:type="character" w:customStyle="1" w:styleId="3123">
    <w:name w:val="Char Char1211"/>
    <w:qFormat/>
    <w:uiPriority w:val="0"/>
    <w:rPr>
      <w:rFonts w:ascii="黑体" w:hAnsi="Arial" w:eastAsia="黑体"/>
      <w:b/>
      <w:bCs/>
      <w:kern w:val="2"/>
      <w:sz w:val="30"/>
      <w:szCs w:val="30"/>
      <w:lang w:val="en-US" w:eastAsia="zh-CN" w:bidi="ar-SA"/>
    </w:rPr>
  </w:style>
  <w:style w:type="character" w:customStyle="1" w:styleId="3124">
    <w:name w:val="Char Char617"/>
    <w:qFormat/>
    <w:uiPriority w:val="0"/>
    <w:rPr>
      <w:rFonts w:ascii="黑体" w:eastAsia="黑体"/>
      <w:b/>
      <w:bCs/>
      <w:kern w:val="2"/>
      <w:sz w:val="28"/>
      <w:szCs w:val="28"/>
      <w:lang w:val="en-US" w:eastAsia="zh-CN" w:bidi="ar-SA"/>
    </w:rPr>
  </w:style>
  <w:style w:type="paragraph" w:customStyle="1" w:styleId="3125">
    <w:name w:val="Char224"/>
    <w:basedOn w:val="1"/>
    <w:qFormat/>
    <w:uiPriority w:val="0"/>
    <w:pPr>
      <w:ind w:left="-48"/>
    </w:pPr>
    <w:rPr>
      <w:rFonts w:ascii="宋体" w:hAnsi="宋体" w:cs="宋体"/>
    </w:rPr>
  </w:style>
  <w:style w:type="paragraph" w:customStyle="1" w:styleId="3126">
    <w:name w:val="Char323"/>
    <w:basedOn w:val="1"/>
    <w:qFormat/>
    <w:uiPriority w:val="0"/>
    <w:pPr>
      <w:ind w:left="-48"/>
    </w:pPr>
    <w:rPr>
      <w:rFonts w:ascii="宋体" w:hAnsi="宋体" w:cs="宋体"/>
    </w:rPr>
  </w:style>
  <w:style w:type="paragraph" w:customStyle="1" w:styleId="3127">
    <w:name w:val="Char Char Char Char Char Char Char218"/>
    <w:basedOn w:val="1"/>
    <w:qFormat/>
    <w:uiPriority w:val="0"/>
    <w:rPr>
      <w:rFonts w:ascii="宋体" w:hAnsi="宋体" w:cs="宋体"/>
    </w:rPr>
  </w:style>
  <w:style w:type="paragraph" w:customStyle="1" w:styleId="3128">
    <w:name w:val="Char423"/>
    <w:basedOn w:val="1"/>
    <w:qFormat/>
    <w:uiPriority w:val="0"/>
    <w:pPr>
      <w:ind w:left="-48"/>
    </w:pPr>
    <w:rPr>
      <w:rFonts w:ascii="宋体" w:hAnsi="宋体" w:cs="宋体"/>
    </w:rPr>
  </w:style>
  <w:style w:type="paragraph" w:customStyle="1" w:styleId="3129">
    <w:name w:val="Char Char Char Char Char Char Char39"/>
    <w:basedOn w:val="1"/>
    <w:qFormat/>
    <w:uiPriority w:val="0"/>
    <w:rPr>
      <w:rFonts w:ascii="宋体" w:hAnsi="宋体" w:cs="宋体"/>
    </w:rPr>
  </w:style>
  <w:style w:type="paragraph" w:customStyle="1" w:styleId="3130">
    <w:name w:val="Char66"/>
    <w:basedOn w:val="1"/>
    <w:qFormat/>
    <w:uiPriority w:val="0"/>
    <w:pPr>
      <w:ind w:left="-48"/>
    </w:pPr>
    <w:rPr>
      <w:rFonts w:ascii="宋体" w:hAnsi="宋体" w:cs="宋体"/>
    </w:rPr>
  </w:style>
  <w:style w:type="character" w:customStyle="1" w:styleId="3131">
    <w:name w:val="Char Char414"/>
    <w:qFormat/>
    <w:uiPriority w:val="0"/>
    <w:rPr>
      <w:rFonts w:ascii="黑体" w:hAnsi="Arial" w:eastAsia="黑体"/>
      <w:b/>
      <w:bCs/>
      <w:kern w:val="2"/>
      <w:sz w:val="30"/>
      <w:szCs w:val="30"/>
      <w:lang w:val="en-US" w:eastAsia="zh-CN" w:bidi="ar-SA"/>
    </w:rPr>
  </w:style>
  <w:style w:type="character" w:customStyle="1" w:styleId="3132">
    <w:name w:val="Char Char312"/>
    <w:qFormat/>
    <w:uiPriority w:val="0"/>
    <w:rPr>
      <w:rFonts w:ascii="黑体" w:hAnsi="宋体" w:eastAsia="黑体"/>
      <w:b/>
      <w:bCs/>
      <w:kern w:val="2"/>
      <w:sz w:val="28"/>
      <w:szCs w:val="28"/>
      <w:lang w:val="en-US" w:eastAsia="zh-CN" w:bidi="ar-SA"/>
    </w:rPr>
  </w:style>
  <w:style w:type="paragraph" w:customStyle="1" w:styleId="3133">
    <w:name w:val="Char Char Char Char1 Char Char Char18"/>
    <w:basedOn w:val="1"/>
    <w:qFormat/>
    <w:uiPriority w:val="0"/>
    <w:pPr>
      <w:widowControl/>
      <w:spacing w:after="160"/>
      <w:jc w:val="left"/>
    </w:pPr>
    <w:rPr>
      <w:rFonts w:ascii="Verdana" w:hAnsi="Verdana" w:cs="宋体"/>
      <w:kern w:val="0"/>
      <w:sz w:val="24"/>
      <w:lang w:eastAsia="en-US"/>
    </w:rPr>
  </w:style>
  <w:style w:type="character" w:customStyle="1" w:styleId="3134">
    <w:name w:val="Char Char1118"/>
    <w:qFormat/>
    <w:uiPriority w:val="0"/>
    <w:rPr>
      <w:rFonts w:ascii="黑体" w:hAnsi="Arial" w:eastAsia="黑体"/>
      <w:bCs/>
      <w:kern w:val="2"/>
      <w:sz w:val="30"/>
      <w:szCs w:val="30"/>
      <w:lang w:val="en-US" w:eastAsia="zh-CN" w:bidi="ar-SA"/>
    </w:rPr>
  </w:style>
  <w:style w:type="character" w:customStyle="1" w:styleId="3135">
    <w:name w:val="Char Char512"/>
    <w:qFormat/>
    <w:uiPriority w:val="0"/>
    <w:rPr>
      <w:rFonts w:ascii="黑体" w:hAnsi="宋体" w:eastAsia="黑体"/>
      <w:bCs/>
      <w:kern w:val="2"/>
      <w:sz w:val="28"/>
      <w:szCs w:val="28"/>
      <w:lang w:val="en-US" w:eastAsia="zh-CN" w:bidi="ar-SA"/>
    </w:rPr>
  </w:style>
  <w:style w:type="paragraph" w:customStyle="1" w:styleId="3136">
    <w:name w:val="Char129"/>
    <w:basedOn w:val="1"/>
    <w:qFormat/>
    <w:uiPriority w:val="0"/>
    <w:pPr>
      <w:ind w:left="-48"/>
    </w:pPr>
    <w:rPr>
      <w:rFonts w:ascii="宋体" w:hAnsi="宋体" w:cs="宋体"/>
    </w:rPr>
  </w:style>
  <w:style w:type="paragraph" w:customStyle="1" w:styleId="3137">
    <w:name w:val="Char Char Char Char Char Char Char124"/>
    <w:basedOn w:val="1"/>
    <w:qFormat/>
    <w:uiPriority w:val="0"/>
    <w:rPr>
      <w:rFonts w:ascii="宋体" w:hAnsi="宋体" w:cs="宋体"/>
    </w:rPr>
  </w:style>
  <w:style w:type="character" w:customStyle="1" w:styleId="3138">
    <w:name w:val="Char Char2112"/>
    <w:qFormat/>
    <w:uiPriority w:val="0"/>
    <w:rPr>
      <w:rFonts w:ascii="黑体" w:eastAsia="宋体"/>
      <w:kern w:val="2"/>
      <w:sz w:val="16"/>
      <w:szCs w:val="16"/>
      <w:lang w:val="en-US" w:eastAsia="zh-CN" w:bidi="ar-SA"/>
    </w:rPr>
  </w:style>
  <w:style w:type="character" w:customStyle="1" w:styleId="3139">
    <w:name w:val="Char Char1212"/>
    <w:qFormat/>
    <w:uiPriority w:val="0"/>
    <w:rPr>
      <w:rFonts w:ascii="黑体" w:hAnsi="Arial" w:eastAsia="黑体"/>
      <w:b/>
      <w:bCs/>
      <w:kern w:val="2"/>
      <w:sz w:val="30"/>
      <w:szCs w:val="30"/>
      <w:lang w:val="en-US" w:eastAsia="zh-CN" w:bidi="ar-SA"/>
    </w:rPr>
  </w:style>
  <w:style w:type="character" w:customStyle="1" w:styleId="3140">
    <w:name w:val="Char Char618"/>
    <w:qFormat/>
    <w:uiPriority w:val="0"/>
    <w:rPr>
      <w:rFonts w:ascii="黑体" w:eastAsia="黑体"/>
      <w:b/>
      <w:bCs/>
      <w:kern w:val="2"/>
      <w:sz w:val="28"/>
      <w:szCs w:val="28"/>
      <w:lang w:val="en-US" w:eastAsia="zh-CN" w:bidi="ar-SA"/>
    </w:rPr>
  </w:style>
  <w:style w:type="paragraph" w:customStyle="1" w:styleId="3141">
    <w:name w:val="Char225"/>
    <w:basedOn w:val="1"/>
    <w:qFormat/>
    <w:uiPriority w:val="0"/>
    <w:pPr>
      <w:ind w:left="-48"/>
    </w:pPr>
    <w:rPr>
      <w:rFonts w:ascii="宋体" w:hAnsi="宋体" w:cs="宋体"/>
    </w:rPr>
  </w:style>
  <w:style w:type="paragraph" w:customStyle="1" w:styleId="3142">
    <w:name w:val="Char324"/>
    <w:basedOn w:val="1"/>
    <w:qFormat/>
    <w:uiPriority w:val="0"/>
    <w:pPr>
      <w:ind w:left="-48"/>
    </w:pPr>
    <w:rPr>
      <w:rFonts w:ascii="宋体" w:hAnsi="宋体" w:cs="宋体"/>
    </w:rPr>
  </w:style>
  <w:style w:type="paragraph" w:customStyle="1" w:styleId="3143">
    <w:name w:val="Char Char Char Char Char Char Char219"/>
    <w:basedOn w:val="1"/>
    <w:qFormat/>
    <w:uiPriority w:val="0"/>
    <w:rPr>
      <w:rFonts w:ascii="宋体" w:hAnsi="宋体" w:cs="宋体"/>
    </w:rPr>
  </w:style>
  <w:style w:type="paragraph" w:customStyle="1" w:styleId="3144">
    <w:name w:val="Char424"/>
    <w:basedOn w:val="1"/>
    <w:qFormat/>
    <w:uiPriority w:val="0"/>
    <w:pPr>
      <w:ind w:left="-48"/>
    </w:pPr>
    <w:rPr>
      <w:rFonts w:ascii="宋体" w:hAnsi="宋体" w:cs="宋体"/>
    </w:rPr>
  </w:style>
  <w:style w:type="paragraph" w:customStyle="1" w:styleId="3145">
    <w:name w:val="Char Char Char Char Char Char Char40"/>
    <w:basedOn w:val="1"/>
    <w:qFormat/>
    <w:uiPriority w:val="0"/>
    <w:rPr>
      <w:rFonts w:ascii="宋体" w:hAnsi="宋体" w:cs="宋体"/>
    </w:rPr>
  </w:style>
  <w:style w:type="paragraph" w:customStyle="1" w:styleId="3146">
    <w:name w:val="Char67"/>
    <w:basedOn w:val="1"/>
    <w:qFormat/>
    <w:uiPriority w:val="0"/>
    <w:pPr>
      <w:ind w:left="-48"/>
    </w:pPr>
    <w:rPr>
      <w:rFonts w:ascii="宋体" w:hAnsi="宋体" w:cs="宋体"/>
    </w:rPr>
  </w:style>
  <w:style w:type="character" w:customStyle="1" w:styleId="3147">
    <w:name w:val="Char Char415"/>
    <w:qFormat/>
    <w:uiPriority w:val="0"/>
    <w:rPr>
      <w:rFonts w:ascii="黑体" w:hAnsi="Arial" w:eastAsia="黑体"/>
      <w:b/>
      <w:bCs/>
      <w:kern w:val="2"/>
      <w:sz w:val="30"/>
      <w:szCs w:val="30"/>
      <w:lang w:val="en-US" w:eastAsia="zh-CN" w:bidi="ar-SA"/>
    </w:rPr>
  </w:style>
  <w:style w:type="character" w:customStyle="1" w:styleId="3148">
    <w:name w:val="Char Char313"/>
    <w:qFormat/>
    <w:uiPriority w:val="0"/>
    <w:rPr>
      <w:rFonts w:ascii="黑体" w:hAnsi="宋体" w:eastAsia="黑体"/>
      <w:b/>
      <w:bCs/>
      <w:kern w:val="2"/>
      <w:sz w:val="28"/>
      <w:szCs w:val="28"/>
      <w:lang w:val="en-US" w:eastAsia="zh-CN" w:bidi="ar-SA"/>
    </w:rPr>
  </w:style>
  <w:style w:type="paragraph" w:customStyle="1" w:styleId="3149">
    <w:name w:val="Char Char Char Char1 Char Char Char19"/>
    <w:basedOn w:val="1"/>
    <w:qFormat/>
    <w:uiPriority w:val="0"/>
    <w:pPr>
      <w:widowControl/>
      <w:spacing w:after="160"/>
      <w:jc w:val="left"/>
    </w:pPr>
    <w:rPr>
      <w:rFonts w:ascii="Verdana" w:hAnsi="Verdana" w:cs="宋体"/>
      <w:kern w:val="0"/>
      <w:sz w:val="24"/>
      <w:lang w:eastAsia="en-US"/>
    </w:rPr>
  </w:style>
  <w:style w:type="character" w:customStyle="1" w:styleId="3150">
    <w:name w:val="Char Char1119"/>
    <w:qFormat/>
    <w:uiPriority w:val="0"/>
    <w:rPr>
      <w:rFonts w:ascii="黑体" w:hAnsi="Arial" w:eastAsia="黑体"/>
      <w:bCs/>
      <w:kern w:val="2"/>
      <w:sz w:val="30"/>
      <w:szCs w:val="30"/>
      <w:lang w:val="en-US" w:eastAsia="zh-CN" w:bidi="ar-SA"/>
    </w:rPr>
  </w:style>
  <w:style w:type="character" w:customStyle="1" w:styleId="3151">
    <w:name w:val="Char Char513"/>
    <w:qFormat/>
    <w:uiPriority w:val="0"/>
    <w:rPr>
      <w:rFonts w:ascii="黑体" w:hAnsi="宋体" w:eastAsia="黑体"/>
      <w:bCs/>
      <w:kern w:val="2"/>
      <w:sz w:val="28"/>
      <w:szCs w:val="28"/>
      <w:lang w:val="en-US" w:eastAsia="zh-CN" w:bidi="ar-SA"/>
    </w:rPr>
  </w:style>
  <w:style w:type="paragraph" w:customStyle="1" w:styleId="3152">
    <w:name w:val="Char130"/>
    <w:basedOn w:val="1"/>
    <w:qFormat/>
    <w:uiPriority w:val="0"/>
    <w:pPr>
      <w:ind w:left="-48"/>
    </w:pPr>
    <w:rPr>
      <w:rFonts w:ascii="宋体" w:hAnsi="宋体" w:cs="宋体"/>
    </w:rPr>
  </w:style>
  <w:style w:type="paragraph" w:customStyle="1" w:styleId="3153">
    <w:name w:val="Char Char Char Char Char Char Char125"/>
    <w:basedOn w:val="1"/>
    <w:qFormat/>
    <w:uiPriority w:val="0"/>
    <w:rPr>
      <w:rFonts w:ascii="宋体" w:hAnsi="宋体" w:cs="宋体"/>
    </w:rPr>
  </w:style>
  <w:style w:type="character" w:customStyle="1" w:styleId="3154">
    <w:name w:val="Char Char2113"/>
    <w:qFormat/>
    <w:uiPriority w:val="0"/>
    <w:rPr>
      <w:rFonts w:ascii="黑体" w:eastAsia="宋体"/>
      <w:kern w:val="2"/>
      <w:sz w:val="16"/>
      <w:szCs w:val="16"/>
      <w:lang w:val="en-US" w:eastAsia="zh-CN" w:bidi="ar-SA"/>
    </w:rPr>
  </w:style>
  <w:style w:type="character" w:customStyle="1" w:styleId="3155">
    <w:name w:val="Char Char1213"/>
    <w:qFormat/>
    <w:uiPriority w:val="0"/>
    <w:rPr>
      <w:rFonts w:ascii="黑体" w:hAnsi="Arial" w:eastAsia="黑体"/>
      <w:b/>
      <w:bCs/>
      <w:kern w:val="2"/>
      <w:sz w:val="30"/>
      <w:szCs w:val="30"/>
      <w:lang w:val="en-US" w:eastAsia="zh-CN" w:bidi="ar-SA"/>
    </w:rPr>
  </w:style>
  <w:style w:type="character" w:customStyle="1" w:styleId="3156">
    <w:name w:val="Char Char619"/>
    <w:qFormat/>
    <w:uiPriority w:val="0"/>
    <w:rPr>
      <w:rFonts w:ascii="黑体" w:eastAsia="黑体"/>
      <w:b/>
      <w:bCs/>
      <w:kern w:val="2"/>
      <w:sz w:val="28"/>
      <w:szCs w:val="28"/>
      <w:lang w:val="en-US" w:eastAsia="zh-CN" w:bidi="ar-SA"/>
    </w:rPr>
  </w:style>
  <w:style w:type="paragraph" w:customStyle="1" w:styleId="3157">
    <w:name w:val="Char226"/>
    <w:basedOn w:val="1"/>
    <w:qFormat/>
    <w:uiPriority w:val="0"/>
    <w:pPr>
      <w:ind w:left="-48"/>
    </w:pPr>
    <w:rPr>
      <w:rFonts w:ascii="宋体" w:hAnsi="宋体" w:cs="宋体"/>
    </w:rPr>
  </w:style>
  <w:style w:type="paragraph" w:customStyle="1" w:styleId="3158">
    <w:name w:val="Char325"/>
    <w:basedOn w:val="1"/>
    <w:qFormat/>
    <w:uiPriority w:val="0"/>
    <w:pPr>
      <w:ind w:left="-48"/>
    </w:pPr>
    <w:rPr>
      <w:rFonts w:ascii="宋体" w:hAnsi="宋体" w:cs="宋体"/>
    </w:rPr>
  </w:style>
  <w:style w:type="paragraph" w:customStyle="1" w:styleId="3159">
    <w:name w:val="Char Char Char Char Char Char Char220"/>
    <w:basedOn w:val="1"/>
    <w:qFormat/>
    <w:uiPriority w:val="0"/>
    <w:rPr>
      <w:rFonts w:ascii="宋体" w:hAnsi="宋体" w:cs="宋体"/>
    </w:rPr>
  </w:style>
  <w:style w:type="paragraph" w:customStyle="1" w:styleId="3160">
    <w:name w:val="Char425"/>
    <w:basedOn w:val="1"/>
    <w:qFormat/>
    <w:uiPriority w:val="0"/>
    <w:pPr>
      <w:ind w:left="-48"/>
    </w:pPr>
    <w:rPr>
      <w:rFonts w:ascii="宋体" w:hAnsi="宋体" w:cs="宋体"/>
    </w:rPr>
  </w:style>
  <w:style w:type="paragraph" w:customStyle="1" w:styleId="3161">
    <w:name w:val="Char Char Char Char Char Char Char43"/>
    <w:basedOn w:val="1"/>
    <w:qFormat/>
    <w:uiPriority w:val="0"/>
    <w:rPr>
      <w:rFonts w:ascii="宋体" w:hAnsi="宋体" w:cs="宋体"/>
    </w:rPr>
  </w:style>
  <w:style w:type="paragraph" w:customStyle="1" w:styleId="3162">
    <w:name w:val="Char68"/>
    <w:basedOn w:val="1"/>
    <w:qFormat/>
    <w:uiPriority w:val="0"/>
    <w:pPr>
      <w:ind w:left="-48"/>
    </w:pPr>
    <w:rPr>
      <w:rFonts w:ascii="宋体" w:hAnsi="宋体" w:cs="宋体"/>
    </w:rPr>
  </w:style>
  <w:style w:type="character" w:customStyle="1" w:styleId="3163">
    <w:name w:val="Char Char416"/>
    <w:qFormat/>
    <w:uiPriority w:val="0"/>
    <w:rPr>
      <w:rFonts w:ascii="黑体" w:hAnsi="Arial" w:eastAsia="黑体"/>
      <w:b/>
      <w:bCs/>
      <w:kern w:val="2"/>
      <w:sz w:val="30"/>
      <w:szCs w:val="30"/>
      <w:lang w:val="en-US" w:eastAsia="zh-CN" w:bidi="ar-SA"/>
    </w:rPr>
  </w:style>
  <w:style w:type="character" w:customStyle="1" w:styleId="3164">
    <w:name w:val="Char Char314"/>
    <w:qFormat/>
    <w:uiPriority w:val="0"/>
    <w:rPr>
      <w:rFonts w:ascii="黑体" w:hAnsi="宋体" w:eastAsia="黑体"/>
      <w:b/>
      <w:bCs/>
      <w:kern w:val="2"/>
      <w:sz w:val="28"/>
      <w:szCs w:val="28"/>
      <w:lang w:val="en-US" w:eastAsia="zh-CN" w:bidi="ar-SA"/>
    </w:rPr>
  </w:style>
  <w:style w:type="paragraph" w:customStyle="1" w:styleId="3165">
    <w:name w:val="Char Char Char Char1 Char Char Char20"/>
    <w:basedOn w:val="1"/>
    <w:qFormat/>
    <w:uiPriority w:val="0"/>
    <w:pPr>
      <w:widowControl/>
      <w:spacing w:after="160"/>
      <w:jc w:val="left"/>
    </w:pPr>
    <w:rPr>
      <w:rFonts w:ascii="Verdana" w:hAnsi="Verdana" w:cs="宋体"/>
      <w:kern w:val="0"/>
      <w:sz w:val="24"/>
      <w:lang w:eastAsia="en-US"/>
    </w:rPr>
  </w:style>
  <w:style w:type="character" w:customStyle="1" w:styleId="3166">
    <w:name w:val="Char Char1120"/>
    <w:qFormat/>
    <w:uiPriority w:val="0"/>
    <w:rPr>
      <w:rFonts w:ascii="黑体" w:hAnsi="Arial" w:eastAsia="黑体"/>
      <w:bCs/>
      <w:kern w:val="2"/>
      <w:sz w:val="30"/>
      <w:szCs w:val="30"/>
      <w:lang w:val="en-US" w:eastAsia="zh-CN" w:bidi="ar-SA"/>
    </w:rPr>
  </w:style>
  <w:style w:type="character" w:customStyle="1" w:styleId="3167">
    <w:name w:val="Char Char514"/>
    <w:qFormat/>
    <w:uiPriority w:val="0"/>
    <w:rPr>
      <w:rFonts w:ascii="黑体" w:hAnsi="宋体" w:eastAsia="黑体"/>
      <w:bCs/>
      <w:kern w:val="2"/>
      <w:sz w:val="28"/>
      <w:szCs w:val="28"/>
      <w:lang w:val="en-US" w:eastAsia="zh-CN" w:bidi="ar-SA"/>
    </w:rPr>
  </w:style>
  <w:style w:type="paragraph" w:customStyle="1" w:styleId="3168">
    <w:name w:val="Char133"/>
    <w:basedOn w:val="1"/>
    <w:qFormat/>
    <w:uiPriority w:val="0"/>
    <w:pPr>
      <w:ind w:left="-48"/>
    </w:pPr>
    <w:rPr>
      <w:rFonts w:ascii="宋体" w:hAnsi="宋体" w:cs="宋体"/>
    </w:rPr>
  </w:style>
  <w:style w:type="paragraph" w:customStyle="1" w:styleId="3169">
    <w:name w:val="Char Char Char Char Char Char Char126"/>
    <w:basedOn w:val="1"/>
    <w:qFormat/>
    <w:uiPriority w:val="0"/>
    <w:rPr>
      <w:rFonts w:ascii="宋体" w:hAnsi="宋体" w:cs="宋体"/>
    </w:rPr>
  </w:style>
  <w:style w:type="character" w:customStyle="1" w:styleId="3170">
    <w:name w:val="Char Char2114"/>
    <w:qFormat/>
    <w:uiPriority w:val="0"/>
    <w:rPr>
      <w:rFonts w:ascii="黑体" w:eastAsia="宋体"/>
      <w:kern w:val="2"/>
      <w:sz w:val="16"/>
      <w:szCs w:val="16"/>
      <w:lang w:val="en-US" w:eastAsia="zh-CN" w:bidi="ar-SA"/>
    </w:rPr>
  </w:style>
  <w:style w:type="character" w:customStyle="1" w:styleId="3171">
    <w:name w:val="Char Char1214"/>
    <w:qFormat/>
    <w:uiPriority w:val="0"/>
    <w:rPr>
      <w:rFonts w:ascii="黑体" w:hAnsi="Arial" w:eastAsia="黑体"/>
      <w:b/>
      <w:bCs/>
      <w:kern w:val="2"/>
      <w:sz w:val="30"/>
      <w:szCs w:val="30"/>
      <w:lang w:val="en-US" w:eastAsia="zh-CN" w:bidi="ar-SA"/>
    </w:rPr>
  </w:style>
  <w:style w:type="character" w:customStyle="1" w:styleId="3172">
    <w:name w:val="Char Char620"/>
    <w:qFormat/>
    <w:uiPriority w:val="0"/>
    <w:rPr>
      <w:rFonts w:ascii="黑体" w:eastAsia="黑体"/>
      <w:b/>
      <w:bCs/>
      <w:kern w:val="2"/>
      <w:sz w:val="28"/>
      <w:szCs w:val="28"/>
      <w:lang w:val="en-US" w:eastAsia="zh-CN" w:bidi="ar-SA"/>
    </w:rPr>
  </w:style>
  <w:style w:type="paragraph" w:customStyle="1" w:styleId="3173">
    <w:name w:val="Char227"/>
    <w:basedOn w:val="1"/>
    <w:qFormat/>
    <w:uiPriority w:val="0"/>
    <w:pPr>
      <w:ind w:left="-48"/>
    </w:pPr>
    <w:rPr>
      <w:rFonts w:ascii="宋体" w:hAnsi="宋体" w:cs="宋体"/>
    </w:rPr>
  </w:style>
  <w:style w:type="paragraph" w:customStyle="1" w:styleId="3174">
    <w:name w:val="Char326"/>
    <w:basedOn w:val="1"/>
    <w:qFormat/>
    <w:uiPriority w:val="0"/>
    <w:pPr>
      <w:ind w:left="-48"/>
    </w:pPr>
    <w:rPr>
      <w:rFonts w:ascii="宋体" w:hAnsi="宋体" w:cs="宋体"/>
    </w:rPr>
  </w:style>
  <w:style w:type="paragraph" w:customStyle="1" w:styleId="3175">
    <w:name w:val="Char Char Char Char Char Char Char223"/>
    <w:basedOn w:val="1"/>
    <w:qFormat/>
    <w:uiPriority w:val="0"/>
    <w:rPr>
      <w:rFonts w:ascii="宋体" w:hAnsi="宋体" w:cs="宋体"/>
    </w:rPr>
  </w:style>
  <w:style w:type="paragraph" w:customStyle="1" w:styleId="3176">
    <w:name w:val="Char426"/>
    <w:basedOn w:val="1"/>
    <w:qFormat/>
    <w:uiPriority w:val="0"/>
    <w:pPr>
      <w:ind w:left="-48"/>
    </w:pPr>
    <w:rPr>
      <w:rFonts w:ascii="宋体" w:hAnsi="宋体" w:cs="宋体"/>
    </w:rPr>
  </w:style>
  <w:style w:type="paragraph" w:customStyle="1" w:styleId="3177">
    <w:name w:val="Char Char Char Char Char Char Char44"/>
    <w:basedOn w:val="1"/>
    <w:qFormat/>
    <w:uiPriority w:val="0"/>
    <w:rPr>
      <w:rFonts w:ascii="宋体" w:hAnsi="宋体" w:cs="宋体"/>
    </w:rPr>
  </w:style>
  <w:style w:type="paragraph" w:customStyle="1" w:styleId="3178">
    <w:name w:val="Char69"/>
    <w:basedOn w:val="1"/>
    <w:qFormat/>
    <w:uiPriority w:val="0"/>
    <w:pPr>
      <w:ind w:left="-48"/>
    </w:pPr>
    <w:rPr>
      <w:rFonts w:ascii="宋体" w:hAnsi="宋体" w:cs="宋体"/>
    </w:rPr>
  </w:style>
  <w:style w:type="character" w:customStyle="1" w:styleId="3179">
    <w:name w:val="Char Char417"/>
    <w:qFormat/>
    <w:uiPriority w:val="0"/>
    <w:rPr>
      <w:rFonts w:ascii="黑体" w:hAnsi="Arial" w:eastAsia="黑体"/>
      <w:b/>
      <w:bCs/>
      <w:kern w:val="2"/>
      <w:sz w:val="30"/>
      <w:szCs w:val="30"/>
      <w:lang w:val="en-US" w:eastAsia="zh-CN" w:bidi="ar-SA"/>
    </w:rPr>
  </w:style>
  <w:style w:type="character" w:customStyle="1" w:styleId="3180">
    <w:name w:val="Char Char315"/>
    <w:qFormat/>
    <w:uiPriority w:val="0"/>
    <w:rPr>
      <w:rFonts w:ascii="黑体" w:hAnsi="宋体" w:eastAsia="黑体"/>
      <w:b/>
      <w:bCs/>
      <w:kern w:val="2"/>
      <w:sz w:val="28"/>
      <w:szCs w:val="28"/>
      <w:lang w:val="en-US" w:eastAsia="zh-CN" w:bidi="ar-SA"/>
    </w:rPr>
  </w:style>
  <w:style w:type="paragraph" w:customStyle="1" w:styleId="3181">
    <w:name w:val="Char Char Char Char1 Char Char Char23"/>
    <w:basedOn w:val="1"/>
    <w:qFormat/>
    <w:uiPriority w:val="0"/>
    <w:pPr>
      <w:widowControl/>
      <w:spacing w:after="160"/>
      <w:jc w:val="left"/>
    </w:pPr>
    <w:rPr>
      <w:rFonts w:ascii="Verdana" w:hAnsi="Verdana" w:cs="宋体"/>
      <w:kern w:val="0"/>
      <w:sz w:val="24"/>
      <w:lang w:eastAsia="en-US"/>
    </w:rPr>
  </w:style>
  <w:style w:type="character" w:customStyle="1" w:styleId="3182">
    <w:name w:val="Char Char1122"/>
    <w:qFormat/>
    <w:uiPriority w:val="0"/>
    <w:rPr>
      <w:rFonts w:ascii="黑体" w:hAnsi="Arial" w:eastAsia="黑体"/>
      <w:bCs/>
      <w:kern w:val="2"/>
      <w:sz w:val="30"/>
      <w:szCs w:val="30"/>
      <w:lang w:val="en-US" w:eastAsia="zh-CN" w:bidi="ar-SA"/>
    </w:rPr>
  </w:style>
  <w:style w:type="character" w:customStyle="1" w:styleId="3183">
    <w:name w:val="Char Char515"/>
    <w:qFormat/>
    <w:uiPriority w:val="0"/>
    <w:rPr>
      <w:rFonts w:ascii="黑体" w:hAnsi="宋体" w:eastAsia="黑体"/>
      <w:bCs/>
      <w:kern w:val="2"/>
      <w:sz w:val="28"/>
      <w:szCs w:val="28"/>
      <w:lang w:val="en-US" w:eastAsia="zh-CN" w:bidi="ar-SA"/>
    </w:rPr>
  </w:style>
  <w:style w:type="paragraph" w:customStyle="1" w:styleId="3184">
    <w:name w:val="Char134"/>
    <w:basedOn w:val="1"/>
    <w:qFormat/>
    <w:uiPriority w:val="0"/>
    <w:pPr>
      <w:ind w:left="-48"/>
    </w:pPr>
    <w:rPr>
      <w:rFonts w:ascii="宋体" w:hAnsi="宋体" w:cs="宋体"/>
    </w:rPr>
  </w:style>
  <w:style w:type="paragraph" w:customStyle="1" w:styleId="3185">
    <w:name w:val="Char Char Char Char Char Char Char127"/>
    <w:basedOn w:val="1"/>
    <w:qFormat/>
    <w:uiPriority w:val="0"/>
    <w:rPr>
      <w:rFonts w:ascii="宋体" w:hAnsi="宋体" w:cs="宋体"/>
    </w:rPr>
  </w:style>
  <w:style w:type="character" w:customStyle="1" w:styleId="3186">
    <w:name w:val="Char Char2115"/>
    <w:qFormat/>
    <w:uiPriority w:val="0"/>
    <w:rPr>
      <w:rFonts w:ascii="黑体" w:eastAsia="宋体"/>
      <w:kern w:val="2"/>
      <w:sz w:val="16"/>
      <w:szCs w:val="16"/>
      <w:lang w:val="en-US" w:eastAsia="zh-CN" w:bidi="ar-SA"/>
    </w:rPr>
  </w:style>
  <w:style w:type="character" w:customStyle="1" w:styleId="3187">
    <w:name w:val="Char Char1215"/>
    <w:qFormat/>
    <w:uiPriority w:val="0"/>
    <w:rPr>
      <w:rFonts w:ascii="黑体" w:hAnsi="Arial" w:eastAsia="黑体"/>
      <w:b/>
      <w:bCs/>
      <w:kern w:val="2"/>
      <w:sz w:val="30"/>
      <w:szCs w:val="30"/>
      <w:lang w:val="en-US" w:eastAsia="zh-CN" w:bidi="ar-SA"/>
    </w:rPr>
  </w:style>
  <w:style w:type="character" w:customStyle="1" w:styleId="3188">
    <w:name w:val="Char Char622"/>
    <w:qFormat/>
    <w:uiPriority w:val="0"/>
    <w:rPr>
      <w:rFonts w:ascii="黑体" w:eastAsia="黑体"/>
      <w:b/>
      <w:bCs/>
      <w:kern w:val="2"/>
      <w:sz w:val="28"/>
      <w:szCs w:val="28"/>
      <w:lang w:val="en-US" w:eastAsia="zh-CN" w:bidi="ar-SA"/>
    </w:rPr>
  </w:style>
  <w:style w:type="paragraph" w:customStyle="1" w:styleId="3189">
    <w:name w:val="Char228"/>
    <w:basedOn w:val="1"/>
    <w:qFormat/>
    <w:uiPriority w:val="0"/>
    <w:pPr>
      <w:ind w:left="-48"/>
    </w:pPr>
    <w:rPr>
      <w:rFonts w:ascii="宋体" w:hAnsi="宋体" w:cs="宋体"/>
    </w:rPr>
  </w:style>
  <w:style w:type="paragraph" w:customStyle="1" w:styleId="3190">
    <w:name w:val="Char327"/>
    <w:basedOn w:val="1"/>
    <w:qFormat/>
    <w:uiPriority w:val="0"/>
    <w:pPr>
      <w:ind w:left="-48"/>
    </w:pPr>
    <w:rPr>
      <w:rFonts w:ascii="宋体" w:hAnsi="宋体" w:cs="宋体"/>
    </w:rPr>
  </w:style>
  <w:style w:type="paragraph" w:customStyle="1" w:styleId="3191">
    <w:name w:val="Char Char Char Char Char Char Char224"/>
    <w:basedOn w:val="1"/>
    <w:qFormat/>
    <w:uiPriority w:val="0"/>
    <w:rPr>
      <w:rFonts w:ascii="宋体" w:hAnsi="宋体" w:cs="宋体"/>
    </w:rPr>
  </w:style>
  <w:style w:type="paragraph" w:customStyle="1" w:styleId="3192">
    <w:name w:val="Char427"/>
    <w:basedOn w:val="1"/>
    <w:qFormat/>
    <w:uiPriority w:val="0"/>
    <w:pPr>
      <w:ind w:left="-48"/>
    </w:pPr>
    <w:rPr>
      <w:rFonts w:ascii="宋体" w:hAnsi="宋体" w:cs="宋体"/>
    </w:rPr>
  </w:style>
  <w:style w:type="paragraph" w:customStyle="1" w:styleId="3193">
    <w:name w:val="Char Char Char Char Char Char Char45"/>
    <w:basedOn w:val="1"/>
    <w:qFormat/>
    <w:uiPriority w:val="0"/>
    <w:rPr>
      <w:rFonts w:ascii="宋体" w:hAnsi="宋体" w:cs="宋体"/>
    </w:rPr>
  </w:style>
  <w:style w:type="paragraph" w:customStyle="1" w:styleId="3194">
    <w:name w:val="Char70"/>
    <w:basedOn w:val="1"/>
    <w:qFormat/>
    <w:uiPriority w:val="0"/>
    <w:pPr>
      <w:ind w:left="-48"/>
    </w:pPr>
    <w:rPr>
      <w:rFonts w:ascii="宋体" w:hAnsi="宋体" w:cs="宋体"/>
    </w:rPr>
  </w:style>
  <w:style w:type="character" w:customStyle="1" w:styleId="3195">
    <w:name w:val="Char Char418"/>
    <w:qFormat/>
    <w:uiPriority w:val="0"/>
    <w:rPr>
      <w:rFonts w:ascii="黑体" w:hAnsi="Arial" w:eastAsia="黑体"/>
      <w:b/>
      <w:bCs/>
      <w:kern w:val="2"/>
      <w:sz w:val="30"/>
      <w:szCs w:val="30"/>
      <w:lang w:val="en-US" w:eastAsia="zh-CN" w:bidi="ar-SA"/>
    </w:rPr>
  </w:style>
  <w:style w:type="character" w:customStyle="1" w:styleId="3196">
    <w:name w:val="Char Char316"/>
    <w:qFormat/>
    <w:uiPriority w:val="0"/>
    <w:rPr>
      <w:rFonts w:ascii="黑体" w:hAnsi="宋体" w:eastAsia="黑体"/>
      <w:b/>
      <w:bCs/>
      <w:kern w:val="2"/>
      <w:sz w:val="28"/>
      <w:szCs w:val="28"/>
      <w:lang w:val="en-US" w:eastAsia="zh-CN" w:bidi="ar-SA"/>
    </w:rPr>
  </w:style>
  <w:style w:type="paragraph" w:customStyle="1" w:styleId="3197">
    <w:name w:val="Char Char Char Char1 Char Char Char24"/>
    <w:basedOn w:val="1"/>
    <w:qFormat/>
    <w:uiPriority w:val="0"/>
    <w:pPr>
      <w:widowControl/>
      <w:spacing w:after="160"/>
      <w:jc w:val="left"/>
    </w:pPr>
    <w:rPr>
      <w:rFonts w:ascii="Verdana" w:hAnsi="Verdana" w:cs="宋体"/>
      <w:kern w:val="0"/>
      <w:sz w:val="24"/>
      <w:lang w:eastAsia="en-US"/>
    </w:rPr>
  </w:style>
  <w:style w:type="character" w:customStyle="1" w:styleId="3198">
    <w:name w:val="Char Char1123"/>
    <w:qFormat/>
    <w:uiPriority w:val="0"/>
    <w:rPr>
      <w:rFonts w:ascii="黑体" w:hAnsi="Arial" w:eastAsia="黑体"/>
      <w:bCs/>
      <w:kern w:val="2"/>
      <w:sz w:val="30"/>
      <w:szCs w:val="30"/>
      <w:lang w:val="en-US" w:eastAsia="zh-CN" w:bidi="ar-SA"/>
    </w:rPr>
  </w:style>
  <w:style w:type="character" w:customStyle="1" w:styleId="3199">
    <w:name w:val="Char Char516"/>
    <w:qFormat/>
    <w:uiPriority w:val="0"/>
    <w:rPr>
      <w:rFonts w:ascii="黑体" w:hAnsi="宋体" w:eastAsia="黑体"/>
      <w:bCs/>
      <w:kern w:val="2"/>
      <w:sz w:val="28"/>
      <w:szCs w:val="28"/>
      <w:lang w:val="en-US" w:eastAsia="zh-CN" w:bidi="ar-SA"/>
    </w:rPr>
  </w:style>
  <w:style w:type="paragraph" w:customStyle="1" w:styleId="3200">
    <w:name w:val="Char135"/>
    <w:basedOn w:val="1"/>
    <w:qFormat/>
    <w:uiPriority w:val="0"/>
    <w:pPr>
      <w:ind w:left="-48"/>
    </w:pPr>
    <w:rPr>
      <w:rFonts w:ascii="宋体" w:hAnsi="宋体" w:cs="宋体"/>
    </w:rPr>
  </w:style>
  <w:style w:type="paragraph" w:customStyle="1" w:styleId="3201">
    <w:name w:val="Char Char Char Char Char Char Char128"/>
    <w:basedOn w:val="1"/>
    <w:qFormat/>
    <w:uiPriority w:val="0"/>
    <w:rPr>
      <w:rFonts w:ascii="宋体" w:hAnsi="宋体" w:cs="宋体"/>
    </w:rPr>
  </w:style>
  <w:style w:type="character" w:customStyle="1" w:styleId="3202">
    <w:name w:val="Char Char2116"/>
    <w:qFormat/>
    <w:uiPriority w:val="0"/>
    <w:rPr>
      <w:rFonts w:ascii="黑体" w:eastAsia="宋体"/>
      <w:kern w:val="2"/>
      <w:sz w:val="16"/>
      <w:szCs w:val="16"/>
      <w:lang w:val="en-US" w:eastAsia="zh-CN" w:bidi="ar-SA"/>
    </w:rPr>
  </w:style>
  <w:style w:type="character" w:customStyle="1" w:styleId="3203">
    <w:name w:val="Char Char1216"/>
    <w:qFormat/>
    <w:uiPriority w:val="0"/>
    <w:rPr>
      <w:rFonts w:ascii="黑体" w:hAnsi="Arial" w:eastAsia="黑体"/>
      <w:b/>
      <w:bCs/>
      <w:kern w:val="2"/>
      <w:sz w:val="30"/>
      <w:szCs w:val="30"/>
      <w:lang w:val="en-US" w:eastAsia="zh-CN" w:bidi="ar-SA"/>
    </w:rPr>
  </w:style>
  <w:style w:type="character" w:customStyle="1" w:styleId="3204">
    <w:name w:val="Char Char623"/>
    <w:qFormat/>
    <w:uiPriority w:val="0"/>
    <w:rPr>
      <w:rFonts w:ascii="黑体" w:eastAsia="黑体"/>
      <w:b/>
      <w:bCs/>
      <w:kern w:val="2"/>
      <w:sz w:val="28"/>
      <w:szCs w:val="28"/>
      <w:lang w:val="en-US" w:eastAsia="zh-CN" w:bidi="ar-SA"/>
    </w:rPr>
  </w:style>
  <w:style w:type="paragraph" w:customStyle="1" w:styleId="3205">
    <w:name w:val="Char229"/>
    <w:basedOn w:val="1"/>
    <w:qFormat/>
    <w:uiPriority w:val="0"/>
    <w:pPr>
      <w:ind w:left="-48"/>
    </w:pPr>
    <w:rPr>
      <w:rFonts w:ascii="宋体" w:hAnsi="宋体" w:cs="宋体"/>
    </w:rPr>
  </w:style>
  <w:style w:type="paragraph" w:customStyle="1" w:styleId="3206">
    <w:name w:val="Char328"/>
    <w:basedOn w:val="1"/>
    <w:qFormat/>
    <w:uiPriority w:val="0"/>
    <w:pPr>
      <w:ind w:left="-48"/>
    </w:pPr>
    <w:rPr>
      <w:rFonts w:ascii="宋体" w:hAnsi="宋体" w:cs="宋体"/>
    </w:rPr>
  </w:style>
  <w:style w:type="paragraph" w:customStyle="1" w:styleId="3207">
    <w:name w:val="Char Char Char Char Char Char Char225"/>
    <w:basedOn w:val="1"/>
    <w:qFormat/>
    <w:uiPriority w:val="0"/>
    <w:rPr>
      <w:rFonts w:ascii="宋体" w:hAnsi="宋体" w:cs="宋体"/>
    </w:rPr>
  </w:style>
  <w:style w:type="paragraph" w:customStyle="1" w:styleId="3208">
    <w:name w:val="Char428"/>
    <w:basedOn w:val="1"/>
    <w:qFormat/>
    <w:uiPriority w:val="0"/>
    <w:pPr>
      <w:ind w:left="-48"/>
    </w:pPr>
    <w:rPr>
      <w:rFonts w:ascii="宋体" w:hAnsi="宋体" w:cs="宋体"/>
    </w:rPr>
  </w:style>
  <w:style w:type="paragraph" w:customStyle="1" w:styleId="3209">
    <w:name w:val="Char Char Char Char Char Char Char46"/>
    <w:basedOn w:val="1"/>
    <w:qFormat/>
    <w:uiPriority w:val="0"/>
    <w:rPr>
      <w:rFonts w:ascii="宋体" w:hAnsi="宋体" w:cs="宋体"/>
    </w:rPr>
  </w:style>
  <w:style w:type="paragraph" w:customStyle="1" w:styleId="3210">
    <w:name w:val="Char75"/>
    <w:basedOn w:val="1"/>
    <w:qFormat/>
    <w:uiPriority w:val="0"/>
    <w:pPr>
      <w:ind w:left="-48"/>
    </w:pPr>
    <w:rPr>
      <w:rFonts w:ascii="宋体" w:hAnsi="宋体" w:cs="宋体"/>
    </w:rPr>
  </w:style>
  <w:style w:type="character" w:customStyle="1" w:styleId="3211">
    <w:name w:val="Char Char419"/>
    <w:qFormat/>
    <w:uiPriority w:val="0"/>
    <w:rPr>
      <w:rFonts w:ascii="黑体" w:hAnsi="Arial" w:eastAsia="黑体"/>
      <w:b/>
      <w:bCs/>
      <w:kern w:val="2"/>
      <w:sz w:val="30"/>
      <w:szCs w:val="30"/>
      <w:lang w:val="en-US" w:eastAsia="zh-CN" w:bidi="ar-SA"/>
    </w:rPr>
  </w:style>
  <w:style w:type="character" w:customStyle="1" w:styleId="3212">
    <w:name w:val="Char Char317"/>
    <w:qFormat/>
    <w:uiPriority w:val="0"/>
    <w:rPr>
      <w:rFonts w:ascii="黑体" w:hAnsi="宋体" w:eastAsia="黑体"/>
      <w:b/>
      <w:bCs/>
      <w:kern w:val="2"/>
      <w:sz w:val="28"/>
      <w:szCs w:val="28"/>
      <w:lang w:val="en-US" w:eastAsia="zh-CN" w:bidi="ar-SA"/>
    </w:rPr>
  </w:style>
  <w:style w:type="paragraph" w:customStyle="1" w:styleId="3213">
    <w:name w:val="Char Char Char Char1 Char Char Char25"/>
    <w:basedOn w:val="1"/>
    <w:qFormat/>
    <w:uiPriority w:val="0"/>
    <w:pPr>
      <w:widowControl/>
      <w:spacing w:after="160"/>
      <w:jc w:val="left"/>
    </w:pPr>
    <w:rPr>
      <w:rFonts w:ascii="Verdana" w:hAnsi="Verdana" w:cs="宋体"/>
      <w:kern w:val="0"/>
      <w:sz w:val="24"/>
      <w:lang w:eastAsia="en-US"/>
    </w:rPr>
  </w:style>
  <w:style w:type="character" w:customStyle="1" w:styleId="3214">
    <w:name w:val="Char Char1124"/>
    <w:qFormat/>
    <w:uiPriority w:val="0"/>
    <w:rPr>
      <w:rFonts w:ascii="黑体" w:hAnsi="Arial" w:eastAsia="黑体"/>
      <w:bCs/>
      <w:kern w:val="2"/>
      <w:sz w:val="30"/>
      <w:szCs w:val="30"/>
      <w:lang w:val="en-US" w:eastAsia="zh-CN" w:bidi="ar-SA"/>
    </w:rPr>
  </w:style>
  <w:style w:type="character" w:customStyle="1" w:styleId="3215">
    <w:name w:val="Char Char517"/>
    <w:qFormat/>
    <w:uiPriority w:val="0"/>
    <w:rPr>
      <w:rFonts w:ascii="黑体" w:hAnsi="宋体" w:eastAsia="黑体"/>
      <w:bCs/>
      <w:kern w:val="2"/>
      <w:sz w:val="28"/>
      <w:szCs w:val="28"/>
      <w:lang w:val="en-US" w:eastAsia="zh-CN" w:bidi="ar-SA"/>
    </w:rPr>
  </w:style>
  <w:style w:type="paragraph" w:customStyle="1" w:styleId="3216">
    <w:name w:val="Char136"/>
    <w:basedOn w:val="1"/>
    <w:qFormat/>
    <w:uiPriority w:val="0"/>
    <w:pPr>
      <w:ind w:left="-48"/>
    </w:pPr>
    <w:rPr>
      <w:rFonts w:ascii="宋体" w:hAnsi="宋体" w:cs="宋体"/>
    </w:rPr>
  </w:style>
  <w:style w:type="paragraph" w:customStyle="1" w:styleId="3217">
    <w:name w:val="Char Char Char Char Char Char Char129"/>
    <w:basedOn w:val="1"/>
    <w:qFormat/>
    <w:uiPriority w:val="0"/>
    <w:rPr>
      <w:rFonts w:ascii="宋体" w:hAnsi="宋体" w:cs="宋体"/>
    </w:rPr>
  </w:style>
  <w:style w:type="character" w:customStyle="1" w:styleId="3218">
    <w:name w:val="Char Char2117"/>
    <w:qFormat/>
    <w:uiPriority w:val="0"/>
    <w:rPr>
      <w:rFonts w:ascii="黑体" w:eastAsia="宋体"/>
      <w:kern w:val="2"/>
      <w:sz w:val="16"/>
      <w:szCs w:val="16"/>
      <w:lang w:val="en-US" w:eastAsia="zh-CN" w:bidi="ar-SA"/>
    </w:rPr>
  </w:style>
  <w:style w:type="character" w:customStyle="1" w:styleId="3219">
    <w:name w:val="Char Char1217"/>
    <w:qFormat/>
    <w:uiPriority w:val="0"/>
    <w:rPr>
      <w:rFonts w:ascii="黑体" w:hAnsi="Arial" w:eastAsia="黑体"/>
      <w:b/>
      <w:bCs/>
      <w:kern w:val="2"/>
      <w:sz w:val="30"/>
      <w:szCs w:val="30"/>
      <w:lang w:val="en-US" w:eastAsia="zh-CN" w:bidi="ar-SA"/>
    </w:rPr>
  </w:style>
  <w:style w:type="character" w:customStyle="1" w:styleId="3220">
    <w:name w:val="Char Char624"/>
    <w:qFormat/>
    <w:uiPriority w:val="0"/>
    <w:rPr>
      <w:rFonts w:ascii="黑体" w:eastAsia="黑体"/>
      <w:b/>
      <w:bCs/>
      <w:kern w:val="2"/>
      <w:sz w:val="28"/>
      <w:szCs w:val="28"/>
      <w:lang w:val="en-US" w:eastAsia="zh-CN" w:bidi="ar-SA"/>
    </w:rPr>
  </w:style>
  <w:style w:type="paragraph" w:customStyle="1" w:styleId="3221">
    <w:name w:val="Char230"/>
    <w:basedOn w:val="1"/>
    <w:qFormat/>
    <w:uiPriority w:val="0"/>
    <w:pPr>
      <w:ind w:left="-48"/>
    </w:pPr>
    <w:rPr>
      <w:rFonts w:ascii="宋体" w:hAnsi="宋体" w:cs="宋体"/>
    </w:rPr>
  </w:style>
  <w:style w:type="paragraph" w:customStyle="1" w:styleId="3222">
    <w:name w:val="Char329"/>
    <w:basedOn w:val="1"/>
    <w:qFormat/>
    <w:uiPriority w:val="0"/>
    <w:pPr>
      <w:ind w:left="-48"/>
    </w:pPr>
    <w:rPr>
      <w:rFonts w:ascii="宋体" w:hAnsi="宋体" w:cs="宋体"/>
    </w:rPr>
  </w:style>
  <w:style w:type="paragraph" w:customStyle="1" w:styleId="3223">
    <w:name w:val="Char Char Char Char Char Char Char226"/>
    <w:basedOn w:val="1"/>
    <w:qFormat/>
    <w:uiPriority w:val="0"/>
    <w:rPr>
      <w:rFonts w:ascii="宋体" w:hAnsi="宋体" w:cs="宋体"/>
    </w:rPr>
  </w:style>
  <w:style w:type="paragraph" w:customStyle="1" w:styleId="3224">
    <w:name w:val="Char429"/>
    <w:basedOn w:val="1"/>
    <w:qFormat/>
    <w:uiPriority w:val="0"/>
    <w:pPr>
      <w:ind w:left="-48"/>
    </w:pPr>
    <w:rPr>
      <w:rFonts w:ascii="宋体" w:hAnsi="宋体" w:cs="宋体"/>
    </w:rPr>
  </w:style>
  <w:style w:type="paragraph" w:customStyle="1" w:styleId="3225">
    <w:name w:val="Char Char Char Char Char Char Char47"/>
    <w:basedOn w:val="1"/>
    <w:qFormat/>
    <w:uiPriority w:val="0"/>
    <w:rPr>
      <w:rFonts w:ascii="宋体" w:hAnsi="宋体" w:cs="宋体"/>
    </w:rPr>
  </w:style>
  <w:style w:type="paragraph" w:customStyle="1" w:styleId="3226">
    <w:name w:val="Char76"/>
    <w:basedOn w:val="1"/>
    <w:qFormat/>
    <w:uiPriority w:val="0"/>
    <w:pPr>
      <w:ind w:left="-48"/>
    </w:pPr>
    <w:rPr>
      <w:rFonts w:ascii="宋体" w:hAnsi="宋体" w:cs="宋体"/>
    </w:rPr>
  </w:style>
  <w:style w:type="character" w:customStyle="1" w:styleId="3227">
    <w:name w:val="Char Char420"/>
    <w:qFormat/>
    <w:uiPriority w:val="0"/>
    <w:rPr>
      <w:rFonts w:ascii="黑体" w:hAnsi="Arial" w:eastAsia="黑体"/>
      <w:b/>
      <w:bCs/>
      <w:kern w:val="2"/>
      <w:sz w:val="30"/>
      <w:szCs w:val="30"/>
      <w:lang w:val="en-US" w:eastAsia="zh-CN" w:bidi="ar-SA"/>
    </w:rPr>
  </w:style>
  <w:style w:type="character" w:customStyle="1" w:styleId="3228">
    <w:name w:val="Char Char318"/>
    <w:qFormat/>
    <w:uiPriority w:val="0"/>
    <w:rPr>
      <w:rFonts w:ascii="黑体" w:hAnsi="宋体" w:eastAsia="黑体"/>
      <w:b/>
      <w:bCs/>
      <w:kern w:val="2"/>
      <w:sz w:val="28"/>
      <w:szCs w:val="28"/>
      <w:lang w:val="en-US" w:eastAsia="zh-CN" w:bidi="ar-SA"/>
    </w:rPr>
  </w:style>
  <w:style w:type="paragraph" w:customStyle="1" w:styleId="3229">
    <w:name w:val="Char Char Char Char1 Char Char Char26"/>
    <w:basedOn w:val="1"/>
    <w:qFormat/>
    <w:uiPriority w:val="0"/>
    <w:pPr>
      <w:widowControl/>
      <w:spacing w:after="160"/>
      <w:jc w:val="left"/>
    </w:pPr>
    <w:rPr>
      <w:rFonts w:ascii="Verdana" w:hAnsi="Verdana" w:cs="宋体"/>
      <w:kern w:val="0"/>
      <w:sz w:val="24"/>
      <w:lang w:eastAsia="en-US"/>
    </w:rPr>
  </w:style>
  <w:style w:type="character" w:customStyle="1" w:styleId="3230">
    <w:name w:val="Char Char1125"/>
    <w:qFormat/>
    <w:uiPriority w:val="0"/>
    <w:rPr>
      <w:rFonts w:ascii="黑体" w:hAnsi="Arial" w:eastAsia="黑体"/>
      <w:bCs/>
      <w:kern w:val="2"/>
      <w:sz w:val="30"/>
      <w:szCs w:val="30"/>
      <w:lang w:val="en-US" w:eastAsia="zh-CN" w:bidi="ar-SA"/>
    </w:rPr>
  </w:style>
  <w:style w:type="character" w:customStyle="1" w:styleId="3231">
    <w:name w:val="Char Char518"/>
    <w:qFormat/>
    <w:uiPriority w:val="0"/>
    <w:rPr>
      <w:rFonts w:ascii="黑体" w:hAnsi="宋体" w:eastAsia="黑体"/>
      <w:bCs/>
      <w:kern w:val="2"/>
      <w:sz w:val="28"/>
      <w:szCs w:val="28"/>
      <w:lang w:val="en-US" w:eastAsia="zh-CN" w:bidi="ar-SA"/>
    </w:rPr>
  </w:style>
  <w:style w:type="paragraph" w:customStyle="1" w:styleId="3232">
    <w:name w:val="Char137"/>
    <w:basedOn w:val="1"/>
    <w:qFormat/>
    <w:uiPriority w:val="0"/>
    <w:pPr>
      <w:ind w:left="-48"/>
    </w:pPr>
    <w:rPr>
      <w:rFonts w:ascii="宋体" w:hAnsi="宋体" w:cs="宋体"/>
    </w:rPr>
  </w:style>
  <w:style w:type="paragraph" w:customStyle="1" w:styleId="3233">
    <w:name w:val="Char Char Char Char Char Char Char130"/>
    <w:basedOn w:val="1"/>
    <w:qFormat/>
    <w:uiPriority w:val="0"/>
    <w:rPr>
      <w:rFonts w:ascii="宋体" w:hAnsi="宋体" w:cs="宋体"/>
    </w:rPr>
  </w:style>
  <w:style w:type="character" w:customStyle="1" w:styleId="3234">
    <w:name w:val="Char Char2118"/>
    <w:qFormat/>
    <w:uiPriority w:val="0"/>
    <w:rPr>
      <w:rFonts w:ascii="黑体" w:eastAsia="宋体"/>
      <w:kern w:val="2"/>
      <w:sz w:val="16"/>
      <w:szCs w:val="16"/>
      <w:lang w:val="en-US" w:eastAsia="zh-CN" w:bidi="ar-SA"/>
    </w:rPr>
  </w:style>
  <w:style w:type="character" w:customStyle="1" w:styleId="3235">
    <w:name w:val="Char Char1218"/>
    <w:qFormat/>
    <w:uiPriority w:val="0"/>
    <w:rPr>
      <w:rFonts w:ascii="黑体" w:hAnsi="Arial" w:eastAsia="黑体"/>
      <w:b/>
      <w:bCs/>
      <w:kern w:val="2"/>
      <w:sz w:val="30"/>
      <w:szCs w:val="30"/>
      <w:lang w:val="en-US" w:eastAsia="zh-CN" w:bidi="ar-SA"/>
    </w:rPr>
  </w:style>
  <w:style w:type="character" w:customStyle="1" w:styleId="3236">
    <w:name w:val="Char Char625"/>
    <w:qFormat/>
    <w:uiPriority w:val="0"/>
    <w:rPr>
      <w:rFonts w:ascii="黑体" w:eastAsia="黑体"/>
      <w:b/>
      <w:bCs/>
      <w:kern w:val="2"/>
      <w:sz w:val="28"/>
      <w:szCs w:val="28"/>
      <w:lang w:val="en-US" w:eastAsia="zh-CN" w:bidi="ar-SA"/>
    </w:rPr>
  </w:style>
  <w:style w:type="paragraph" w:customStyle="1" w:styleId="3237">
    <w:name w:val="Char233"/>
    <w:basedOn w:val="1"/>
    <w:qFormat/>
    <w:uiPriority w:val="0"/>
    <w:pPr>
      <w:ind w:left="-48"/>
    </w:pPr>
    <w:rPr>
      <w:rFonts w:ascii="宋体" w:hAnsi="宋体" w:cs="宋体"/>
    </w:rPr>
  </w:style>
  <w:style w:type="paragraph" w:customStyle="1" w:styleId="3238">
    <w:name w:val="Char330"/>
    <w:basedOn w:val="1"/>
    <w:qFormat/>
    <w:uiPriority w:val="0"/>
    <w:pPr>
      <w:ind w:left="-48"/>
    </w:pPr>
    <w:rPr>
      <w:rFonts w:ascii="宋体" w:hAnsi="宋体" w:cs="宋体"/>
    </w:rPr>
  </w:style>
  <w:style w:type="paragraph" w:customStyle="1" w:styleId="3239">
    <w:name w:val="Char Char Char Char Char Char Char227"/>
    <w:basedOn w:val="1"/>
    <w:qFormat/>
    <w:uiPriority w:val="0"/>
    <w:rPr>
      <w:rFonts w:ascii="宋体" w:hAnsi="宋体" w:cs="宋体"/>
    </w:rPr>
  </w:style>
  <w:style w:type="paragraph" w:customStyle="1" w:styleId="3240">
    <w:name w:val="Char430"/>
    <w:basedOn w:val="1"/>
    <w:qFormat/>
    <w:uiPriority w:val="0"/>
    <w:pPr>
      <w:ind w:left="-48"/>
    </w:pPr>
    <w:rPr>
      <w:rFonts w:ascii="宋体" w:hAnsi="宋体" w:cs="宋体"/>
    </w:rPr>
  </w:style>
  <w:style w:type="character" w:customStyle="1" w:styleId="3241">
    <w:name w:val="Char Char71"/>
    <w:qFormat/>
    <w:uiPriority w:val="0"/>
    <w:rPr>
      <w:rFonts w:eastAsia="宋体"/>
      <w:kern w:val="2"/>
      <w:sz w:val="21"/>
      <w:szCs w:val="24"/>
      <w:lang w:val="en-US" w:eastAsia="zh-CN" w:bidi="ar-SA"/>
    </w:rPr>
  </w:style>
  <w:style w:type="paragraph" w:customStyle="1" w:styleId="3242">
    <w:name w:val="表格内容4"/>
    <w:qFormat/>
    <w:uiPriority w:val="0"/>
    <w:pPr>
      <w:jc w:val="center"/>
    </w:pPr>
    <w:rPr>
      <w:rFonts w:ascii="Times New Roman" w:hAnsi="Times New Roman" w:eastAsia="宋体" w:cs="Times New Roman"/>
      <w:kern w:val="2"/>
      <w:sz w:val="21"/>
      <w:szCs w:val="21"/>
      <w:lang w:val="en-US" w:eastAsia="zh-CN" w:bidi="ar-SA"/>
    </w:rPr>
  </w:style>
  <w:style w:type="character" w:customStyle="1" w:styleId="3243">
    <w:name w:val="表格内容 Char4"/>
    <w:qFormat/>
    <w:uiPriority w:val="0"/>
    <w:rPr>
      <w:rFonts w:eastAsia="宋体"/>
      <w:kern w:val="2"/>
      <w:sz w:val="21"/>
      <w:szCs w:val="21"/>
      <w:lang w:val="en-US" w:eastAsia="zh-CN" w:bidi="ar-SA"/>
    </w:rPr>
  </w:style>
  <w:style w:type="paragraph" w:customStyle="1" w:styleId="3244">
    <w:name w:val="正文格式103"/>
    <w:basedOn w:val="1"/>
    <w:qFormat/>
    <w:uiPriority w:val="0"/>
    <w:pPr>
      <w:spacing w:line="360" w:lineRule="auto"/>
      <w:ind w:firstLine="482"/>
    </w:pPr>
    <w:rPr>
      <w:rFonts w:ascii="宋体" w:hAnsi="宋体" w:cs="宋体"/>
      <w:sz w:val="24"/>
    </w:rPr>
  </w:style>
  <w:style w:type="character" w:customStyle="1" w:styleId="3245">
    <w:name w:val="正文格式 Char101"/>
    <w:qFormat/>
    <w:uiPriority w:val="0"/>
    <w:rPr>
      <w:rFonts w:ascii="宋体" w:hAnsi="宋体" w:eastAsia="宋体"/>
      <w:kern w:val="2"/>
      <w:sz w:val="24"/>
      <w:szCs w:val="24"/>
      <w:lang w:val="en-US" w:eastAsia="zh-CN" w:bidi="ar-SA"/>
    </w:rPr>
  </w:style>
  <w:style w:type="character" w:customStyle="1" w:styleId="3246">
    <w:name w:val="标题 3 Char121"/>
    <w:qFormat/>
    <w:uiPriority w:val="0"/>
    <w:rPr>
      <w:rFonts w:ascii="黑体" w:hAnsi="宋体" w:eastAsia="黑体"/>
      <w:b/>
      <w:bCs/>
      <w:kern w:val="2"/>
      <w:sz w:val="28"/>
      <w:szCs w:val="28"/>
      <w:lang w:val="en-US" w:eastAsia="zh-CN" w:bidi="ar-SA"/>
    </w:rPr>
  </w:style>
  <w:style w:type="character" w:customStyle="1" w:styleId="3247">
    <w:name w:val="题注 Char63"/>
    <w:qFormat/>
    <w:uiPriority w:val="0"/>
    <w:rPr>
      <w:rFonts w:ascii="黑体" w:hAnsi="Arial" w:eastAsia="黑体" w:cs="Arial"/>
      <w:spacing w:val="10"/>
      <w:kern w:val="2"/>
      <w:sz w:val="24"/>
      <w:szCs w:val="24"/>
      <w:lang w:val="en-US" w:eastAsia="zh-CN" w:bidi="ar-SA"/>
    </w:rPr>
  </w:style>
  <w:style w:type="paragraph" w:customStyle="1" w:styleId="3248">
    <w:name w:val="图题83"/>
    <w:basedOn w:val="315"/>
    <w:next w:val="315"/>
    <w:qFormat/>
    <w:uiPriority w:val="0"/>
    <w:pPr>
      <w:ind w:firstLine="0"/>
      <w:jc w:val="center"/>
    </w:pPr>
    <w:rPr>
      <w:rFonts w:ascii="黑体" w:hAnsi="宋体" w:eastAsia="黑体"/>
      <w:bCs/>
      <w:spacing w:val="0"/>
    </w:rPr>
  </w:style>
  <w:style w:type="paragraph" w:customStyle="1" w:styleId="3249">
    <w:name w:val="表格内字体83"/>
    <w:basedOn w:val="315"/>
    <w:next w:val="315"/>
    <w:qFormat/>
    <w:uiPriority w:val="0"/>
    <w:pPr>
      <w:spacing w:line="240" w:lineRule="auto"/>
      <w:ind w:firstLine="0"/>
      <w:jc w:val="center"/>
    </w:pPr>
    <w:rPr>
      <w:rFonts w:hAnsi="宋体"/>
      <w:b w:val="0"/>
      <w:spacing w:val="0"/>
      <w:sz w:val="21"/>
    </w:rPr>
  </w:style>
  <w:style w:type="character" w:customStyle="1" w:styleId="3250">
    <w:name w:val="表格内字体 Char81"/>
    <w:qFormat/>
    <w:uiPriority w:val="0"/>
    <w:rPr>
      <w:rFonts w:ascii="宋体" w:hAnsi="宋体" w:eastAsia="宋体"/>
      <w:kern w:val="2"/>
      <w:sz w:val="21"/>
      <w:szCs w:val="24"/>
      <w:lang w:val="en-US" w:eastAsia="zh-CN" w:bidi="ar-SA"/>
    </w:rPr>
  </w:style>
  <w:style w:type="paragraph" w:customStyle="1" w:styleId="3251">
    <w:name w:val="Char1110"/>
    <w:basedOn w:val="1"/>
    <w:qFormat/>
    <w:uiPriority w:val="0"/>
    <w:pPr>
      <w:ind w:left="-48"/>
    </w:pPr>
    <w:rPr>
      <w:rFonts w:ascii="宋体" w:hAnsi="宋体" w:cs="宋体"/>
    </w:rPr>
  </w:style>
  <w:style w:type="character" w:customStyle="1" w:styleId="3252">
    <w:name w:val="正文缩进 Char131"/>
    <w:qFormat/>
    <w:uiPriority w:val="0"/>
    <w:rPr>
      <w:rFonts w:ascii="宋体" w:hAnsi="宋体" w:eastAsia="宋体" w:cs="宋体"/>
      <w:color w:val="000000"/>
      <w:kern w:val="2"/>
      <w:sz w:val="24"/>
      <w:szCs w:val="24"/>
      <w:lang w:val="en-US" w:eastAsia="zh-CN" w:bidi="ar-SA"/>
    </w:rPr>
  </w:style>
  <w:style w:type="character" w:customStyle="1" w:styleId="3253">
    <w:name w:val="正文文本缩进 3 Char31"/>
    <w:qFormat/>
    <w:uiPriority w:val="0"/>
    <w:rPr>
      <w:rFonts w:eastAsia="宋体"/>
      <w:kern w:val="2"/>
      <w:sz w:val="16"/>
      <w:szCs w:val="16"/>
      <w:lang w:val="en-US" w:eastAsia="zh-CN" w:bidi="ar-SA"/>
    </w:rPr>
  </w:style>
  <w:style w:type="paragraph" w:customStyle="1" w:styleId="3254">
    <w:name w:val="表题163"/>
    <w:basedOn w:val="23"/>
    <w:qFormat/>
    <w:uiPriority w:val="0"/>
    <w:pPr>
      <w:widowControl w:val="0"/>
      <w:spacing w:line="360" w:lineRule="auto"/>
      <w:jc w:val="center"/>
    </w:pPr>
    <w:rPr>
      <w:rFonts w:ascii="黑体" w:hAnsi="Arial" w:cs="Arial"/>
      <w:b/>
      <w:kern w:val="2"/>
    </w:rPr>
  </w:style>
  <w:style w:type="character" w:customStyle="1" w:styleId="3255">
    <w:name w:val="表题1 Char73"/>
    <w:qFormat/>
    <w:uiPriority w:val="0"/>
    <w:rPr>
      <w:rFonts w:ascii="黑体" w:hAnsi="Arial" w:eastAsia="黑体" w:cs="Arial"/>
      <w:b/>
      <w:kern w:val="2"/>
      <w:sz w:val="24"/>
      <w:szCs w:val="24"/>
      <w:lang w:val="en-US" w:eastAsia="zh-CN" w:bidi="ar-SA"/>
    </w:rPr>
  </w:style>
  <w:style w:type="paragraph" w:customStyle="1" w:styleId="3256">
    <w:name w:val="燕山正文53"/>
    <w:basedOn w:val="1"/>
    <w:qFormat/>
    <w:uiPriority w:val="0"/>
    <w:pPr>
      <w:tabs>
        <w:tab w:val="left" w:pos="4680"/>
      </w:tabs>
      <w:adjustRightInd w:val="0"/>
      <w:snapToGrid w:val="0"/>
      <w:spacing w:line="480" w:lineRule="exact"/>
    </w:pPr>
    <w:rPr>
      <w:rFonts w:ascii="宋体" w:hAnsi="宋体" w:cs="宋体"/>
      <w:sz w:val="24"/>
    </w:rPr>
  </w:style>
  <w:style w:type="character" w:customStyle="1" w:styleId="3257">
    <w:name w:val="燕山正文 Char151"/>
    <w:qFormat/>
    <w:uiPriority w:val="0"/>
    <w:rPr>
      <w:rFonts w:ascii="宋体" w:eastAsia="宋体" w:cs="宋体"/>
      <w:kern w:val="2"/>
      <w:sz w:val="24"/>
      <w:szCs w:val="24"/>
      <w:lang w:val="en-US" w:eastAsia="zh-CN" w:bidi="ar-SA"/>
    </w:rPr>
  </w:style>
  <w:style w:type="paragraph" w:customStyle="1" w:styleId="3258">
    <w:name w:val="正文修改53"/>
    <w:basedOn w:val="1180"/>
    <w:qFormat/>
    <w:uiPriority w:val="0"/>
    <w:rPr>
      <w:rFonts w:hAnsi="宋体"/>
      <w:color w:val="000000"/>
    </w:rPr>
  </w:style>
  <w:style w:type="character" w:customStyle="1" w:styleId="3259">
    <w:name w:val="正文修改 Char153"/>
    <w:qFormat/>
    <w:uiPriority w:val="0"/>
    <w:rPr>
      <w:rFonts w:ascii="宋体" w:hAnsi="宋体" w:eastAsia="宋体" w:cs="宋体"/>
      <w:color w:val="000000"/>
      <w:kern w:val="2"/>
      <w:sz w:val="24"/>
      <w:szCs w:val="24"/>
      <w:lang w:val="en-US" w:eastAsia="zh-CN" w:bidi="ar-SA"/>
    </w:rPr>
  </w:style>
  <w:style w:type="paragraph" w:customStyle="1" w:styleId="3260">
    <w:name w:val="表中文字63"/>
    <w:basedOn w:val="1"/>
    <w:qFormat/>
    <w:uiPriority w:val="0"/>
    <w:pPr>
      <w:widowControl/>
      <w:spacing w:line="240" w:lineRule="atLeast"/>
      <w:ind w:left="-24" w:leftChars="-10" w:right="-48" w:rightChars="-20"/>
      <w:jc w:val="center"/>
    </w:pPr>
    <w:rPr>
      <w:rFonts w:ascii="宋体" w:hAnsi="宋体" w:cs="宋体"/>
      <w:kern w:val="0"/>
      <w:szCs w:val="21"/>
    </w:rPr>
  </w:style>
  <w:style w:type="character" w:customStyle="1" w:styleId="3261">
    <w:name w:val="表中文字 Char251"/>
    <w:qFormat/>
    <w:uiPriority w:val="0"/>
    <w:rPr>
      <w:rFonts w:ascii="宋体" w:eastAsia="宋体"/>
      <w:kern w:val="2"/>
      <w:sz w:val="21"/>
      <w:szCs w:val="21"/>
      <w:lang w:val="en-US" w:eastAsia="zh-CN" w:bidi="ar-SA"/>
    </w:rPr>
  </w:style>
  <w:style w:type="paragraph" w:customStyle="1" w:styleId="3262">
    <w:name w:val="默认段落字体 Para Char Char Char Char63"/>
    <w:basedOn w:val="1"/>
    <w:qFormat/>
    <w:uiPriority w:val="0"/>
    <w:rPr>
      <w:rFonts w:ascii="宋体" w:hAnsi="宋体" w:cs="宋体"/>
    </w:rPr>
  </w:style>
  <w:style w:type="paragraph" w:customStyle="1" w:styleId="3263">
    <w:name w:val="Char1210"/>
    <w:basedOn w:val="1"/>
    <w:qFormat/>
    <w:uiPriority w:val="0"/>
    <w:pPr>
      <w:adjustRightInd w:val="0"/>
      <w:snapToGrid w:val="0"/>
      <w:spacing w:line="360" w:lineRule="auto"/>
    </w:pPr>
    <w:rPr>
      <w:rFonts w:ascii="宋体" w:hAnsi="宋体" w:cs="宋体"/>
    </w:rPr>
  </w:style>
  <w:style w:type="paragraph" w:customStyle="1" w:styleId="3264">
    <w:name w:val="封面标准文稿编辑信息13"/>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265">
    <w:name w:val="样式 表内小5 + 黑体 加粗 倾斜 下划线13"/>
    <w:basedOn w:val="1"/>
    <w:qFormat/>
    <w:uiPriority w:val="0"/>
    <w:pPr>
      <w:adjustRightInd w:val="0"/>
      <w:snapToGrid w:val="0"/>
      <w:spacing w:line="300" w:lineRule="auto"/>
      <w:jc w:val="left"/>
    </w:pPr>
    <w:rPr>
      <w:rFonts w:ascii="黑体" w:hAnsi="黑体" w:eastAsia="黑体" w:cs="宋体"/>
      <w:b/>
      <w:bCs/>
      <w:i/>
      <w:iCs/>
      <w:sz w:val="18"/>
      <w:u w:val="single"/>
    </w:rPr>
  </w:style>
  <w:style w:type="character" w:customStyle="1" w:styleId="3266">
    <w:name w:val="样式 表内小5 + 黑体 加粗 倾斜 下划线 Char11"/>
    <w:qFormat/>
    <w:uiPriority w:val="0"/>
    <w:rPr>
      <w:rFonts w:ascii="黑体" w:hAnsi="黑体" w:eastAsia="黑体"/>
      <w:b/>
      <w:bCs/>
      <w:i/>
      <w:iCs/>
      <w:kern w:val="2"/>
      <w:sz w:val="18"/>
      <w:szCs w:val="24"/>
      <w:u w:val="single"/>
      <w:lang w:val="en-US" w:eastAsia="zh-CN" w:bidi="ar-SA"/>
    </w:rPr>
  </w:style>
  <w:style w:type="paragraph" w:customStyle="1" w:styleId="3267">
    <w:name w:val="表内5中23"/>
    <w:basedOn w:val="1"/>
    <w:qFormat/>
    <w:uiPriority w:val="0"/>
    <w:pPr>
      <w:adjustRightInd w:val="0"/>
      <w:snapToGrid w:val="0"/>
      <w:jc w:val="center"/>
    </w:pPr>
    <w:rPr>
      <w:rFonts w:ascii="宋体" w:hAnsi="宋体" w:cs="Arial"/>
      <w:snapToGrid w:val="0"/>
      <w:color w:val="000000"/>
      <w:szCs w:val="21"/>
    </w:rPr>
  </w:style>
  <w:style w:type="paragraph" w:customStyle="1" w:styleId="3268">
    <w:name w:val="表内54153"/>
    <w:basedOn w:val="1"/>
    <w:qFormat/>
    <w:uiPriority w:val="0"/>
    <w:pPr>
      <w:adjustRightInd w:val="0"/>
      <w:snapToGrid w:val="0"/>
      <w:spacing w:line="300" w:lineRule="auto"/>
      <w:jc w:val="center"/>
    </w:pPr>
    <w:rPr>
      <w:rFonts w:ascii="宋体" w:hAnsi="宋体" w:cs="宋体"/>
    </w:rPr>
  </w:style>
  <w:style w:type="paragraph" w:customStyle="1" w:styleId="3269">
    <w:name w:val="表格113"/>
    <w:basedOn w:val="1"/>
    <w:qFormat/>
    <w:uiPriority w:val="0"/>
    <w:pPr>
      <w:adjustRightInd w:val="0"/>
      <w:jc w:val="center"/>
      <w:textAlignment w:val="baseline"/>
    </w:pPr>
    <w:rPr>
      <w:rFonts w:ascii="宋体" w:hAnsi="宋体" w:cs="宋体"/>
      <w:kern w:val="0"/>
      <w:sz w:val="24"/>
    </w:rPr>
  </w:style>
  <w:style w:type="paragraph" w:customStyle="1" w:styleId="3270">
    <w:name w:val="c13"/>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271">
    <w:name w:val="表题913"/>
    <w:basedOn w:val="46"/>
    <w:qFormat/>
    <w:uiPriority w:val="0"/>
    <w:pPr>
      <w:widowControl w:val="0"/>
      <w:adjustRightInd w:val="0"/>
      <w:snapToGrid w:val="0"/>
      <w:spacing w:line="300" w:lineRule="auto"/>
      <w:jc w:val="center"/>
    </w:pPr>
    <w:rPr>
      <w:rFonts w:ascii="黑体" w:eastAsia="黑体" w:cs="Times New Roman"/>
      <w:kern w:val="2"/>
      <w:szCs w:val="20"/>
    </w:rPr>
  </w:style>
  <w:style w:type="character" w:customStyle="1" w:styleId="3272">
    <w:name w:val="正文缩进 Char71"/>
    <w:qFormat/>
    <w:uiPriority w:val="0"/>
    <w:rPr>
      <w:rFonts w:ascii="宋体" w:hAnsi="宋体" w:eastAsia="宋体"/>
      <w:kern w:val="2"/>
      <w:sz w:val="24"/>
      <w:szCs w:val="24"/>
      <w:lang w:val="en-US" w:eastAsia="zh-CN" w:bidi="ar-SA"/>
    </w:rPr>
  </w:style>
  <w:style w:type="paragraph" w:customStyle="1" w:styleId="3273">
    <w:name w:val="福建正文缩进13"/>
    <w:basedOn w:val="6"/>
    <w:qFormat/>
    <w:uiPriority w:val="0"/>
    <w:pPr>
      <w:spacing w:line="360" w:lineRule="auto"/>
      <w:ind w:firstLine="567" w:firstLineChars="0"/>
    </w:pPr>
    <w:rPr>
      <w:rFonts w:ascii="宋体" w:hAnsi="Calibri" w:eastAsia="宋体" w:cs="宋体"/>
      <w:color w:val="auto"/>
      <w:kern w:val="0"/>
      <w:sz w:val="24"/>
    </w:rPr>
  </w:style>
  <w:style w:type="character" w:customStyle="1" w:styleId="3274">
    <w:name w:val="福建正文缩进 Char11"/>
    <w:qFormat/>
    <w:uiPriority w:val="0"/>
    <w:rPr>
      <w:rFonts w:ascii="宋体" w:eastAsia="宋体"/>
      <w:kern w:val="2"/>
      <w:sz w:val="24"/>
      <w:szCs w:val="24"/>
      <w:lang w:val="en-US" w:eastAsia="zh-CN" w:bidi="ar-SA"/>
    </w:rPr>
  </w:style>
  <w:style w:type="paragraph" w:customStyle="1" w:styleId="3275">
    <w:name w:val="表内文字小34"/>
    <w:basedOn w:val="1"/>
    <w:qFormat/>
    <w:uiPriority w:val="0"/>
    <w:pPr>
      <w:adjustRightInd w:val="0"/>
      <w:snapToGrid w:val="0"/>
      <w:jc w:val="center"/>
    </w:pPr>
    <w:rPr>
      <w:rFonts w:ascii="宋体" w:hAnsi="Times" w:cs="宋体"/>
    </w:rPr>
  </w:style>
  <w:style w:type="paragraph" w:customStyle="1" w:styleId="3276">
    <w:name w:val="表内5913"/>
    <w:basedOn w:val="1"/>
    <w:qFormat/>
    <w:uiPriority w:val="0"/>
    <w:pPr>
      <w:adjustRightInd w:val="0"/>
      <w:snapToGrid w:val="0"/>
      <w:spacing w:line="300" w:lineRule="auto"/>
      <w:jc w:val="center"/>
    </w:pPr>
    <w:rPr>
      <w:rFonts w:ascii="宋体" w:hAnsi="宋体" w:cs="宋体"/>
      <w:snapToGrid w:val="0"/>
      <w:szCs w:val="21"/>
    </w:rPr>
  </w:style>
  <w:style w:type="paragraph" w:customStyle="1" w:styleId="3277">
    <w:name w:val="表内小5中13"/>
    <w:basedOn w:val="1"/>
    <w:qFormat/>
    <w:uiPriority w:val="0"/>
    <w:pPr>
      <w:adjustRightInd w:val="0"/>
      <w:snapToGrid w:val="0"/>
      <w:jc w:val="center"/>
    </w:pPr>
    <w:rPr>
      <w:rFonts w:ascii="宋体" w:hAnsi="宋体" w:cs="宋体"/>
      <w:sz w:val="18"/>
    </w:rPr>
  </w:style>
  <w:style w:type="paragraph" w:customStyle="1" w:styleId="3278">
    <w:name w:val="表内5中413"/>
    <w:basedOn w:val="1"/>
    <w:qFormat/>
    <w:uiPriority w:val="0"/>
    <w:pPr>
      <w:adjustRightInd w:val="0"/>
      <w:snapToGrid w:val="0"/>
      <w:jc w:val="center"/>
    </w:pPr>
    <w:rPr>
      <w:rFonts w:ascii="宋体" w:hAnsi="宋体" w:cs="宋体"/>
      <w:bCs/>
    </w:rPr>
  </w:style>
  <w:style w:type="character" w:customStyle="1" w:styleId="3279">
    <w:name w:val="标题 4 Char21"/>
    <w:qFormat/>
    <w:uiPriority w:val="0"/>
    <w:rPr>
      <w:rFonts w:ascii="黑体" w:hAnsi="Arial" w:eastAsia="黑体"/>
      <w:b/>
      <w:bCs/>
      <w:kern w:val="2"/>
      <w:sz w:val="24"/>
      <w:szCs w:val="24"/>
      <w:lang w:val="en-US" w:eastAsia="zh-CN" w:bidi="ar-SA"/>
    </w:rPr>
  </w:style>
  <w:style w:type="paragraph" w:customStyle="1" w:styleId="3280">
    <w:name w:val="默认段落字体 Para Char53"/>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281">
    <w:name w:val="燕山正文1313"/>
    <w:basedOn w:val="1"/>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character" w:customStyle="1" w:styleId="3282">
    <w:name w:val="批注框文本 Char51"/>
    <w:qFormat/>
    <w:uiPriority w:val="0"/>
    <w:rPr>
      <w:rFonts w:eastAsia="宋体"/>
      <w:kern w:val="2"/>
      <w:sz w:val="18"/>
      <w:szCs w:val="18"/>
      <w:lang w:val="en-US" w:eastAsia="zh-CN" w:bidi="ar-SA"/>
    </w:rPr>
  </w:style>
  <w:style w:type="paragraph" w:customStyle="1" w:styleId="3283">
    <w:name w:val="样式 标题 4无效格式无效格式1河石管道4H4H41小小节河石管道41H42H411小小节1河石管道42...23"/>
    <w:basedOn w:val="8"/>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3284">
    <w:name w:val="样式 标题 4无效格式无效格式1河石管道4H4H41小小节河石管道41H42H411小小节1河石管道42...113"/>
    <w:basedOn w:val="8"/>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3285">
    <w:name w:val="附件43"/>
    <w:basedOn w:val="4"/>
    <w:next w:val="315"/>
    <w:qFormat/>
    <w:uiPriority w:val="0"/>
    <w:pPr>
      <w:keepLines/>
      <w:widowControl w:val="0"/>
      <w:numPr>
        <w:numId w:val="0"/>
      </w:numPr>
      <w:tabs>
        <w:tab w:val="left" w:pos="1566"/>
      </w:tabs>
      <w:spacing w:after="210"/>
    </w:pPr>
    <w:rPr>
      <w:rFonts w:ascii="黑体" w:eastAsia="黑体"/>
      <w:b/>
      <w:bCs/>
      <w:kern w:val="44"/>
      <w:szCs w:val="32"/>
    </w:rPr>
  </w:style>
  <w:style w:type="paragraph" w:customStyle="1" w:styleId="3286">
    <w:name w:val="标题43133"/>
    <w:basedOn w:val="1"/>
    <w:qFormat/>
    <w:uiPriority w:val="0"/>
    <w:pPr>
      <w:adjustRightInd w:val="0"/>
      <w:snapToGrid w:val="0"/>
      <w:spacing w:line="480" w:lineRule="exact"/>
      <w:jc w:val="center"/>
    </w:pPr>
    <w:rPr>
      <w:rFonts w:ascii="宋体" w:hAnsi="宋体" w:cs="宋体"/>
      <w:sz w:val="24"/>
    </w:rPr>
  </w:style>
  <w:style w:type="paragraph" w:customStyle="1" w:styleId="3287">
    <w:name w:val="燕山正文1143"/>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288">
    <w:name w:val="表题4113"/>
    <w:basedOn w:val="36"/>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3289">
    <w:name w:val="表内文字小2143"/>
    <w:basedOn w:val="1"/>
    <w:qFormat/>
    <w:uiPriority w:val="0"/>
    <w:pPr>
      <w:adjustRightInd w:val="0"/>
      <w:snapToGrid w:val="0"/>
      <w:jc w:val="center"/>
    </w:pPr>
    <w:rPr>
      <w:rFonts w:ascii="宋体" w:hAnsi="Times" w:cs="宋体"/>
      <w:bCs/>
      <w:color w:val="000000"/>
    </w:rPr>
  </w:style>
  <w:style w:type="paragraph" w:customStyle="1" w:styleId="3290">
    <w:name w:val="表题3143"/>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291">
    <w:name w:val="Char Char Char Char Char Char Char310"/>
    <w:basedOn w:val="1"/>
    <w:qFormat/>
    <w:uiPriority w:val="0"/>
    <w:rPr>
      <w:rFonts w:ascii="宋体" w:hAnsi="宋体" w:cs="宋体"/>
    </w:rPr>
  </w:style>
  <w:style w:type="paragraph" w:customStyle="1" w:styleId="3292">
    <w:name w:val="表文字543"/>
    <w:basedOn w:val="1"/>
    <w:qFormat/>
    <w:uiPriority w:val="0"/>
    <w:pPr>
      <w:adjustRightInd w:val="0"/>
      <w:jc w:val="left"/>
      <w:textAlignment w:val="baseline"/>
    </w:pPr>
    <w:rPr>
      <w:rFonts w:ascii="宋体" w:hAnsi="宋体" w:cs="宋体"/>
      <w:kern w:val="0"/>
    </w:rPr>
  </w:style>
  <w:style w:type="paragraph" w:customStyle="1" w:styleId="3293">
    <w:name w:val="表内文字小3143"/>
    <w:basedOn w:val="1"/>
    <w:qFormat/>
    <w:uiPriority w:val="0"/>
    <w:pPr>
      <w:adjustRightInd w:val="0"/>
      <w:snapToGrid w:val="0"/>
      <w:jc w:val="center"/>
    </w:pPr>
    <w:rPr>
      <w:rFonts w:ascii="宋体" w:hAnsi="Times" w:cs="宋体"/>
      <w:bCs/>
      <w:color w:val="003366"/>
    </w:rPr>
  </w:style>
  <w:style w:type="paragraph" w:customStyle="1" w:styleId="3294">
    <w:name w:val="表内宋51123"/>
    <w:basedOn w:val="81"/>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3295">
    <w:name w:val="文本框23"/>
    <w:basedOn w:val="1"/>
    <w:qFormat/>
    <w:uiPriority w:val="0"/>
    <w:pPr>
      <w:adjustRightInd w:val="0"/>
      <w:snapToGrid w:val="0"/>
      <w:spacing w:after="6"/>
      <w:jc w:val="center"/>
    </w:pPr>
    <w:rPr>
      <w:rFonts w:ascii="宋体" w:hAnsi="宋体" w:eastAsia="仿宋_GB2312" w:cs="宋体"/>
    </w:rPr>
  </w:style>
  <w:style w:type="paragraph" w:customStyle="1" w:styleId="3296">
    <w:name w:val="正文.23"/>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297">
    <w:name w:val="表43"/>
    <w:basedOn w:val="1"/>
    <w:qFormat/>
    <w:uiPriority w:val="0"/>
    <w:pPr>
      <w:adjustRightInd w:val="0"/>
      <w:snapToGrid w:val="0"/>
      <w:jc w:val="center"/>
    </w:pPr>
    <w:rPr>
      <w:rFonts w:ascii="宋体" w:hAnsi="宋体" w:eastAsia="仿宋_GB2312" w:cs="宋体"/>
      <w:sz w:val="24"/>
    </w:rPr>
  </w:style>
  <w:style w:type="paragraph" w:customStyle="1" w:styleId="3298">
    <w:name w:val="黑体三号53"/>
    <w:basedOn w:val="315"/>
    <w:qFormat/>
    <w:uiPriority w:val="0"/>
    <w:pPr>
      <w:jc w:val="center"/>
    </w:pPr>
    <w:rPr>
      <w:rFonts w:ascii="黑体" w:hAnsi="宋体" w:eastAsia="黑体"/>
      <w:bCs/>
      <w:spacing w:val="0"/>
      <w:sz w:val="32"/>
    </w:rPr>
  </w:style>
  <w:style w:type="paragraph" w:customStyle="1" w:styleId="3299">
    <w:name w:val="Char138"/>
    <w:basedOn w:val="1"/>
    <w:qFormat/>
    <w:uiPriority w:val="0"/>
    <w:pPr>
      <w:ind w:left="-48"/>
    </w:pPr>
    <w:rPr>
      <w:rFonts w:ascii="宋体" w:hAnsi="宋体" w:cs="宋体"/>
    </w:rPr>
  </w:style>
  <w:style w:type="paragraph" w:customStyle="1" w:styleId="3300">
    <w:name w:val="样式133"/>
    <w:basedOn w:val="1227"/>
    <w:qFormat/>
    <w:uiPriority w:val="0"/>
    <w:pPr>
      <w:spacing w:line="240" w:lineRule="auto"/>
      <w:ind w:firstLine="0"/>
      <w:jc w:val="center"/>
    </w:pPr>
    <w:rPr>
      <w:rFonts w:cs="Times New Roman"/>
      <w:b/>
      <w:color w:val="auto"/>
      <w:szCs w:val="20"/>
    </w:rPr>
  </w:style>
  <w:style w:type="paragraph" w:customStyle="1" w:styleId="3301">
    <w:name w:val="首行缩进:  0.99 厘米 + 首行缩进:  2 字符13"/>
    <w:basedOn w:val="1"/>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character" w:customStyle="1" w:styleId="3302">
    <w:name w:val="正文文本 3 Char11"/>
    <w:qFormat/>
    <w:uiPriority w:val="0"/>
    <w:rPr>
      <w:rFonts w:eastAsia="宋体"/>
      <w:kern w:val="2"/>
      <w:sz w:val="16"/>
      <w:szCs w:val="16"/>
      <w:lang w:val="en-US" w:eastAsia="zh-CN" w:bidi="ar-SA"/>
    </w:rPr>
  </w:style>
  <w:style w:type="paragraph" w:customStyle="1" w:styleId="3303">
    <w:name w:val="图表名称13"/>
    <w:basedOn w:val="86"/>
    <w:qFormat/>
    <w:uiPriority w:val="0"/>
    <w:pPr>
      <w:adjustRightInd w:val="0"/>
      <w:snapToGrid w:val="0"/>
      <w:spacing w:after="0" w:line="480" w:lineRule="exact"/>
      <w:ind w:firstLine="0" w:firstLineChars="0"/>
      <w:jc w:val="center"/>
    </w:pPr>
    <w:rPr>
      <w:bCs/>
      <w:kern w:val="2"/>
      <w:sz w:val="24"/>
    </w:rPr>
  </w:style>
  <w:style w:type="paragraph" w:customStyle="1" w:styleId="3304">
    <w:name w:val="表内文字边13"/>
    <w:basedOn w:val="1"/>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3305">
    <w:name w:val="正文缩13"/>
    <w:basedOn w:val="1"/>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3306">
    <w:name w:val="样式213"/>
    <w:basedOn w:val="1"/>
    <w:qFormat/>
    <w:uiPriority w:val="0"/>
    <w:pPr>
      <w:adjustRightInd w:val="0"/>
      <w:spacing w:line="360" w:lineRule="auto"/>
      <w:jc w:val="center"/>
      <w:textAlignment w:val="baseline"/>
      <w:outlineLvl w:val="0"/>
    </w:pPr>
    <w:rPr>
      <w:rFonts w:ascii="宋体" w:hAnsi="宋体" w:cs="宋体"/>
      <w:kern w:val="0"/>
    </w:rPr>
  </w:style>
  <w:style w:type="paragraph" w:customStyle="1" w:styleId="3307">
    <w:name w:val="默认段落字体 Para Char Char Char Char Char13"/>
    <w:basedOn w:val="1"/>
    <w:qFormat/>
    <w:uiPriority w:val="0"/>
    <w:rPr>
      <w:rFonts w:ascii="宋体" w:hAnsi="宋体" w:cs="宋体"/>
    </w:rPr>
  </w:style>
  <w:style w:type="paragraph" w:customStyle="1" w:styleId="3308">
    <w:name w:val="表内宋5中33"/>
    <w:basedOn w:val="1"/>
    <w:qFormat/>
    <w:uiPriority w:val="0"/>
    <w:pPr>
      <w:adjustRightInd w:val="0"/>
      <w:snapToGrid w:val="0"/>
      <w:textAlignment w:val="baseline"/>
    </w:pPr>
    <w:rPr>
      <w:rFonts w:ascii="宋体" w:hAnsi="宋体" w:cs="宋体"/>
      <w:color w:val="000000"/>
      <w:kern w:val="0"/>
    </w:rPr>
  </w:style>
  <w:style w:type="paragraph" w:customStyle="1" w:styleId="3309">
    <w:name w:val="样式 标题 3 + 段前: 12 磅13"/>
    <w:basedOn w:val="7"/>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3310">
    <w:name w:val="表内523"/>
    <w:basedOn w:val="1"/>
    <w:qFormat/>
    <w:uiPriority w:val="0"/>
    <w:pPr>
      <w:adjustRightInd w:val="0"/>
      <w:snapToGrid w:val="0"/>
      <w:spacing w:line="300" w:lineRule="auto"/>
      <w:jc w:val="left"/>
    </w:pPr>
    <w:rPr>
      <w:rFonts w:ascii="宋体" w:hAnsi="宋体" w:cs="宋体"/>
      <w:sz w:val="18"/>
    </w:rPr>
  </w:style>
  <w:style w:type="paragraph" w:customStyle="1" w:styleId="3311">
    <w:name w:val="Char Char Char Char1 Char Char Char110"/>
    <w:basedOn w:val="1"/>
    <w:qFormat/>
    <w:uiPriority w:val="0"/>
    <w:pPr>
      <w:widowControl/>
      <w:spacing w:after="160"/>
      <w:jc w:val="left"/>
    </w:pPr>
    <w:rPr>
      <w:rFonts w:ascii="Verdana" w:hAnsi="Verdana" w:cs="宋体"/>
      <w:kern w:val="0"/>
      <w:sz w:val="24"/>
      <w:lang w:eastAsia="en-US"/>
    </w:rPr>
  </w:style>
  <w:style w:type="paragraph" w:customStyle="1" w:styleId="3312">
    <w:name w:val="正文格式113"/>
    <w:basedOn w:val="1"/>
    <w:qFormat/>
    <w:uiPriority w:val="0"/>
    <w:pPr>
      <w:spacing w:line="360" w:lineRule="auto"/>
      <w:ind w:firstLine="482"/>
    </w:pPr>
    <w:rPr>
      <w:rFonts w:ascii="宋体" w:hAnsi="宋体" w:cs="宋体"/>
      <w:sz w:val="24"/>
    </w:rPr>
  </w:style>
  <w:style w:type="paragraph" w:customStyle="1" w:styleId="3313">
    <w:name w:val="图题113"/>
    <w:basedOn w:val="315"/>
    <w:next w:val="315"/>
    <w:qFormat/>
    <w:uiPriority w:val="0"/>
    <w:pPr>
      <w:ind w:firstLine="0"/>
      <w:jc w:val="center"/>
    </w:pPr>
    <w:rPr>
      <w:rFonts w:ascii="黑体" w:hAnsi="宋体" w:eastAsia="黑体"/>
      <w:bCs/>
      <w:spacing w:val="0"/>
    </w:rPr>
  </w:style>
  <w:style w:type="paragraph" w:customStyle="1" w:styleId="3314">
    <w:name w:val="表格内字体123"/>
    <w:basedOn w:val="315"/>
    <w:next w:val="315"/>
    <w:qFormat/>
    <w:uiPriority w:val="0"/>
    <w:pPr>
      <w:spacing w:line="240" w:lineRule="auto"/>
      <w:ind w:firstLine="0"/>
      <w:jc w:val="center"/>
    </w:pPr>
    <w:rPr>
      <w:rFonts w:hAnsi="宋体"/>
      <w:b w:val="0"/>
      <w:spacing w:val="0"/>
      <w:sz w:val="21"/>
    </w:rPr>
  </w:style>
  <w:style w:type="character" w:customStyle="1" w:styleId="3315">
    <w:name w:val="Char Char11110"/>
    <w:qFormat/>
    <w:uiPriority w:val="0"/>
    <w:rPr>
      <w:rFonts w:ascii="黑体" w:hAnsi="Arial" w:eastAsia="黑体"/>
      <w:bCs/>
      <w:kern w:val="2"/>
      <w:sz w:val="30"/>
      <w:szCs w:val="30"/>
      <w:lang w:val="en-US" w:eastAsia="zh-CN" w:bidi="ar-SA"/>
    </w:rPr>
  </w:style>
  <w:style w:type="paragraph" w:customStyle="1" w:styleId="3316">
    <w:name w:val="Char143"/>
    <w:basedOn w:val="1"/>
    <w:qFormat/>
    <w:uiPriority w:val="0"/>
    <w:pPr>
      <w:ind w:left="-48"/>
    </w:pPr>
    <w:rPr>
      <w:rFonts w:ascii="宋体" w:hAnsi="宋体" w:cs="宋体"/>
    </w:rPr>
  </w:style>
  <w:style w:type="paragraph" w:customStyle="1" w:styleId="3317">
    <w:name w:val="正文格式223"/>
    <w:basedOn w:val="1"/>
    <w:qFormat/>
    <w:uiPriority w:val="0"/>
    <w:pPr>
      <w:spacing w:line="360" w:lineRule="auto"/>
      <w:ind w:firstLine="482"/>
    </w:pPr>
    <w:rPr>
      <w:rFonts w:ascii="宋体" w:hAnsi="宋体" w:cs="宋体"/>
      <w:sz w:val="24"/>
    </w:rPr>
  </w:style>
  <w:style w:type="paragraph" w:customStyle="1" w:styleId="3318">
    <w:name w:val="Char153"/>
    <w:basedOn w:val="1"/>
    <w:qFormat/>
    <w:uiPriority w:val="0"/>
    <w:pPr>
      <w:adjustRightInd w:val="0"/>
      <w:snapToGrid w:val="0"/>
      <w:spacing w:beforeLines="50" w:line="360" w:lineRule="auto"/>
    </w:pPr>
    <w:rPr>
      <w:rFonts w:ascii="黑体" w:hAnsi="宋体" w:eastAsia="黑体" w:cs="宋体"/>
      <w:sz w:val="32"/>
      <w:szCs w:val="32"/>
    </w:rPr>
  </w:style>
  <w:style w:type="character" w:customStyle="1" w:styleId="3319">
    <w:name w:val="题注 Char113"/>
    <w:qFormat/>
    <w:uiPriority w:val="0"/>
    <w:rPr>
      <w:rFonts w:ascii="黑体" w:hAnsi="Arial" w:eastAsia="黑体" w:cs="Arial"/>
      <w:spacing w:val="10"/>
      <w:kern w:val="2"/>
      <w:sz w:val="24"/>
      <w:szCs w:val="24"/>
      <w:lang w:val="en-US" w:eastAsia="zh-CN" w:bidi="ar-SA"/>
    </w:rPr>
  </w:style>
  <w:style w:type="paragraph" w:customStyle="1" w:styleId="3320">
    <w:name w:val="图题223"/>
    <w:basedOn w:val="315"/>
    <w:next w:val="315"/>
    <w:qFormat/>
    <w:uiPriority w:val="0"/>
    <w:pPr>
      <w:ind w:firstLine="0"/>
      <w:jc w:val="center"/>
    </w:pPr>
    <w:rPr>
      <w:rFonts w:ascii="黑体" w:hAnsi="宋体" w:eastAsia="黑体"/>
      <w:bCs/>
      <w:spacing w:val="0"/>
    </w:rPr>
  </w:style>
  <w:style w:type="paragraph" w:customStyle="1" w:styleId="3321">
    <w:name w:val="表格内字体223"/>
    <w:basedOn w:val="315"/>
    <w:next w:val="315"/>
    <w:qFormat/>
    <w:uiPriority w:val="0"/>
    <w:pPr>
      <w:spacing w:line="240" w:lineRule="auto"/>
      <w:ind w:firstLine="0"/>
      <w:jc w:val="center"/>
    </w:pPr>
    <w:rPr>
      <w:rFonts w:hAnsi="宋体"/>
      <w:b w:val="0"/>
      <w:spacing w:val="0"/>
      <w:sz w:val="21"/>
    </w:rPr>
  </w:style>
  <w:style w:type="paragraph" w:customStyle="1" w:styleId="3322">
    <w:name w:val="表内541113"/>
    <w:basedOn w:val="1"/>
    <w:qFormat/>
    <w:uiPriority w:val="0"/>
    <w:pPr>
      <w:adjustRightInd w:val="0"/>
      <w:snapToGrid w:val="0"/>
      <w:spacing w:line="300" w:lineRule="auto"/>
      <w:jc w:val="center"/>
    </w:pPr>
    <w:rPr>
      <w:rFonts w:ascii="宋体" w:hAnsi="宋体" w:cs="宋体"/>
    </w:rPr>
  </w:style>
  <w:style w:type="paragraph" w:customStyle="1" w:styleId="3323">
    <w:name w:val="表内文字小21113"/>
    <w:basedOn w:val="1"/>
    <w:qFormat/>
    <w:uiPriority w:val="0"/>
    <w:pPr>
      <w:adjustRightInd w:val="0"/>
      <w:snapToGrid w:val="0"/>
      <w:jc w:val="center"/>
    </w:pPr>
    <w:rPr>
      <w:rFonts w:ascii="宋体" w:hAnsi="Times" w:cs="宋体"/>
      <w:bCs/>
      <w:color w:val="000000"/>
    </w:rPr>
  </w:style>
  <w:style w:type="paragraph" w:customStyle="1" w:styleId="3324">
    <w:name w:val="表题31113"/>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325">
    <w:name w:val="Char Char Char Char Char Char Char1110"/>
    <w:basedOn w:val="1"/>
    <w:qFormat/>
    <w:uiPriority w:val="0"/>
    <w:rPr>
      <w:rFonts w:ascii="宋体" w:hAnsi="宋体" w:cs="宋体"/>
    </w:rPr>
  </w:style>
  <w:style w:type="paragraph" w:customStyle="1" w:styleId="3326">
    <w:name w:val="标题431113"/>
    <w:basedOn w:val="1"/>
    <w:qFormat/>
    <w:uiPriority w:val="0"/>
    <w:pPr>
      <w:adjustRightInd w:val="0"/>
      <w:snapToGrid w:val="0"/>
      <w:spacing w:line="480" w:lineRule="exact"/>
      <w:jc w:val="center"/>
    </w:pPr>
    <w:rPr>
      <w:rFonts w:ascii="宋体" w:hAnsi="宋体" w:cs="宋体"/>
      <w:sz w:val="24"/>
    </w:rPr>
  </w:style>
  <w:style w:type="paragraph" w:customStyle="1" w:styleId="3327">
    <w:name w:val="燕山正文11113"/>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328">
    <w:name w:val="默认段落字体 Para Char Char Char Char113"/>
    <w:basedOn w:val="1"/>
    <w:qFormat/>
    <w:uiPriority w:val="0"/>
    <w:rPr>
      <w:rFonts w:ascii="宋体" w:hAnsi="宋体" w:cs="宋体"/>
    </w:rPr>
  </w:style>
  <w:style w:type="paragraph" w:customStyle="1" w:styleId="3329">
    <w:name w:val="附件113"/>
    <w:basedOn w:val="4"/>
    <w:next w:val="315"/>
    <w:qFormat/>
    <w:uiPriority w:val="0"/>
    <w:pPr>
      <w:keepLines/>
      <w:widowControl w:val="0"/>
      <w:numPr>
        <w:numId w:val="0"/>
      </w:numPr>
      <w:tabs>
        <w:tab w:val="left" w:pos="1566"/>
      </w:tabs>
      <w:spacing w:after="210"/>
    </w:pPr>
    <w:rPr>
      <w:rFonts w:ascii="黑体" w:eastAsia="黑体"/>
      <w:bCs/>
      <w:kern w:val="44"/>
      <w:szCs w:val="32"/>
    </w:rPr>
  </w:style>
  <w:style w:type="paragraph" w:customStyle="1" w:styleId="3330">
    <w:name w:val="黑体三号113"/>
    <w:basedOn w:val="315"/>
    <w:qFormat/>
    <w:uiPriority w:val="0"/>
    <w:pPr>
      <w:jc w:val="center"/>
    </w:pPr>
    <w:rPr>
      <w:rFonts w:ascii="黑体" w:hAnsi="宋体" w:eastAsia="黑体"/>
      <w:bCs/>
      <w:spacing w:val="0"/>
      <w:sz w:val="32"/>
    </w:rPr>
  </w:style>
  <w:style w:type="paragraph" w:customStyle="1" w:styleId="3331">
    <w:name w:val="表113"/>
    <w:basedOn w:val="1"/>
    <w:qFormat/>
    <w:uiPriority w:val="0"/>
    <w:pPr>
      <w:adjustRightInd w:val="0"/>
      <w:snapToGrid w:val="0"/>
      <w:jc w:val="center"/>
    </w:pPr>
    <w:rPr>
      <w:rFonts w:ascii="宋体" w:hAnsi="宋体" w:eastAsia="仿宋_GB2312" w:cs="宋体"/>
      <w:sz w:val="24"/>
    </w:rPr>
  </w:style>
  <w:style w:type="character" w:customStyle="1" w:styleId="3332">
    <w:name w:val="Char Char6110"/>
    <w:qFormat/>
    <w:uiPriority w:val="0"/>
    <w:rPr>
      <w:rFonts w:ascii="黑体" w:eastAsia="黑体"/>
      <w:b/>
      <w:bCs/>
      <w:kern w:val="2"/>
      <w:sz w:val="28"/>
      <w:szCs w:val="28"/>
      <w:lang w:val="en-US" w:eastAsia="zh-CN" w:bidi="ar-SA"/>
    </w:rPr>
  </w:style>
  <w:style w:type="paragraph" w:customStyle="1" w:styleId="3333">
    <w:name w:val="表题1123"/>
    <w:basedOn w:val="23"/>
    <w:qFormat/>
    <w:uiPriority w:val="0"/>
    <w:pPr>
      <w:widowControl w:val="0"/>
      <w:spacing w:line="360" w:lineRule="auto"/>
      <w:jc w:val="center"/>
    </w:pPr>
    <w:rPr>
      <w:rFonts w:ascii="黑体" w:hAnsi="Arial" w:cs="Arial"/>
      <w:kern w:val="2"/>
    </w:rPr>
  </w:style>
  <w:style w:type="paragraph" w:customStyle="1" w:styleId="3334">
    <w:name w:val="燕山正文123"/>
    <w:basedOn w:val="1"/>
    <w:qFormat/>
    <w:uiPriority w:val="0"/>
    <w:pPr>
      <w:tabs>
        <w:tab w:val="left" w:pos="4680"/>
      </w:tabs>
      <w:adjustRightInd w:val="0"/>
      <w:snapToGrid w:val="0"/>
      <w:spacing w:line="480" w:lineRule="exact"/>
    </w:pPr>
    <w:rPr>
      <w:rFonts w:ascii="宋体" w:hAnsi="宋体" w:cs="宋体"/>
      <w:sz w:val="24"/>
    </w:rPr>
  </w:style>
  <w:style w:type="paragraph" w:customStyle="1" w:styleId="3335">
    <w:name w:val="正文修改113"/>
    <w:basedOn w:val="1180"/>
    <w:qFormat/>
    <w:uiPriority w:val="0"/>
    <w:rPr>
      <w:rFonts w:hAnsi="宋体"/>
      <w:color w:val="000000"/>
    </w:rPr>
  </w:style>
  <w:style w:type="character" w:customStyle="1" w:styleId="3336">
    <w:name w:val="正文修改 Char1113"/>
    <w:qFormat/>
    <w:uiPriority w:val="0"/>
    <w:rPr>
      <w:rFonts w:ascii="宋体" w:hAnsi="宋体" w:eastAsia="宋体" w:cs="宋体"/>
      <w:color w:val="000000"/>
      <w:kern w:val="2"/>
      <w:sz w:val="24"/>
      <w:szCs w:val="24"/>
      <w:lang w:val="en-US" w:eastAsia="zh-CN" w:bidi="ar-SA"/>
    </w:rPr>
  </w:style>
  <w:style w:type="paragraph" w:customStyle="1" w:styleId="3337">
    <w:name w:val="表中文字123"/>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338">
    <w:name w:val="表文字5123"/>
    <w:basedOn w:val="1"/>
    <w:qFormat/>
    <w:uiPriority w:val="0"/>
    <w:pPr>
      <w:adjustRightInd w:val="0"/>
      <w:jc w:val="left"/>
      <w:textAlignment w:val="baseline"/>
    </w:pPr>
    <w:rPr>
      <w:rFonts w:ascii="宋体" w:hAnsi="宋体" w:cs="宋体"/>
      <w:kern w:val="0"/>
    </w:rPr>
  </w:style>
  <w:style w:type="paragraph" w:customStyle="1" w:styleId="3339">
    <w:name w:val="表内文字小31113"/>
    <w:basedOn w:val="1"/>
    <w:qFormat/>
    <w:uiPriority w:val="0"/>
    <w:pPr>
      <w:adjustRightInd w:val="0"/>
      <w:snapToGrid w:val="0"/>
      <w:jc w:val="center"/>
    </w:pPr>
    <w:rPr>
      <w:rFonts w:ascii="宋体" w:hAnsi="Times" w:cs="宋体"/>
      <w:bCs/>
      <w:color w:val="003366"/>
    </w:rPr>
  </w:style>
  <w:style w:type="paragraph" w:customStyle="1" w:styleId="3340">
    <w:name w:val="样式1113"/>
    <w:basedOn w:val="1227"/>
    <w:qFormat/>
    <w:uiPriority w:val="0"/>
    <w:pPr>
      <w:spacing w:line="240" w:lineRule="auto"/>
      <w:ind w:firstLine="0"/>
      <w:jc w:val="center"/>
    </w:pPr>
    <w:rPr>
      <w:rFonts w:cs="Times New Roman"/>
      <w:b/>
      <w:color w:val="auto"/>
      <w:szCs w:val="20"/>
    </w:rPr>
  </w:style>
  <w:style w:type="paragraph" w:customStyle="1" w:styleId="3341">
    <w:name w:val="Char2110"/>
    <w:basedOn w:val="1"/>
    <w:qFormat/>
    <w:uiPriority w:val="0"/>
    <w:pPr>
      <w:ind w:left="-48"/>
    </w:pPr>
    <w:rPr>
      <w:rFonts w:ascii="宋体" w:hAnsi="宋体" w:cs="宋体"/>
    </w:rPr>
  </w:style>
  <w:style w:type="paragraph" w:customStyle="1" w:styleId="3342">
    <w:name w:val="表内文字小233"/>
    <w:basedOn w:val="1"/>
    <w:qFormat/>
    <w:uiPriority w:val="0"/>
    <w:pPr>
      <w:adjustRightInd w:val="0"/>
      <w:snapToGrid w:val="0"/>
      <w:jc w:val="center"/>
    </w:pPr>
    <w:rPr>
      <w:rFonts w:ascii="宋体" w:hAnsi="Times" w:cs="宋体"/>
      <w:bCs/>
      <w:color w:val="000000"/>
    </w:rPr>
  </w:style>
  <w:style w:type="paragraph" w:customStyle="1" w:styleId="3343">
    <w:name w:val="表内5323"/>
    <w:basedOn w:val="1"/>
    <w:qFormat/>
    <w:uiPriority w:val="0"/>
    <w:pPr>
      <w:adjustRightInd w:val="0"/>
      <w:snapToGrid w:val="0"/>
      <w:spacing w:line="300" w:lineRule="auto"/>
      <w:jc w:val="left"/>
    </w:pPr>
    <w:rPr>
      <w:rFonts w:ascii="宋体" w:hAnsi="宋体" w:cs="宋体"/>
    </w:rPr>
  </w:style>
  <w:style w:type="paragraph" w:customStyle="1" w:styleId="3344">
    <w:name w:val="正文格式313"/>
    <w:basedOn w:val="1"/>
    <w:qFormat/>
    <w:uiPriority w:val="0"/>
    <w:pPr>
      <w:spacing w:line="360" w:lineRule="auto"/>
      <w:ind w:firstLine="482"/>
    </w:pPr>
    <w:rPr>
      <w:rFonts w:ascii="宋体" w:hAnsi="宋体" w:cs="宋体"/>
      <w:sz w:val="24"/>
    </w:rPr>
  </w:style>
  <w:style w:type="paragraph" w:customStyle="1" w:styleId="3345">
    <w:name w:val="Char2210"/>
    <w:basedOn w:val="1"/>
    <w:qFormat/>
    <w:uiPriority w:val="0"/>
    <w:pPr>
      <w:adjustRightInd w:val="0"/>
      <w:snapToGrid w:val="0"/>
      <w:spacing w:beforeLines="50" w:line="360" w:lineRule="auto"/>
    </w:pPr>
    <w:rPr>
      <w:rFonts w:ascii="黑体" w:hAnsi="宋体" w:eastAsia="黑体" w:cs="宋体"/>
      <w:sz w:val="32"/>
      <w:szCs w:val="32"/>
    </w:rPr>
  </w:style>
  <w:style w:type="character" w:customStyle="1" w:styleId="3346">
    <w:name w:val="题注 Char213"/>
    <w:qFormat/>
    <w:uiPriority w:val="0"/>
    <w:rPr>
      <w:rFonts w:ascii="黑体" w:hAnsi="Arial" w:eastAsia="黑体" w:cs="Arial"/>
      <w:spacing w:val="10"/>
      <w:kern w:val="2"/>
      <w:sz w:val="24"/>
      <w:szCs w:val="24"/>
      <w:lang w:val="en-US" w:eastAsia="zh-CN" w:bidi="ar-SA"/>
    </w:rPr>
  </w:style>
  <w:style w:type="paragraph" w:customStyle="1" w:styleId="3347">
    <w:name w:val="图题313"/>
    <w:basedOn w:val="315"/>
    <w:next w:val="315"/>
    <w:qFormat/>
    <w:uiPriority w:val="0"/>
    <w:pPr>
      <w:ind w:firstLine="0"/>
      <w:jc w:val="center"/>
    </w:pPr>
    <w:rPr>
      <w:rFonts w:ascii="黑体" w:hAnsi="宋体" w:eastAsia="黑体"/>
      <w:bCs/>
      <w:spacing w:val="0"/>
    </w:rPr>
  </w:style>
  <w:style w:type="paragraph" w:customStyle="1" w:styleId="3348">
    <w:name w:val="表格内字体313"/>
    <w:basedOn w:val="315"/>
    <w:next w:val="315"/>
    <w:qFormat/>
    <w:uiPriority w:val="0"/>
    <w:pPr>
      <w:spacing w:line="240" w:lineRule="auto"/>
      <w:ind w:firstLine="0"/>
      <w:jc w:val="center"/>
    </w:pPr>
    <w:rPr>
      <w:rFonts w:hAnsi="宋体"/>
      <w:b w:val="0"/>
      <w:spacing w:val="0"/>
      <w:sz w:val="21"/>
    </w:rPr>
  </w:style>
  <w:style w:type="paragraph" w:customStyle="1" w:styleId="3349">
    <w:name w:val="表内541213"/>
    <w:basedOn w:val="1"/>
    <w:qFormat/>
    <w:uiPriority w:val="0"/>
    <w:pPr>
      <w:adjustRightInd w:val="0"/>
      <w:snapToGrid w:val="0"/>
      <w:spacing w:line="300" w:lineRule="auto"/>
      <w:jc w:val="center"/>
    </w:pPr>
    <w:rPr>
      <w:rFonts w:ascii="宋体" w:hAnsi="宋体" w:cs="宋体"/>
    </w:rPr>
  </w:style>
  <w:style w:type="paragraph" w:customStyle="1" w:styleId="3350">
    <w:name w:val="表内文字小21213"/>
    <w:basedOn w:val="1"/>
    <w:qFormat/>
    <w:uiPriority w:val="0"/>
    <w:pPr>
      <w:adjustRightInd w:val="0"/>
      <w:snapToGrid w:val="0"/>
      <w:jc w:val="center"/>
    </w:pPr>
    <w:rPr>
      <w:rFonts w:ascii="宋体" w:hAnsi="Times" w:cs="宋体"/>
      <w:bCs/>
      <w:color w:val="000000"/>
    </w:rPr>
  </w:style>
  <w:style w:type="paragraph" w:customStyle="1" w:styleId="3351">
    <w:name w:val="表题31213"/>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352">
    <w:name w:val="Char Char Char Char Char Char Char48"/>
    <w:basedOn w:val="1"/>
    <w:qFormat/>
    <w:uiPriority w:val="0"/>
    <w:rPr>
      <w:rFonts w:ascii="宋体" w:hAnsi="宋体" w:cs="宋体"/>
    </w:rPr>
  </w:style>
  <w:style w:type="paragraph" w:customStyle="1" w:styleId="3353">
    <w:name w:val="标题431213"/>
    <w:basedOn w:val="1"/>
    <w:qFormat/>
    <w:uiPriority w:val="0"/>
    <w:pPr>
      <w:adjustRightInd w:val="0"/>
      <w:snapToGrid w:val="0"/>
      <w:spacing w:line="480" w:lineRule="exact"/>
      <w:jc w:val="center"/>
    </w:pPr>
    <w:rPr>
      <w:rFonts w:ascii="宋体" w:hAnsi="宋体" w:cs="宋体"/>
      <w:sz w:val="24"/>
    </w:rPr>
  </w:style>
  <w:style w:type="paragraph" w:customStyle="1" w:styleId="3354">
    <w:name w:val="燕山正文11213"/>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355">
    <w:name w:val="默认段落字体 Para Char Char Char Char213"/>
    <w:basedOn w:val="1"/>
    <w:qFormat/>
    <w:uiPriority w:val="0"/>
    <w:rPr>
      <w:rFonts w:ascii="宋体" w:hAnsi="宋体" w:cs="宋体"/>
    </w:rPr>
  </w:style>
  <w:style w:type="paragraph" w:customStyle="1" w:styleId="3356">
    <w:name w:val="附件213"/>
    <w:basedOn w:val="4"/>
    <w:next w:val="315"/>
    <w:qFormat/>
    <w:uiPriority w:val="0"/>
    <w:pPr>
      <w:keepLines/>
      <w:widowControl w:val="0"/>
      <w:numPr>
        <w:numId w:val="0"/>
      </w:numPr>
      <w:tabs>
        <w:tab w:val="left" w:pos="1566"/>
      </w:tabs>
      <w:spacing w:after="210"/>
    </w:pPr>
    <w:rPr>
      <w:rFonts w:ascii="黑体" w:eastAsia="黑体"/>
      <w:bCs/>
      <w:kern w:val="44"/>
      <w:szCs w:val="32"/>
    </w:rPr>
  </w:style>
  <w:style w:type="paragraph" w:customStyle="1" w:styleId="3357">
    <w:name w:val="黑体三号213"/>
    <w:basedOn w:val="315"/>
    <w:qFormat/>
    <w:uiPriority w:val="0"/>
    <w:pPr>
      <w:jc w:val="center"/>
    </w:pPr>
    <w:rPr>
      <w:rFonts w:ascii="黑体" w:hAnsi="宋体" w:eastAsia="黑体"/>
      <w:bCs/>
      <w:spacing w:val="0"/>
      <w:sz w:val="32"/>
    </w:rPr>
  </w:style>
  <w:style w:type="paragraph" w:customStyle="1" w:styleId="3358">
    <w:name w:val="表213"/>
    <w:basedOn w:val="1"/>
    <w:qFormat/>
    <w:uiPriority w:val="0"/>
    <w:pPr>
      <w:adjustRightInd w:val="0"/>
      <w:snapToGrid w:val="0"/>
      <w:jc w:val="center"/>
    </w:pPr>
    <w:rPr>
      <w:rFonts w:ascii="宋体" w:hAnsi="宋体" w:eastAsia="仿宋_GB2312" w:cs="宋体"/>
      <w:sz w:val="24"/>
    </w:rPr>
  </w:style>
  <w:style w:type="paragraph" w:customStyle="1" w:styleId="3359">
    <w:name w:val="表题1213"/>
    <w:basedOn w:val="23"/>
    <w:qFormat/>
    <w:uiPriority w:val="0"/>
    <w:pPr>
      <w:widowControl w:val="0"/>
      <w:spacing w:line="360" w:lineRule="auto"/>
      <w:jc w:val="center"/>
    </w:pPr>
    <w:rPr>
      <w:rFonts w:ascii="黑体" w:hAnsi="Arial" w:cs="Arial"/>
      <w:kern w:val="2"/>
    </w:rPr>
  </w:style>
  <w:style w:type="paragraph" w:customStyle="1" w:styleId="3360">
    <w:name w:val="燕山正文213"/>
    <w:basedOn w:val="1"/>
    <w:qFormat/>
    <w:uiPriority w:val="0"/>
    <w:pPr>
      <w:tabs>
        <w:tab w:val="left" w:pos="4680"/>
      </w:tabs>
      <w:adjustRightInd w:val="0"/>
      <w:snapToGrid w:val="0"/>
      <w:spacing w:line="480" w:lineRule="exact"/>
    </w:pPr>
    <w:rPr>
      <w:rFonts w:ascii="宋体" w:hAnsi="宋体" w:cs="宋体"/>
      <w:sz w:val="24"/>
    </w:rPr>
  </w:style>
  <w:style w:type="paragraph" w:customStyle="1" w:styleId="3361">
    <w:name w:val="正文修改213"/>
    <w:basedOn w:val="1180"/>
    <w:qFormat/>
    <w:uiPriority w:val="0"/>
    <w:rPr>
      <w:rFonts w:hAnsi="宋体"/>
      <w:color w:val="000000"/>
    </w:rPr>
  </w:style>
  <w:style w:type="character" w:customStyle="1" w:styleId="3362">
    <w:name w:val="正文修改 Char1213"/>
    <w:qFormat/>
    <w:uiPriority w:val="0"/>
    <w:rPr>
      <w:rFonts w:ascii="宋体" w:hAnsi="宋体" w:eastAsia="宋体" w:cs="宋体"/>
      <w:color w:val="000000"/>
      <w:kern w:val="2"/>
      <w:sz w:val="24"/>
      <w:szCs w:val="24"/>
      <w:lang w:val="en-US" w:eastAsia="zh-CN" w:bidi="ar-SA"/>
    </w:rPr>
  </w:style>
  <w:style w:type="paragraph" w:customStyle="1" w:styleId="3363">
    <w:name w:val="表中文字213"/>
    <w:basedOn w:val="1"/>
    <w:qFormat/>
    <w:uiPriority w:val="0"/>
    <w:pPr>
      <w:widowControl/>
      <w:adjustRightInd w:val="0"/>
      <w:spacing w:line="240" w:lineRule="atLeast"/>
      <w:ind w:right="-42" w:rightChars="-20"/>
      <w:jc w:val="center"/>
      <w:textAlignment w:val="baseline"/>
    </w:pPr>
    <w:rPr>
      <w:rFonts w:ascii="宋体" w:hAnsi="宋体" w:cs="宋体"/>
      <w:kern w:val="0"/>
      <w:szCs w:val="21"/>
    </w:rPr>
  </w:style>
  <w:style w:type="paragraph" w:customStyle="1" w:styleId="3364">
    <w:name w:val="表文字5213"/>
    <w:basedOn w:val="1"/>
    <w:qFormat/>
    <w:uiPriority w:val="0"/>
    <w:pPr>
      <w:adjustRightInd w:val="0"/>
      <w:jc w:val="left"/>
      <w:textAlignment w:val="baseline"/>
    </w:pPr>
    <w:rPr>
      <w:rFonts w:ascii="宋体" w:hAnsi="宋体" w:cs="宋体"/>
      <w:kern w:val="0"/>
    </w:rPr>
  </w:style>
  <w:style w:type="paragraph" w:customStyle="1" w:styleId="3365">
    <w:name w:val="表内文字小31213"/>
    <w:basedOn w:val="1"/>
    <w:qFormat/>
    <w:uiPriority w:val="0"/>
    <w:pPr>
      <w:adjustRightInd w:val="0"/>
      <w:snapToGrid w:val="0"/>
      <w:jc w:val="center"/>
    </w:pPr>
    <w:rPr>
      <w:rFonts w:ascii="宋体" w:hAnsi="Times" w:cs="宋体"/>
      <w:bCs/>
      <w:color w:val="003366"/>
    </w:rPr>
  </w:style>
  <w:style w:type="paragraph" w:customStyle="1" w:styleId="3366">
    <w:name w:val="样式1213"/>
    <w:basedOn w:val="1227"/>
    <w:qFormat/>
    <w:uiPriority w:val="0"/>
    <w:pPr>
      <w:spacing w:line="240" w:lineRule="auto"/>
      <w:ind w:firstLine="0"/>
      <w:jc w:val="center"/>
    </w:pPr>
    <w:rPr>
      <w:rFonts w:cs="Times New Roman"/>
      <w:b/>
      <w:color w:val="auto"/>
      <w:szCs w:val="20"/>
    </w:rPr>
  </w:style>
  <w:style w:type="paragraph" w:customStyle="1" w:styleId="3367">
    <w:name w:val="Char3110"/>
    <w:basedOn w:val="1"/>
    <w:qFormat/>
    <w:uiPriority w:val="0"/>
    <w:pPr>
      <w:ind w:left="-48"/>
    </w:pPr>
    <w:rPr>
      <w:rFonts w:ascii="宋体" w:hAnsi="宋体" w:cs="宋体"/>
    </w:rPr>
  </w:style>
  <w:style w:type="paragraph" w:customStyle="1" w:styleId="3368">
    <w:name w:val="表内文字小2213"/>
    <w:basedOn w:val="1"/>
    <w:qFormat/>
    <w:uiPriority w:val="0"/>
    <w:pPr>
      <w:adjustRightInd w:val="0"/>
      <w:snapToGrid w:val="0"/>
      <w:jc w:val="center"/>
    </w:pPr>
    <w:rPr>
      <w:rFonts w:ascii="宋体" w:hAnsi="Times" w:cs="宋体"/>
      <w:bCs/>
      <w:color w:val="000000"/>
    </w:rPr>
  </w:style>
  <w:style w:type="paragraph" w:customStyle="1" w:styleId="3369">
    <w:name w:val="表内53113"/>
    <w:basedOn w:val="1"/>
    <w:qFormat/>
    <w:uiPriority w:val="0"/>
    <w:pPr>
      <w:adjustRightInd w:val="0"/>
      <w:snapToGrid w:val="0"/>
      <w:spacing w:line="300" w:lineRule="auto"/>
      <w:jc w:val="left"/>
    </w:pPr>
    <w:rPr>
      <w:rFonts w:ascii="宋体" w:hAnsi="宋体" w:cs="宋体"/>
    </w:rPr>
  </w:style>
  <w:style w:type="paragraph" w:customStyle="1" w:styleId="3370">
    <w:name w:val="正文格式2113"/>
    <w:basedOn w:val="1"/>
    <w:qFormat/>
    <w:uiPriority w:val="0"/>
    <w:pPr>
      <w:spacing w:line="360" w:lineRule="auto"/>
      <w:ind w:firstLine="482"/>
    </w:pPr>
    <w:rPr>
      <w:rFonts w:ascii="宋体" w:hAnsi="宋体" w:cs="宋体"/>
      <w:sz w:val="24"/>
    </w:rPr>
  </w:style>
  <w:style w:type="paragraph" w:customStyle="1" w:styleId="3371">
    <w:name w:val="图题2113"/>
    <w:basedOn w:val="315"/>
    <w:next w:val="315"/>
    <w:qFormat/>
    <w:uiPriority w:val="0"/>
    <w:pPr>
      <w:ind w:firstLine="0"/>
      <w:jc w:val="center"/>
    </w:pPr>
    <w:rPr>
      <w:rFonts w:ascii="黑体" w:hAnsi="宋体" w:eastAsia="黑体"/>
      <w:bCs/>
      <w:spacing w:val="0"/>
    </w:rPr>
  </w:style>
  <w:style w:type="paragraph" w:customStyle="1" w:styleId="3372">
    <w:name w:val="表格内字体2113"/>
    <w:basedOn w:val="315"/>
    <w:next w:val="315"/>
    <w:qFormat/>
    <w:uiPriority w:val="0"/>
    <w:pPr>
      <w:spacing w:line="240" w:lineRule="auto"/>
      <w:ind w:firstLine="0"/>
      <w:jc w:val="center"/>
    </w:pPr>
    <w:rPr>
      <w:rFonts w:hAnsi="宋体"/>
      <w:b w:val="0"/>
      <w:spacing w:val="0"/>
      <w:sz w:val="21"/>
    </w:rPr>
  </w:style>
  <w:style w:type="paragraph" w:customStyle="1" w:styleId="3373">
    <w:name w:val="表题11113"/>
    <w:basedOn w:val="23"/>
    <w:qFormat/>
    <w:uiPriority w:val="0"/>
    <w:pPr>
      <w:widowControl w:val="0"/>
      <w:spacing w:line="360" w:lineRule="auto"/>
      <w:jc w:val="center"/>
    </w:pPr>
    <w:rPr>
      <w:rFonts w:ascii="黑体" w:hAnsi="Arial" w:cs="Arial"/>
      <w:kern w:val="2"/>
    </w:rPr>
  </w:style>
  <w:style w:type="paragraph" w:customStyle="1" w:styleId="3374">
    <w:name w:val="表中文字1113"/>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375">
    <w:name w:val="表文字51113"/>
    <w:basedOn w:val="1"/>
    <w:qFormat/>
    <w:uiPriority w:val="0"/>
    <w:pPr>
      <w:adjustRightInd w:val="0"/>
      <w:jc w:val="left"/>
      <w:textAlignment w:val="baseline"/>
    </w:pPr>
    <w:rPr>
      <w:rFonts w:ascii="宋体" w:hAnsi="宋体" w:cs="宋体"/>
      <w:kern w:val="0"/>
    </w:rPr>
  </w:style>
  <w:style w:type="paragraph" w:customStyle="1" w:styleId="3376">
    <w:name w:val="正文格式413"/>
    <w:basedOn w:val="1"/>
    <w:qFormat/>
    <w:uiPriority w:val="0"/>
    <w:pPr>
      <w:spacing w:line="360" w:lineRule="auto"/>
      <w:ind w:firstLine="482"/>
    </w:pPr>
    <w:rPr>
      <w:rFonts w:ascii="宋体" w:hAnsi="宋体" w:cs="宋体"/>
      <w:sz w:val="24"/>
    </w:rPr>
  </w:style>
  <w:style w:type="paragraph" w:customStyle="1" w:styleId="3377">
    <w:name w:val="图题413"/>
    <w:basedOn w:val="315"/>
    <w:next w:val="315"/>
    <w:qFormat/>
    <w:uiPriority w:val="0"/>
    <w:pPr>
      <w:ind w:firstLine="0"/>
      <w:jc w:val="center"/>
    </w:pPr>
    <w:rPr>
      <w:rFonts w:ascii="黑体" w:hAnsi="宋体" w:eastAsia="黑体"/>
      <w:bCs/>
      <w:spacing w:val="0"/>
    </w:rPr>
  </w:style>
  <w:style w:type="paragraph" w:customStyle="1" w:styleId="3378">
    <w:name w:val="表格内字体413"/>
    <w:basedOn w:val="315"/>
    <w:next w:val="315"/>
    <w:qFormat/>
    <w:uiPriority w:val="0"/>
    <w:pPr>
      <w:spacing w:line="240" w:lineRule="auto"/>
      <w:ind w:firstLine="0"/>
      <w:jc w:val="center"/>
    </w:pPr>
    <w:rPr>
      <w:rFonts w:hAnsi="宋体"/>
      <w:b w:val="0"/>
      <w:spacing w:val="0"/>
      <w:sz w:val="21"/>
    </w:rPr>
  </w:style>
  <w:style w:type="paragraph" w:customStyle="1" w:styleId="3379">
    <w:name w:val="Char4110"/>
    <w:basedOn w:val="1"/>
    <w:qFormat/>
    <w:uiPriority w:val="0"/>
    <w:pPr>
      <w:ind w:left="-48"/>
    </w:pPr>
    <w:rPr>
      <w:rFonts w:ascii="宋体" w:hAnsi="宋体" w:cs="宋体"/>
    </w:rPr>
  </w:style>
  <w:style w:type="paragraph" w:customStyle="1" w:styleId="3380">
    <w:name w:val="表题1313"/>
    <w:basedOn w:val="23"/>
    <w:qFormat/>
    <w:uiPriority w:val="0"/>
    <w:pPr>
      <w:widowControl w:val="0"/>
      <w:spacing w:line="360" w:lineRule="auto"/>
      <w:jc w:val="center"/>
    </w:pPr>
    <w:rPr>
      <w:rFonts w:ascii="黑体" w:hAnsi="Arial" w:cs="Arial"/>
      <w:b/>
      <w:kern w:val="2"/>
    </w:rPr>
  </w:style>
  <w:style w:type="paragraph" w:customStyle="1" w:styleId="3381">
    <w:name w:val="默认段落字体 Para Char113"/>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382">
    <w:name w:val="23-47表名13"/>
    <w:basedOn w:val="1"/>
    <w:qFormat/>
    <w:uiPriority w:val="0"/>
    <w:pPr>
      <w:spacing w:afterLines="50" w:line="440" w:lineRule="exact"/>
      <w:jc w:val="center"/>
    </w:pPr>
    <w:rPr>
      <w:rFonts w:ascii="宋体" w:hAnsi="宋体" w:cs="宋体"/>
      <w:b/>
      <w:sz w:val="24"/>
    </w:rPr>
  </w:style>
  <w:style w:type="paragraph" w:customStyle="1" w:styleId="3383">
    <w:name w:val="xl2413"/>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3384">
    <w:name w:val="Char Char Char Char Char Char Char1210"/>
    <w:basedOn w:val="1"/>
    <w:qFormat/>
    <w:uiPriority w:val="0"/>
    <w:rPr>
      <w:rFonts w:ascii="宋体" w:hAnsi="宋体" w:cs="宋体"/>
    </w:rPr>
  </w:style>
  <w:style w:type="character" w:customStyle="1" w:styleId="3385">
    <w:name w:val="纯文本 Char11"/>
    <w:qFormat/>
    <w:uiPriority w:val="0"/>
    <w:rPr>
      <w:rFonts w:ascii="宋体" w:hAnsi="Courier New" w:eastAsia="宋体" w:cs="Courier New"/>
      <w:kern w:val="2"/>
      <w:sz w:val="21"/>
      <w:szCs w:val="21"/>
      <w:lang w:val="en-US" w:eastAsia="zh-CN" w:bidi="ar-SA"/>
    </w:rPr>
  </w:style>
  <w:style w:type="paragraph" w:customStyle="1" w:styleId="3386">
    <w:name w:val="Char513"/>
    <w:basedOn w:val="1"/>
    <w:qFormat/>
    <w:uiPriority w:val="0"/>
    <w:pPr>
      <w:adjustRightInd w:val="0"/>
      <w:snapToGrid w:val="0"/>
      <w:ind w:left="-45"/>
    </w:pPr>
    <w:rPr>
      <w:rFonts w:ascii="宋体" w:hAnsi="宋体" w:cs="宋体"/>
    </w:rPr>
  </w:style>
  <w:style w:type="paragraph" w:customStyle="1" w:styleId="3387">
    <w:name w:val="燕山正文11313"/>
    <w:basedOn w:val="1"/>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3388">
    <w:name w:val="正文格式513"/>
    <w:basedOn w:val="1"/>
    <w:qFormat/>
    <w:uiPriority w:val="0"/>
    <w:pPr>
      <w:spacing w:line="360" w:lineRule="auto"/>
      <w:ind w:firstLine="482"/>
    </w:pPr>
    <w:rPr>
      <w:rFonts w:ascii="宋体" w:hAnsi="宋体" w:cs="宋体"/>
      <w:sz w:val="24"/>
    </w:rPr>
  </w:style>
  <w:style w:type="paragraph" w:customStyle="1" w:styleId="3389">
    <w:name w:val="Char3210"/>
    <w:basedOn w:val="1"/>
    <w:qFormat/>
    <w:uiPriority w:val="0"/>
    <w:pPr>
      <w:ind w:left="-48"/>
    </w:pPr>
    <w:rPr>
      <w:rFonts w:ascii="宋体" w:hAnsi="宋体" w:cs="宋体"/>
    </w:rPr>
  </w:style>
  <w:style w:type="character" w:customStyle="1" w:styleId="3390">
    <w:name w:val="题注 Char313"/>
    <w:qFormat/>
    <w:uiPriority w:val="0"/>
    <w:rPr>
      <w:rFonts w:ascii="黑体" w:hAnsi="Arial" w:eastAsia="黑体" w:cs="Arial"/>
      <w:spacing w:val="10"/>
      <w:kern w:val="2"/>
      <w:sz w:val="24"/>
      <w:szCs w:val="24"/>
      <w:lang w:val="en-US" w:eastAsia="zh-CN" w:bidi="ar-SA"/>
    </w:rPr>
  </w:style>
  <w:style w:type="paragraph" w:customStyle="1" w:styleId="3391">
    <w:name w:val="图题513"/>
    <w:basedOn w:val="315"/>
    <w:next w:val="315"/>
    <w:qFormat/>
    <w:uiPriority w:val="0"/>
    <w:pPr>
      <w:ind w:firstLine="0"/>
      <w:jc w:val="center"/>
    </w:pPr>
    <w:rPr>
      <w:rFonts w:ascii="黑体" w:hAnsi="宋体" w:eastAsia="黑体"/>
      <w:bCs/>
      <w:spacing w:val="0"/>
    </w:rPr>
  </w:style>
  <w:style w:type="paragraph" w:customStyle="1" w:styleId="3392">
    <w:name w:val="表格内字体513"/>
    <w:basedOn w:val="315"/>
    <w:next w:val="315"/>
    <w:qFormat/>
    <w:uiPriority w:val="0"/>
    <w:pPr>
      <w:adjustRightInd w:val="0"/>
      <w:snapToGrid w:val="0"/>
      <w:spacing w:line="240" w:lineRule="auto"/>
      <w:ind w:firstLine="0"/>
    </w:pPr>
    <w:rPr>
      <w:rFonts w:hAnsi="宋体"/>
      <w:b w:val="0"/>
      <w:spacing w:val="0"/>
      <w:sz w:val="21"/>
    </w:rPr>
  </w:style>
  <w:style w:type="paragraph" w:customStyle="1" w:styleId="3393">
    <w:name w:val="表313"/>
    <w:basedOn w:val="1"/>
    <w:qFormat/>
    <w:uiPriority w:val="0"/>
    <w:pPr>
      <w:adjustRightInd w:val="0"/>
      <w:snapToGrid w:val="0"/>
      <w:jc w:val="center"/>
    </w:pPr>
    <w:rPr>
      <w:rFonts w:ascii="宋体" w:hAnsi="宋体" w:eastAsia="仿宋_GB2312" w:cs="宋体"/>
      <w:sz w:val="24"/>
    </w:rPr>
  </w:style>
  <w:style w:type="paragraph" w:customStyle="1" w:styleId="3394">
    <w:name w:val="正文.113"/>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395">
    <w:name w:val="文本框113"/>
    <w:basedOn w:val="1"/>
    <w:qFormat/>
    <w:uiPriority w:val="0"/>
    <w:pPr>
      <w:adjustRightInd w:val="0"/>
      <w:snapToGrid w:val="0"/>
      <w:spacing w:after="6"/>
      <w:jc w:val="center"/>
    </w:pPr>
    <w:rPr>
      <w:rFonts w:ascii="宋体" w:hAnsi="宋体" w:eastAsia="仿宋_GB2312" w:cs="宋体"/>
    </w:rPr>
  </w:style>
  <w:style w:type="paragraph" w:customStyle="1" w:styleId="3396">
    <w:name w:val="表内宋511113"/>
    <w:basedOn w:val="81"/>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3397">
    <w:name w:val="表内文字小31313"/>
    <w:basedOn w:val="1"/>
    <w:qFormat/>
    <w:uiPriority w:val="0"/>
    <w:pPr>
      <w:adjustRightInd w:val="0"/>
      <w:snapToGrid w:val="0"/>
      <w:jc w:val="center"/>
    </w:pPr>
    <w:rPr>
      <w:rFonts w:ascii="宋体" w:hAnsi="Times" w:cs="宋体"/>
      <w:bCs/>
      <w:color w:val="003366"/>
    </w:rPr>
  </w:style>
  <w:style w:type="paragraph" w:customStyle="1" w:styleId="3398">
    <w:name w:val="表文字5313"/>
    <w:basedOn w:val="1"/>
    <w:qFormat/>
    <w:uiPriority w:val="0"/>
    <w:pPr>
      <w:adjustRightInd w:val="0"/>
      <w:jc w:val="left"/>
      <w:textAlignment w:val="baseline"/>
    </w:pPr>
    <w:rPr>
      <w:rFonts w:ascii="宋体" w:hAnsi="宋体" w:cs="宋体"/>
      <w:kern w:val="0"/>
    </w:rPr>
  </w:style>
  <w:style w:type="paragraph" w:customStyle="1" w:styleId="3399">
    <w:name w:val="Char Char Char Char Char Char Char2110"/>
    <w:basedOn w:val="1"/>
    <w:qFormat/>
    <w:uiPriority w:val="0"/>
    <w:rPr>
      <w:rFonts w:ascii="宋体" w:hAnsi="宋体" w:cs="宋体"/>
    </w:rPr>
  </w:style>
  <w:style w:type="paragraph" w:customStyle="1" w:styleId="3400">
    <w:name w:val="表题31313"/>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401">
    <w:name w:val="表内文字小21313"/>
    <w:basedOn w:val="1"/>
    <w:qFormat/>
    <w:uiPriority w:val="0"/>
    <w:pPr>
      <w:adjustRightInd w:val="0"/>
      <w:snapToGrid w:val="0"/>
      <w:jc w:val="center"/>
      <w:textAlignment w:val="baseline"/>
    </w:pPr>
    <w:rPr>
      <w:rFonts w:ascii="宋体" w:hAnsi="Times" w:cs="宋体"/>
      <w:bCs/>
      <w:color w:val="000000"/>
    </w:rPr>
  </w:style>
  <w:style w:type="character" w:customStyle="1" w:styleId="3402">
    <w:name w:val="文档结构图 Char21"/>
    <w:qFormat/>
    <w:uiPriority w:val="0"/>
    <w:rPr>
      <w:rFonts w:eastAsia="宋体"/>
      <w:kern w:val="2"/>
      <w:sz w:val="21"/>
      <w:szCs w:val="24"/>
      <w:shd w:val="clear" w:color="auto" w:fill="000080"/>
      <w:lang w:val="en-US" w:eastAsia="zh-CN" w:bidi="ar-SA"/>
    </w:rPr>
  </w:style>
  <w:style w:type="paragraph" w:customStyle="1" w:styleId="3403">
    <w:name w:val="燕山正文313"/>
    <w:basedOn w:val="1"/>
    <w:qFormat/>
    <w:uiPriority w:val="0"/>
    <w:pPr>
      <w:tabs>
        <w:tab w:val="left" w:pos="4680"/>
      </w:tabs>
      <w:adjustRightInd w:val="0"/>
      <w:snapToGrid w:val="0"/>
      <w:spacing w:line="480" w:lineRule="exact"/>
    </w:pPr>
    <w:rPr>
      <w:rFonts w:ascii="宋体" w:hAnsi="宋体" w:cs="宋体"/>
      <w:sz w:val="24"/>
    </w:rPr>
  </w:style>
  <w:style w:type="paragraph" w:customStyle="1" w:styleId="3404">
    <w:name w:val="正文修改313"/>
    <w:basedOn w:val="1180"/>
    <w:qFormat/>
    <w:uiPriority w:val="0"/>
    <w:rPr>
      <w:rFonts w:hAnsi="宋体"/>
      <w:color w:val="000000"/>
    </w:rPr>
  </w:style>
  <w:style w:type="character" w:customStyle="1" w:styleId="3405">
    <w:name w:val="正文修改 Char1313"/>
    <w:qFormat/>
    <w:uiPriority w:val="0"/>
    <w:rPr>
      <w:rFonts w:ascii="宋体" w:hAnsi="宋体" w:eastAsia="宋体" w:cs="宋体"/>
      <w:color w:val="000000"/>
      <w:kern w:val="2"/>
      <w:sz w:val="24"/>
      <w:szCs w:val="24"/>
      <w:lang w:val="en-US" w:eastAsia="zh-CN" w:bidi="ar-SA"/>
    </w:rPr>
  </w:style>
  <w:style w:type="paragraph" w:customStyle="1" w:styleId="3406">
    <w:name w:val="表题1423"/>
    <w:basedOn w:val="23"/>
    <w:qFormat/>
    <w:uiPriority w:val="0"/>
    <w:pPr>
      <w:widowControl w:val="0"/>
      <w:spacing w:line="360" w:lineRule="auto"/>
      <w:jc w:val="center"/>
    </w:pPr>
    <w:rPr>
      <w:rFonts w:ascii="黑体" w:hAnsi="Arial" w:cs="Arial"/>
      <w:b/>
      <w:kern w:val="2"/>
    </w:rPr>
  </w:style>
  <w:style w:type="character" w:customStyle="1" w:styleId="3407">
    <w:name w:val="表题1 Char413"/>
    <w:qFormat/>
    <w:uiPriority w:val="0"/>
    <w:rPr>
      <w:rFonts w:ascii="黑体" w:hAnsi="Arial" w:eastAsia="黑体" w:cs="Arial"/>
      <w:b/>
      <w:kern w:val="2"/>
      <w:sz w:val="24"/>
      <w:szCs w:val="24"/>
      <w:lang w:val="en-US" w:eastAsia="zh-CN" w:bidi="ar-SA"/>
    </w:rPr>
  </w:style>
  <w:style w:type="paragraph" w:customStyle="1" w:styleId="3408">
    <w:name w:val="表中文字313"/>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409">
    <w:name w:val="黑体三号313"/>
    <w:basedOn w:val="315"/>
    <w:qFormat/>
    <w:uiPriority w:val="0"/>
    <w:pPr>
      <w:jc w:val="center"/>
    </w:pPr>
    <w:rPr>
      <w:rFonts w:ascii="黑体" w:hAnsi="宋体" w:eastAsia="黑体"/>
      <w:bCs/>
      <w:spacing w:val="0"/>
      <w:sz w:val="32"/>
    </w:rPr>
  </w:style>
  <w:style w:type="paragraph" w:customStyle="1" w:styleId="3410">
    <w:name w:val="默认段落字体 Para Char Char Char Char313"/>
    <w:basedOn w:val="1"/>
    <w:qFormat/>
    <w:uiPriority w:val="0"/>
    <w:rPr>
      <w:rFonts w:ascii="宋体" w:hAnsi="宋体" w:cs="宋体"/>
    </w:rPr>
  </w:style>
  <w:style w:type="paragraph" w:customStyle="1" w:styleId="3411">
    <w:name w:val="表内541313"/>
    <w:basedOn w:val="1"/>
    <w:qFormat/>
    <w:uiPriority w:val="0"/>
    <w:pPr>
      <w:adjustRightInd w:val="0"/>
      <w:snapToGrid w:val="0"/>
      <w:spacing w:line="300" w:lineRule="auto"/>
      <w:jc w:val="center"/>
    </w:pPr>
    <w:rPr>
      <w:rFonts w:ascii="宋体" w:hAnsi="宋体" w:cs="宋体"/>
    </w:rPr>
  </w:style>
  <w:style w:type="paragraph" w:customStyle="1" w:styleId="3412">
    <w:name w:val="标题423"/>
    <w:basedOn w:val="1"/>
    <w:qFormat/>
    <w:uiPriority w:val="0"/>
    <w:pPr>
      <w:adjustRightInd w:val="0"/>
      <w:snapToGrid w:val="0"/>
      <w:spacing w:line="300" w:lineRule="auto"/>
      <w:jc w:val="left"/>
    </w:pPr>
    <w:rPr>
      <w:rFonts w:ascii="黑体" w:hAnsi="宋体" w:eastAsia="黑体" w:cs="宋体"/>
      <w:bCs/>
      <w:sz w:val="24"/>
    </w:rPr>
  </w:style>
  <w:style w:type="paragraph" w:customStyle="1" w:styleId="3413">
    <w:name w:val="Char613"/>
    <w:basedOn w:val="1"/>
    <w:qFormat/>
    <w:uiPriority w:val="0"/>
    <w:pPr>
      <w:adjustRightInd w:val="0"/>
      <w:snapToGrid w:val="0"/>
      <w:spacing w:beforeLines="50" w:line="360" w:lineRule="auto"/>
    </w:pPr>
    <w:rPr>
      <w:rFonts w:ascii="黑体" w:hAnsi="宋体" w:eastAsia="黑体" w:cs="宋体"/>
      <w:sz w:val="32"/>
      <w:szCs w:val="32"/>
    </w:rPr>
  </w:style>
  <w:style w:type="paragraph" w:customStyle="1" w:styleId="3414">
    <w:name w:val="表题21113"/>
    <w:basedOn w:val="1"/>
    <w:qFormat/>
    <w:uiPriority w:val="0"/>
    <w:pPr>
      <w:widowControl/>
      <w:adjustRightInd w:val="0"/>
      <w:snapToGrid w:val="0"/>
      <w:jc w:val="center"/>
    </w:pPr>
    <w:rPr>
      <w:rFonts w:ascii="黑体" w:hAnsi="宋体" w:eastAsia="黑体" w:cs="宋体"/>
      <w:kern w:val="0"/>
      <w:sz w:val="24"/>
    </w:rPr>
  </w:style>
  <w:style w:type="paragraph" w:customStyle="1" w:styleId="3415">
    <w:name w:val="表内宋5中1113"/>
    <w:basedOn w:val="1"/>
    <w:qFormat/>
    <w:uiPriority w:val="0"/>
    <w:pPr>
      <w:adjustRightInd w:val="0"/>
      <w:snapToGrid w:val="0"/>
      <w:jc w:val="center"/>
      <w:textAlignment w:val="baseline"/>
    </w:pPr>
    <w:rPr>
      <w:rFonts w:ascii="宋体" w:hAnsi="宋体" w:cs="宋体"/>
      <w:kern w:val="0"/>
    </w:rPr>
  </w:style>
  <w:style w:type="paragraph" w:customStyle="1" w:styleId="3416">
    <w:name w:val="表内宋5中123"/>
    <w:basedOn w:val="1"/>
    <w:qFormat/>
    <w:uiPriority w:val="0"/>
    <w:pPr>
      <w:adjustRightInd w:val="0"/>
      <w:snapToGrid w:val="0"/>
      <w:jc w:val="center"/>
      <w:textAlignment w:val="baseline"/>
    </w:pPr>
    <w:rPr>
      <w:rFonts w:ascii="宋体" w:hAnsi="宋体" w:cs="宋体"/>
      <w:kern w:val="0"/>
    </w:rPr>
  </w:style>
  <w:style w:type="paragraph" w:customStyle="1" w:styleId="3417">
    <w:name w:val="表内文字小1113"/>
    <w:basedOn w:val="1"/>
    <w:qFormat/>
    <w:uiPriority w:val="0"/>
    <w:pPr>
      <w:adjustRightInd w:val="0"/>
      <w:snapToGrid w:val="0"/>
    </w:pPr>
    <w:rPr>
      <w:rFonts w:ascii="宋体" w:hAnsi="Times" w:cs="宋体"/>
    </w:rPr>
  </w:style>
  <w:style w:type="paragraph" w:customStyle="1" w:styleId="3418">
    <w:name w:val="标题41113"/>
    <w:basedOn w:val="1"/>
    <w:qFormat/>
    <w:uiPriority w:val="0"/>
    <w:pPr>
      <w:adjustRightInd w:val="0"/>
      <w:snapToGrid w:val="0"/>
      <w:spacing w:line="300" w:lineRule="auto"/>
      <w:jc w:val="left"/>
    </w:pPr>
    <w:rPr>
      <w:rFonts w:ascii="黑体" w:hAnsi="宋体" w:eastAsia="黑体" w:cs="宋体"/>
      <w:bCs/>
      <w:sz w:val="24"/>
    </w:rPr>
  </w:style>
  <w:style w:type="paragraph" w:customStyle="1" w:styleId="3419">
    <w:name w:val="表题14113"/>
    <w:basedOn w:val="1"/>
    <w:qFormat/>
    <w:uiPriority w:val="0"/>
    <w:pPr>
      <w:widowControl/>
      <w:adjustRightInd w:val="0"/>
      <w:snapToGrid w:val="0"/>
      <w:jc w:val="center"/>
    </w:pPr>
    <w:rPr>
      <w:rFonts w:ascii="黑体" w:hAnsi="宋体" w:eastAsia="黑体" w:cs="宋体"/>
      <w:kern w:val="0"/>
      <w:sz w:val="24"/>
    </w:rPr>
  </w:style>
  <w:style w:type="paragraph" w:customStyle="1" w:styleId="3420">
    <w:name w:val="表内文字小813"/>
    <w:basedOn w:val="1"/>
    <w:qFormat/>
    <w:uiPriority w:val="0"/>
    <w:pPr>
      <w:adjustRightInd w:val="0"/>
      <w:snapToGrid w:val="0"/>
      <w:jc w:val="center"/>
    </w:pPr>
    <w:rPr>
      <w:rFonts w:ascii="宋体" w:hAnsi="Times" w:cs="宋体"/>
    </w:rPr>
  </w:style>
  <w:style w:type="paragraph" w:customStyle="1" w:styleId="3421">
    <w:name w:val="默认段落字体 Para Char213"/>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422">
    <w:name w:val="Default13"/>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3423">
    <w:name w:val="标题 6 Char11"/>
    <w:qFormat/>
    <w:uiPriority w:val="0"/>
    <w:rPr>
      <w:rFonts w:ascii="Arial" w:hAnsi="Arial" w:eastAsia="黑体"/>
      <w:b/>
      <w:bCs/>
      <w:kern w:val="2"/>
      <w:sz w:val="24"/>
      <w:szCs w:val="24"/>
      <w:lang w:val="en-US" w:eastAsia="zh-CN" w:bidi="ar-SA"/>
    </w:rPr>
  </w:style>
  <w:style w:type="character" w:customStyle="1" w:styleId="3424">
    <w:name w:val="标题 7 Char11"/>
    <w:qFormat/>
    <w:uiPriority w:val="0"/>
    <w:rPr>
      <w:rFonts w:eastAsia="宋体"/>
      <w:b/>
      <w:bCs/>
      <w:kern w:val="2"/>
      <w:sz w:val="24"/>
      <w:szCs w:val="24"/>
      <w:lang w:val="en-US" w:eastAsia="zh-CN" w:bidi="ar-SA"/>
    </w:rPr>
  </w:style>
  <w:style w:type="character" w:customStyle="1" w:styleId="3425">
    <w:name w:val="标题 8 Char11"/>
    <w:qFormat/>
    <w:uiPriority w:val="0"/>
    <w:rPr>
      <w:rFonts w:ascii="Arial" w:hAnsi="Arial" w:eastAsia="黑体"/>
      <w:kern w:val="2"/>
      <w:sz w:val="24"/>
      <w:szCs w:val="24"/>
      <w:lang w:val="en-US" w:eastAsia="zh-CN" w:bidi="ar-SA"/>
    </w:rPr>
  </w:style>
  <w:style w:type="character" w:customStyle="1" w:styleId="3426">
    <w:name w:val="标题 9 Char11"/>
    <w:qFormat/>
    <w:uiPriority w:val="0"/>
    <w:rPr>
      <w:rFonts w:ascii="Arial" w:hAnsi="Arial" w:eastAsia="黑体"/>
      <w:kern w:val="2"/>
      <w:sz w:val="21"/>
      <w:szCs w:val="21"/>
      <w:lang w:val="en-US" w:eastAsia="zh-CN" w:bidi="ar-SA"/>
    </w:rPr>
  </w:style>
  <w:style w:type="paragraph" w:customStyle="1" w:styleId="3427">
    <w:name w:val="正文格式613"/>
    <w:basedOn w:val="1"/>
    <w:qFormat/>
    <w:uiPriority w:val="0"/>
    <w:pPr>
      <w:spacing w:line="360" w:lineRule="auto"/>
      <w:ind w:firstLine="482"/>
    </w:pPr>
    <w:rPr>
      <w:rFonts w:ascii="宋体" w:hAnsi="宋体" w:cs="宋体"/>
      <w:sz w:val="24"/>
    </w:rPr>
  </w:style>
  <w:style w:type="character" w:customStyle="1" w:styleId="3428">
    <w:name w:val="河石1 Char22"/>
    <w:qFormat/>
    <w:uiPriority w:val="0"/>
    <w:rPr>
      <w:rFonts w:ascii="黑体" w:hAnsi="宋体" w:eastAsia="黑体" w:cs="Times New Roman"/>
      <w:bCs/>
      <w:kern w:val="44"/>
      <w:sz w:val="32"/>
      <w:szCs w:val="32"/>
      <w:lang w:val="en-US" w:eastAsia="zh-CN" w:bidi="ar-SA"/>
    </w:rPr>
  </w:style>
  <w:style w:type="paragraph" w:customStyle="1" w:styleId="3429">
    <w:name w:val="附件313"/>
    <w:basedOn w:val="4"/>
    <w:next w:val="315"/>
    <w:qFormat/>
    <w:uiPriority w:val="0"/>
    <w:pPr>
      <w:keepLines/>
      <w:widowControl w:val="0"/>
      <w:numPr>
        <w:numId w:val="0"/>
      </w:numPr>
      <w:tabs>
        <w:tab w:val="left" w:pos="1566"/>
      </w:tabs>
      <w:adjustRightInd w:val="0"/>
      <w:snapToGrid w:val="0"/>
      <w:spacing w:after="120"/>
    </w:pPr>
    <w:rPr>
      <w:rFonts w:ascii="黑体" w:eastAsia="黑体"/>
      <w:bCs/>
      <w:kern w:val="44"/>
      <w:szCs w:val="32"/>
    </w:rPr>
  </w:style>
  <w:style w:type="character" w:customStyle="1" w:styleId="3430">
    <w:name w:val="正文文本 Char21"/>
    <w:qFormat/>
    <w:uiPriority w:val="0"/>
    <w:rPr>
      <w:rFonts w:eastAsia="宋体"/>
      <w:kern w:val="2"/>
      <w:sz w:val="21"/>
      <w:szCs w:val="24"/>
      <w:lang w:val="en-US" w:eastAsia="zh-CN" w:bidi="ar-SA"/>
    </w:rPr>
  </w:style>
  <w:style w:type="paragraph" w:customStyle="1" w:styleId="3431">
    <w:name w:val="图题613"/>
    <w:basedOn w:val="315"/>
    <w:next w:val="315"/>
    <w:qFormat/>
    <w:uiPriority w:val="0"/>
    <w:pPr>
      <w:ind w:firstLine="0"/>
      <w:jc w:val="center"/>
    </w:pPr>
    <w:rPr>
      <w:rFonts w:ascii="黑体" w:hAnsi="宋体" w:eastAsia="黑体"/>
      <w:bCs/>
      <w:spacing w:val="0"/>
      <w:kern w:val="0"/>
    </w:rPr>
  </w:style>
  <w:style w:type="character" w:customStyle="1" w:styleId="3432">
    <w:name w:val="图题 Char11"/>
    <w:qFormat/>
    <w:uiPriority w:val="0"/>
    <w:rPr>
      <w:rFonts w:ascii="黑体" w:hAnsi="宋体" w:eastAsia="黑体" w:cs="宋体"/>
      <w:b/>
      <w:bCs/>
      <w:kern w:val="2"/>
      <w:sz w:val="24"/>
      <w:szCs w:val="24"/>
      <w:lang w:val="en-US" w:eastAsia="zh-CN" w:bidi="ar-SA"/>
    </w:rPr>
  </w:style>
  <w:style w:type="paragraph" w:customStyle="1" w:styleId="3433">
    <w:name w:val="表格内字体613"/>
    <w:basedOn w:val="315"/>
    <w:next w:val="315"/>
    <w:qFormat/>
    <w:uiPriority w:val="0"/>
    <w:pPr>
      <w:spacing w:line="240" w:lineRule="auto"/>
      <w:ind w:firstLine="0"/>
      <w:jc w:val="center"/>
    </w:pPr>
    <w:rPr>
      <w:rFonts w:hAnsi="宋体"/>
      <w:b w:val="0"/>
      <w:spacing w:val="0"/>
      <w:sz w:val="21"/>
    </w:rPr>
  </w:style>
  <w:style w:type="character" w:customStyle="1" w:styleId="3434">
    <w:name w:val="页眉 Char11"/>
    <w:qFormat/>
    <w:uiPriority w:val="0"/>
    <w:rPr>
      <w:rFonts w:eastAsia="宋体"/>
      <w:kern w:val="2"/>
      <w:sz w:val="18"/>
      <w:szCs w:val="18"/>
      <w:lang w:val="en-US" w:eastAsia="zh-CN" w:bidi="ar-SA"/>
    </w:rPr>
  </w:style>
  <w:style w:type="character" w:customStyle="1" w:styleId="3435">
    <w:name w:val="页脚 Char11"/>
    <w:qFormat/>
    <w:uiPriority w:val="0"/>
    <w:rPr>
      <w:rFonts w:eastAsia="宋体"/>
      <w:kern w:val="2"/>
      <w:sz w:val="18"/>
      <w:szCs w:val="18"/>
      <w:lang w:val="en-US" w:eastAsia="zh-CN" w:bidi="ar-SA"/>
    </w:rPr>
  </w:style>
  <w:style w:type="paragraph" w:customStyle="1" w:styleId="3436">
    <w:name w:val="黑体三号413"/>
    <w:basedOn w:val="315"/>
    <w:qFormat/>
    <w:uiPriority w:val="0"/>
    <w:pPr>
      <w:jc w:val="center"/>
    </w:pPr>
    <w:rPr>
      <w:rFonts w:ascii="黑体" w:hAnsi="宋体" w:eastAsia="黑体"/>
      <w:bCs/>
      <w:spacing w:val="0"/>
      <w:sz w:val="32"/>
    </w:rPr>
  </w:style>
  <w:style w:type="paragraph" w:customStyle="1" w:styleId="3437">
    <w:name w:val="默认段落字体 Para Char Char Char Char413"/>
    <w:basedOn w:val="1"/>
    <w:qFormat/>
    <w:uiPriority w:val="0"/>
    <w:rPr>
      <w:rFonts w:ascii="宋体" w:hAnsi="宋体" w:cs="宋体"/>
    </w:rPr>
  </w:style>
  <w:style w:type="paragraph" w:customStyle="1" w:styleId="3438">
    <w:name w:val="图表题13"/>
    <w:basedOn w:val="315"/>
    <w:next w:val="315"/>
    <w:qFormat/>
    <w:uiPriority w:val="0"/>
    <w:pPr>
      <w:ind w:firstLine="0"/>
      <w:jc w:val="center"/>
    </w:pPr>
    <w:rPr>
      <w:rFonts w:ascii="黑体" w:hAnsi="宋体" w:eastAsia="黑体"/>
      <w:bCs/>
      <w:spacing w:val="0"/>
    </w:rPr>
  </w:style>
  <w:style w:type="character" w:customStyle="1" w:styleId="3439">
    <w:name w:val="图表题 Char13"/>
    <w:qFormat/>
    <w:uiPriority w:val="0"/>
    <w:rPr>
      <w:rFonts w:ascii="黑体" w:hAnsi="宋体" w:eastAsia="黑体" w:cs="宋体"/>
      <w:bCs/>
      <w:spacing w:val="10"/>
      <w:kern w:val="2"/>
      <w:sz w:val="24"/>
      <w:szCs w:val="24"/>
      <w:lang w:val="en-US" w:eastAsia="zh-CN" w:bidi="ar-SA"/>
    </w:rPr>
  </w:style>
  <w:style w:type="paragraph" w:customStyle="1" w:styleId="3440">
    <w:name w:val="样式 表格内字体 +13"/>
    <w:basedOn w:val="1177"/>
    <w:qFormat/>
    <w:uiPriority w:val="0"/>
    <w:pPr>
      <w:spacing w:line="280" w:lineRule="exact"/>
      <w:ind w:firstLine="36"/>
      <w:jc w:val="both"/>
    </w:pPr>
    <w:rPr>
      <w:kern w:val="0"/>
    </w:rPr>
  </w:style>
  <w:style w:type="character" w:customStyle="1" w:styleId="3441">
    <w:name w:val="样式 表格内字体 + Char13"/>
    <w:basedOn w:val="1178"/>
    <w:qFormat/>
    <w:uiPriority w:val="0"/>
  </w:style>
  <w:style w:type="paragraph" w:customStyle="1" w:styleId="3442">
    <w:name w:val="A正文13"/>
    <w:basedOn w:val="1"/>
    <w:qFormat/>
    <w:uiPriority w:val="0"/>
    <w:pPr>
      <w:widowControl/>
      <w:overflowPunct w:val="0"/>
      <w:autoSpaceDE w:val="0"/>
      <w:autoSpaceDN w:val="0"/>
      <w:adjustRightInd w:val="0"/>
      <w:spacing w:line="360" w:lineRule="auto"/>
      <w:ind w:firstLine="200" w:firstLineChars="200"/>
      <w:jc w:val="left"/>
      <w:textAlignment w:val="baseline"/>
    </w:pPr>
    <w:rPr>
      <w:rFonts w:ascii="宋体" w:hAnsi="宋体" w:eastAsia="仿宋_GB2312" w:cs="宋体"/>
      <w:kern w:val="0"/>
      <w:sz w:val="24"/>
    </w:rPr>
  </w:style>
  <w:style w:type="character" w:customStyle="1" w:styleId="3443">
    <w:name w:val="A正文 Char11"/>
    <w:qFormat/>
    <w:uiPriority w:val="0"/>
    <w:rPr>
      <w:rFonts w:eastAsia="仿宋_GB2312"/>
      <w:kern w:val="2"/>
      <w:sz w:val="24"/>
      <w:szCs w:val="24"/>
      <w:lang w:val="en-US" w:eastAsia="zh-CN" w:bidi="ar-SA"/>
    </w:rPr>
  </w:style>
  <w:style w:type="paragraph" w:customStyle="1" w:styleId="3444">
    <w:name w:val="图题注13"/>
    <w:basedOn w:val="23"/>
    <w:qFormat/>
    <w:uiPriority w:val="0"/>
    <w:pPr>
      <w:widowControl w:val="0"/>
      <w:jc w:val="center"/>
    </w:pPr>
    <w:rPr>
      <w:rFonts w:ascii="黑体" w:hAnsi="Arial"/>
      <w:b/>
      <w:bCs/>
      <w:kern w:val="2"/>
    </w:rPr>
  </w:style>
  <w:style w:type="character" w:customStyle="1" w:styleId="3445">
    <w:name w:val="图题注 Char11"/>
    <w:qFormat/>
    <w:uiPriority w:val="0"/>
    <w:rPr>
      <w:rFonts w:ascii="黑体" w:hAnsi="Arial" w:eastAsia="黑体" w:cs="宋体"/>
      <w:b/>
      <w:bCs/>
      <w:kern w:val="2"/>
      <w:sz w:val="24"/>
      <w:szCs w:val="24"/>
      <w:lang w:val="en-US" w:eastAsia="zh-CN" w:bidi="ar-SA"/>
    </w:rPr>
  </w:style>
  <w:style w:type="paragraph" w:customStyle="1" w:styleId="3446">
    <w:name w:val="Char713"/>
    <w:basedOn w:val="1"/>
    <w:qFormat/>
    <w:uiPriority w:val="0"/>
    <w:pPr>
      <w:ind w:left="-48"/>
    </w:pPr>
    <w:rPr>
      <w:rFonts w:ascii="宋体" w:hAnsi="宋体" w:cs="宋体"/>
    </w:rPr>
  </w:style>
  <w:style w:type="paragraph" w:customStyle="1" w:styleId="3447">
    <w:name w:val="表格内字体1113"/>
    <w:basedOn w:val="315"/>
    <w:qFormat/>
    <w:uiPriority w:val="0"/>
    <w:pPr>
      <w:spacing w:line="240" w:lineRule="auto"/>
      <w:ind w:firstLine="0"/>
      <w:jc w:val="center"/>
    </w:pPr>
    <w:rPr>
      <w:rFonts w:hAnsi="Times New Roman"/>
      <w:b w:val="0"/>
      <w:spacing w:val="0"/>
      <w:sz w:val="21"/>
    </w:rPr>
  </w:style>
  <w:style w:type="paragraph" w:customStyle="1" w:styleId="3448">
    <w:name w:val="样式 正文缩进 + 宋体 黑色 首行缩进:  2 字符13"/>
    <w:basedOn w:val="6"/>
    <w:qFormat/>
    <w:uiPriority w:val="0"/>
    <w:pPr>
      <w:adjustRightInd/>
      <w:snapToGrid/>
      <w:spacing w:line="360" w:lineRule="auto"/>
      <w:ind w:firstLine="480"/>
      <w:jc w:val="left"/>
    </w:pPr>
    <w:rPr>
      <w:rFonts w:ascii="宋体" w:hAnsi="宋体" w:eastAsia="宋体" w:cs="宋体"/>
      <w:color w:val="FF00FF"/>
      <w:sz w:val="24"/>
      <w:szCs w:val="20"/>
    </w:rPr>
  </w:style>
  <w:style w:type="paragraph" w:customStyle="1" w:styleId="3449">
    <w:name w:val="环评正文13"/>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character" w:customStyle="1" w:styleId="3450">
    <w:name w:val="环评正文 Char11"/>
    <w:qFormat/>
    <w:uiPriority w:val="0"/>
    <w:rPr>
      <w:rFonts w:eastAsia="宋体"/>
      <w:bCs/>
      <w:kern w:val="2"/>
      <w:sz w:val="24"/>
      <w:szCs w:val="24"/>
      <w:lang w:val="en-US" w:eastAsia="zh-CN" w:bidi="ar-SA"/>
    </w:rPr>
  </w:style>
  <w:style w:type="paragraph" w:customStyle="1" w:styleId="3451">
    <w:name w:val="注释13"/>
    <w:basedOn w:val="315"/>
    <w:next w:val="35"/>
    <w:qFormat/>
    <w:uiPriority w:val="0"/>
    <w:pPr>
      <w:spacing w:before="120" w:after="120" w:line="240" w:lineRule="auto"/>
      <w:ind w:firstLine="200" w:firstLineChars="200"/>
    </w:pPr>
    <w:rPr>
      <w:rFonts w:hAnsi="Times New Roman"/>
      <w:b w:val="0"/>
      <w:spacing w:val="0"/>
      <w:sz w:val="21"/>
    </w:rPr>
  </w:style>
  <w:style w:type="paragraph" w:customStyle="1" w:styleId="3452">
    <w:name w:val="样式413"/>
    <w:basedOn w:val="35"/>
    <w:qFormat/>
    <w:uiPriority w:val="0"/>
    <w:pPr>
      <w:tabs>
        <w:tab w:val="left" w:pos="1820"/>
      </w:tabs>
      <w:snapToGrid w:val="0"/>
      <w:spacing w:after="0" w:line="240" w:lineRule="atLeast"/>
      <w:jc w:val="center"/>
    </w:pPr>
    <w:rPr>
      <w:rFonts w:ascii="Calibri" w:hAnsi="Calibri" w:eastAsia="幼圆" w:cs="宋体"/>
      <w:kern w:val="0"/>
    </w:rPr>
  </w:style>
  <w:style w:type="paragraph" w:customStyle="1" w:styleId="3453">
    <w:name w:val="标题4123"/>
    <w:basedOn w:val="8"/>
    <w:next w:val="1"/>
    <w:qFormat/>
    <w:uiPriority w:val="0"/>
    <w:pPr>
      <w:widowControl w:val="0"/>
      <w:tabs>
        <w:tab w:val="clear" w:pos="1276"/>
      </w:tabs>
      <w:spacing w:before="160" w:after="170"/>
      <w:ind w:left="0" w:firstLine="0"/>
      <w:jc w:val="both"/>
    </w:pPr>
    <w:rPr>
      <w:rFonts w:ascii="黑体" w:eastAsia="黑体"/>
    </w:rPr>
  </w:style>
  <w:style w:type="character" w:customStyle="1" w:styleId="3454">
    <w:name w:val="标题4 Char11"/>
    <w:qFormat/>
    <w:uiPriority w:val="0"/>
    <w:rPr>
      <w:rFonts w:ascii="黑体" w:hAnsi="Arial" w:eastAsia="黑体" w:cs="Times New Roman"/>
      <w:b/>
      <w:bCs/>
      <w:kern w:val="2"/>
      <w:sz w:val="24"/>
      <w:szCs w:val="28"/>
      <w:lang w:val="en-US" w:eastAsia="zh-CN" w:bidi="ar-SA"/>
    </w:rPr>
  </w:style>
  <w:style w:type="paragraph" w:customStyle="1" w:styleId="3455">
    <w:name w:val="表中文字413"/>
    <w:basedOn w:val="1"/>
    <w:qFormat/>
    <w:uiPriority w:val="0"/>
    <w:pPr>
      <w:snapToGrid w:val="0"/>
      <w:spacing w:line="340" w:lineRule="exact"/>
      <w:ind w:firstLine="480" w:firstLineChars="200"/>
      <w:jc w:val="center"/>
    </w:pPr>
    <w:rPr>
      <w:rFonts w:ascii="Arial" w:hAnsi="Arial" w:cs="宋体"/>
      <w:kern w:val="0"/>
      <w:sz w:val="24"/>
      <w:lang w:eastAsia="zh-TW"/>
    </w:rPr>
  </w:style>
  <w:style w:type="character" w:customStyle="1" w:styleId="3456">
    <w:name w:val="表中文字 Char11"/>
    <w:qFormat/>
    <w:uiPriority w:val="0"/>
    <w:rPr>
      <w:rFonts w:ascii="Arial" w:hAnsi="Arial" w:eastAsia="宋体"/>
      <w:kern w:val="2"/>
      <w:sz w:val="24"/>
      <w:szCs w:val="24"/>
      <w:lang w:val="en-US" w:eastAsia="zh-TW" w:bidi="ar-SA"/>
    </w:rPr>
  </w:style>
  <w:style w:type="paragraph" w:customStyle="1" w:styleId="3457">
    <w:name w:val="样式 正文缩进 + 宋体 黑色13"/>
    <w:basedOn w:val="6"/>
    <w:qFormat/>
    <w:uiPriority w:val="0"/>
    <w:pPr>
      <w:adjustRightInd/>
      <w:snapToGrid/>
      <w:spacing w:line="360" w:lineRule="auto"/>
      <w:jc w:val="left"/>
    </w:pPr>
    <w:rPr>
      <w:rFonts w:ascii="宋体" w:hAnsi="宋体" w:eastAsia="宋体" w:cs="宋体"/>
      <w:sz w:val="24"/>
    </w:rPr>
  </w:style>
  <w:style w:type="character" w:customStyle="1" w:styleId="3458">
    <w:name w:val="样式 正文缩进 + 宋体 黑色 Char11"/>
    <w:qFormat/>
    <w:uiPriority w:val="0"/>
    <w:rPr>
      <w:rFonts w:ascii="宋体" w:hAnsi="宋体" w:eastAsia="宋体"/>
      <w:color w:val="000000"/>
      <w:kern w:val="2"/>
      <w:sz w:val="24"/>
      <w:szCs w:val="24"/>
      <w:lang w:val="en-US" w:eastAsia="zh-CN" w:bidi="ar-SA"/>
    </w:rPr>
  </w:style>
  <w:style w:type="paragraph" w:customStyle="1" w:styleId="3459">
    <w:name w:val="表内5113"/>
    <w:basedOn w:val="1"/>
    <w:qFormat/>
    <w:uiPriority w:val="0"/>
    <w:pPr>
      <w:adjustRightInd w:val="0"/>
      <w:snapToGrid w:val="0"/>
      <w:jc w:val="center"/>
    </w:pPr>
    <w:rPr>
      <w:rFonts w:ascii="宋体" w:hAnsi="宋体" w:cs="宋体"/>
      <w:kern w:val="0"/>
      <w:sz w:val="24"/>
    </w:rPr>
  </w:style>
  <w:style w:type="character" w:customStyle="1" w:styleId="3460">
    <w:name w:val="表内5 Char11"/>
    <w:qFormat/>
    <w:uiPriority w:val="0"/>
    <w:rPr>
      <w:rFonts w:ascii="宋体" w:hAnsi="宋体" w:eastAsia="宋体" w:cs="Times New Roman"/>
      <w:kern w:val="2"/>
      <w:sz w:val="24"/>
      <w:szCs w:val="24"/>
      <w:lang w:val="en-US" w:eastAsia="zh-CN" w:bidi="ar-SA"/>
    </w:rPr>
  </w:style>
  <w:style w:type="paragraph" w:customStyle="1" w:styleId="3461">
    <w:name w:val="样式 样式 宋体 + 首行缩进:  2 字符113"/>
    <w:basedOn w:val="1"/>
    <w:qFormat/>
    <w:uiPriority w:val="0"/>
    <w:pPr>
      <w:spacing w:line="360" w:lineRule="auto"/>
      <w:ind w:firstLine="480" w:firstLineChars="200"/>
      <w:jc w:val="left"/>
    </w:pPr>
    <w:rPr>
      <w:rFonts w:ascii="宋体" w:hAnsi="宋体" w:cs="宋体"/>
      <w:sz w:val="24"/>
    </w:rPr>
  </w:style>
  <w:style w:type="paragraph" w:customStyle="1" w:styleId="3462">
    <w:name w:val="表内宋5中213"/>
    <w:basedOn w:val="1"/>
    <w:qFormat/>
    <w:uiPriority w:val="0"/>
    <w:pPr>
      <w:adjustRightInd w:val="0"/>
      <w:snapToGrid w:val="0"/>
      <w:jc w:val="center"/>
      <w:textAlignment w:val="baseline"/>
    </w:pPr>
    <w:rPr>
      <w:rFonts w:ascii="宋体" w:hAnsi="宋体" w:cs="宋体"/>
      <w:kern w:val="0"/>
    </w:rPr>
  </w:style>
  <w:style w:type="paragraph" w:customStyle="1" w:styleId="3463">
    <w:name w:val="xl6313"/>
    <w:basedOn w:val="1"/>
    <w:qFormat/>
    <w:uiPriority w:val="0"/>
    <w:pPr>
      <w:widowControl/>
      <w:spacing w:before="100" w:beforeAutospacing="1" w:after="100" w:afterAutospacing="1"/>
      <w:jc w:val="center"/>
      <w:textAlignment w:val="center"/>
    </w:pPr>
    <w:rPr>
      <w:rFonts w:hint="eastAsia" w:ascii="黑体" w:hAnsi="宋体" w:eastAsia="黑体" w:cs="宋体"/>
      <w:kern w:val="0"/>
      <w:sz w:val="24"/>
    </w:rPr>
  </w:style>
  <w:style w:type="paragraph" w:customStyle="1" w:styleId="3464">
    <w:name w:val="标准13"/>
    <w:basedOn w:val="1"/>
    <w:qFormat/>
    <w:uiPriority w:val="0"/>
    <w:pPr>
      <w:adjustRightInd w:val="0"/>
      <w:spacing w:before="120" w:line="336" w:lineRule="auto"/>
      <w:jc w:val="center"/>
      <w:textAlignment w:val="baseline"/>
    </w:pPr>
    <w:rPr>
      <w:rFonts w:ascii="黑体" w:hAnsi="宋体" w:eastAsia="黑体" w:cs="宋体"/>
    </w:rPr>
  </w:style>
  <w:style w:type="paragraph" w:customStyle="1" w:styleId="3465">
    <w:name w:val="Fax Header13"/>
    <w:basedOn w:val="1"/>
    <w:qFormat/>
    <w:uiPriority w:val="0"/>
    <w:pPr>
      <w:widowControl/>
      <w:spacing w:before="240" w:after="60"/>
      <w:jc w:val="left"/>
    </w:pPr>
    <w:rPr>
      <w:rFonts w:ascii="宋体" w:hAnsi="宋体" w:cs="宋体"/>
      <w:kern w:val="0"/>
      <w:sz w:val="24"/>
    </w:rPr>
  </w:style>
  <w:style w:type="paragraph" w:customStyle="1" w:styleId="3466">
    <w:name w:val="样式 表格内字体1 +13"/>
    <w:basedOn w:val="1264"/>
    <w:next w:val="1177"/>
    <w:qFormat/>
    <w:uiPriority w:val="0"/>
    <w:rPr>
      <w:rFonts w:hAnsi="Times New Roman"/>
    </w:rPr>
  </w:style>
  <w:style w:type="paragraph" w:customStyle="1" w:styleId="3467">
    <w:name w:val="默认段落字体 Para Char313"/>
    <w:basedOn w:val="1"/>
    <w:qFormat/>
    <w:uiPriority w:val="0"/>
    <w:pPr>
      <w:spacing w:line="360" w:lineRule="auto"/>
      <w:ind w:firstLine="200" w:firstLineChars="200"/>
    </w:pPr>
    <w:rPr>
      <w:rFonts w:ascii="宋体" w:hAnsi="宋体" w:cs="宋体"/>
      <w:sz w:val="24"/>
    </w:rPr>
  </w:style>
  <w:style w:type="paragraph" w:customStyle="1" w:styleId="3468">
    <w:name w:val="正文斜体13"/>
    <w:basedOn w:val="315"/>
    <w:next w:val="315"/>
    <w:qFormat/>
    <w:uiPriority w:val="0"/>
    <w:rPr>
      <w:rFonts w:hAnsi="宋体"/>
      <w:b w:val="0"/>
      <w:i/>
      <w:iCs/>
      <w:spacing w:val="0"/>
    </w:rPr>
  </w:style>
  <w:style w:type="character" w:customStyle="1" w:styleId="3469">
    <w:name w:val="正文斜体 Char13"/>
    <w:qFormat/>
    <w:uiPriority w:val="0"/>
    <w:rPr>
      <w:rFonts w:ascii="宋体" w:hAnsi="宋体" w:eastAsia="宋体" w:cs="宋体"/>
      <w:b/>
      <w:i/>
      <w:iCs/>
      <w:spacing w:val="10"/>
      <w:kern w:val="2"/>
      <w:sz w:val="24"/>
      <w:szCs w:val="24"/>
      <w:lang w:val="en-US" w:eastAsia="zh-CN" w:bidi="ar-SA"/>
    </w:rPr>
  </w:style>
  <w:style w:type="paragraph" w:customStyle="1" w:styleId="3470">
    <w:name w:val="Char813"/>
    <w:basedOn w:val="1"/>
    <w:qFormat/>
    <w:uiPriority w:val="0"/>
    <w:pPr>
      <w:ind w:left="-48"/>
    </w:pPr>
    <w:rPr>
      <w:rFonts w:ascii="宋体" w:hAnsi="宋体" w:cs="宋体"/>
    </w:rPr>
  </w:style>
  <w:style w:type="paragraph" w:customStyle="1" w:styleId="3471">
    <w:name w:val="正文格式713"/>
    <w:basedOn w:val="1"/>
    <w:qFormat/>
    <w:uiPriority w:val="0"/>
    <w:pPr>
      <w:spacing w:line="360" w:lineRule="auto"/>
      <w:ind w:firstLine="482"/>
    </w:pPr>
    <w:rPr>
      <w:rFonts w:ascii="宋体" w:hAnsi="宋体" w:cs="宋体"/>
      <w:sz w:val="24"/>
    </w:rPr>
  </w:style>
  <w:style w:type="character" w:customStyle="1" w:styleId="3472">
    <w:name w:val="题注 Char513"/>
    <w:qFormat/>
    <w:uiPriority w:val="0"/>
    <w:rPr>
      <w:rFonts w:ascii="黑体" w:hAnsi="Arial" w:eastAsia="黑体" w:cs="Arial"/>
      <w:spacing w:val="10"/>
      <w:kern w:val="2"/>
      <w:sz w:val="24"/>
      <w:szCs w:val="24"/>
      <w:lang w:val="en-US" w:eastAsia="zh-CN" w:bidi="ar-SA"/>
    </w:rPr>
  </w:style>
  <w:style w:type="paragraph" w:customStyle="1" w:styleId="3473">
    <w:name w:val="图题713"/>
    <w:basedOn w:val="315"/>
    <w:next w:val="315"/>
    <w:qFormat/>
    <w:uiPriority w:val="0"/>
    <w:pPr>
      <w:ind w:firstLine="0"/>
      <w:jc w:val="center"/>
    </w:pPr>
    <w:rPr>
      <w:rFonts w:ascii="黑体" w:hAnsi="宋体" w:eastAsia="黑体"/>
      <w:bCs/>
      <w:spacing w:val="0"/>
    </w:rPr>
  </w:style>
  <w:style w:type="paragraph" w:customStyle="1" w:styleId="3474">
    <w:name w:val="表格内字体713"/>
    <w:basedOn w:val="315"/>
    <w:next w:val="315"/>
    <w:qFormat/>
    <w:uiPriority w:val="0"/>
    <w:pPr>
      <w:spacing w:line="240" w:lineRule="auto"/>
      <w:ind w:firstLine="0"/>
      <w:jc w:val="center"/>
    </w:pPr>
    <w:rPr>
      <w:rFonts w:hAnsi="宋体"/>
      <w:b w:val="0"/>
      <w:spacing w:val="0"/>
      <w:sz w:val="21"/>
    </w:rPr>
  </w:style>
  <w:style w:type="paragraph" w:customStyle="1" w:styleId="3475">
    <w:name w:val="Char913"/>
    <w:basedOn w:val="1"/>
    <w:qFormat/>
    <w:uiPriority w:val="0"/>
    <w:pPr>
      <w:ind w:left="-48"/>
    </w:pPr>
    <w:rPr>
      <w:rFonts w:ascii="宋体" w:hAnsi="宋体" w:cs="宋体"/>
    </w:rPr>
  </w:style>
  <w:style w:type="paragraph" w:customStyle="1" w:styleId="3476">
    <w:name w:val="表题1513"/>
    <w:basedOn w:val="23"/>
    <w:qFormat/>
    <w:uiPriority w:val="0"/>
    <w:pPr>
      <w:widowControl w:val="0"/>
      <w:spacing w:line="360" w:lineRule="auto"/>
      <w:jc w:val="center"/>
    </w:pPr>
    <w:rPr>
      <w:rFonts w:ascii="黑体" w:hAnsi="Arial" w:cs="Arial"/>
      <w:b/>
      <w:kern w:val="2"/>
    </w:rPr>
  </w:style>
  <w:style w:type="character" w:customStyle="1" w:styleId="3477">
    <w:name w:val="表题1 Char613"/>
    <w:qFormat/>
    <w:uiPriority w:val="0"/>
    <w:rPr>
      <w:rFonts w:ascii="黑体" w:hAnsi="Arial" w:eastAsia="黑体" w:cs="Arial"/>
      <w:b/>
      <w:kern w:val="2"/>
      <w:sz w:val="24"/>
      <w:szCs w:val="24"/>
      <w:lang w:val="en-US" w:eastAsia="zh-CN" w:bidi="ar-SA"/>
    </w:rPr>
  </w:style>
  <w:style w:type="paragraph" w:customStyle="1" w:styleId="3478">
    <w:name w:val="燕山正文413"/>
    <w:basedOn w:val="1"/>
    <w:qFormat/>
    <w:uiPriority w:val="0"/>
    <w:pPr>
      <w:tabs>
        <w:tab w:val="left" w:pos="4680"/>
      </w:tabs>
      <w:adjustRightInd w:val="0"/>
      <w:snapToGrid w:val="0"/>
      <w:spacing w:line="480" w:lineRule="exact"/>
    </w:pPr>
    <w:rPr>
      <w:rFonts w:ascii="宋体" w:hAnsi="宋体" w:cs="宋体"/>
      <w:sz w:val="24"/>
    </w:rPr>
  </w:style>
  <w:style w:type="paragraph" w:customStyle="1" w:styleId="3479">
    <w:name w:val="正文修改413"/>
    <w:basedOn w:val="1180"/>
    <w:qFormat/>
    <w:uiPriority w:val="0"/>
    <w:rPr>
      <w:rFonts w:hAnsi="宋体"/>
      <w:color w:val="000000"/>
    </w:rPr>
  </w:style>
  <w:style w:type="character" w:customStyle="1" w:styleId="3480">
    <w:name w:val="正文修改 Char1413"/>
    <w:basedOn w:val="1181"/>
    <w:qFormat/>
    <w:uiPriority w:val="0"/>
  </w:style>
  <w:style w:type="paragraph" w:customStyle="1" w:styleId="3481">
    <w:name w:val="表中文字513"/>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482">
    <w:name w:val="默认段落字体 Para Char Char Char Char513"/>
    <w:basedOn w:val="1"/>
    <w:qFormat/>
    <w:uiPriority w:val="0"/>
    <w:rPr>
      <w:rFonts w:ascii="宋体" w:hAnsi="宋体" w:cs="宋体"/>
    </w:rPr>
  </w:style>
  <w:style w:type="paragraph" w:customStyle="1" w:styleId="3483">
    <w:name w:val="Char1013"/>
    <w:basedOn w:val="1"/>
    <w:qFormat/>
    <w:uiPriority w:val="0"/>
    <w:pPr>
      <w:adjustRightInd w:val="0"/>
      <w:snapToGrid w:val="0"/>
      <w:spacing w:line="360" w:lineRule="auto"/>
    </w:pPr>
    <w:rPr>
      <w:rFonts w:ascii="宋体" w:hAnsi="宋体" w:cs="宋体"/>
    </w:rPr>
  </w:style>
  <w:style w:type="paragraph" w:customStyle="1" w:styleId="3484">
    <w:name w:val="表内5中113"/>
    <w:basedOn w:val="1"/>
    <w:qFormat/>
    <w:uiPriority w:val="0"/>
    <w:pPr>
      <w:adjustRightInd w:val="0"/>
      <w:snapToGrid w:val="0"/>
      <w:jc w:val="center"/>
    </w:pPr>
    <w:rPr>
      <w:rFonts w:ascii="宋体" w:hAnsi="宋体" w:cs="Arial"/>
      <w:snapToGrid w:val="0"/>
      <w:color w:val="000000"/>
      <w:szCs w:val="21"/>
    </w:rPr>
  </w:style>
  <w:style w:type="paragraph" w:customStyle="1" w:styleId="3485">
    <w:name w:val="表内541413"/>
    <w:basedOn w:val="1"/>
    <w:qFormat/>
    <w:uiPriority w:val="0"/>
    <w:pPr>
      <w:adjustRightInd w:val="0"/>
      <w:snapToGrid w:val="0"/>
      <w:spacing w:line="300" w:lineRule="auto"/>
      <w:jc w:val="center"/>
    </w:pPr>
    <w:rPr>
      <w:rFonts w:ascii="宋体" w:hAnsi="宋体" w:cs="宋体"/>
    </w:rPr>
  </w:style>
  <w:style w:type="paragraph" w:customStyle="1" w:styleId="3486">
    <w:name w:val="表内文字小123"/>
    <w:basedOn w:val="1"/>
    <w:qFormat/>
    <w:uiPriority w:val="0"/>
    <w:pPr>
      <w:adjustRightInd w:val="0"/>
      <w:snapToGrid w:val="0"/>
      <w:jc w:val="center"/>
    </w:pPr>
    <w:rPr>
      <w:rFonts w:ascii="宋体" w:hAnsi="Times" w:cs="宋体"/>
    </w:rPr>
  </w:style>
  <w:style w:type="character" w:customStyle="1" w:styleId="3487">
    <w:name w:val="正文文本缩进 Char11"/>
    <w:qFormat/>
    <w:uiPriority w:val="0"/>
    <w:rPr>
      <w:rFonts w:eastAsia="宋体"/>
      <w:kern w:val="2"/>
      <w:sz w:val="21"/>
      <w:szCs w:val="24"/>
      <w:lang w:val="en-US" w:eastAsia="zh-CN" w:bidi="ar-SA"/>
    </w:rPr>
  </w:style>
  <w:style w:type="character" w:customStyle="1" w:styleId="3488">
    <w:name w:val="正文首行缩进 2 Char13"/>
    <w:qFormat/>
    <w:uiPriority w:val="0"/>
    <w:rPr>
      <w:rFonts w:ascii="宋体" w:hAnsi="宋体" w:eastAsia="仿宋_GB2312" w:cs="宋体"/>
      <w:color w:val="000000"/>
      <w:kern w:val="2"/>
      <w:sz w:val="21"/>
      <w:szCs w:val="24"/>
      <w:lang w:val="en-US" w:eastAsia="zh-CN" w:bidi="ar-SA"/>
    </w:rPr>
  </w:style>
  <w:style w:type="paragraph" w:customStyle="1" w:styleId="3489">
    <w:name w:val="默认段落字体 Para Char413"/>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490">
    <w:name w:val="正文格式813"/>
    <w:basedOn w:val="1"/>
    <w:qFormat/>
    <w:uiPriority w:val="0"/>
    <w:pPr>
      <w:spacing w:line="360" w:lineRule="auto"/>
      <w:ind w:firstLine="482"/>
    </w:pPr>
    <w:rPr>
      <w:rFonts w:ascii="宋体" w:hAnsi="宋体" w:cs="宋体"/>
      <w:sz w:val="24"/>
    </w:rPr>
  </w:style>
  <w:style w:type="paragraph" w:customStyle="1" w:styleId="3491">
    <w:name w:val="正文格式913"/>
    <w:basedOn w:val="1"/>
    <w:qFormat/>
    <w:uiPriority w:val="0"/>
    <w:pPr>
      <w:spacing w:line="360" w:lineRule="auto"/>
      <w:ind w:firstLine="482"/>
    </w:pPr>
    <w:rPr>
      <w:rFonts w:ascii="宋体" w:hAnsi="宋体" w:cs="宋体"/>
      <w:sz w:val="24"/>
    </w:rPr>
  </w:style>
  <w:style w:type="paragraph" w:customStyle="1" w:styleId="3492">
    <w:name w:val="Char4210"/>
    <w:basedOn w:val="1"/>
    <w:qFormat/>
    <w:uiPriority w:val="0"/>
    <w:pPr>
      <w:ind w:left="-48"/>
    </w:pPr>
    <w:rPr>
      <w:rFonts w:ascii="宋体" w:hAnsi="宋体" w:cs="宋体"/>
    </w:rPr>
  </w:style>
  <w:style w:type="paragraph" w:customStyle="1" w:styleId="3493">
    <w:name w:val="Char Char Char Char Char Char Char53"/>
    <w:basedOn w:val="1"/>
    <w:qFormat/>
    <w:uiPriority w:val="0"/>
    <w:rPr>
      <w:rFonts w:ascii="宋体" w:hAnsi="宋体" w:cs="宋体"/>
    </w:rPr>
  </w:style>
  <w:style w:type="paragraph" w:customStyle="1" w:styleId="3494">
    <w:name w:val="Char163"/>
    <w:basedOn w:val="1"/>
    <w:qFormat/>
    <w:uiPriority w:val="0"/>
    <w:pPr>
      <w:ind w:left="-48"/>
    </w:pPr>
    <w:rPr>
      <w:rFonts w:ascii="宋体" w:hAnsi="宋体" w:cs="宋体"/>
    </w:rPr>
  </w:style>
  <w:style w:type="paragraph" w:customStyle="1" w:styleId="3495">
    <w:name w:val="Char Char Char Char1 Char Char Char27"/>
    <w:basedOn w:val="1"/>
    <w:qFormat/>
    <w:uiPriority w:val="0"/>
    <w:pPr>
      <w:widowControl/>
      <w:spacing w:after="160"/>
      <w:jc w:val="left"/>
    </w:pPr>
    <w:rPr>
      <w:rFonts w:ascii="Verdana" w:hAnsi="Verdana" w:cs="宋体"/>
      <w:kern w:val="0"/>
      <w:sz w:val="24"/>
      <w:lang w:eastAsia="en-US"/>
    </w:rPr>
  </w:style>
  <w:style w:type="character" w:customStyle="1" w:styleId="3496">
    <w:name w:val="Char Char1126"/>
    <w:qFormat/>
    <w:uiPriority w:val="0"/>
    <w:rPr>
      <w:rFonts w:ascii="黑体" w:hAnsi="Arial" w:eastAsia="黑体"/>
      <w:bCs/>
      <w:kern w:val="2"/>
      <w:sz w:val="30"/>
      <w:szCs w:val="30"/>
      <w:lang w:val="en-US" w:eastAsia="zh-CN" w:bidi="ar-SA"/>
    </w:rPr>
  </w:style>
  <w:style w:type="paragraph" w:customStyle="1" w:styleId="3497">
    <w:name w:val="Char173"/>
    <w:basedOn w:val="1"/>
    <w:qFormat/>
    <w:uiPriority w:val="0"/>
    <w:pPr>
      <w:ind w:left="-48"/>
    </w:pPr>
    <w:rPr>
      <w:rFonts w:ascii="宋体" w:hAnsi="宋体" w:cs="宋体"/>
    </w:rPr>
  </w:style>
  <w:style w:type="paragraph" w:customStyle="1" w:styleId="3498">
    <w:name w:val="Char Char Char Char Char Char Char133"/>
    <w:basedOn w:val="1"/>
    <w:qFormat/>
    <w:uiPriority w:val="0"/>
    <w:rPr>
      <w:rFonts w:ascii="宋体" w:hAnsi="宋体" w:cs="宋体"/>
    </w:rPr>
  </w:style>
  <w:style w:type="character" w:customStyle="1" w:styleId="3499">
    <w:name w:val="Char Char626"/>
    <w:qFormat/>
    <w:uiPriority w:val="0"/>
    <w:rPr>
      <w:rFonts w:ascii="黑体" w:eastAsia="黑体"/>
      <w:b/>
      <w:bCs/>
      <w:kern w:val="2"/>
      <w:sz w:val="28"/>
      <w:szCs w:val="28"/>
      <w:lang w:val="en-US" w:eastAsia="zh-CN" w:bidi="ar-SA"/>
    </w:rPr>
  </w:style>
  <w:style w:type="paragraph" w:customStyle="1" w:styleId="3500">
    <w:name w:val="Char234"/>
    <w:basedOn w:val="1"/>
    <w:qFormat/>
    <w:uiPriority w:val="0"/>
    <w:pPr>
      <w:ind w:left="-48"/>
    </w:pPr>
    <w:rPr>
      <w:rFonts w:ascii="宋体" w:hAnsi="宋体" w:cs="宋体"/>
    </w:rPr>
  </w:style>
  <w:style w:type="paragraph" w:customStyle="1" w:styleId="3501">
    <w:name w:val="Char333"/>
    <w:basedOn w:val="1"/>
    <w:qFormat/>
    <w:uiPriority w:val="0"/>
    <w:pPr>
      <w:ind w:left="-48"/>
    </w:pPr>
    <w:rPr>
      <w:rFonts w:ascii="宋体" w:hAnsi="宋体" w:cs="宋体"/>
    </w:rPr>
  </w:style>
  <w:style w:type="paragraph" w:customStyle="1" w:styleId="3502">
    <w:name w:val="Char Char Char Char Char Char Char228"/>
    <w:basedOn w:val="1"/>
    <w:qFormat/>
    <w:uiPriority w:val="0"/>
    <w:rPr>
      <w:rFonts w:ascii="宋体" w:hAnsi="宋体" w:cs="宋体"/>
    </w:rPr>
  </w:style>
  <w:style w:type="paragraph" w:customStyle="1" w:styleId="3503">
    <w:name w:val="Char433"/>
    <w:basedOn w:val="1"/>
    <w:qFormat/>
    <w:uiPriority w:val="0"/>
    <w:pPr>
      <w:ind w:left="-48"/>
    </w:pPr>
    <w:rPr>
      <w:rFonts w:ascii="宋体" w:hAnsi="宋体" w:cs="宋体"/>
    </w:rPr>
  </w:style>
  <w:style w:type="character" w:customStyle="1" w:styleId="3504">
    <w:name w:val="正文首行缩进 Char11"/>
    <w:qFormat/>
    <w:uiPriority w:val="0"/>
    <w:rPr>
      <w:rFonts w:eastAsia="宋体"/>
      <w:kern w:val="2"/>
      <w:sz w:val="21"/>
      <w:szCs w:val="24"/>
      <w:lang w:val="en-US" w:eastAsia="zh-CN" w:bidi="ar-SA"/>
    </w:rPr>
  </w:style>
  <w:style w:type="character" w:customStyle="1" w:styleId="3505">
    <w:name w:val="正文文本缩进 2 Char11"/>
    <w:qFormat/>
    <w:uiPriority w:val="0"/>
    <w:rPr>
      <w:rFonts w:eastAsia="宋体"/>
      <w:kern w:val="2"/>
      <w:sz w:val="24"/>
      <w:szCs w:val="24"/>
      <w:lang w:val="en-US" w:eastAsia="zh-CN" w:bidi="ar-SA"/>
    </w:rPr>
  </w:style>
  <w:style w:type="paragraph" w:customStyle="1" w:styleId="3506">
    <w:name w:val="表格内容13"/>
    <w:qFormat/>
    <w:uiPriority w:val="0"/>
    <w:pPr>
      <w:jc w:val="center"/>
    </w:pPr>
    <w:rPr>
      <w:rFonts w:ascii="Times New Roman" w:hAnsi="Times New Roman" w:eastAsia="宋体" w:cs="Times New Roman"/>
      <w:kern w:val="2"/>
      <w:sz w:val="21"/>
      <w:szCs w:val="21"/>
      <w:lang w:val="en-US" w:eastAsia="zh-CN" w:bidi="ar-SA"/>
    </w:rPr>
  </w:style>
  <w:style w:type="character" w:customStyle="1" w:styleId="3507">
    <w:name w:val="表格内容 Char11"/>
    <w:qFormat/>
    <w:uiPriority w:val="0"/>
    <w:rPr>
      <w:rFonts w:eastAsia="宋体"/>
      <w:kern w:val="2"/>
      <w:sz w:val="21"/>
      <w:szCs w:val="21"/>
      <w:lang w:val="en-US" w:eastAsia="zh-CN" w:bidi="ar-SA"/>
    </w:rPr>
  </w:style>
  <w:style w:type="character" w:customStyle="1" w:styleId="3508">
    <w:name w:val="标题 1 Char31"/>
    <w:qFormat/>
    <w:uiPriority w:val="0"/>
    <w:rPr>
      <w:rFonts w:ascii="黑体" w:hAnsi="宋体" w:eastAsia="黑体" w:cs="Times New Roman"/>
      <w:bCs/>
      <w:kern w:val="44"/>
      <w:sz w:val="32"/>
      <w:szCs w:val="32"/>
      <w:lang w:val="en-US" w:eastAsia="zh-CN" w:bidi="ar-SA"/>
    </w:rPr>
  </w:style>
  <w:style w:type="character" w:customStyle="1" w:styleId="3509">
    <w:name w:val="页眉 Char21"/>
    <w:qFormat/>
    <w:uiPriority w:val="0"/>
    <w:rPr>
      <w:rFonts w:ascii="Times New Roman" w:hAnsi="Times New Roman" w:eastAsia="宋体" w:cs="Times New Roman"/>
      <w:kern w:val="2"/>
      <w:sz w:val="18"/>
      <w:szCs w:val="18"/>
      <w:lang w:val="en-US" w:eastAsia="zh-CN" w:bidi="ar-SA"/>
    </w:rPr>
  </w:style>
  <w:style w:type="character" w:customStyle="1" w:styleId="3510">
    <w:name w:val="页脚 Char21"/>
    <w:qFormat/>
    <w:uiPriority w:val="0"/>
    <w:rPr>
      <w:rFonts w:ascii="Times New Roman" w:hAnsi="Times New Roman" w:eastAsia="宋体" w:cs="Times New Roman"/>
      <w:kern w:val="2"/>
      <w:sz w:val="18"/>
      <w:szCs w:val="18"/>
      <w:lang w:val="en-US" w:eastAsia="zh-CN" w:bidi="ar-SA"/>
    </w:rPr>
  </w:style>
  <w:style w:type="paragraph" w:customStyle="1" w:styleId="3511">
    <w:name w:val="正文格式823"/>
    <w:basedOn w:val="1"/>
    <w:qFormat/>
    <w:uiPriority w:val="0"/>
    <w:pPr>
      <w:spacing w:line="360" w:lineRule="auto"/>
      <w:ind w:firstLine="482"/>
    </w:pPr>
    <w:rPr>
      <w:rFonts w:ascii="宋体" w:hAnsi="宋体" w:cs="宋体"/>
      <w:sz w:val="24"/>
    </w:rPr>
  </w:style>
  <w:style w:type="paragraph" w:customStyle="1" w:styleId="3512">
    <w:name w:val="正文格式121"/>
    <w:basedOn w:val="1"/>
    <w:qFormat/>
    <w:uiPriority w:val="0"/>
    <w:pPr>
      <w:spacing w:line="360" w:lineRule="auto"/>
      <w:ind w:firstLine="482"/>
    </w:pPr>
    <w:rPr>
      <w:rFonts w:ascii="宋体" w:hAnsi="宋体" w:cs="宋体"/>
      <w:sz w:val="24"/>
    </w:rPr>
  </w:style>
  <w:style w:type="paragraph" w:customStyle="1" w:styleId="3513">
    <w:name w:val="图题91"/>
    <w:basedOn w:val="315"/>
    <w:next w:val="315"/>
    <w:qFormat/>
    <w:uiPriority w:val="0"/>
    <w:pPr>
      <w:ind w:firstLine="0"/>
      <w:jc w:val="center"/>
    </w:pPr>
    <w:rPr>
      <w:rFonts w:ascii="黑体" w:hAnsi="宋体" w:eastAsia="黑体"/>
      <w:bCs/>
      <w:spacing w:val="0"/>
    </w:rPr>
  </w:style>
  <w:style w:type="paragraph" w:customStyle="1" w:styleId="3514">
    <w:name w:val="表格内字体91"/>
    <w:basedOn w:val="315"/>
    <w:next w:val="315"/>
    <w:qFormat/>
    <w:uiPriority w:val="0"/>
    <w:pPr>
      <w:spacing w:line="240" w:lineRule="auto"/>
      <w:ind w:firstLine="0"/>
      <w:jc w:val="center"/>
    </w:pPr>
    <w:rPr>
      <w:rFonts w:hAnsi="宋体"/>
      <w:b w:val="0"/>
      <w:spacing w:val="0"/>
      <w:sz w:val="21"/>
    </w:rPr>
  </w:style>
  <w:style w:type="character" w:customStyle="1" w:styleId="3515">
    <w:name w:val="表格内字体 Char91"/>
    <w:qFormat/>
    <w:uiPriority w:val="0"/>
    <w:rPr>
      <w:rFonts w:ascii="宋体" w:hAnsi="宋体" w:eastAsia="宋体"/>
      <w:kern w:val="2"/>
      <w:sz w:val="21"/>
      <w:szCs w:val="24"/>
      <w:lang w:val="en-US" w:eastAsia="zh-CN" w:bidi="ar-SA"/>
    </w:rPr>
  </w:style>
  <w:style w:type="character" w:customStyle="1" w:styleId="3516">
    <w:name w:val="正文格式 Char111"/>
    <w:qFormat/>
    <w:uiPriority w:val="0"/>
    <w:rPr>
      <w:rFonts w:ascii="宋体" w:hAnsi="宋体" w:eastAsia="宋体"/>
      <w:kern w:val="2"/>
      <w:sz w:val="24"/>
      <w:szCs w:val="24"/>
      <w:lang w:val="en-US" w:eastAsia="zh-CN" w:bidi="ar-SA"/>
    </w:rPr>
  </w:style>
  <w:style w:type="character" w:customStyle="1" w:styleId="3517">
    <w:name w:val="标题 2 Char61"/>
    <w:qFormat/>
    <w:uiPriority w:val="0"/>
    <w:rPr>
      <w:rFonts w:ascii="黑体" w:hAnsi="Arial" w:eastAsia="黑体"/>
      <w:b/>
      <w:bCs/>
      <w:kern w:val="2"/>
      <w:sz w:val="30"/>
      <w:szCs w:val="30"/>
      <w:lang w:val="en-US" w:eastAsia="zh-CN" w:bidi="ar-SA"/>
    </w:rPr>
  </w:style>
  <w:style w:type="character" w:customStyle="1" w:styleId="3518">
    <w:name w:val="标题 3 Char131"/>
    <w:qFormat/>
    <w:uiPriority w:val="0"/>
    <w:rPr>
      <w:rFonts w:ascii="黑体" w:hAnsi="宋体" w:eastAsia="黑体"/>
      <w:b/>
      <w:bCs/>
      <w:kern w:val="2"/>
      <w:sz w:val="28"/>
      <w:szCs w:val="28"/>
      <w:lang w:val="en-US" w:eastAsia="zh-CN" w:bidi="ar-SA"/>
    </w:rPr>
  </w:style>
  <w:style w:type="paragraph" w:customStyle="1" w:styleId="3519">
    <w:name w:val="Char181"/>
    <w:basedOn w:val="1"/>
    <w:qFormat/>
    <w:uiPriority w:val="0"/>
    <w:pPr>
      <w:ind w:left="-48"/>
    </w:pPr>
    <w:rPr>
      <w:rFonts w:ascii="宋体" w:hAnsi="宋体" w:cs="宋体"/>
    </w:rPr>
  </w:style>
  <w:style w:type="paragraph" w:customStyle="1" w:styleId="3520">
    <w:name w:val="表题171"/>
    <w:basedOn w:val="23"/>
    <w:qFormat/>
    <w:uiPriority w:val="0"/>
    <w:pPr>
      <w:widowControl w:val="0"/>
      <w:spacing w:line="360" w:lineRule="auto"/>
      <w:jc w:val="center"/>
    </w:pPr>
    <w:rPr>
      <w:rFonts w:ascii="黑体" w:hAnsi="Arial" w:cs="Arial"/>
      <w:b/>
      <w:kern w:val="2"/>
    </w:rPr>
  </w:style>
  <w:style w:type="character" w:customStyle="1" w:styleId="3521">
    <w:name w:val="表题1 Char81"/>
    <w:qFormat/>
    <w:uiPriority w:val="0"/>
    <w:rPr>
      <w:rFonts w:ascii="黑体" w:hAnsi="Arial" w:eastAsia="黑体" w:cs="Arial"/>
      <w:b/>
      <w:kern w:val="2"/>
      <w:sz w:val="24"/>
      <w:szCs w:val="24"/>
      <w:lang w:val="en-US" w:eastAsia="zh-CN" w:bidi="ar-SA"/>
    </w:rPr>
  </w:style>
  <w:style w:type="paragraph" w:customStyle="1" w:styleId="3522">
    <w:name w:val="默认段落字体 Para Char6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523">
    <w:name w:val="23-47表名21"/>
    <w:basedOn w:val="1"/>
    <w:qFormat/>
    <w:uiPriority w:val="0"/>
    <w:pPr>
      <w:spacing w:afterLines="50" w:line="440" w:lineRule="exact"/>
      <w:jc w:val="center"/>
    </w:pPr>
    <w:rPr>
      <w:rFonts w:ascii="宋体" w:hAnsi="宋体" w:cs="宋体"/>
      <w:b/>
      <w:sz w:val="24"/>
    </w:rPr>
  </w:style>
  <w:style w:type="paragraph" w:customStyle="1" w:styleId="3524">
    <w:name w:val="xl2421"/>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3525">
    <w:name w:val="Char Char Char Char Char Char Char61"/>
    <w:basedOn w:val="1"/>
    <w:qFormat/>
    <w:uiPriority w:val="0"/>
    <w:rPr>
      <w:rFonts w:ascii="宋体" w:hAnsi="宋体" w:cs="宋体"/>
    </w:rPr>
  </w:style>
  <w:style w:type="character" w:customStyle="1" w:styleId="3526">
    <w:name w:val="纯文本 Char21"/>
    <w:qFormat/>
    <w:uiPriority w:val="0"/>
    <w:rPr>
      <w:rFonts w:ascii="宋体" w:hAnsi="Courier New" w:eastAsia="宋体"/>
      <w:kern w:val="2"/>
      <w:sz w:val="21"/>
      <w:szCs w:val="24"/>
      <w:lang w:val="en-US" w:eastAsia="zh-CN" w:bidi="ar-SA"/>
    </w:rPr>
  </w:style>
  <w:style w:type="paragraph" w:customStyle="1" w:styleId="3527">
    <w:name w:val="Char191"/>
    <w:basedOn w:val="1"/>
    <w:qFormat/>
    <w:uiPriority w:val="0"/>
    <w:pPr>
      <w:adjustRightInd w:val="0"/>
      <w:snapToGrid w:val="0"/>
      <w:ind w:left="-45"/>
    </w:pPr>
    <w:rPr>
      <w:rFonts w:ascii="宋体" w:hAnsi="宋体" w:cs="宋体"/>
    </w:rPr>
  </w:style>
  <w:style w:type="paragraph" w:customStyle="1" w:styleId="3528">
    <w:name w:val="燕山正文1151"/>
    <w:basedOn w:val="1"/>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character" w:customStyle="1" w:styleId="3529">
    <w:name w:val="批注框文本 Char61"/>
    <w:qFormat/>
    <w:uiPriority w:val="0"/>
    <w:rPr>
      <w:rFonts w:eastAsia="宋体"/>
      <w:kern w:val="2"/>
      <w:sz w:val="18"/>
      <w:szCs w:val="18"/>
      <w:lang w:val="en-US" w:eastAsia="zh-CN" w:bidi="ar-SA"/>
    </w:rPr>
  </w:style>
  <w:style w:type="paragraph" w:customStyle="1" w:styleId="3530">
    <w:name w:val="附件51"/>
    <w:basedOn w:val="4"/>
    <w:next w:val="315"/>
    <w:qFormat/>
    <w:uiPriority w:val="0"/>
    <w:pPr>
      <w:keepLines/>
      <w:widowControl w:val="0"/>
      <w:numPr>
        <w:numId w:val="0"/>
      </w:numPr>
      <w:tabs>
        <w:tab w:val="left" w:pos="1566"/>
      </w:tabs>
      <w:spacing w:after="210"/>
    </w:pPr>
    <w:rPr>
      <w:rFonts w:ascii="黑体" w:eastAsia="黑体"/>
      <w:b/>
      <w:bCs/>
      <w:kern w:val="44"/>
      <w:szCs w:val="32"/>
    </w:rPr>
  </w:style>
  <w:style w:type="character" w:customStyle="1" w:styleId="3531">
    <w:name w:val="正文缩进 Char311"/>
    <w:qFormat/>
    <w:uiPriority w:val="0"/>
    <w:rPr>
      <w:rFonts w:ascii="宋体" w:hAnsi="宋体" w:eastAsia="宋体" w:cs="宋体"/>
      <w:color w:val="000000"/>
      <w:kern w:val="2"/>
      <w:sz w:val="24"/>
      <w:szCs w:val="24"/>
      <w:lang w:val="en-US" w:eastAsia="zh-CN" w:bidi="ar-SA"/>
    </w:rPr>
  </w:style>
  <w:style w:type="paragraph" w:customStyle="1" w:styleId="3532">
    <w:name w:val="标题43141"/>
    <w:basedOn w:val="1"/>
    <w:qFormat/>
    <w:uiPriority w:val="0"/>
    <w:pPr>
      <w:adjustRightInd w:val="0"/>
      <w:snapToGrid w:val="0"/>
      <w:spacing w:line="480" w:lineRule="exact"/>
      <w:jc w:val="center"/>
    </w:pPr>
    <w:rPr>
      <w:rFonts w:ascii="宋体" w:hAnsi="宋体" w:cs="宋体"/>
      <w:sz w:val="24"/>
    </w:rPr>
  </w:style>
  <w:style w:type="character" w:customStyle="1" w:styleId="3533">
    <w:name w:val="正文文本缩进 Char21"/>
    <w:qFormat/>
    <w:uiPriority w:val="0"/>
    <w:rPr>
      <w:rFonts w:ascii="宋体" w:hAnsi="宋体" w:eastAsia="宋体" w:cs="宋体"/>
      <w:color w:val="000000"/>
      <w:kern w:val="2"/>
      <w:sz w:val="24"/>
      <w:szCs w:val="24"/>
      <w:lang w:val="en-US" w:eastAsia="zh-CN" w:bidi="ar-SA"/>
    </w:rPr>
  </w:style>
  <w:style w:type="paragraph" w:customStyle="1" w:styleId="3534">
    <w:name w:val="表题4121"/>
    <w:basedOn w:val="36"/>
    <w:qFormat/>
    <w:uiPriority w:val="0"/>
    <w:pPr>
      <w:tabs>
        <w:tab w:val="left" w:pos="4305"/>
      </w:tabs>
      <w:adjustRightInd w:val="0"/>
      <w:snapToGrid w:val="0"/>
      <w:spacing w:after="0" w:line="360" w:lineRule="auto"/>
      <w:ind w:left="0" w:leftChars="0" w:firstLine="561"/>
    </w:pPr>
    <w:rPr>
      <w:rFonts w:ascii="宋体" w:hAnsi="宋体" w:cs="宋体"/>
      <w:color w:val="000000"/>
      <w:sz w:val="24"/>
    </w:rPr>
  </w:style>
  <w:style w:type="paragraph" w:customStyle="1" w:styleId="3535">
    <w:name w:val="表内54161"/>
    <w:basedOn w:val="1"/>
    <w:qFormat/>
    <w:uiPriority w:val="0"/>
    <w:pPr>
      <w:adjustRightInd w:val="0"/>
      <w:snapToGrid w:val="0"/>
      <w:spacing w:line="300" w:lineRule="auto"/>
      <w:jc w:val="center"/>
    </w:pPr>
    <w:rPr>
      <w:rFonts w:ascii="宋体" w:hAnsi="宋体" w:cs="宋体"/>
    </w:rPr>
  </w:style>
  <w:style w:type="paragraph" w:customStyle="1" w:styleId="3536">
    <w:name w:val="表内文字小2151"/>
    <w:basedOn w:val="1"/>
    <w:qFormat/>
    <w:uiPriority w:val="0"/>
    <w:pPr>
      <w:adjustRightInd w:val="0"/>
      <w:snapToGrid w:val="0"/>
      <w:jc w:val="center"/>
    </w:pPr>
    <w:rPr>
      <w:rFonts w:ascii="宋体" w:hAnsi="Times" w:cs="宋体"/>
      <w:bCs/>
      <w:color w:val="000000"/>
    </w:rPr>
  </w:style>
  <w:style w:type="paragraph" w:customStyle="1" w:styleId="3537">
    <w:name w:val="表题3151"/>
    <w:basedOn w:val="36"/>
    <w:qFormat/>
    <w:uiPriority w:val="0"/>
    <w:pPr>
      <w:tabs>
        <w:tab w:val="left" w:pos="4305"/>
      </w:tabs>
      <w:adjustRightInd w:val="0"/>
      <w:snapToGrid w:val="0"/>
      <w:spacing w:after="0" w:line="360" w:lineRule="auto"/>
      <w:ind w:left="0" w:leftChars="0" w:firstLine="561"/>
    </w:pPr>
    <w:rPr>
      <w:rFonts w:ascii="宋体" w:hAnsi="宋体" w:cs="宋体"/>
      <w:color w:val="000000"/>
      <w:sz w:val="24"/>
    </w:rPr>
  </w:style>
  <w:style w:type="paragraph" w:customStyle="1" w:styleId="3538">
    <w:name w:val="Char Char Char Char Char Char Char71"/>
    <w:basedOn w:val="1"/>
    <w:qFormat/>
    <w:uiPriority w:val="0"/>
    <w:rPr>
      <w:rFonts w:ascii="宋体" w:hAnsi="宋体" w:cs="宋体"/>
    </w:rPr>
  </w:style>
  <w:style w:type="character" w:customStyle="1" w:styleId="3539">
    <w:name w:val="正文文本缩进 2 Char21"/>
    <w:qFormat/>
    <w:uiPriority w:val="0"/>
    <w:rPr>
      <w:rFonts w:eastAsia="宋体"/>
      <w:kern w:val="2"/>
      <w:sz w:val="21"/>
      <w:szCs w:val="24"/>
      <w:lang w:val="en-US" w:eastAsia="zh-CN" w:bidi="ar-SA"/>
    </w:rPr>
  </w:style>
  <w:style w:type="paragraph" w:customStyle="1" w:styleId="3540">
    <w:name w:val="表文字551"/>
    <w:basedOn w:val="1"/>
    <w:qFormat/>
    <w:uiPriority w:val="0"/>
    <w:pPr>
      <w:adjustRightInd w:val="0"/>
      <w:jc w:val="left"/>
      <w:textAlignment w:val="baseline"/>
    </w:pPr>
    <w:rPr>
      <w:rFonts w:ascii="宋体" w:hAnsi="宋体" w:cs="宋体"/>
      <w:kern w:val="0"/>
    </w:rPr>
  </w:style>
  <w:style w:type="paragraph" w:customStyle="1" w:styleId="3541">
    <w:name w:val="表内文字小3151"/>
    <w:basedOn w:val="1"/>
    <w:qFormat/>
    <w:uiPriority w:val="0"/>
    <w:pPr>
      <w:adjustRightInd w:val="0"/>
      <w:snapToGrid w:val="0"/>
      <w:jc w:val="center"/>
    </w:pPr>
    <w:rPr>
      <w:rFonts w:ascii="宋体" w:hAnsi="Times" w:cs="宋体"/>
      <w:bCs/>
      <w:color w:val="003366"/>
    </w:rPr>
  </w:style>
  <w:style w:type="paragraph" w:customStyle="1" w:styleId="3542">
    <w:name w:val="表内宋51131"/>
    <w:basedOn w:val="81"/>
    <w:qFormat/>
    <w:uiPriority w:val="0"/>
    <w:pPr>
      <w:adjustRightInd w:val="0"/>
      <w:snapToGrid w:val="0"/>
      <w:spacing w:before="0" w:beforeAutospacing="0" w:after="0" w:afterAutospacing="0"/>
      <w:jc w:val="both"/>
    </w:pPr>
    <w:rPr>
      <w:rFonts w:cs="宋体"/>
      <w:color w:val="000000"/>
      <w:kern w:val="0"/>
      <w:sz w:val="21"/>
      <w:szCs w:val="24"/>
    </w:rPr>
  </w:style>
  <w:style w:type="character" w:customStyle="1" w:styleId="3543">
    <w:name w:val="正文文本 Char31"/>
    <w:qFormat/>
    <w:uiPriority w:val="0"/>
    <w:rPr>
      <w:rFonts w:eastAsia="宋体"/>
      <w:kern w:val="2"/>
      <w:sz w:val="24"/>
      <w:szCs w:val="24"/>
      <w:lang w:val="en-US" w:eastAsia="zh-CN" w:bidi="ar-SA"/>
    </w:rPr>
  </w:style>
  <w:style w:type="character" w:customStyle="1" w:styleId="3544">
    <w:name w:val="正文首行缩进 Char21"/>
    <w:qFormat/>
    <w:uiPriority w:val="0"/>
    <w:rPr>
      <w:rFonts w:eastAsia="宋体"/>
      <w:kern w:val="2"/>
      <w:sz w:val="24"/>
      <w:szCs w:val="24"/>
      <w:lang w:val="en-US" w:eastAsia="zh-CN" w:bidi="ar-SA"/>
    </w:rPr>
  </w:style>
  <w:style w:type="paragraph" w:customStyle="1" w:styleId="3545">
    <w:name w:val="文本框31"/>
    <w:basedOn w:val="1"/>
    <w:qFormat/>
    <w:uiPriority w:val="0"/>
    <w:pPr>
      <w:adjustRightInd w:val="0"/>
      <w:snapToGrid w:val="0"/>
      <w:spacing w:after="6"/>
      <w:jc w:val="center"/>
    </w:pPr>
    <w:rPr>
      <w:rFonts w:ascii="宋体" w:hAnsi="宋体" w:eastAsia="仿宋_GB2312" w:cs="宋体"/>
    </w:rPr>
  </w:style>
  <w:style w:type="paragraph" w:customStyle="1" w:styleId="3546">
    <w:name w:val="正文.3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547">
    <w:name w:val="表51"/>
    <w:basedOn w:val="1"/>
    <w:qFormat/>
    <w:uiPriority w:val="0"/>
    <w:pPr>
      <w:adjustRightInd w:val="0"/>
      <w:snapToGrid w:val="0"/>
      <w:jc w:val="center"/>
    </w:pPr>
    <w:rPr>
      <w:rFonts w:ascii="宋体" w:hAnsi="宋体" w:eastAsia="仿宋_GB2312" w:cs="宋体"/>
      <w:sz w:val="24"/>
    </w:rPr>
  </w:style>
  <w:style w:type="paragraph" w:customStyle="1" w:styleId="3548">
    <w:name w:val="默认段落字体 Para Char Char Char Char71"/>
    <w:basedOn w:val="1"/>
    <w:qFormat/>
    <w:uiPriority w:val="0"/>
    <w:rPr>
      <w:rFonts w:ascii="宋体" w:hAnsi="宋体" w:cs="宋体"/>
    </w:rPr>
  </w:style>
  <w:style w:type="paragraph" w:customStyle="1" w:styleId="3549">
    <w:name w:val="黑体三号61"/>
    <w:basedOn w:val="315"/>
    <w:qFormat/>
    <w:uiPriority w:val="0"/>
    <w:pPr>
      <w:jc w:val="center"/>
    </w:pPr>
    <w:rPr>
      <w:rFonts w:ascii="黑体" w:hAnsi="宋体" w:eastAsia="黑体"/>
      <w:bCs/>
      <w:spacing w:val="0"/>
      <w:sz w:val="32"/>
    </w:rPr>
  </w:style>
  <w:style w:type="paragraph" w:customStyle="1" w:styleId="3550">
    <w:name w:val="Char201"/>
    <w:basedOn w:val="1"/>
    <w:qFormat/>
    <w:uiPriority w:val="0"/>
    <w:pPr>
      <w:ind w:left="-48"/>
    </w:pPr>
    <w:rPr>
      <w:rFonts w:ascii="宋体" w:hAnsi="宋体" w:cs="宋体"/>
    </w:rPr>
  </w:style>
  <w:style w:type="paragraph" w:customStyle="1" w:styleId="3551">
    <w:name w:val="样式141"/>
    <w:basedOn w:val="1227"/>
    <w:qFormat/>
    <w:uiPriority w:val="0"/>
    <w:pPr>
      <w:spacing w:line="240" w:lineRule="auto"/>
      <w:ind w:firstLine="0"/>
      <w:jc w:val="center"/>
    </w:pPr>
    <w:rPr>
      <w:rFonts w:cs="Times New Roman"/>
      <w:b/>
      <w:color w:val="auto"/>
      <w:szCs w:val="20"/>
    </w:rPr>
  </w:style>
  <w:style w:type="character" w:customStyle="1" w:styleId="3552">
    <w:name w:val="正文文本缩进 3 Char41"/>
    <w:qFormat/>
    <w:uiPriority w:val="0"/>
    <w:rPr>
      <w:rFonts w:eastAsia="宋体"/>
      <w:kern w:val="2"/>
      <w:sz w:val="16"/>
      <w:szCs w:val="16"/>
      <w:lang w:val="en-US" w:eastAsia="zh-CN" w:bidi="ar-SA"/>
    </w:rPr>
  </w:style>
  <w:style w:type="paragraph" w:customStyle="1" w:styleId="3553">
    <w:name w:val="燕山正文61"/>
    <w:basedOn w:val="1"/>
    <w:qFormat/>
    <w:uiPriority w:val="0"/>
    <w:pPr>
      <w:tabs>
        <w:tab w:val="left" w:pos="4680"/>
      </w:tabs>
      <w:adjustRightInd w:val="0"/>
      <w:snapToGrid w:val="0"/>
      <w:spacing w:line="480" w:lineRule="exact"/>
    </w:pPr>
    <w:rPr>
      <w:rFonts w:ascii="宋体" w:hAnsi="宋体" w:cs="宋体"/>
      <w:sz w:val="24"/>
    </w:rPr>
  </w:style>
  <w:style w:type="character" w:customStyle="1" w:styleId="3554">
    <w:name w:val="燕山正文 Char161"/>
    <w:qFormat/>
    <w:uiPriority w:val="0"/>
    <w:rPr>
      <w:rFonts w:ascii="宋体" w:eastAsia="宋体" w:cs="宋体"/>
      <w:kern w:val="2"/>
      <w:sz w:val="24"/>
      <w:szCs w:val="24"/>
      <w:lang w:val="en-US" w:eastAsia="zh-CN" w:bidi="ar-SA"/>
    </w:rPr>
  </w:style>
  <w:style w:type="paragraph" w:customStyle="1" w:styleId="3555">
    <w:name w:val="正文修改61"/>
    <w:basedOn w:val="1180"/>
    <w:qFormat/>
    <w:uiPriority w:val="0"/>
    <w:rPr>
      <w:rFonts w:hAnsi="宋体"/>
      <w:color w:val="000000"/>
    </w:rPr>
  </w:style>
  <w:style w:type="character" w:customStyle="1" w:styleId="3556">
    <w:name w:val="正文修改 Char161"/>
    <w:qFormat/>
    <w:uiPriority w:val="0"/>
    <w:rPr>
      <w:rFonts w:ascii="宋体" w:hAnsi="宋体" w:eastAsia="宋体" w:cs="宋体"/>
      <w:color w:val="000000"/>
      <w:kern w:val="2"/>
      <w:sz w:val="24"/>
      <w:szCs w:val="24"/>
      <w:lang w:val="en-US" w:eastAsia="zh-CN" w:bidi="ar-SA"/>
    </w:rPr>
  </w:style>
  <w:style w:type="character" w:customStyle="1" w:styleId="3557">
    <w:name w:val="题注 Char71"/>
    <w:qFormat/>
    <w:uiPriority w:val="0"/>
    <w:rPr>
      <w:rFonts w:ascii="黑体" w:hAnsi="Arial" w:eastAsia="黑体" w:cs="Arial"/>
      <w:spacing w:val="10"/>
      <w:kern w:val="2"/>
      <w:sz w:val="24"/>
      <w:szCs w:val="24"/>
      <w:lang w:val="en-US" w:eastAsia="zh-CN" w:bidi="ar-SA"/>
    </w:rPr>
  </w:style>
  <w:style w:type="paragraph" w:customStyle="1" w:styleId="3558">
    <w:name w:val="首行缩进:  0.99 厘米 + 首行缩进:  2 字符21"/>
    <w:basedOn w:val="1"/>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character" w:customStyle="1" w:styleId="3559">
    <w:name w:val="正文文本 3 Char21"/>
    <w:qFormat/>
    <w:uiPriority w:val="0"/>
    <w:rPr>
      <w:rFonts w:eastAsia="宋体"/>
      <w:kern w:val="2"/>
      <w:sz w:val="16"/>
      <w:szCs w:val="16"/>
      <w:lang w:val="en-US" w:eastAsia="zh-CN" w:bidi="ar-SA"/>
    </w:rPr>
  </w:style>
  <w:style w:type="paragraph" w:customStyle="1" w:styleId="3560">
    <w:name w:val="图表名称21"/>
    <w:basedOn w:val="86"/>
    <w:qFormat/>
    <w:uiPriority w:val="0"/>
    <w:pPr>
      <w:adjustRightInd w:val="0"/>
      <w:snapToGrid w:val="0"/>
      <w:spacing w:after="0" w:line="480" w:lineRule="exact"/>
      <w:ind w:firstLine="0" w:firstLineChars="0"/>
      <w:jc w:val="center"/>
    </w:pPr>
    <w:rPr>
      <w:bCs/>
      <w:kern w:val="2"/>
      <w:sz w:val="24"/>
    </w:rPr>
  </w:style>
  <w:style w:type="paragraph" w:customStyle="1" w:styleId="3561">
    <w:name w:val="表内文字边21"/>
    <w:basedOn w:val="1"/>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3562">
    <w:name w:val="正文缩21"/>
    <w:basedOn w:val="1"/>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3563">
    <w:name w:val="样式221"/>
    <w:basedOn w:val="1"/>
    <w:qFormat/>
    <w:uiPriority w:val="0"/>
    <w:pPr>
      <w:adjustRightInd w:val="0"/>
      <w:spacing w:line="360" w:lineRule="auto"/>
      <w:jc w:val="center"/>
      <w:textAlignment w:val="baseline"/>
      <w:outlineLvl w:val="0"/>
    </w:pPr>
    <w:rPr>
      <w:rFonts w:ascii="宋体" w:hAnsi="宋体" w:cs="宋体"/>
      <w:kern w:val="0"/>
    </w:rPr>
  </w:style>
  <w:style w:type="paragraph" w:customStyle="1" w:styleId="3564">
    <w:name w:val="默认段落字体 Para Char Char Char Char Char21"/>
    <w:basedOn w:val="1"/>
    <w:qFormat/>
    <w:uiPriority w:val="0"/>
    <w:rPr>
      <w:rFonts w:ascii="宋体" w:hAnsi="宋体" w:cs="宋体"/>
    </w:rPr>
  </w:style>
  <w:style w:type="paragraph" w:customStyle="1" w:styleId="3565">
    <w:name w:val="表中文字71"/>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566">
    <w:name w:val="表内宋5中41"/>
    <w:basedOn w:val="1"/>
    <w:qFormat/>
    <w:uiPriority w:val="0"/>
    <w:pPr>
      <w:adjustRightInd w:val="0"/>
      <w:snapToGrid w:val="0"/>
      <w:textAlignment w:val="baseline"/>
    </w:pPr>
    <w:rPr>
      <w:rFonts w:ascii="宋体" w:hAnsi="宋体" w:cs="宋体"/>
      <w:color w:val="000000"/>
      <w:kern w:val="0"/>
    </w:rPr>
  </w:style>
  <w:style w:type="character" w:customStyle="1" w:styleId="3567">
    <w:name w:val="表中文字 Char261"/>
    <w:qFormat/>
    <w:uiPriority w:val="0"/>
    <w:rPr>
      <w:rFonts w:ascii="宋体" w:eastAsia="宋体"/>
      <w:kern w:val="2"/>
      <w:sz w:val="21"/>
      <w:szCs w:val="21"/>
      <w:lang w:val="en-US" w:eastAsia="zh-CN" w:bidi="ar-SA"/>
    </w:rPr>
  </w:style>
  <w:style w:type="paragraph" w:customStyle="1" w:styleId="3568">
    <w:name w:val="样式 标题 3 + 段前: 12 磅21"/>
    <w:basedOn w:val="7"/>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3569">
    <w:name w:val="表内文字小41"/>
    <w:basedOn w:val="1"/>
    <w:qFormat/>
    <w:uiPriority w:val="0"/>
    <w:pPr>
      <w:adjustRightInd w:val="0"/>
      <w:snapToGrid w:val="0"/>
      <w:jc w:val="center"/>
    </w:pPr>
    <w:rPr>
      <w:rFonts w:ascii="宋体" w:hAnsi="Times" w:cs="宋体"/>
    </w:rPr>
  </w:style>
  <w:style w:type="paragraph" w:customStyle="1" w:styleId="3570">
    <w:name w:val="表内542"/>
    <w:basedOn w:val="1"/>
    <w:qFormat/>
    <w:uiPriority w:val="0"/>
    <w:pPr>
      <w:adjustRightInd w:val="0"/>
      <w:snapToGrid w:val="0"/>
      <w:spacing w:line="300" w:lineRule="auto"/>
      <w:jc w:val="left"/>
    </w:pPr>
    <w:rPr>
      <w:rFonts w:ascii="宋体" w:hAnsi="宋体" w:cs="宋体"/>
      <w:sz w:val="18"/>
    </w:rPr>
  </w:style>
  <w:style w:type="paragraph" w:customStyle="1" w:styleId="3571">
    <w:name w:val="Char Char Char Char1 Char Char Char31"/>
    <w:basedOn w:val="1"/>
    <w:qFormat/>
    <w:uiPriority w:val="0"/>
    <w:pPr>
      <w:widowControl/>
      <w:spacing w:after="160"/>
      <w:jc w:val="left"/>
    </w:pPr>
    <w:rPr>
      <w:rFonts w:ascii="Verdana" w:hAnsi="Verdana" w:cs="宋体"/>
      <w:kern w:val="0"/>
      <w:sz w:val="24"/>
      <w:lang w:eastAsia="en-US"/>
    </w:rPr>
  </w:style>
  <w:style w:type="paragraph" w:customStyle="1" w:styleId="3572">
    <w:name w:val="正文格式131"/>
    <w:basedOn w:val="1"/>
    <w:qFormat/>
    <w:uiPriority w:val="0"/>
    <w:pPr>
      <w:spacing w:line="360" w:lineRule="auto"/>
      <w:ind w:firstLine="482"/>
    </w:pPr>
    <w:rPr>
      <w:rFonts w:ascii="宋体" w:hAnsi="宋体" w:cs="宋体"/>
      <w:sz w:val="24"/>
    </w:rPr>
  </w:style>
  <w:style w:type="paragraph" w:customStyle="1" w:styleId="3573">
    <w:name w:val="图题121"/>
    <w:basedOn w:val="315"/>
    <w:next w:val="315"/>
    <w:qFormat/>
    <w:uiPriority w:val="0"/>
    <w:pPr>
      <w:ind w:firstLine="0"/>
      <w:jc w:val="center"/>
    </w:pPr>
    <w:rPr>
      <w:rFonts w:ascii="黑体" w:hAnsi="宋体" w:eastAsia="黑体"/>
      <w:bCs/>
      <w:spacing w:val="0"/>
    </w:rPr>
  </w:style>
  <w:style w:type="paragraph" w:customStyle="1" w:styleId="3574">
    <w:name w:val="表格内字体131"/>
    <w:basedOn w:val="315"/>
    <w:next w:val="315"/>
    <w:qFormat/>
    <w:uiPriority w:val="0"/>
    <w:pPr>
      <w:spacing w:line="240" w:lineRule="auto"/>
      <w:ind w:firstLine="0"/>
      <w:jc w:val="center"/>
    </w:pPr>
    <w:rPr>
      <w:rFonts w:hAnsi="宋体"/>
      <w:b w:val="0"/>
      <w:spacing w:val="0"/>
      <w:sz w:val="21"/>
    </w:rPr>
  </w:style>
  <w:style w:type="character" w:customStyle="1" w:styleId="3575">
    <w:name w:val="Char Char1132"/>
    <w:qFormat/>
    <w:uiPriority w:val="0"/>
    <w:rPr>
      <w:rFonts w:ascii="黑体" w:hAnsi="Arial" w:eastAsia="黑体"/>
      <w:bCs/>
      <w:kern w:val="2"/>
      <w:sz w:val="30"/>
      <w:szCs w:val="30"/>
      <w:lang w:val="en-US" w:eastAsia="zh-CN" w:bidi="ar-SA"/>
    </w:rPr>
  </w:style>
  <w:style w:type="paragraph" w:customStyle="1" w:styleId="3576">
    <w:name w:val="Char1101"/>
    <w:basedOn w:val="1"/>
    <w:qFormat/>
    <w:uiPriority w:val="0"/>
    <w:pPr>
      <w:ind w:left="-48"/>
    </w:pPr>
    <w:rPr>
      <w:rFonts w:ascii="宋体" w:hAnsi="宋体" w:cs="宋体"/>
    </w:rPr>
  </w:style>
  <w:style w:type="paragraph" w:customStyle="1" w:styleId="3577">
    <w:name w:val="正文格式231"/>
    <w:basedOn w:val="1"/>
    <w:qFormat/>
    <w:uiPriority w:val="0"/>
    <w:pPr>
      <w:spacing w:line="360" w:lineRule="auto"/>
      <w:ind w:firstLine="482"/>
    </w:pPr>
    <w:rPr>
      <w:rFonts w:ascii="宋体" w:hAnsi="宋体" w:cs="宋体"/>
      <w:sz w:val="24"/>
    </w:rPr>
  </w:style>
  <w:style w:type="paragraph" w:customStyle="1" w:styleId="3578">
    <w:name w:val="Char1112"/>
    <w:basedOn w:val="1"/>
    <w:qFormat/>
    <w:uiPriority w:val="0"/>
    <w:pPr>
      <w:adjustRightInd w:val="0"/>
      <w:snapToGrid w:val="0"/>
      <w:spacing w:beforeLines="50" w:line="360" w:lineRule="auto"/>
    </w:pPr>
    <w:rPr>
      <w:rFonts w:ascii="黑体" w:hAnsi="宋体" w:eastAsia="黑体" w:cs="宋体"/>
      <w:sz w:val="32"/>
      <w:szCs w:val="32"/>
    </w:rPr>
  </w:style>
  <w:style w:type="character" w:customStyle="1" w:styleId="3579">
    <w:name w:val="题注 Char121"/>
    <w:qFormat/>
    <w:uiPriority w:val="0"/>
    <w:rPr>
      <w:rFonts w:ascii="黑体" w:hAnsi="Arial" w:eastAsia="黑体" w:cs="Arial"/>
      <w:spacing w:val="10"/>
      <w:kern w:val="2"/>
      <w:sz w:val="24"/>
      <w:szCs w:val="24"/>
      <w:lang w:val="en-US" w:eastAsia="zh-CN" w:bidi="ar-SA"/>
    </w:rPr>
  </w:style>
  <w:style w:type="paragraph" w:customStyle="1" w:styleId="3580">
    <w:name w:val="图题231"/>
    <w:basedOn w:val="315"/>
    <w:next w:val="315"/>
    <w:qFormat/>
    <w:uiPriority w:val="0"/>
    <w:pPr>
      <w:ind w:firstLine="0"/>
      <w:jc w:val="center"/>
    </w:pPr>
    <w:rPr>
      <w:rFonts w:ascii="黑体" w:hAnsi="宋体" w:eastAsia="黑体"/>
      <w:bCs/>
      <w:spacing w:val="0"/>
    </w:rPr>
  </w:style>
  <w:style w:type="paragraph" w:customStyle="1" w:styleId="3581">
    <w:name w:val="表格内字体231"/>
    <w:basedOn w:val="315"/>
    <w:next w:val="315"/>
    <w:qFormat/>
    <w:uiPriority w:val="0"/>
    <w:pPr>
      <w:spacing w:line="240" w:lineRule="auto"/>
      <w:ind w:firstLine="0"/>
      <w:jc w:val="center"/>
    </w:pPr>
    <w:rPr>
      <w:rFonts w:hAnsi="宋体"/>
      <w:b w:val="0"/>
      <w:spacing w:val="0"/>
      <w:sz w:val="21"/>
    </w:rPr>
  </w:style>
  <w:style w:type="paragraph" w:customStyle="1" w:styleId="3582">
    <w:name w:val="表内541121"/>
    <w:basedOn w:val="1"/>
    <w:qFormat/>
    <w:uiPriority w:val="0"/>
    <w:pPr>
      <w:adjustRightInd w:val="0"/>
      <w:snapToGrid w:val="0"/>
      <w:spacing w:line="300" w:lineRule="auto"/>
      <w:jc w:val="center"/>
    </w:pPr>
    <w:rPr>
      <w:rFonts w:ascii="宋体" w:hAnsi="宋体" w:cs="宋体"/>
    </w:rPr>
  </w:style>
  <w:style w:type="paragraph" w:customStyle="1" w:styleId="3583">
    <w:name w:val="表内文字小21121"/>
    <w:basedOn w:val="1"/>
    <w:qFormat/>
    <w:uiPriority w:val="0"/>
    <w:pPr>
      <w:adjustRightInd w:val="0"/>
      <w:snapToGrid w:val="0"/>
      <w:jc w:val="center"/>
    </w:pPr>
    <w:rPr>
      <w:rFonts w:ascii="宋体" w:hAnsi="Times" w:cs="宋体"/>
      <w:bCs/>
      <w:color w:val="000000"/>
    </w:rPr>
  </w:style>
  <w:style w:type="paragraph" w:customStyle="1" w:styleId="3584">
    <w:name w:val="表题31121"/>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585">
    <w:name w:val="Char Char Char Char Char Char Char142"/>
    <w:basedOn w:val="1"/>
    <w:qFormat/>
    <w:uiPriority w:val="0"/>
    <w:rPr>
      <w:rFonts w:ascii="宋体" w:hAnsi="宋体" w:cs="宋体"/>
    </w:rPr>
  </w:style>
  <w:style w:type="paragraph" w:customStyle="1" w:styleId="3586">
    <w:name w:val="标题431121"/>
    <w:basedOn w:val="1"/>
    <w:qFormat/>
    <w:uiPriority w:val="0"/>
    <w:pPr>
      <w:adjustRightInd w:val="0"/>
      <w:snapToGrid w:val="0"/>
      <w:spacing w:line="480" w:lineRule="exact"/>
      <w:jc w:val="center"/>
    </w:pPr>
    <w:rPr>
      <w:rFonts w:ascii="宋体" w:hAnsi="宋体" w:cs="宋体"/>
      <w:sz w:val="24"/>
    </w:rPr>
  </w:style>
  <w:style w:type="paragraph" w:customStyle="1" w:styleId="3587">
    <w:name w:val="燕山正文11121"/>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588">
    <w:name w:val="默认段落字体 Para Char Char Char Char121"/>
    <w:basedOn w:val="1"/>
    <w:qFormat/>
    <w:uiPriority w:val="0"/>
    <w:rPr>
      <w:rFonts w:ascii="宋体" w:hAnsi="宋体" w:cs="宋体"/>
    </w:rPr>
  </w:style>
  <w:style w:type="paragraph" w:customStyle="1" w:styleId="3589">
    <w:name w:val="附件121"/>
    <w:basedOn w:val="4"/>
    <w:next w:val="315"/>
    <w:qFormat/>
    <w:uiPriority w:val="0"/>
    <w:pPr>
      <w:keepLines/>
      <w:widowControl w:val="0"/>
      <w:numPr>
        <w:numId w:val="0"/>
      </w:numPr>
      <w:tabs>
        <w:tab w:val="left" w:pos="1566"/>
      </w:tabs>
      <w:spacing w:after="210"/>
    </w:pPr>
    <w:rPr>
      <w:rFonts w:ascii="黑体" w:eastAsia="黑体"/>
      <w:bCs/>
      <w:kern w:val="44"/>
      <w:szCs w:val="32"/>
    </w:rPr>
  </w:style>
  <w:style w:type="paragraph" w:customStyle="1" w:styleId="3590">
    <w:name w:val="黑体三号121"/>
    <w:basedOn w:val="315"/>
    <w:qFormat/>
    <w:uiPriority w:val="0"/>
    <w:pPr>
      <w:jc w:val="center"/>
    </w:pPr>
    <w:rPr>
      <w:rFonts w:ascii="黑体" w:hAnsi="宋体" w:eastAsia="黑体"/>
      <w:bCs/>
      <w:spacing w:val="0"/>
      <w:sz w:val="32"/>
    </w:rPr>
  </w:style>
  <w:style w:type="paragraph" w:customStyle="1" w:styleId="3591">
    <w:name w:val="表121"/>
    <w:basedOn w:val="1"/>
    <w:qFormat/>
    <w:uiPriority w:val="0"/>
    <w:pPr>
      <w:adjustRightInd w:val="0"/>
      <w:snapToGrid w:val="0"/>
      <w:jc w:val="center"/>
    </w:pPr>
    <w:rPr>
      <w:rFonts w:ascii="宋体" w:hAnsi="宋体" w:eastAsia="仿宋_GB2312" w:cs="宋体"/>
      <w:sz w:val="24"/>
    </w:rPr>
  </w:style>
  <w:style w:type="character" w:customStyle="1" w:styleId="3592">
    <w:name w:val="Char Char632"/>
    <w:qFormat/>
    <w:uiPriority w:val="0"/>
    <w:rPr>
      <w:rFonts w:ascii="黑体" w:eastAsia="黑体"/>
      <w:b/>
      <w:bCs/>
      <w:kern w:val="2"/>
      <w:sz w:val="28"/>
      <w:szCs w:val="28"/>
      <w:lang w:val="en-US" w:eastAsia="zh-CN" w:bidi="ar-SA"/>
    </w:rPr>
  </w:style>
  <w:style w:type="paragraph" w:customStyle="1" w:styleId="3593">
    <w:name w:val="表题1131"/>
    <w:basedOn w:val="23"/>
    <w:qFormat/>
    <w:uiPriority w:val="0"/>
    <w:pPr>
      <w:widowControl w:val="0"/>
      <w:spacing w:line="360" w:lineRule="auto"/>
      <w:jc w:val="center"/>
    </w:pPr>
    <w:rPr>
      <w:rFonts w:ascii="黑体" w:hAnsi="Arial" w:cs="Arial"/>
      <w:kern w:val="2"/>
    </w:rPr>
  </w:style>
  <w:style w:type="paragraph" w:customStyle="1" w:styleId="3594">
    <w:name w:val="燕山正文141"/>
    <w:basedOn w:val="1"/>
    <w:qFormat/>
    <w:uiPriority w:val="0"/>
    <w:pPr>
      <w:tabs>
        <w:tab w:val="left" w:pos="4680"/>
      </w:tabs>
      <w:adjustRightInd w:val="0"/>
      <w:snapToGrid w:val="0"/>
      <w:spacing w:line="480" w:lineRule="exact"/>
    </w:pPr>
    <w:rPr>
      <w:rFonts w:ascii="宋体" w:hAnsi="宋体" w:cs="宋体"/>
      <w:sz w:val="24"/>
    </w:rPr>
  </w:style>
  <w:style w:type="paragraph" w:customStyle="1" w:styleId="3595">
    <w:name w:val="正文修改121"/>
    <w:basedOn w:val="1180"/>
    <w:qFormat/>
    <w:uiPriority w:val="0"/>
    <w:rPr>
      <w:rFonts w:hAnsi="宋体"/>
      <w:color w:val="000000"/>
    </w:rPr>
  </w:style>
  <w:style w:type="character" w:customStyle="1" w:styleId="3596">
    <w:name w:val="正文修改 Char1121"/>
    <w:qFormat/>
    <w:uiPriority w:val="0"/>
    <w:rPr>
      <w:rFonts w:ascii="宋体" w:hAnsi="宋体" w:eastAsia="宋体" w:cs="宋体"/>
      <w:color w:val="000000"/>
      <w:kern w:val="2"/>
      <w:sz w:val="24"/>
      <w:szCs w:val="24"/>
      <w:lang w:val="en-US" w:eastAsia="zh-CN" w:bidi="ar-SA"/>
    </w:rPr>
  </w:style>
  <w:style w:type="paragraph" w:customStyle="1" w:styleId="3597">
    <w:name w:val="表中文字131"/>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598">
    <w:name w:val="表文字5131"/>
    <w:basedOn w:val="1"/>
    <w:qFormat/>
    <w:uiPriority w:val="0"/>
    <w:pPr>
      <w:adjustRightInd w:val="0"/>
      <w:jc w:val="left"/>
      <w:textAlignment w:val="baseline"/>
    </w:pPr>
    <w:rPr>
      <w:rFonts w:ascii="宋体" w:hAnsi="宋体" w:cs="宋体"/>
      <w:kern w:val="0"/>
    </w:rPr>
  </w:style>
  <w:style w:type="paragraph" w:customStyle="1" w:styleId="3599">
    <w:name w:val="表内文字小31121"/>
    <w:basedOn w:val="1"/>
    <w:qFormat/>
    <w:uiPriority w:val="0"/>
    <w:pPr>
      <w:adjustRightInd w:val="0"/>
      <w:snapToGrid w:val="0"/>
      <w:jc w:val="center"/>
    </w:pPr>
    <w:rPr>
      <w:rFonts w:ascii="宋体" w:hAnsi="Times" w:cs="宋体"/>
      <w:bCs/>
      <w:color w:val="003366"/>
    </w:rPr>
  </w:style>
  <w:style w:type="paragraph" w:customStyle="1" w:styleId="3600">
    <w:name w:val="样式1121"/>
    <w:basedOn w:val="1227"/>
    <w:qFormat/>
    <w:uiPriority w:val="0"/>
    <w:pPr>
      <w:spacing w:line="240" w:lineRule="auto"/>
      <w:ind w:firstLine="0"/>
      <w:jc w:val="center"/>
    </w:pPr>
    <w:rPr>
      <w:rFonts w:cs="Times New Roman"/>
      <w:b/>
      <w:color w:val="auto"/>
      <w:szCs w:val="20"/>
    </w:rPr>
  </w:style>
  <w:style w:type="paragraph" w:customStyle="1" w:styleId="3601">
    <w:name w:val="Char242"/>
    <w:basedOn w:val="1"/>
    <w:qFormat/>
    <w:uiPriority w:val="0"/>
    <w:pPr>
      <w:ind w:left="-48"/>
    </w:pPr>
    <w:rPr>
      <w:rFonts w:ascii="宋体" w:hAnsi="宋体" w:cs="宋体"/>
    </w:rPr>
  </w:style>
  <w:style w:type="paragraph" w:customStyle="1" w:styleId="3602">
    <w:name w:val="表内文字小241"/>
    <w:basedOn w:val="1"/>
    <w:qFormat/>
    <w:uiPriority w:val="0"/>
    <w:pPr>
      <w:adjustRightInd w:val="0"/>
      <w:snapToGrid w:val="0"/>
      <w:jc w:val="center"/>
    </w:pPr>
    <w:rPr>
      <w:rFonts w:ascii="宋体" w:hAnsi="Times" w:cs="宋体"/>
      <w:bCs/>
      <w:color w:val="000000"/>
    </w:rPr>
  </w:style>
  <w:style w:type="paragraph" w:customStyle="1" w:styleId="3603">
    <w:name w:val="表内5331"/>
    <w:basedOn w:val="1"/>
    <w:qFormat/>
    <w:uiPriority w:val="0"/>
    <w:pPr>
      <w:adjustRightInd w:val="0"/>
      <w:snapToGrid w:val="0"/>
      <w:spacing w:line="300" w:lineRule="auto"/>
      <w:jc w:val="left"/>
    </w:pPr>
    <w:rPr>
      <w:rFonts w:ascii="宋体" w:hAnsi="宋体" w:cs="宋体"/>
    </w:rPr>
  </w:style>
  <w:style w:type="paragraph" w:customStyle="1" w:styleId="3604">
    <w:name w:val="正文格式321"/>
    <w:basedOn w:val="1"/>
    <w:qFormat/>
    <w:uiPriority w:val="0"/>
    <w:pPr>
      <w:spacing w:line="360" w:lineRule="auto"/>
      <w:ind w:firstLine="482"/>
    </w:pPr>
    <w:rPr>
      <w:rFonts w:ascii="宋体" w:hAnsi="宋体" w:cs="宋体"/>
      <w:sz w:val="24"/>
    </w:rPr>
  </w:style>
  <w:style w:type="paragraph" w:customStyle="1" w:styleId="3605">
    <w:name w:val="Char251"/>
    <w:basedOn w:val="1"/>
    <w:qFormat/>
    <w:uiPriority w:val="0"/>
    <w:pPr>
      <w:adjustRightInd w:val="0"/>
      <w:snapToGrid w:val="0"/>
      <w:spacing w:beforeLines="50" w:line="360" w:lineRule="auto"/>
    </w:pPr>
    <w:rPr>
      <w:rFonts w:ascii="黑体" w:hAnsi="宋体" w:eastAsia="黑体" w:cs="宋体"/>
      <w:sz w:val="32"/>
      <w:szCs w:val="32"/>
    </w:rPr>
  </w:style>
  <w:style w:type="character" w:customStyle="1" w:styleId="3606">
    <w:name w:val="题注 Char221"/>
    <w:qFormat/>
    <w:uiPriority w:val="0"/>
    <w:rPr>
      <w:rFonts w:ascii="黑体" w:hAnsi="Arial" w:eastAsia="黑体" w:cs="Arial"/>
      <w:spacing w:val="10"/>
      <w:kern w:val="2"/>
      <w:sz w:val="24"/>
      <w:szCs w:val="24"/>
      <w:lang w:val="en-US" w:eastAsia="zh-CN" w:bidi="ar-SA"/>
    </w:rPr>
  </w:style>
  <w:style w:type="paragraph" w:customStyle="1" w:styleId="3607">
    <w:name w:val="图题321"/>
    <w:basedOn w:val="315"/>
    <w:next w:val="315"/>
    <w:qFormat/>
    <w:uiPriority w:val="0"/>
    <w:pPr>
      <w:ind w:firstLine="0"/>
      <w:jc w:val="center"/>
    </w:pPr>
    <w:rPr>
      <w:rFonts w:ascii="黑体" w:hAnsi="宋体" w:eastAsia="黑体"/>
      <w:bCs/>
      <w:spacing w:val="0"/>
    </w:rPr>
  </w:style>
  <w:style w:type="paragraph" w:customStyle="1" w:styleId="3608">
    <w:name w:val="表格内字体321"/>
    <w:basedOn w:val="315"/>
    <w:next w:val="315"/>
    <w:qFormat/>
    <w:uiPriority w:val="0"/>
    <w:pPr>
      <w:spacing w:line="240" w:lineRule="auto"/>
      <w:ind w:firstLine="0"/>
      <w:jc w:val="center"/>
    </w:pPr>
    <w:rPr>
      <w:rFonts w:hAnsi="宋体"/>
      <w:b w:val="0"/>
      <w:spacing w:val="0"/>
      <w:sz w:val="21"/>
    </w:rPr>
  </w:style>
  <w:style w:type="paragraph" w:customStyle="1" w:styleId="3609">
    <w:name w:val="表内541221"/>
    <w:basedOn w:val="1"/>
    <w:qFormat/>
    <w:uiPriority w:val="0"/>
    <w:pPr>
      <w:adjustRightInd w:val="0"/>
      <w:snapToGrid w:val="0"/>
      <w:spacing w:line="300" w:lineRule="auto"/>
      <w:jc w:val="center"/>
    </w:pPr>
    <w:rPr>
      <w:rFonts w:ascii="宋体" w:hAnsi="宋体" w:cs="宋体"/>
    </w:rPr>
  </w:style>
  <w:style w:type="paragraph" w:customStyle="1" w:styleId="3610">
    <w:name w:val="表内文字小21221"/>
    <w:basedOn w:val="1"/>
    <w:qFormat/>
    <w:uiPriority w:val="0"/>
    <w:pPr>
      <w:adjustRightInd w:val="0"/>
      <w:snapToGrid w:val="0"/>
      <w:jc w:val="center"/>
    </w:pPr>
    <w:rPr>
      <w:rFonts w:ascii="宋体" w:hAnsi="Times" w:cs="宋体"/>
      <w:bCs/>
      <w:color w:val="000000"/>
    </w:rPr>
  </w:style>
  <w:style w:type="paragraph" w:customStyle="1" w:styleId="3611">
    <w:name w:val="表题31221"/>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612">
    <w:name w:val="标题431221"/>
    <w:basedOn w:val="1"/>
    <w:qFormat/>
    <w:uiPriority w:val="0"/>
    <w:pPr>
      <w:adjustRightInd w:val="0"/>
      <w:snapToGrid w:val="0"/>
      <w:spacing w:line="480" w:lineRule="exact"/>
      <w:jc w:val="center"/>
    </w:pPr>
    <w:rPr>
      <w:rFonts w:ascii="宋体" w:hAnsi="宋体" w:cs="宋体"/>
      <w:sz w:val="24"/>
    </w:rPr>
  </w:style>
  <w:style w:type="paragraph" w:customStyle="1" w:styleId="3613">
    <w:name w:val="燕山正文11221"/>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614">
    <w:name w:val="默认段落字体 Para Char Char Char Char221"/>
    <w:basedOn w:val="1"/>
    <w:qFormat/>
    <w:uiPriority w:val="0"/>
    <w:rPr>
      <w:rFonts w:ascii="宋体" w:hAnsi="宋体" w:cs="宋体"/>
    </w:rPr>
  </w:style>
  <w:style w:type="paragraph" w:customStyle="1" w:styleId="3615">
    <w:name w:val="附件221"/>
    <w:basedOn w:val="4"/>
    <w:next w:val="315"/>
    <w:qFormat/>
    <w:uiPriority w:val="0"/>
    <w:pPr>
      <w:keepLines/>
      <w:widowControl w:val="0"/>
      <w:numPr>
        <w:numId w:val="0"/>
      </w:numPr>
      <w:tabs>
        <w:tab w:val="left" w:pos="1566"/>
      </w:tabs>
      <w:spacing w:after="210"/>
    </w:pPr>
    <w:rPr>
      <w:rFonts w:ascii="黑体" w:eastAsia="黑体"/>
      <w:bCs/>
      <w:kern w:val="44"/>
      <w:szCs w:val="32"/>
    </w:rPr>
  </w:style>
  <w:style w:type="paragraph" w:customStyle="1" w:styleId="3616">
    <w:name w:val="黑体三号221"/>
    <w:basedOn w:val="315"/>
    <w:qFormat/>
    <w:uiPriority w:val="0"/>
    <w:pPr>
      <w:jc w:val="center"/>
    </w:pPr>
    <w:rPr>
      <w:rFonts w:ascii="黑体" w:hAnsi="宋体" w:eastAsia="黑体"/>
      <w:bCs/>
      <w:spacing w:val="0"/>
      <w:sz w:val="32"/>
    </w:rPr>
  </w:style>
  <w:style w:type="paragraph" w:customStyle="1" w:styleId="3617">
    <w:name w:val="表221"/>
    <w:basedOn w:val="1"/>
    <w:qFormat/>
    <w:uiPriority w:val="0"/>
    <w:pPr>
      <w:adjustRightInd w:val="0"/>
      <w:snapToGrid w:val="0"/>
      <w:jc w:val="center"/>
    </w:pPr>
    <w:rPr>
      <w:rFonts w:ascii="宋体" w:hAnsi="宋体" w:eastAsia="仿宋_GB2312" w:cs="宋体"/>
      <w:sz w:val="24"/>
    </w:rPr>
  </w:style>
  <w:style w:type="paragraph" w:customStyle="1" w:styleId="3618">
    <w:name w:val="表题1221"/>
    <w:basedOn w:val="23"/>
    <w:qFormat/>
    <w:uiPriority w:val="0"/>
    <w:pPr>
      <w:widowControl w:val="0"/>
      <w:spacing w:line="360" w:lineRule="auto"/>
      <w:jc w:val="center"/>
    </w:pPr>
    <w:rPr>
      <w:rFonts w:ascii="黑体" w:hAnsi="Arial" w:cs="Arial"/>
      <w:kern w:val="2"/>
    </w:rPr>
  </w:style>
  <w:style w:type="paragraph" w:customStyle="1" w:styleId="3619">
    <w:name w:val="燕山正文221"/>
    <w:basedOn w:val="1"/>
    <w:qFormat/>
    <w:uiPriority w:val="0"/>
    <w:pPr>
      <w:tabs>
        <w:tab w:val="left" w:pos="4680"/>
      </w:tabs>
      <w:adjustRightInd w:val="0"/>
      <w:snapToGrid w:val="0"/>
      <w:spacing w:line="480" w:lineRule="exact"/>
    </w:pPr>
    <w:rPr>
      <w:rFonts w:ascii="宋体" w:hAnsi="宋体" w:cs="宋体"/>
      <w:sz w:val="24"/>
    </w:rPr>
  </w:style>
  <w:style w:type="paragraph" w:customStyle="1" w:styleId="3620">
    <w:name w:val="正文修改221"/>
    <w:basedOn w:val="1180"/>
    <w:qFormat/>
    <w:uiPriority w:val="0"/>
    <w:rPr>
      <w:rFonts w:hAnsi="宋体"/>
      <w:color w:val="000000"/>
    </w:rPr>
  </w:style>
  <w:style w:type="character" w:customStyle="1" w:styleId="3621">
    <w:name w:val="正文修改 Char1221"/>
    <w:qFormat/>
    <w:uiPriority w:val="0"/>
    <w:rPr>
      <w:rFonts w:ascii="宋体" w:hAnsi="宋体" w:eastAsia="宋体" w:cs="宋体"/>
      <w:color w:val="000000"/>
      <w:kern w:val="2"/>
      <w:sz w:val="24"/>
      <w:szCs w:val="24"/>
      <w:lang w:val="en-US" w:eastAsia="zh-CN" w:bidi="ar-SA"/>
    </w:rPr>
  </w:style>
  <w:style w:type="paragraph" w:customStyle="1" w:styleId="3622">
    <w:name w:val="表中文字221"/>
    <w:basedOn w:val="1"/>
    <w:qFormat/>
    <w:uiPriority w:val="0"/>
    <w:pPr>
      <w:widowControl/>
      <w:adjustRightInd w:val="0"/>
      <w:spacing w:line="240" w:lineRule="atLeast"/>
      <w:ind w:right="-42" w:rightChars="-20"/>
      <w:jc w:val="center"/>
      <w:textAlignment w:val="baseline"/>
    </w:pPr>
    <w:rPr>
      <w:rFonts w:ascii="宋体" w:hAnsi="宋体" w:cs="宋体"/>
      <w:kern w:val="0"/>
      <w:szCs w:val="21"/>
    </w:rPr>
  </w:style>
  <w:style w:type="paragraph" w:customStyle="1" w:styleId="3623">
    <w:name w:val="表文字5221"/>
    <w:basedOn w:val="1"/>
    <w:qFormat/>
    <w:uiPriority w:val="0"/>
    <w:pPr>
      <w:adjustRightInd w:val="0"/>
      <w:jc w:val="left"/>
      <w:textAlignment w:val="baseline"/>
    </w:pPr>
    <w:rPr>
      <w:rFonts w:ascii="宋体" w:hAnsi="宋体" w:cs="宋体"/>
      <w:kern w:val="0"/>
    </w:rPr>
  </w:style>
  <w:style w:type="paragraph" w:customStyle="1" w:styleId="3624">
    <w:name w:val="表内文字小31221"/>
    <w:basedOn w:val="1"/>
    <w:qFormat/>
    <w:uiPriority w:val="0"/>
    <w:pPr>
      <w:adjustRightInd w:val="0"/>
      <w:snapToGrid w:val="0"/>
      <w:jc w:val="center"/>
    </w:pPr>
    <w:rPr>
      <w:rFonts w:ascii="宋体" w:hAnsi="Times" w:cs="宋体"/>
      <w:bCs/>
      <w:color w:val="003366"/>
    </w:rPr>
  </w:style>
  <w:style w:type="paragraph" w:customStyle="1" w:styleId="3625">
    <w:name w:val="样式1221"/>
    <w:basedOn w:val="1227"/>
    <w:qFormat/>
    <w:uiPriority w:val="0"/>
    <w:pPr>
      <w:spacing w:line="240" w:lineRule="auto"/>
      <w:ind w:firstLine="0"/>
      <w:jc w:val="center"/>
    </w:pPr>
    <w:rPr>
      <w:rFonts w:cs="Times New Roman"/>
      <w:b/>
      <w:color w:val="auto"/>
      <w:szCs w:val="20"/>
    </w:rPr>
  </w:style>
  <w:style w:type="paragraph" w:customStyle="1" w:styleId="3626">
    <w:name w:val="Char341"/>
    <w:basedOn w:val="1"/>
    <w:qFormat/>
    <w:uiPriority w:val="0"/>
    <w:pPr>
      <w:ind w:left="-48"/>
    </w:pPr>
    <w:rPr>
      <w:rFonts w:ascii="宋体" w:hAnsi="宋体" w:cs="宋体"/>
    </w:rPr>
  </w:style>
  <w:style w:type="paragraph" w:customStyle="1" w:styleId="3627">
    <w:name w:val="表内文字小2221"/>
    <w:basedOn w:val="1"/>
    <w:qFormat/>
    <w:uiPriority w:val="0"/>
    <w:pPr>
      <w:adjustRightInd w:val="0"/>
      <w:snapToGrid w:val="0"/>
      <w:jc w:val="center"/>
    </w:pPr>
    <w:rPr>
      <w:rFonts w:ascii="宋体" w:hAnsi="Times" w:cs="宋体"/>
      <w:bCs/>
      <w:color w:val="000000"/>
    </w:rPr>
  </w:style>
  <w:style w:type="paragraph" w:customStyle="1" w:styleId="3628">
    <w:name w:val="表内53121"/>
    <w:basedOn w:val="1"/>
    <w:qFormat/>
    <w:uiPriority w:val="0"/>
    <w:pPr>
      <w:adjustRightInd w:val="0"/>
      <w:snapToGrid w:val="0"/>
      <w:spacing w:line="300" w:lineRule="auto"/>
      <w:jc w:val="left"/>
    </w:pPr>
    <w:rPr>
      <w:rFonts w:ascii="宋体" w:hAnsi="宋体" w:cs="宋体"/>
    </w:rPr>
  </w:style>
  <w:style w:type="paragraph" w:customStyle="1" w:styleId="3629">
    <w:name w:val="正文格式2121"/>
    <w:basedOn w:val="1"/>
    <w:qFormat/>
    <w:uiPriority w:val="0"/>
    <w:pPr>
      <w:spacing w:line="360" w:lineRule="auto"/>
      <w:ind w:firstLine="482"/>
    </w:pPr>
    <w:rPr>
      <w:rFonts w:ascii="宋体" w:hAnsi="宋体" w:cs="宋体"/>
      <w:sz w:val="24"/>
    </w:rPr>
  </w:style>
  <w:style w:type="paragraph" w:customStyle="1" w:styleId="3630">
    <w:name w:val="图题2121"/>
    <w:basedOn w:val="315"/>
    <w:next w:val="315"/>
    <w:qFormat/>
    <w:uiPriority w:val="0"/>
    <w:pPr>
      <w:ind w:firstLine="0"/>
      <w:jc w:val="center"/>
    </w:pPr>
    <w:rPr>
      <w:rFonts w:ascii="黑体" w:hAnsi="宋体" w:eastAsia="黑体"/>
      <w:bCs/>
      <w:spacing w:val="0"/>
    </w:rPr>
  </w:style>
  <w:style w:type="paragraph" w:customStyle="1" w:styleId="3631">
    <w:name w:val="表格内字体2121"/>
    <w:basedOn w:val="315"/>
    <w:next w:val="315"/>
    <w:qFormat/>
    <w:uiPriority w:val="0"/>
    <w:pPr>
      <w:spacing w:line="240" w:lineRule="auto"/>
      <w:ind w:firstLine="0"/>
      <w:jc w:val="center"/>
    </w:pPr>
    <w:rPr>
      <w:rFonts w:hAnsi="宋体"/>
      <w:b w:val="0"/>
      <w:spacing w:val="0"/>
      <w:sz w:val="21"/>
    </w:rPr>
  </w:style>
  <w:style w:type="paragraph" w:customStyle="1" w:styleId="3632">
    <w:name w:val="表题11121"/>
    <w:basedOn w:val="23"/>
    <w:qFormat/>
    <w:uiPriority w:val="0"/>
    <w:pPr>
      <w:widowControl w:val="0"/>
      <w:spacing w:line="360" w:lineRule="auto"/>
      <w:jc w:val="center"/>
    </w:pPr>
    <w:rPr>
      <w:rFonts w:ascii="黑体" w:hAnsi="Arial" w:cs="Arial"/>
      <w:kern w:val="2"/>
    </w:rPr>
  </w:style>
  <w:style w:type="paragraph" w:customStyle="1" w:styleId="3633">
    <w:name w:val="表中文字1121"/>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634">
    <w:name w:val="表文字51121"/>
    <w:basedOn w:val="1"/>
    <w:qFormat/>
    <w:uiPriority w:val="0"/>
    <w:pPr>
      <w:adjustRightInd w:val="0"/>
      <w:jc w:val="left"/>
      <w:textAlignment w:val="baseline"/>
    </w:pPr>
    <w:rPr>
      <w:rFonts w:ascii="宋体" w:hAnsi="宋体" w:cs="宋体"/>
      <w:kern w:val="0"/>
    </w:rPr>
  </w:style>
  <w:style w:type="paragraph" w:customStyle="1" w:styleId="3635">
    <w:name w:val="正文格式421"/>
    <w:basedOn w:val="1"/>
    <w:qFormat/>
    <w:uiPriority w:val="0"/>
    <w:pPr>
      <w:spacing w:line="360" w:lineRule="auto"/>
      <w:ind w:firstLine="482"/>
    </w:pPr>
    <w:rPr>
      <w:rFonts w:ascii="宋体" w:hAnsi="宋体" w:cs="宋体"/>
      <w:sz w:val="24"/>
    </w:rPr>
  </w:style>
  <w:style w:type="paragraph" w:customStyle="1" w:styleId="3636">
    <w:name w:val="图题421"/>
    <w:basedOn w:val="315"/>
    <w:next w:val="315"/>
    <w:qFormat/>
    <w:uiPriority w:val="0"/>
    <w:pPr>
      <w:ind w:firstLine="0"/>
      <w:jc w:val="center"/>
    </w:pPr>
    <w:rPr>
      <w:rFonts w:ascii="黑体" w:hAnsi="宋体" w:eastAsia="黑体"/>
      <w:bCs/>
      <w:spacing w:val="0"/>
    </w:rPr>
  </w:style>
  <w:style w:type="paragraph" w:customStyle="1" w:styleId="3637">
    <w:name w:val="表格内字体421"/>
    <w:basedOn w:val="315"/>
    <w:next w:val="315"/>
    <w:qFormat/>
    <w:uiPriority w:val="0"/>
    <w:pPr>
      <w:spacing w:line="240" w:lineRule="auto"/>
      <w:ind w:firstLine="0"/>
      <w:jc w:val="center"/>
    </w:pPr>
    <w:rPr>
      <w:rFonts w:hAnsi="宋体"/>
      <w:b w:val="0"/>
      <w:spacing w:val="0"/>
      <w:sz w:val="21"/>
    </w:rPr>
  </w:style>
  <w:style w:type="paragraph" w:customStyle="1" w:styleId="3638">
    <w:name w:val="Char441"/>
    <w:basedOn w:val="1"/>
    <w:qFormat/>
    <w:uiPriority w:val="0"/>
    <w:pPr>
      <w:ind w:left="-48"/>
    </w:pPr>
    <w:rPr>
      <w:rFonts w:ascii="宋体" w:hAnsi="宋体" w:cs="宋体"/>
    </w:rPr>
  </w:style>
  <w:style w:type="paragraph" w:customStyle="1" w:styleId="3639">
    <w:name w:val="表题1321"/>
    <w:basedOn w:val="23"/>
    <w:qFormat/>
    <w:uiPriority w:val="0"/>
    <w:pPr>
      <w:widowControl w:val="0"/>
      <w:spacing w:line="360" w:lineRule="auto"/>
      <w:jc w:val="center"/>
    </w:pPr>
    <w:rPr>
      <w:rFonts w:ascii="黑体" w:hAnsi="Arial" w:cs="Arial"/>
      <w:b/>
      <w:kern w:val="2"/>
    </w:rPr>
  </w:style>
  <w:style w:type="paragraph" w:customStyle="1" w:styleId="3640">
    <w:name w:val="默认段落字体 Para Char12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641">
    <w:name w:val="Char521"/>
    <w:basedOn w:val="1"/>
    <w:qFormat/>
    <w:uiPriority w:val="0"/>
    <w:pPr>
      <w:adjustRightInd w:val="0"/>
      <w:snapToGrid w:val="0"/>
      <w:ind w:left="-45"/>
    </w:pPr>
    <w:rPr>
      <w:rFonts w:ascii="宋体" w:hAnsi="宋体" w:cs="宋体"/>
    </w:rPr>
  </w:style>
  <w:style w:type="paragraph" w:customStyle="1" w:styleId="3642">
    <w:name w:val="燕山正文11321"/>
    <w:basedOn w:val="1"/>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3643">
    <w:name w:val="正文格式521"/>
    <w:basedOn w:val="1"/>
    <w:qFormat/>
    <w:uiPriority w:val="0"/>
    <w:pPr>
      <w:spacing w:line="360" w:lineRule="auto"/>
      <w:ind w:firstLine="482"/>
    </w:pPr>
    <w:rPr>
      <w:rFonts w:ascii="宋体" w:hAnsi="宋体" w:cs="宋体"/>
      <w:sz w:val="24"/>
    </w:rPr>
  </w:style>
  <w:style w:type="paragraph" w:customStyle="1" w:styleId="3644">
    <w:name w:val="Char351"/>
    <w:basedOn w:val="1"/>
    <w:qFormat/>
    <w:uiPriority w:val="0"/>
    <w:pPr>
      <w:ind w:left="-48"/>
    </w:pPr>
    <w:rPr>
      <w:rFonts w:ascii="宋体" w:hAnsi="宋体" w:cs="宋体"/>
    </w:rPr>
  </w:style>
  <w:style w:type="character" w:customStyle="1" w:styleId="3645">
    <w:name w:val="题注 Char321"/>
    <w:qFormat/>
    <w:uiPriority w:val="0"/>
    <w:rPr>
      <w:rFonts w:ascii="黑体" w:hAnsi="Arial" w:eastAsia="黑体" w:cs="Arial"/>
      <w:spacing w:val="10"/>
      <w:kern w:val="2"/>
      <w:sz w:val="24"/>
      <w:szCs w:val="24"/>
      <w:lang w:val="en-US" w:eastAsia="zh-CN" w:bidi="ar-SA"/>
    </w:rPr>
  </w:style>
  <w:style w:type="paragraph" w:customStyle="1" w:styleId="3646">
    <w:name w:val="图题521"/>
    <w:basedOn w:val="315"/>
    <w:next w:val="315"/>
    <w:qFormat/>
    <w:uiPriority w:val="0"/>
    <w:pPr>
      <w:ind w:firstLine="0"/>
      <w:jc w:val="center"/>
    </w:pPr>
    <w:rPr>
      <w:rFonts w:ascii="黑体" w:hAnsi="宋体" w:eastAsia="黑体"/>
      <w:bCs/>
      <w:spacing w:val="0"/>
    </w:rPr>
  </w:style>
  <w:style w:type="paragraph" w:customStyle="1" w:styleId="3647">
    <w:name w:val="表格内字体521"/>
    <w:basedOn w:val="315"/>
    <w:next w:val="315"/>
    <w:qFormat/>
    <w:uiPriority w:val="0"/>
    <w:pPr>
      <w:adjustRightInd w:val="0"/>
      <w:snapToGrid w:val="0"/>
      <w:spacing w:line="240" w:lineRule="auto"/>
      <w:ind w:firstLine="0"/>
    </w:pPr>
    <w:rPr>
      <w:rFonts w:hAnsi="宋体"/>
      <w:b w:val="0"/>
      <w:spacing w:val="0"/>
      <w:sz w:val="21"/>
    </w:rPr>
  </w:style>
  <w:style w:type="paragraph" w:customStyle="1" w:styleId="3648">
    <w:name w:val="表321"/>
    <w:basedOn w:val="1"/>
    <w:qFormat/>
    <w:uiPriority w:val="0"/>
    <w:pPr>
      <w:adjustRightInd w:val="0"/>
      <w:snapToGrid w:val="0"/>
      <w:jc w:val="center"/>
    </w:pPr>
    <w:rPr>
      <w:rFonts w:ascii="宋体" w:hAnsi="宋体" w:eastAsia="仿宋_GB2312" w:cs="宋体"/>
      <w:sz w:val="24"/>
    </w:rPr>
  </w:style>
  <w:style w:type="paragraph" w:customStyle="1" w:styleId="3649">
    <w:name w:val="正文.12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650">
    <w:name w:val="文本框121"/>
    <w:basedOn w:val="1"/>
    <w:qFormat/>
    <w:uiPriority w:val="0"/>
    <w:pPr>
      <w:adjustRightInd w:val="0"/>
      <w:snapToGrid w:val="0"/>
      <w:spacing w:after="6"/>
      <w:jc w:val="center"/>
    </w:pPr>
    <w:rPr>
      <w:rFonts w:ascii="宋体" w:hAnsi="宋体" w:eastAsia="仿宋_GB2312" w:cs="宋体"/>
    </w:rPr>
  </w:style>
  <w:style w:type="paragraph" w:customStyle="1" w:styleId="3651">
    <w:name w:val="表内宋511121"/>
    <w:basedOn w:val="81"/>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3652">
    <w:name w:val="表内文字小31321"/>
    <w:basedOn w:val="1"/>
    <w:qFormat/>
    <w:uiPriority w:val="0"/>
    <w:pPr>
      <w:adjustRightInd w:val="0"/>
      <w:snapToGrid w:val="0"/>
      <w:jc w:val="center"/>
    </w:pPr>
    <w:rPr>
      <w:rFonts w:ascii="宋体" w:hAnsi="Times" w:cs="宋体"/>
      <w:bCs/>
      <w:color w:val="003366"/>
    </w:rPr>
  </w:style>
  <w:style w:type="paragraph" w:customStyle="1" w:styleId="3653">
    <w:name w:val="表文字5321"/>
    <w:basedOn w:val="1"/>
    <w:qFormat/>
    <w:uiPriority w:val="0"/>
    <w:pPr>
      <w:adjustRightInd w:val="0"/>
      <w:jc w:val="left"/>
      <w:textAlignment w:val="baseline"/>
    </w:pPr>
    <w:rPr>
      <w:rFonts w:ascii="宋体" w:hAnsi="宋体" w:cs="宋体"/>
      <w:kern w:val="0"/>
    </w:rPr>
  </w:style>
  <w:style w:type="paragraph" w:customStyle="1" w:styleId="3654">
    <w:name w:val="Char Char Char Char Char Char Char231"/>
    <w:basedOn w:val="1"/>
    <w:qFormat/>
    <w:uiPriority w:val="0"/>
    <w:rPr>
      <w:rFonts w:ascii="宋体" w:hAnsi="宋体" w:cs="宋体"/>
    </w:rPr>
  </w:style>
  <w:style w:type="paragraph" w:customStyle="1" w:styleId="3655">
    <w:name w:val="表题31321"/>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656">
    <w:name w:val="表内文字小21321"/>
    <w:basedOn w:val="1"/>
    <w:qFormat/>
    <w:uiPriority w:val="0"/>
    <w:pPr>
      <w:adjustRightInd w:val="0"/>
      <w:snapToGrid w:val="0"/>
      <w:jc w:val="center"/>
      <w:textAlignment w:val="baseline"/>
    </w:pPr>
    <w:rPr>
      <w:rFonts w:ascii="宋体" w:hAnsi="Times" w:cs="宋体"/>
      <w:bCs/>
      <w:color w:val="000000"/>
    </w:rPr>
  </w:style>
  <w:style w:type="character" w:customStyle="1" w:styleId="3657">
    <w:name w:val="文档结构图 Char31"/>
    <w:qFormat/>
    <w:uiPriority w:val="0"/>
    <w:rPr>
      <w:rFonts w:eastAsia="宋体"/>
      <w:kern w:val="2"/>
      <w:sz w:val="21"/>
      <w:szCs w:val="24"/>
      <w:shd w:val="clear" w:color="auto" w:fill="000080"/>
      <w:lang w:val="en-US" w:eastAsia="zh-CN" w:bidi="ar-SA"/>
    </w:rPr>
  </w:style>
  <w:style w:type="paragraph" w:customStyle="1" w:styleId="3658">
    <w:name w:val="燕山正文321"/>
    <w:basedOn w:val="1"/>
    <w:qFormat/>
    <w:uiPriority w:val="0"/>
    <w:pPr>
      <w:tabs>
        <w:tab w:val="left" w:pos="4680"/>
      </w:tabs>
      <w:adjustRightInd w:val="0"/>
      <w:snapToGrid w:val="0"/>
      <w:spacing w:line="480" w:lineRule="exact"/>
    </w:pPr>
    <w:rPr>
      <w:rFonts w:ascii="宋体" w:hAnsi="宋体" w:cs="宋体"/>
      <w:sz w:val="24"/>
    </w:rPr>
  </w:style>
  <w:style w:type="paragraph" w:customStyle="1" w:styleId="3659">
    <w:name w:val="正文修改321"/>
    <w:basedOn w:val="1180"/>
    <w:qFormat/>
    <w:uiPriority w:val="0"/>
    <w:rPr>
      <w:rFonts w:hAnsi="宋体"/>
      <w:color w:val="000000"/>
    </w:rPr>
  </w:style>
  <w:style w:type="character" w:customStyle="1" w:styleId="3660">
    <w:name w:val="正文修改 Char1321"/>
    <w:qFormat/>
    <w:uiPriority w:val="0"/>
    <w:rPr>
      <w:rFonts w:ascii="宋体" w:hAnsi="宋体" w:eastAsia="宋体" w:cs="宋体"/>
      <w:color w:val="000000"/>
      <w:kern w:val="2"/>
      <w:sz w:val="24"/>
      <w:szCs w:val="24"/>
      <w:lang w:val="en-US" w:eastAsia="zh-CN" w:bidi="ar-SA"/>
    </w:rPr>
  </w:style>
  <w:style w:type="paragraph" w:customStyle="1" w:styleId="3661">
    <w:name w:val="表题1431"/>
    <w:basedOn w:val="23"/>
    <w:qFormat/>
    <w:uiPriority w:val="0"/>
    <w:pPr>
      <w:widowControl w:val="0"/>
      <w:spacing w:line="360" w:lineRule="auto"/>
      <w:jc w:val="center"/>
    </w:pPr>
    <w:rPr>
      <w:rFonts w:ascii="黑体" w:hAnsi="Arial" w:cs="Arial"/>
      <w:b/>
      <w:kern w:val="2"/>
    </w:rPr>
  </w:style>
  <w:style w:type="character" w:customStyle="1" w:styleId="3662">
    <w:name w:val="表题1 Char421"/>
    <w:qFormat/>
    <w:uiPriority w:val="0"/>
    <w:rPr>
      <w:rFonts w:ascii="黑体" w:hAnsi="Arial" w:eastAsia="黑体" w:cs="Arial"/>
      <w:b/>
      <w:kern w:val="2"/>
      <w:sz w:val="24"/>
      <w:szCs w:val="24"/>
      <w:lang w:val="en-US" w:eastAsia="zh-CN" w:bidi="ar-SA"/>
    </w:rPr>
  </w:style>
  <w:style w:type="paragraph" w:customStyle="1" w:styleId="3663">
    <w:name w:val="表中文字321"/>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664">
    <w:name w:val="黑体三号321"/>
    <w:basedOn w:val="315"/>
    <w:qFormat/>
    <w:uiPriority w:val="0"/>
    <w:pPr>
      <w:jc w:val="center"/>
    </w:pPr>
    <w:rPr>
      <w:rFonts w:ascii="黑体" w:hAnsi="宋体" w:eastAsia="黑体"/>
      <w:bCs/>
      <w:spacing w:val="0"/>
      <w:sz w:val="32"/>
    </w:rPr>
  </w:style>
  <w:style w:type="paragraph" w:customStyle="1" w:styleId="3665">
    <w:name w:val="默认段落字体 Para Char Char Char Char321"/>
    <w:basedOn w:val="1"/>
    <w:qFormat/>
    <w:uiPriority w:val="0"/>
    <w:rPr>
      <w:rFonts w:ascii="宋体" w:hAnsi="宋体" w:cs="宋体"/>
    </w:rPr>
  </w:style>
  <w:style w:type="paragraph" w:customStyle="1" w:styleId="3666">
    <w:name w:val="表内541321"/>
    <w:basedOn w:val="1"/>
    <w:qFormat/>
    <w:uiPriority w:val="0"/>
    <w:pPr>
      <w:adjustRightInd w:val="0"/>
      <w:snapToGrid w:val="0"/>
      <w:spacing w:line="300" w:lineRule="auto"/>
      <w:jc w:val="center"/>
    </w:pPr>
    <w:rPr>
      <w:rFonts w:ascii="宋体" w:hAnsi="宋体" w:cs="宋体"/>
    </w:rPr>
  </w:style>
  <w:style w:type="paragraph" w:customStyle="1" w:styleId="3667">
    <w:name w:val="标题432"/>
    <w:basedOn w:val="1"/>
    <w:qFormat/>
    <w:uiPriority w:val="0"/>
    <w:pPr>
      <w:adjustRightInd w:val="0"/>
      <w:snapToGrid w:val="0"/>
      <w:spacing w:line="300" w:lineRule="auto"/>
      <w:jc w:val="left"/>
    </w:pPr>
    <w:rPr>
      <w:rFonts w:ascii="黑体" w:hAnsi="宋体" w:eastAsia="黑体" w:cs="宋体"/>
      <w:bCs/>
      <w:sz w:val="24"/>
    </w:rPr>
  </w:style>
  <w:style w:type="paragraph" w:customStyle="1" w:styleId="3668">
    <w:name w:val="Char621"/>
    <w:basedOn w:val="1"/>
    <w:qFormat/>
    <w:uiPriority w:val="0"/>
    <w:pPr>
      <w:adjustRightInd w:val="0"/>
      <w:snapToGrid w:val="0"/>
      <w:spacing w:beforeLines="50" w:line="360" w:lineRule="auto"/>
    </w:pPr>
    <w:rPr>
      <w:rFonts w:ascii="黑体" w:hAnsi="宋体" w:eastAsia="黑体" w:cs="宋体"/>
      <w:sz w:val="32"/>
      <w:szCs w:val="32"/>
    </w:rPr>
  </w:style>
  <w:style w:type="paragraph" w:customStyle="1" w:styleId="3669">
    <w:name w:val="表题21121"/>
    <w:basedOn w:val="1"/>
    <w:qFormat/>
    <w:uiPriority w:val="0"/>
    <w:pPr>
      <w:widowControl/>
      <w:adjustRightInd w:val="0"/>
      <w:snapToGrid w:val="0"/>
      <w:jc w:val="center"/>
    </w:pPr>
    <w:rPr>
      <w:rFonts w:ascii="黑体" w:hAnsi="宋体" w:eastAsia="黑体" w:cs="宋体"/>
      <w:kern w:val="0"/>
      <w:sz w:val="24"/>
    </w:rPr>
  </w:style>
  <w:style w:type="paragraph" w:customStyle="1" w:styleId="3670">
    <w:name w:val="表内宋5中1121"/>
    <w:basedOn w:val="1"/>
    <w:qFormat/>
    <w:uiPriority w:val="0"/>
    <w:pPr>
      <w:adjustRightInd w:val="0"/>
      <w:snapToGrid w:val="0"/>
      <w:jc w:val="center"/>
      <w:textAlignment w:val="baseline"/>
    </w:pPr>
    <w:rPr>
      <w:rFonts w:ascii="宋体" w:hAnsi="宋体" w:cs="宋体"/>
      <w:kern w:val="0"/>
    </w:rPr>
  </w:style>
  <w:style w:type="paragraph" w:customStyle="1" w:styleId="3671">
    <w:name w:val="表内宋5中131"/>
    <w:basedOn w:val="1"/>
    <w:qFormat/>
    <w:uiPriority w:val="0"/>
    <w:pPr>
      <w:adjustRightInd w:val="0"/>
      <w:snapToGrid w:val="0"/>
      <w:jc w:val="center"/>
      <w:textAlignment w:val="baseline"/>
    </w:pPr>
    <w:rPr>
      <w:rFonts w:ascii="宋体" w:hAnsi="宋体" w:cs="宋体"/>
      <w:kern w:val="0"/>
    </w:rPr>
  </w:style>
  <w:style w:type="paragraph" w:customStyle="1" w:styleId="3672">
    <w:name w:val="表内文字小1121"/>
    <w:basedOn w:val="1"/>
    <w:qFormat/>
    <w:uiPriority w:val="0"/>
    <w:pPr>
      <w:adjustRightInd w:val="0"/>
      <w:snapToGrid w:val="0"/>
    </w:pPr>
    <w:rPr>
      <w:rFonts w:ascii="宋体" w:hAnsi="Times" w:cs="宋体"/>
    </w:rPr>
  </w:style>
  <w:style w:type="paragraph" w:customStyle="1" w:styleId="3673">
    <w:name w:val="标题41121"/>
    <w:basedOn w:val="1"/>
    <w:qFormat/>
    <w:uiPriority w:val="0"/>
    <w:pPr>
      <w:adjustRightInd w:val="0"/>
      <w:snapToGrid w:val="0"/>
      <w:spacing w:line="300" w:lineRule="auto"/>
      <w:jc w:val="left"/>
    </w:pPr>
    <w:rPr>
      <w:rFonts w:ascii="黑体" w:hAnsi="宋体" w:eastAsia="黑体" w:cs="宋体"/>
      <w:bCs/>
      <w:sz w:val="24"/>
    </w:rPr>
  </w:style>
  <w:style w:type="paragraph" w:customStyle="1" w:styleId="3674">
    <w:name w:val="表题14121"/>
    <w:basedOn w:val="1"/>
    <w:qFormat/>
    <w:uiPriority w:val="0"/>
    <w:pPr>
      <w:widowControl/>
      <w:adjustRightInd w:val="0"/>
      <w:snapToGrid w:val="0"/>
      <w:jc w:val="center"/>
    </w:pPr>
    <w:rPr>
      <w:rFonts w:ascii="黑体" w:hAnsi="宋体" w:eastAsia="黑体" w:cs="宋体"/>
      <w:kern w:val="0"/>
      <w:sz w:val="24"/>
    </w:rPr>
  </w:style>
  <w:style w:type="paragraph" w:customStyle="1" w:styleId="3675">
    <w:name w:val="表内文字小821"/>
    <w:basedOn w:val="1"/>
    <w:qFormat/>
    <w:uiPriority w:val="0"/>
    <w:pPr>
      <w:adjustRightInd w:val="0"/>
      <w:snapToGrid w:val="0"/>
      <w:jc w:val="center"/>
    </w:pPr>
    <w:rPr>
      <w:rFonts w:ascii="宋体" w:hAnsi="Times" w:cs="宋体"/>
    </w:rPr>
  </w:style>
  <w:style w:type="paragraph" w:customStyle="1" w:styleId="3676">
    <w:name w:val="默认段落字体 Para Char22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677">
    <w:name w:val="表内5中31"/>
    <w:basedOn w:val="1"/>
    <w:qFormat/>
    <w:uiPriority w:val="0"/>
    <w:pPr>
      <w:adjustRightInd w:val="0"/>
      <w:snapToGrid w:val="0"/>
      <w:jc w:val="center"/>
    </w:pPr>
    <w:rPr>
      <w:rFonts w:ascii="宋体" w:hAnsi="宋体" w:cs="Arial"/>
      <w:snapToGrid w:val="0"/>
      <w:color w:val="000000"/>
      <w:szCs w:val="21"/>
    </w:rPr>
  </w:style>
  <w:style w:type="paragraph" w:customStyle="1" w:styleId="3678">
    <w:name w:val="Default21"/>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3679">
    <w:name w:val="标题 1 Char41"/>
    <w:qFormat/>
    <w:uiPriority w:val="0"/>
    <w:rPr>
      <w:rFonts w:ascii="黑体" w:hAnsi="宋体" w:eastAsia="黑体"/>
      <w:b/>
      <w:bCs/>
      <w:kern w:val="44"/>
      <w:sz w:val="32"/>
      <w:szCs w:val="32"/>
      <w:lang w:val="en-US" w:eastAsia="zh-CN" w:bidi="ar-SA"/>
    </w:rPr>
  </w:style>
  <w:style w:type="paragraph" w:customStyle="1" w:styleId="3680">
    <w:name w:val="正文格式621"/>
    <w:basedOn w:val="1"/>
    <w:qFormat/>
    <w:uiPriority w:val="0"/>
    <w:pPr>
      <w:spacing w:line="360" w:lineRule="auto"/>
      <w:ind w:firstLine="482"/>
    </w:pPr>
    <w:rPr>
      <w:rFonts w:ascii="宋体" w:hAnsi="宋体" w:cs="宋体"/>
      <w:sz w:val="24"/>
    </w:rPr>
  </w:style>
  <w:style w:type="paragraph" w:customStyle="1" w:styleId="3681">
    <w:name w:val="附件321"/>
    <w:basedOn w:val="4"/>
    <w:next w:val="315"/>
    <w:qFormat/>
    <w:uiPriority w:val="0"/>
    <w:pPr>
      <w:keepLines/>
      <w:widowControl w:val="0"/>
      <w:numPr>
        <w:numId w:val="0"/>
      </w:numPr>
      <w:tabs>
        <w:tab w:val="left" w:pos="1566"/>
      </w:tabs>
      <w:adjustRightInd w:val="0"/>
      <w:snapToGrid w:val="0"/>
      <w:spacing w:after="120"/>
    </w:pPr>
    <w:rPr>
      <w:rFonts w:ascii="黑体" w:eastAsia="黑体"/>
      <w:bCs/>
      <w:kern w:val="44"/>
      <w:szCs w:val="32"/>
    </w:rPr>
  </w:style>
  <w:style w:type="paragraph" w:customStyle="1" w:styleId="3682">
    <w:name w:val="图题621"/>
    <w:basedOn w:val="315"/>
    <w:next w:val="315"/>
    <w:qFormat/>
    <w:uiPriority w:val="0"/>
    <w:pPr>
      <w:ind w:firstLine="0"/>
      <w:jc w:val="center"/>
    </w:pPr>
    <w:rPr>
      <w:rFonts w:ascii="黑体" w:hAnsi="宋体" w:eastAsia="黑体"/>
      <w:bCs/>
      <w:spacing w:val="0"/>
      <w:kern w:val="0"/>
    </w:rPr>
  </w:style>
  <w:style w:type="character" w:customStyle="1" w:styleId="3683">
    <w:name w:val="图题 Char21"/>
    <w:qFormat/>
    <w:uiPriority w:val="0"/>
    <w:rPr>
      <w:rFonts w:ascii="黑体" w:hAnsi="宋体" w:eastAsia="黑体" w:cs="宋体"/>
      <w:b/>
      <w:bCs/>
      <w:kern w:val="2"/>
      <w:sz w:val="24"/>
      <w:szCs w:val="24"/>
      <w:lang w:val="en-US" w:eastAsia="zh-CN" w:bidi="ar-SA"/>
    </w:rPr>
  </w:style>
  <w:style w:type="paragraph" w:customStyle="1" w:styleId="3684">
    <w:name w:val="表格内字体621"/>
    <w:basedOn w:val="315"/>
    <w:next w:val="315"/>
    <w:qFormat/>
    <w:uiPriority w:val="0"/>
    <w:pPr>
      <w:spacing w:line="240" w:lineRule="auto"/>
      <w:ind w:firstLine="0"/>
      <w:jc w:val="center"/>
    </w:pPr>
    <w:rPr>
      <w:rFonts w:hAnsi="宋体"/>
      <w:b w:val="0"/>
      <w:spacing w:val="0"/>
      <w:sz w:val="21"/>
    </w:rPr>
  </w:style>
  <w:style w:type="character" w:customStyle="1" w:styleId="3685">
    <w:name w:val="页眉 Char31"/>
    <w:qFormat/>
    <w:uiPriority w:val="0"/>
    <w:rPr>
      <w:rFonts w:eastAsia="宋体"/>
      <w:kern w:val="2"/>
      <w:sz w:val="18"/>
      <w:szCs w:val="18"/>
      <w:lang w:val="en-US" w:eastAsia="zh-CN" w:bidi="ar-SA"/>
    </w:rPr>
  </w:style>
  <w:style w:type="character" w:customStyle="1" w:styleId="3686">
    <w:name w:val="页脚 Char31"/>
    <w:qFormat/>
    <w:uiPriority w:val="0"/>
    <w:rPr>
      <w:rFonts w:eastAsia="宋体"/>
      <w:kern w:val="2"/>
      <w:sz w:val="18"/>
      <w:szCs w:val="18"/>
      <w:lang w:val="en-US" w:eastAsia="zh-CN" w:bidi="ar-SA"/>
    </w:rPr>
  </w:style>
  <w:style w:type="paragraph" w:customStyle="1" w:styleId="3687">
    <w:name w:val="黑体三号421"/>
    <w:basedOn w:val="315"/>
    <w:qFormat/>
    <w:uiPriority w:val="0"/>
    <w:pPr>
      <w:jc w:val="center"/>
    </w:pPr>
    <w:rPr>
      <w:rFonts w:ascii="黑体" w:hAnsi="宋体" w:eastAsia="黑体"/>
      <w:bCs/>
      <w:spacing w:val="0"/>
      <w:sz w:val="32"/>
    </w:rPr>
  </w:style>
  <w:style w:type="paragraph" w:customStyle="1" w:styleId="3688">
    <w:name w:val="默认段落字体 Para Char Char Char Char421"/>
    <w:basedOn w:val="1"/>
    <w:qFormat/>
    <w:uiPriority w:val="0"/>
    <w:rPr>
      <w:rFonts w:ascii="宋体" w:hAnsi="宋体" w:cs="宋体"/>
    </w:rPr>
  </w:style>
  <w:style w:type="paragraph" w:customStyle="1" w:styleId="3689">
    <w:name w:val="图表题21"/>
    <w:basedOn w:val="315"/>
    <w:next w:val="315"/>
    <w:qFormat/>
    <w:uiPriority w:val="0"/>
    <w:pPr>
      <w:ind w:firstLine="0"/>
      <w:jc w:val="center"/>
    </w:pPr>
    <w:rPr>
      <w:rFonts w:ascii="黑体" w:hAnsi="宋体" w:eastAsia="黑体"/>
      <w:bCs/>
      <w:spacing w:val="0"/>
    </w:rPr>
  </w:style>
  <w:style w:type="character" w:customStyle="1" w:styleId="3690">
    <w:name w:val="图表题 Char21"/>
    <w:qFormat/>
    <w:uiPriority w:val="0"/>
    <w:rPr>
      <w:rFonts w:ascii="黑体" w:hAnsi="宋体" w:eastAsia="黑体" w:cs="宋体"/>
      <w:b/>
      <w:bCs/>
      <w:szCs w:val="24"/>
    </w:rPr>
  </w:style>
  <w:style w:type="paragraph" w:customStyle="1" w:styleId="3691">
    <w:name w:val="样式 表格内字体 +21"/>
    <w:basedOn w:val="1177"/>
    <w:qFormat/>
    <w:uiPriority w:val="0"/>
    <w:pPr>
      <w:spacing w:line="280" w:lineRule="exact"/>
      <w:ind w:firstLine="36"/>
      <w:jc w:val="both"/>
    </w:pPr>
    <w:rPr>
      <w:kern w:val="0"/>
    </w:rPr>
  </w:style>
  <w:style w:type="character" w:customStyle="1" w:styleId="3692">
    <w:name w:val="样式 表格内字体 + Char21"/>
    <w:basedOn w:val="1178"/>
    <w:qFormat/>
    <w:uiPriority w:val="0"/>
  </w:style>
  <w:style w:type="paragraph" w:customStyle="1" w:styleId="3693">
    <w:name w:val="A正文21"/>
    <w:basedOn w:val="1"/>
    <w:qFormat/>
    <w:uiPriority w:val="0"/>
    <w:pPr>
      <w:widowControl/>
      <w:overflowPunct w:val="0"/>
      <w:autoSpaceDE w:val="0"/>
      <w:autoSpaceDN w:val="0"/>
      <w:adjustRightInd w:val="0"/>
      <w:spacing w:line="360" w:lineRule="auto"/>
      <w:ind w:firstLine="200" w:firstLineChars="200"/>
      <w:jc w:val="left"/>
      <w:textAlignment w:val="baseline"/>
    </w:pPr>
    <w:rPr>
      <w:rFonts w:ascii="宋体" w:hAnsi="宋体" w:eastAsia="仿宋_GB2312" w:cs="宋体"/>
      <w:kern w:val="0"/>
      <w:sz w:val="24"/>
    </w:rPr>
  </w:style>
  <w:style w:type="character" w:customStyle="1" w:styleId="3694">
    <w:name w:val="A正文 Char21"/>
    <w:qFormat/>
    <w:uiPriority w:val="0"/>
    <w:rPr>
      <w:rFonts w:eastAsia="仿宋_GB2312"/>
      <w:kern w:val="2"/>
      <w:sz w:val="24"/>
      <w:szCs w:val="24"/>
      <w:lang w:val="en-US" w:eastAsia="zh-CN" w:bidi="ar-SA"/>
    </w:rPr>
  </w:style>
  <w:style w:type="paragraph" w:customStyle="1" w:styleId="3695">
    <w:name w:val="图题注21"/>
    <w:basedOn w:val="23"/>
    <w:qFormat/>
    <w:uiPriority w:val="0"/>
    <w:pPr>
      <w:widowControl w:val="0"/>
      <w:jc w:val="center"/>
    </w:pPr>
    <w:rPr>
      <w:rFonts w:ascii="黑体" w:hAnsi="Arial"/>
      <w:b/>
      <w:bCs/>
      <w:kern w:val="2"/>
    </w:rPr>
  </w:style>
  <w:style w:type="character" w:customStyle="1" w:styleId="3696">
    <w:name w:val="图题注 Char21"/>
    <w:qFormat/>
    <w:uiPriority w:val="0"/>
    <w:rPr>
      <w:rFonts w:ascii="黑体" w:hAnsi="Arial" w:eastAsia="黑体" w:cs="宋体"/>
      <w:b/>
      <w:bCs/>
      <w:kern w:val="2"/>
      <w:sz w:val="24"/>
      <w:szCs w:val="24"/>
      <w:lang w:val="en-US" w:eastAsia="zh-CN" w:bidi="ar-SA"/>
    </w:rPr>
  </w:style>
  <w:style w:type="paragraph" w:customStyle="1" w:styleId="3697">
    <w:name w:val="Char721"/>
    <w:basedOn w:val="1"/>
    <w:qFormat/>
    <w:uiPriority w:val="0"/>
    <w:pPr>
      <w:ind w:left="-48"/>
    </w:pPr>
    <w:rPr>
      <w:rFonts w:ascii="宋体" w:hAnsi="宋体" w:cs="宋体"/>
    </w:rPr>
  </w:style>
  <w:style w:type="paragraph" w:customStyle="1" w:styleId="3698">
    <w:name w:val="表格内字体1121"/>
    <w:basedOn w:val="315"/>
    <w:qFormat/>
    <w:uiPriority w:val="0"/>
    <w:pPr>
      <w:spacing w:line="240" w:lineRule="auto"/>
      <w:ind w:firstLine="0"/>
      <w:jc w:val="center"/>
    </w:pPr>
    <w:rPr>
      <w:rFonts w:hAnsi="Times New Roman"/>
      <w:b w:val="0"/>
      <w:spacing w:val="0"/>
      <w:sz w:val="21"/>
    </w:rPr>
  </w:style>
  <w:style w:type="paragraph" w:customStyle="1" w:styleId="3699">
    <w:name w:val="样式 正文缩进 + 宋体 黑色 首行缩进:  2 字符21"/>
    <w:basedOn w:val="6"/>
    <w:qFormat/>
    <w:uiPriority w:val="0"/>
    <w:pPr>
      <w:adjustRightInd/>
      <w:snapToGrid/>
      <w:spacing w:line="360" w:lineRule="auto"/>
      <w:ind w:firstLine="480"/>
      <w:jc w:val="left"/>
    </w:pPr>
    <w:rPr>
      <w:rFonts w:ascii="宋体" w:hAnsi="宋体" w:eastAsia="宋体" w:cs="宋体"/>
      <w:color w:val="FF00FF"/>
      <w:sz w:val="24"/>
      <w:szCs w:val="20"/>
    </w:rPr>
  </w:style>
  <w:style w:type="paragraph" w:customStyle="1" w:styleId="3700">
    <w:name w:val="环评正文21"/>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character" w:customStyle="1" w:styleId="3701">
    <w:name w:val="环评正文 Char21"/>
    <w:qFormat/>
    <w:uiPriority w:val="0"/>
    <w:rPr>
      <w:rFonts w:eastAsia="宋体"/>
      <w:bCs/>
      <w:kern w:val="2"/>
      <w:sz w:val="24"/>
      <w:szCs w:val="24"/>
      <w:lang w:val="en-US" w:eastAsia="zh-CN" w:bidi="ar-SA"/>
    </w:rPr>
  </w:style>
  <w:style w:type="paragraph" w:customStyle="1" w:styleId="3702">
    <w:name w:val="注释21"/>
    <w:basedOn w:val="315"/>
    <w:next w:val="35"/>
    <w:qFormat/>
    <w:uiPriority w:val="0"/>
    <w:pPr>
      <w:spacing w:before="120" w:after="120" w:line="240" w:lineRule="auto"/>
      <w:ind w:firstLine="200" w:firstLineChars="200"/>
    </w:pPr>
    <w:rPr>
      <w:rFonts w:hAnsi="Times New Roman"/>
      <w:b w:val="0"/>
      <w:spacing w:val="0"/>
      <w:sz w:val="21"/>
    </w:rPr>
  </w:style>
  <w:style w:type="paragraph" w:customStyle="1" w:styleId="3703">
    <w:name w:val="样式421"/>
    <w:basedOn w:val="35"/>
    <w:qFormat/>
    <w:uiPriority w:val="0"/>
    <w:pPr>
      <w:tabs>
        <w:tab w:val="left" w:pos="1820"/>
      </w:tabs>
      <w:snapToGrid w:val="0"/>
      <w:spacing w:after="0" w:line="240" w:lineRule="atLeast"/>
      <w:jc w:val="center"/>
    </w:pPr>
    <w:rPr>
      <w:rFonts w:ascii="Calibri" w:hAnsi="Calibri" w:eastAsia="幼圆" w:cs="宋体"/>
      <w:kern w:val="0"/>
    </w:rPr>
  </w:style>
  <w:style w:type="paragraph" w:customStyle="1" w:styleId="3704">
    <w:name w:val="标题4131"/>
    <w:basedOn w:val="8"/>
    <w:next w:val="1"/>
    <w:qFormat/>
    <w:uiPriority w:val="0"/>
    <w:pPr>
      <w:widowControl w:val="0"/>
      <w:tabs>
        <w:tab w:val="clear" w:pos="1276"/>
      </w:tabs>
      <w:spacing w:before="160" w:after="170"/>
      <w:ind w:left="0" w:firstLine="0"/>
      <w:jc w:val="both"/>
    </w:pPr>
    <w:rPr>
      <w:rFonts w:ascii="黑体" w:eastAsia="黑体"/>
    </w:rPr>
  </w:style>
  <w:style w:type="character" w:customStyle="1" w:styleId="3705">
    <w:name w:val="标题4 Char21"/>
    <w:qFormat/>
    <w:uiPriority w:val="0"/>
    <w:rPr>
      <w:rFonts w:ascii="黑体" w:hAnsi="Arial" w:eastAsia="黑体" w:cs="Times New Roman"/>
      <w:b/>
      <w:bCs/>
      <w:kern w:val="2"/>
      <w:sz w:val="24"/>
      <w:szCs w:val="28"/>
      <w:lang w:val="en-US" w:eastAsia="zh-CN" w:bidi="ar-SA"/>
    </w:rPr>
  </w:style>
  <w:style w:type="paragraph" w:customStyle="1" w:styleId="3706">
    <w:name w:val="表中文字421"/>
    <w:basedOn w:val="1"/>
    <w:qFormat/>
    <w:uiPriority w:val="0"/>
    <w:pPr>
      <w:snapToGrid w:val="0"/>
      <w:spacing w:line="340" w:lineRule="exact"/>
      <w:ind w:firstLine="480" w:firstLineChars="200"/>
      <w:jc w:val="center"/>
    </w:pPr>
    <w:rPr>
      <w:rFonts w:ascii="Arial" w:hAnsi="Arial" w:cs="宋体"/>
      <w:kern w:val="0"/>
      <w:sz w:val="24"/>
      <w:lang w:eastAsia="zh-TW"/>
    </w:rPr>
  </w:style>
  <w:style w:type="character" w:customStyle="1" w:styleId="3707">
    <w:name w:val="表中文字 Char31"/>
    <w:qFormat/>
    <w:uiPriority w:val="0"/>
    <w:rPr>
      <w:rFonts w:ascii="Arial" w:hAnsi="Arial" w:eastAsia="宋体"/>
      <w:kern w:val="2"/>
      <w:sz w:val="24"/>
      <w:szCs w:val="24"/>
      <w:lang w:val="en-US" w:eastAsia="zh-TW" w:bidi="ar-SA"/>
    </w:rPr>
  </w:style>
  <w:style w:type="paragraph" w:customStyle="1" w:styleId="3708">
    <w:name w:val="样式 正文缩进 + 宋体 黑色21"/>
    <w:basedOn w:val="6"/>
    <w:qFormat/>
    <w:uiPriority w:val="0"/>
    <w:pPr>
      <w:adjustRightInd/>
      <w:snapToGrid/>
      <w:spacing w:line="360" w:lineRule="auto"/>
      <w:jc w:val="left"/>
    </w:pPr>
    <w:rPr>
      <w:rFonts w:ascii="宋体" w:hAnsi="宋体" w:eastAsia="宋体" w:cs="宋体"/>
      <w:sz w:val="24"/>
    </w:rPr>
  </w:style>
  <w:style w:type="character" w:customStyle="1" w:styleId="3709">
    <w:name w:val="样式 正文缩进 + 宋体 黑色 Char21"/>
    <w:qFormat/>
    <w:uiPriority w:val="0"/>
    <w:rPr>
      <w:rFonts w:ascii="宋体" w:hAnsi="宋体" w:eastAsia="宋体"/>
      <w:color w:val="000000"/>
      <w:kern w:val="2"/>
      <w:sz w:val="24"/>
      <w:szCs w:val="24"/>
      <w:lang w:val="en-US" w:eastAsia="zh-CN" w:bidi="ar-SA"/>
    </w:rPr>
  </w:style>
  <w:style w:type="paragraph" w:customStyle="1" w:styleId="3710">
    <w:name w:val="表内5121"/>
    <w:basedOn w:val="1"/>
    <w:qFormat/>
    <w:uiPriority w:val="0"/>
    <w:pPr>
      <w:adjustRightInd w:val="0"/>
      <w:snapToGrid w:val="0"/>
      <w:jc w:val="center"/>
    </w:pPr>
    <w:rPr>
      <w:rFonts w:ascii="宋体" w:hAnsi="宋体" w:cs="宋体"/>
      <w:kern w:val="0"/>
      <w:sz w:val="24"/>
    </w:rPr>
  </w:style>
  <w:style w:type="character" w:customStyle="1" w:styleId="3711">
    <w:name w:val="表内5 Char31"/>
    <w:qFormat/>
    <w:uiPriority w:val="0"/>
    <w:rPr>
      <w:rFonts w:ascii="宋体" w:hAnsi="宋体" w:eastAsia="宋体" w:cs="Times New Roman"/>
      <w:kern w:val="2"/>
      <w:sz w:val="24"/>
      <w:szCs w:val="24"/>
      <w:lang w:val="en-US" w:eastAsia="zh-CN" w:bidi="ar-SA"/>
    </w:rPr>
  </w:style>
  <w:style w:type="paragraph" w:customStyle="1" w:styleId="3712">
    <w:name w:val="样式 样式 宋体 + 首行缩进:  2 字符121"/>
    <w:basedOn w:val="1"/>
    <w:qFormat/>
    <w:uiPriority w:val="0"/>
    <w:pPr>
      <w:spacing w:line="360" w:lineRule="auto"/>
      <w:ind w:firstLine="480" w:firstLineChars="200"/>
      <w:jc w:val="left"/>
    </w:pPr>
    <w:rPr>
      <w:rFonts w:ascii="宋体" w:hAnsi="宋体" w:cs="宋体"/>
      <w:sz w:val="24"/>
    </w:rPr>
  </w:style>
  <w:style w:type="paragraph" w:customStyle="1" w:styleId="3713">
    <w:name w:val="表内宋5中221"/>
    <w:basedOn w:val="1"/>
    <w:qFormat/>
    <w:uiPriority w:val="0"/>
    <w:pPr>
      <w:adjustRightInd w:val="0"/>
      <w:snapToGrid w:val="0"/>
      <w:jc w:val="center"/>
      <w:textAlignment w:val="baseline"/>
    </w:pPr>
    <w:rPr>
      <w:rFonts w:ascii="宋体" w:hAnsi="宋体" w:cs="宋体"/>
      <w:kern w:val="0"/>
    </w:rPr>
  </w:style>
  <w:style w:type="paragraph" w:customStyle="1" w:styleId="3714">
    <w:name w:val="xl6321"/>
    <w:basedOn w:val="1"/>
    <w:qFormat/>
    <w:uiPriority w:val="0"/>
    <w:pPr>
      <w:widowControl/>
      <w:spacing w:before="100" w:beforeAutospacing="1" w:after="100" w:afterAutospacing="1"/>
      <w:jc w:val="center"/>
      <w:textAlignment w:val="center"/>
    </w:pPr>
    <w:rPr>
      <w:rFonts w:hint="eastAsia" w:ascii="黑体" w:hAnsi="宋体" w:eastAsia="黑体" w:cs="宋体"/>
      <w:kern w:val="0"/>
      <w:sz w:val="24"/>
    </w:rPr>
  </w:style>
  <w:style w:type="paragraph" w:customStyle="1" w:styleId="3715">
    <w:name w:val="标准21"/>
    <w:basedOn w:val="1"/>
    <w:qFormat/>
    <w:uiPriority w:val="0"/>
    <w:pPr>
      <w:adjustRightInd w:val="0"/>
      <w:spacing w:before="120" w:line="336" w:lineRule="auto"/>
      <w:jc w:val="center"/>
      <w:textAlignment w:val="baseline"/>
    </w:pPr>
    <w:rPr>
      <w:rFonts w:ascii="黑体" w:hAnsi="宋体" w:eastAsia="黑体" w:cs="宋体"/>
    </w:rPr>
  </w:style>
  <w:style w:type="paragraph" w:customStyle="1" w:styleId="3716">
    <w:name w:val="Fax Header21"/>
    <w:basedOn w:val="1"/>
    <w:qFormat/>
    <w:uiPriority w:val="0"/>
    <w:pPr>
      <w:widowControl/>
      <w:spacing w:before="240" w:after="60"/>
      <w:jc w:val="left"/>
    </w:pPr>
    <w:rPr>
      <w:rFonts w:ascii="宋体" w:hAnsi="宋体" w:cs="宋体"/>
      <w:kern w:val="0"/>
      <w:sz w:val="24"/>
    </w:rPr>
  </w:style>
  <w:style w:type="paragraph" w:customStyle="1" w:styleId="3717">
    <w:name w:val="样式 表格内字体1 +21"/>
    <w:basedOn w:val="1264"/>
    <w:next w:val="1177"/>
    <w:qFormat/>
    <w:uiPriority w:val="0"/>
    <w:rPr>
      <w:rFonts w:hAnsi="Times New Roman"/>
    </w:rPr>
  </w:style>
  <w:style w:type="paragraph" w:customStyle="1" w:styleId="3718">
    <w:name w:val="默认段落字体 Para Char321"/>
    <w:basedOn w:val="1"/>
    <w:qFormat/>
    <w:uiPriority w:val="0"/>
    <w:pPr>
      <w:spacing w:line="360" w:lineRule="auto"/>
      <w:ind w:firstLine="200" w:firstLineChars="200"/>
    </w:pPr>
    <w:rPr>
      <w:rFonts w:ascii="宋体" w:hAnsi="宋体" w:cs="宋体"/>
      <w:sz w:val="24"/>
    </w:rPr>
  </w:style>
  <w:style w:type="paragraph" w:customStyle="1" w:styleId="3719">
    <w:name w:val="正文斜体21"/>
    <w:basedOn w:val="315"/>
    <w:next w:val="315"/>
    <w:qFormat/>
    <w:uiPriority w:val="0"/>
    <w:rPr>
      <w:rFonts w:hAnsi="宋体"/>
      <w:b w:val="0"/>
      <w:i/>
      <w:iCs/>
      <w:spacing w:val="0"/>
    </w:rPr>
  </w:style>
  <w:style w:type="character" w:customStyle="1" w:styleId="3720">
    <w:name w:val="正文斜体 Char21"/>
    <w:qFormat/>
    <w:uiPriority w:val="0"/>
    <w:rPr>
      <w:rFonts w:hAnsi="宋体" w:cs="宋体"/>
      <w:i/>
      <w:iCs/>
      <w:szCs w:val="24"/>
    </w:rPr>
  </w:style>
  <w:style w:type="paragraph" w:customStyle="1" w:styleId="3721">
    <w:name w:val="Char821"/>
    <w:basedOn w:val="1"/>
    <w:qFormat/>
    <w:uiPriority w:val="0"/>
    <w:pPr>
      <w:ind w:left="-48"/>
    </w:pPr>
    <w:rPr>
      <w:rFonts w:ascii="宋体" w:hAnsi="宋体" w:cs="宋体"/>
    </w:rPr>
  </w:style>
  <w:style w:type="paragraph" w:customStyle="1" w:styleId="3722">
    <w:name w:val="正文格式721"/>
    <w:basedOn w:val="1"/>
    <w:qFormat/>
    <w:uiPriority w:val="0"/>
    <w:pPr>
      <w:spacing w:line="360" w:lineRule="auto"/>
      <w:ind w:firstLine="482"/>
    </w:pPr>
    <w:rPr>
      <w:rFonts w:ascii="宋体" w:hAnsi="宋体" w:cs="宋体"/>
      <w:sz w:val="24"/>
    </w:rPr>
  </w:style>
  <w:style w:type="character" w:customStyle="1" w:styleId="3723">
    <w:name w:val="题注 Char521"/>
    <w:qFormat/>
    <w:uiPriority w:val="0"/>
    <w:rPr>
      <w:rFonts w:ascii="黑体" w:hAnsi="Arial" w:eastAsia="黑体" w:cs="Arial"/>
      <w:b/>
      <w:szCs w:val="24"/>
    </w:rPr>
  </w:style>
  <w:style w:type="paragraph" w:customStyle="1" w:styleId="3724">
    <w:name w:val="图题721"/>
    <w:basedOn w:val="315"/>
    <w:next w:val="315"/>
    <w:qFormat/>
    <w:uiPriority w:val="0"/>
    <w:pPr>
      <w:ind w:firstLine="0"/>
      <w:jc w:val="center"/>
    </w:pPr>
    <w:rPr>
      <w:rFonts w:ascii="黑体" w:hAnsi="宋体" w:eastAsia="黑体"/>
      <w:bCs/>
      <w:spacing w:val="0"/>
    </w:rPr>
  </w:style>
  <w:style w:type="paragraph" w:customStyle="1" w:styleId="3725">
    <w:name w:val="表格内字体721"/>
    <w:basedOn w:val="315"/>
    <w:next w:val="315"/>
    <w:qFormat/>
    <w:uiPriority w:val="0"/>
    <w:pPr>
      <w:spacing w:line="240" w:lineRule="auto"/>
      <w:ind w:firstLine="0"/>
      <w:jc w:val="center"/>
    </w:pPr>
    <w:rPr>
      <w:rFonts w:hAnsi="宋体"/>
      <w:b w:val="0"/>
      <w:spacing w:val="0"/>
      <w:sz w:val="21"/>
    </w:rPr>
  </w:style>
  <w:style w:type="paragraph" w:customStyle="1" w:styleId="3726">
    <w:name w:val="Char921"/>
    <w:basedOn w:val="1"/>
    <w:qFormat/>
    <w:uiPriority w:val="0"/>
    <w:pPr>
      <w:ind w:left="-48"/>
    </w:pPr>
    <w:rPr>
      <w:rFonts w:ascii="宋体" w:hAnsi="宋体" w:cs="宋体"/>
    </w:rPr>
  </w:style>
  <w:style w:type="paragraph" w:customStyle="1" w:styleId="3727">
    <w:name w:val="表题1521"/>
    <w:basedOn w:val="23"/>
    <w:qFormat/>
    <w:uiPriority w:val="0"/>
    <w:pPr>
      <w:widowControl w:val="0"/>
      <w:spacing w:line="360" w:lineRule="auto"/>
      <w:jc w:val="center"/>
    </w:pPr>
    <w:rPr>
      <w:rFonts w:ascii="黑体" w:hAnsi="Arial" w:cs="Arial"/>
      <w:b/>
      <w:kern w:val="2"/>
    </w:rPr>
  </w:style>
  <w:style w:type="character" w:customStyle="1" w:styleId="3728">
    <w:name w:val="表题1 Char621"/>
    <w:qFormat/>
    <w:uiPriority w:val="0"/>
    <w:rPr>
      <w:rFonts w:ascii="黑体" w:hAnsi="Arial" w:eastAsia="黑体" w:cs="Arial"/>
      <w:b/>
      <w:kern w:val="2"/>
      <w:sz w:val="24"/>
      <w:szCs w:val="24"/>
      <w:lang w:val="en-US" w:eastAsia="zh-CN" w:bidi="ar-SA"/>
    </w:rPr>
  </w:style>
  <w:style w:type="paragraph" w:customStyle="1" w:styleId="3729">
    <w:name w:val="燕山正文421"/>
    <w:basedOn w:val="1"/>
    <w:qFormat/>
    <w:uiPriority w:val="0"/>
    <w:pPr>
      <w:tabs>
        <w:tab w:val="left" w:pos="4680"/>
      </w:tabs>
      <w:adjustRightInd w:val="0"/>
      <w:snapToGrid w:val="0"/>
      <w:spacing w:line="480" w:lineRule="exact"/>
    </w:pPr>
    <w:rPr>
      <w:rFonts w:ascii="宋体" w:hAnsi="宋体" w:cs="宋体"/>
      <w:sz w:val="24"/>
    </w:rPr>
  </w:style>
  <w:style w:type="paragraph" w:customStyle="1" w:styleId="3730">
    <w:name w:val="正文修改421"/>
    <w:basedOn w:val="1180"/>
    <w:qFormat/>
    <w:uiPriority w:val="0"/>
    <w:rPr>
      <w:rFonts w:hAnsi="宋体"/>
      <w:color w:val="000000"/>
    </w:rPr>
  </w:style>
  <w:style w:type="character" w:customStyle="1" w:styleId="3731">
    <w:name w:val="正文修改 Char1421"/>
    <w:basedOn w:val="1181"/>
    <w:qFormat/>
    <w:uiPriority w:val="0"/>
  </w:style>
  <w:style w:type="paragraph" w:customStyle="1" w:styleId="3732">
    <w:name w:val="表中文字521"/>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733">
    <w:name w:val="默认段落字体 Para Char Char Char Char521"/>
    <w:basedOn w:val="1"/>
    <w:qFormat/>
    <w:uiPriority w:val="0"/>
    <w:rPr>
      <w:rFonts w:ascii="宋体" w:hAnsi="宋体" w:cs="宋体"/>
    </w:rPr>
  </w:style>
  <w:style w:type="paragraph" w:customStyle="1" w:styleId="3734">
    <w:name w:val="Char1021"/>
    <w:basedOn w:val="1"/>
    <w:qFormat/>
    <w:uiPriority w:val="0"/>
    <w:pPr>
      <w:adjustRightInd w:val="0"/>
      <w:snapToGrid w:val="0"/>
      <w:spacing w:line="360" w:lineRule="auto"/>
    </w:pPr>
    <w:rPr>
      <w:rFonts w:ascii="宋体" w:hAnsi="宋体" w:cs="宋体"/>
    </w:rPr>
  </w:style>
  <w:style w:type="paragraph" w:customStyle="1" w:styleId="3735">
    <w:name w:val="封面标准文稿编辑信息21"/>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736">
    <w:name w:val="样式 表内小5 + 黑体 加粗 倾斜 下划线21"/>
    <w:basedOn w:val="1"/>
    <w:qFormat/>
    <w:uiPriority w:val="0"/>
    <w:pPr>
      <w:adjustRightInd w:val="0"/>
      <w:snapToGrid w:val="0"/>
      <w:spacing w:line="300" w:lineRule="auto"/>
      <w:jc w:val="left"/>
    </w:pPr>
    <w:rPr>
      <w:rFonts w:ascii="黑体" w:hAnsi="黑体" w:eastAsia="黑体" w:cs="宋体"/>
      <w:b/>
      <w:bCs/>
      <w:i/>
      <w:iCs/>
      <w:sz w:val="18"/>
      <w:u w:val="single"/>
    </w:rPr>
  </w:style>
  <w:style w:type="character" w:customStyle="1" w:styleId="3737">
    <w:name w:val="样式 表内小5 + 黑体 加粗 倾斜 下划线 Char21"/>
    <w:qFormat/>
    <w:uiPriority w:val="0"/>
    <w:rPr>
      <w:rFonts w:ascii="黑体" w:hAnsi="黑体" w:eastAsia="黑体"/>
      <w:b/>
      <w:bCs/>
      <w:i/>
      <w:iCs/>
      <w:kern w:val="2"/>
      <w:sz w:val="18"/>
      <w:szCs w:val="24"/>
      <w:u w:val="single"/>
      <w:lang w:val="en-US" w:eastAsia="zh-CN" w:bidi="ar-SA"/>
    </w:rPr>
  </w:style>
  <w:style w:type="paragraph" w:customStyle="1" w:styleId="3738">
    <w:name w:val="表内5中121"/>
    <w:basedOn w:val="1"/>
    <w:qFormat/>
    <w:uiPriority w:val="0"/>
    <w:pPr>
      <w:adjustRightInd w:val="0"/>
      <w:snapToGrid w:val="0"/>
      <w:jc w:val="center"/>
    </w:pPr>
    <w:rPr>
      <w:rFonts w:ascii="宋体" w:hAnsi="宋体" w:cs="Arial"/>
      <w:snapToGrid w:val="0"/>
      <w:color w:val="000000"/>
      <w:szCs w:val="21"/>
    </w:rPr>
  </w:style>
  <w:style w:type="paragraph" w:customStyle="1" w:styleId="3739">
    <w:name w:val="表内541421"/>
    <w:basedOn w:val="1"/>
    <w:qFormat/>
    <w:uiPriority w:val="0"/>
    <w:pPr>
      <w:adjustRightInd w:val="0"/>
      <w:snapToGrid w:val="0"/>
      <w:spacing w:line="300" w:lineRule="auto"/>
      <w:jc w:val="center"/>
    </w:pPr>
    <w:rPr>
      <w:rFonts w:ascii="宋体" w:hAnsi="宋体" w:cs="宋体"/>
    </w:rPr>
  </w:style>
  <w:style w:type="paragraph" w:customStyle="1" w:styleId="3740">
    <w:name w:val="表格121"/>
    <w:basedOn w:val="1"/>
    <w:qFormat/>
    <w:uiPriority w:val="0"/>
    <w:pPr>
      <w:adjustRightInd w:val="0"/>
      <w:jc w:val="center"/>
      <w:textAlignment w:val="baseline"/>
    </w:pPr>
    <w:rPr>
      <w:rFonts w:ascii="宋体" w:hAnsi="宋体" w:cs="宋体"/>
      <w:kern w:val="0"/>
      <w:sz w:val="24"/>
    </w:rPr>
  </w:style>
  <w:style w:type="paragraph" w:customStyle="1" w:styleId="3741">
    <w:name w:val="c21"/>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742">
    <w:name w:val="表题921"/>
    <w:basedOn w:val="46"/>
    <w:qFormat/>
    <w:uiPriority w:val="0"/>
    <w:pPr>
      <w:widowControl w:val="0"/>
      <w:adjustRightInd w:val="0"/>
      <w:snapToGrid w:val="0"/>
      <w:spacing w:line="300" w:lineRule="auto"/>
      <w:jc w:val="center"/>
    </w:pPr>
    <w:rPr>
      <w:rFonts w:ascii="黑体" w:eastAsia="黑体" w:cs="Times New Roman"/>
      <w:kern w:val="2"/>
      <w:szCs w:val="20"/>
    </w:rPr>
  </w:style>
  <w:style w:type="paragraph" w:customStyle="1" w:styleId="3743">
    <w:name w:val="福建正文缩进21"/>
    <w:basedOn w:val="6"/>
    <w:qFormat/>
    <w:uiPriority w:val="0"/>
    <w:pPr>
      <w:widowControl/>
      <w:tabs>
        <w:tab w:val="left" w:pos="5837"/>
      </w:tabs>
      <w:spacing w:line="480" w:lineRule="exact"/>
      <w:ind w:firstLine="0" w:firstLineChars="0"/>
    </w:pPr>
    <w:rPr>
      <w:rFonts w:ascii="宋体" w:hAnsi="宋体" w:eastAsia="宋体" w:cs="宋体"/>
      <w:kern w:val="0"/>
      <w:sz w:val="24"/>
    </w:rPr>
  </w:style>
  <w:style w:type="character" w:customStyle="1" w:styleId="3744">
    <w:name w:val="福建正文缩进 Char21"/>
    <w:qFormat/>
    <w:uiPriority w:val="0"/>
    <w:rPr>
      <w:rFonts w:ascii="宋体" w:hAnsi="宋体" w:eastAsia="宋体" w:cs="宋体"/>
      <w:color w:val="000000"/>
      <w:kern w:val="2"/>
      <w:sz w:val="24"/>
      <w:szCs w:val="24"/>
      <w:lang w:val="en-US" w:eastAsia="zh-CN" w:bidi="ar-SA"/>
    </w:rPr>
  </w:style>
  <w:style w:type="paragraph" w:customStyle="1" w:styleId="3745">
    <w:name w:val="表内文字小131"/>
    <w:basedOn w:val="1"/>
    <w:qFormat/>
    <w:uiPriority w:val="0"/>
    <w:pPr>
      <w:adjustRightInd w:val="0"/>
      <w:snapToGrid w:val="0"/>
      <w:jc w:val="center"/>
    </w:pPr>
    <w:rPr>
      <w:rFonts w:ascii="宋体" w:hAnsi="Times" w:cs="宋体"/>
    </w:rPr>
  </w:style>
  <w:style w:type="paragraph" w:customStyle="1" w:styleId="3746">
    <w:name w:val="表内5921"/>
    <w:basedOn w:val="1"/>
    <w:qFormat/>
    <w:uiPriority w:val="0"/>
    <w:pPr>
      <w:adjustRightInd w:val="0"/>
      <w:snapToGrid w:val="0"/>
      <w:spacing w:line="300" w:lineRule="auto"/>
      <w:jc w:val="center"/>
    </w:pPr>
    <w:rPr>
      <w:rFonts w:ascii="宋体" w:hAnsi="宋体" w:cs="宋体"/>
      <w:snapToGrid w:val="0"/>
      <w:szCs w:val="21"/>
    </w:rPr>
  </w:style>
  <w:style w:type="character" w:customStyle="1" w:styleId="3747">
    <w:name w:val="正文首行缩进 2 Char21"/>
    <w:qFormat/>
    <w:uiPriority w:val="0"/>
    <w:rPr>
      <w:rFonts w:ascii="宋体" w:hAnsi="宋体" w:cs="宋体"/>
      <w:color w:val="000000"/>
      <w:sz w:val="21"/>
      <w:szCs w:val="24"/>
    </w:rPr>
  </w:style>
  <w:style w:type="paragraph" w:customStyle="1" w:styleId="3748">
    <w:name w:val="表内小5中21"/>
    <w:basedOn w:val="1"/>
    <w:qFormat/>
    <w:uiPriority w:val="0"/>
    <w:pPr>
      <w:adjustRightInd w:val="0"/>
      <w:snapToGrid w:val="0"/>
      <w:jc w:val="center"/>
    </w:pPr>
    <w:rPr>
      <w:rFonts w:ascii="宋体" w:hAnsi="宋体" w:cs="宋体"/>
      <w:sz w:val="18"/>
    </w:rPr>
  </w:style>
  <w:style w:type="paragraph" w:customStyle="1" w:styleId="3749">
    <w:name w:val="表内5中421"/>
    <w:basedOn w:val="1"/>
    <w:qFormat/>
    <w:uiPriority w:val="0"/>
    <w:pPr>
      <w:adjustRightInd w:val="0"/>
      <w:snapToGrid w:val="0"/>
      <w:jc w:val="center"/>
    </w:pPr>
    <w:rPr>
      <w:rFonts w:ascii="宋体" w:hAnsi="宋体" w:cs="宋体"/>
      <w:bCs/>
    </w:rPr>
  </w:style>
  <w:style w:type="paragraph" w:customStyle="1" w:styleId="3750">
    <w:name w:val="默认段落字体 Para Char42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751">
    <w:name w:val="燕山正文1321"/>
    <w:basedOn w:val="1"/>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3752">
    <w:name w:val="样式 标题 4无效格式无效格式1河石管道4H4H41小小节河石管道41H42H411小小节1河石管道42...31"/>
    <w:basedOn w:val="8"/>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3753">
    <w:name w:val="样式 标题 4无效格式无效格式1河石管道4H4H41小小节河石管道41H42H411小小节1河石管道42...121"/>
    <w:basedOn w:val="8"/>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3754">
    <w:name w:val="正文格式831"/>
    <w:basedOn w:val="1"/>
    <w:qFormat/>
    <w:uiPriority w:val="0"/>
    <w:pPr>
      <w:spacing w:line="360" w:lineRule="auto"/>
      <w:ind w:firstLine="482"/>
    </w:pPr>
    <w:rPr>
      <w:rFonts w:ascii="宋体" w:hAnsi="宋体" w:cs="宋体"/>
      <w:sz w:val="24"/>
    </w:rPr>
  </w:style>
  <w:style w:type="paragraph" w:customStyle="1" w:styleId="3755">
    <w:name w:val="正文格式921"/>
    <w:basedOn w:val="1"/>
    <w:qFormat/>
    <w:uiPriority w:val="0"/>
    <w:pPr>
      <w:spacing w:line="360" w:lineRule="auto"/>
      <w:ind w:firstLine="482"/>
    </w:pPr>
    <w:rPr>
      <w:rFonts w:ascii="宋体" w:hAnsi="宋体" w:cs="宋体"/>
      <w:sz w:val="24"/>
    </w:rPr>
  </w:style>
  <w:style w:type="paragraph" w:customStyle="1" w:styleId="3756">
    <w:name w:val="Char451"/>
    <w:basedOn w:val="1"/>
    <w:qFormat/>
    <w:uiPriority w:val="0"/>
    <w:pPr>
      <w:ind w:left="-48"/>
    </w:pPr>
    <w:rPr>
      <w:rFonts w:ascii="宋体" w:hAnsi="宋体" w:cs="宋体"/>
    </w:rPr>
  </w:style>
  <w:style w:type="paragraph" w:customStyle="1" w:styleId="3757">
    <w:name w:val="Char Char Char Char Char Char Char81"/>
    <w:basedOn w:val="1"/>
    <w:qFormat/>
    <w:uiPriority w:val="0"/>
    <w:rPr>
      <w:rFonts w:ascii="宋体" w:hAnsi="宋体" w:cs="宋体"/>
    </w:rPr>
  </w:style>
  <w:style w:type="paragraph" w:customStyle="1" w:styleId="3758">
    <w:name w:val="Char261"/>
    <w:basedOn w:val="1"/>
    <w:qFormat/>
    <w:uiPriority w:val="0"/>
    <w:pPr>
      <w:ind w:left="-48"/>
    </w:pPr>
    <w:rPr>
      <w:rFonts w:ascii="宋体" w:hAnsi="宋体" w:cs="宋体"/>
    </w:rPr>
  </w:style>
  <w:style w:type="paragraph" w:customStyle="1" w:styleId="3759">
    <w:name w:val="Char Char Char Char1 Char Char Char41"/>
    <w:basedOn w:val="1"/>
    <w:qFormat/>
    <w:uiPriority w:val="0"/>
    <w:pPr>
      <w:widowControl/>
      <w:spacing w:after="160"/>
      <w:jc w:val="left"/>
    </w:pPr>
    <w:rPr>
      <w:rFonts w:ascii="Verdana" w:hAnsi="Verdana" w:cs="宋体"/>
      <w:kern w:val="0"/>
      <w:sz w:val="24"/>
      <w:lang w:eastAsia="en-US"/>
    </w:rPr>
  </w:style>
  <w:style w:type="character" w:customStyle="1" w:styleId="3760">
    <w:name w:val="Char Char1141"/>
    <w:qFormat/>
    <w:uiPriority w:val="0"/>
    <w:rPr>
      <w:rFonts w:ascii="黑体" w:hAnsi="Arial" w:eastAsia="黑体"/>
      <w:bCs/>
      <w:kern w:val="2"/>
      <w:sz w:val="30"/>
      <w:szCs w:val="30"/>
      <w:lang w:val="en-US" w:eastAsia="zh-CN" w:bidi="ar-SA"/>
    </w:rPr>
  </w:style>
  <w:style w:type="paragraph" w:customStyle="1" w:styleId="3761">
    <w:name w:val="Char1121"/>
    <w:basedOn w:val="1"/>
    <w:qFormat/>
    <w:uiPriority w:val="0"/>
    <w:pPr>
      <w:ind w:left="-48"/>
    </w:pPr>
    <w:rPr>
      <w:rFonts w:ascii="宋体" w:hAnsi="宋体" w:cs="宋体"/>
    </w:rPr>
  </w:style>
  <w:style w:type="paragraph" w:customStyle="1" w:styleId="3762">
    <w:name w:val="Char Char Char Char Char Char Char161"/>
    <w:basedOn w:val="1"/>
    <w:qFormat/>
    <w:uiPriority w:val="0"/>
    <w:rPr>
      <w:rFonts w:ascii="宋体" w:hAnsi="宋体" w:cs="宋体"/>
    </w:rPr>
  </w:style>
  <w:style w:type="character" w:customStyle="1" w:styleId="3763">
    <w:name w:val="Char Char641"/>
    <w:basedOn w:val="91"/>
    <w:qFormat/>
    <w:uiPriority w:val="0"/>
    <w:rPr>
      <w:rFonts w:ascii="黑体" w:eastAsia="黑体"/>
      <w:b/>
      <w:bCs/>
      <w:kern w:val="2"/>
      <w:sz w:val="28"/>
      <w:szCs w:val="28"/>
      <w:lang w:val="en-US" w:eastAsia="zh-CN" w:bidi="ar-SA"/>
    </w:rPr>
  </w:style>
  <w:style w:type="paragraph" w:customStyle="1" w:styleId="3764">
    <w:name w:val="Char271"/>
    <w:basedOn w:val="1"/>
    <w:qFormat/>
    <w:uiPriority w:val="0"/>
    <w:pPr>
      <w:ind w:left="-48"/>
    </w:pPr>
    <w:rPr>
      <w:rFonts w:ascii="宋体" w:hAnsi="宋体" w:cs="宋体"/>
    </w:rPr>
  </w:style>
  <w:style w:type="paragraph" w:customStyle="1" w:styleId="3765">
    <w:name w:val="Char361"/>
    <w:basedOn w:val="1"/>
    <w:qFormat/>
    <w:uiPriority w:val="0"/>
    <w:pPr>
      <w:ind w:left="-48"/>
    </w:pPr>
    <w:rPr>
      <w:rFonts w:ascii="宋体" w:hAnsi="宋体" w:cs="宋体"/>
    </w:rPr>
  </w:style>
  <w:style w:type="paragraph" w:customStyle="1" w:styleId="3766">
    <w:name w:val="Char Char Char Char Char Char Char241"/>
    <w:basedOn w:val="1"/>
    <w:qFormat/>
    <w:uiPriority w:val="0"/>
    <w:rPr>
      <w:rFonts w:ascii="宋体" w:hAnsi="宋体" w:cs="宋体"/>
    </w:rPr>
  </w:style>
  <w:style w:type="paragraph" w:customStyle="1" w:styleId="3767">
    <w:name w:val="Char461"/>
    <w:basedOn w:val="1"/>
    <w:qFormat/>
    <w:uiPriority w:val="0"/>
    <w:pPr>
      <w:ind w:left="-48"/>
    </w:pPr>
    <w:rPr>
      <w:rFonts w:ascii="宋体" w:hAnsi="宋体" w:cs="宋体"/>
    </w:rPr>
  </w:style>
  <w:style w:type="paragraph" w:customStyle="1" w:styleId="3768">
    <w:name w:val="Char Char Char Char Char Char Char91"/>
    <w:basedOn w:val="1"/>
    <w:qFormat/>
    <w:uiPriority w:val="0"/>
    <w:rPr>
      <w:rFonts w:ascii="宋体" w:hAnsi="宋体" w:cs="宋体"/>
    </w:rPr>
  </w:style>
  <w:style w:type="paragraph" w:customStyle="1" w:styleId="3769">
    <w:name w:val="Char281"/>
    <w:basedOn w:val="1"/>
    <w:qFormat/>
    <w:uiPriority w:val="0"/>
    <w:pPr>
      <w:ind w:left="-48"/>
    </w:pPr>
    <w:rPr>
      <w:rFonts w:ascii="宋体" w:hAnsi="宋体" w:cs="宋体"/>
    </w:rPr>
  </w:style>
  <w:style w:type="paragraph" w:customStyle="1" w:styleId="3770">
    <w:name w:val="Char Char Char Char1 Char Char Char51"/>
    <w:basedOn w:val="1"/>
    <w:qFormat/>
    <w:uiPriority w:val="0"/>
    <w:pPr>
      <w:widowControl/>
      <w:spacing w:after="160"/>
      <w:jc w:val="left"/>
    </w:pPr>
    <w:rPr>
      <w:rFonts w:ascii="Verdana" w:hAnsi="Verdana" w:cs="宋体"/>
      <w:kern w:val="0"/>
      <w:sz w:val="24"/>
      <w:lang w:eastAsia="en-US"/>
    </w:rPr>
  </w:style>
  <w:style w:type="character" w:customStyle="1" w:styleId="3771">
    <w:name w:val="Char Char1151"/>
    <w:qFormat/>
    <w:uiPriority w:val="0"/>
    <w:rPr>
      <w:rFonts w:ascii="黑体" w:hAnsi="Arial" w:eastAsia="黑体"/>
      <w:bCs/>
      <w:kern w:val="2"/>
      <w:sz w:val="30"/>
      <w:szCs w:val="30"/>
      <w:lang w:val="en-US" w:eastAsia="zh-CN" w:bidi="ar-SA"/>
    </w:rPr>
  </w:style>
  <w:style w:type="paragraph" w:customStyle="1" w:styleId="3772">
    <w:name w:val="Char1131"/>
    <w:basedOn w:val="1"/>
    <w:qFormat/>
    <w:uiPriority w:val="0"/>
    <w:pPr>
      <w:ind w:left="-48"/>
    </w:pPr>
    <w:rPr>
      <w:rFonts w:ascii="宋体" w:hAnsi="宋体" w:cs="宋体"/>
    </w:rPr>
  </w:style>
  <w:style w:type="paragraph" w:customStyle="1" w:styleId="3773">
    <w:name w:val="Char Char Char Char Char Char Char171"/>
    <w:basedOn w:val="1"/>
    <w:qFormat/>
    <w:uiPriority w:val="0"/>
    <w:rPr>
      <w:rFonts w:ascii="宋体" w:hAnsi="宋体" w:cs="宋体"/>
    </w:rPr>
  </w:style>
  <w:style w:type="character" w:customStyle="1" w:styleId="3774">
    <w:name w:val="Char Char651"/>
    <w:qFormat/>
    <w:uiPriority w:val="0"/>
    <w:rPr>
      <w:rFonts w:ascii="黑体" w:eastAsia="黑体"/>
      <w:b/>
      <w:bCs/>
      <w:kern w:val="2"/>
      <w:sz w:val="28"/>
      <w:szCs w:val="28"/>
      <w:lang w:val="en-US" w:eastAsia="zh-CN" w:bidi="ar-SA"/>
    </w:rPr>
  </w:style>
  <w:style w:type="paragraph" w:customStyle="1" w:styleId="3775">
    <w:name w:val="Char291"/>
    <w:basedOn w:val="1"/>
    <w:qFormat/>
    <w:uiPriority w:val="0"/>
    <w:pPr>
      <w:ind w:left="-48"/>
    </w:pPr>
    <w:rPr>
      <w:rFonts w:ascii="宋体" w:hAnsi="宋体" w:cs="宋体"/>
    </w:rPr>
  </w:style>
  <w:style w:type="paragraph" w:customStyle="1" w:styleId="3776">
    <w:name w:val="Char371"/>
    <w:basedOn w:val="1"/>
    <w:qFormat/>
    <w:uiPriority w:val="0"/>
    <w:pPr>
      <w:ind w:left="-48"/>
    </w:pPr>
    <w:rPr>
      <w:rFonts w:ascii="宋体" w:hAnsi="宋体" w:cs="宋体"/>
    </w:rPr>
  </w:style>
  <w:style w:type="paragraph" w:customStyle="1" w:styleId="3777">
    <w:name w:val="Char Char Char Char Char Char Char251"/>
    <w:basedOn w:val="1"/>
    <w:qFormat/>
    <w:uiPriority w:val="0"/>
    <w:rPr>
      <w:rFonts w:ascii="宋体" w:hAnsi="宋体" w:cs="宋体"/>
    </w:rPr>
  </w:style>
  <w:style w:type="paragraph" w:customStyle="1" w:styleId="3778">
    <w:name w:val="Char471"/>
    <w:basedOn w:val="1"/>
    <w:qFormat/>
    <w:uiPriority w:val="0"/>
    <w:pPr>
      <w:ind w:left="-48"/>
    </w:pPr>
    <w:rPr>
      <w:rFonts w:ascii="宋体" w:hAnsi="宋体" w:cs="宋体"/>
    </w:rPr>
  </w:style>
  <w:style w:type="paragraph" w:customStyle="1" w:styleId="3779">
    <w:name w:val="表格内容21"/>
    <w:qFormat/>
    <w:uiPriority w:val="0"/>
    <w:pPr>
      <w:jc w:val="center"/>
    </w:pPr>
    <w:rPr>
      <w:rFonts w:ascii="Times New Roman" w:hAnsi="Times New Roman" w:eastAsia="宋体" w:cs="Times New Roman"/>
      <w:kern w:val="2"/>
      <w:sz w:val="21"/>
      <w:szCs w:val="21"/>
      <w:lang w:val="en-US" w:eastAsia="zh-CN" w:bidi="ar-SA"/>
    </w:rPr>
  </w:style>
  <w:style w:type="character" w:customStyle="1" w:styleId="3780">
    <w:name w:val="表格内容 Char21"/>
    <w:qFormat/>
    <w:uiPriority w:val="0"/>
    <w:rPr>
      <w:rFonts w:eastAsia="宋体"/>
      <w:kern w:val="2"/>
      <w:sz w:val="21"/>
      <w:szCs w:val="21"/>
      <w:lang w:val="en-US" w:eastAsia="zh-CN" w:bidi="ar-SA"/>
    </w:rPr>
  </w:style>
  <w:style w:type="paragraph" w:customStyle="1" w:styleId="3781">
    <w:name w:val="正文格式1011"/>
    <w:basedOn w:val="1"/>
    <w:qFormat/>
    <w:uiPriority w:val="0"/>
    <w:pPr>
      <w:spacing w:line="360" w:lineRule="auto"/>
      <w:ind w:firstLine="482"/>
    </w:pPr>
    <w:rPr>
      <w:rFonts w:ascii="宋体" w:hAnsi="宋体" w:cs="宋体"/>
      <w:sz w:val="24"/>
    </w:rPr>
  </w:style>
  <w:style w:type="character" w:customStyle="1" w:styleId="3782">
    <w:name w:val="题注 Char611"/>
    <w:qFormat/>
    <w:uiPriority w:val="0"/>
    <w:rPr>
      <w:rFonts w:ascii="黑体" w:hAnsi="Arial" w:eastAsia="黑体" w:cs="Arial"/>
      <w:b/>
      <w:szCs w:val="24"/>
    </w:rPr>
  </w:style>
  <w:style w:type="paragraph" w:customStyle="1" w:styleId="3783">
    <w:name w:val="图题811"/>
    <w:basedOn w:val="315"/>
    <w:next w:val="315"/>
    <w:qFormat/>
    <w:uiPriority w:val="0"/>
    <w:pPr>
      <w:ind w:firstLine="0"/>
      <w:jc w:val="center"/>
    </w:pPr>
    <w:rPr>
      <w:rFonts w:ascii="黑体" w:hAnsi="宋体" w:eastAsia="黑体"/>
      <w:bCs/>
      <w:spacing w:val="0"/>
    </w:rPr>
  </w:style>
  <w:style w:type="paragraph" w:customStyle="1" w:styleId="3784">
    <w:name w:val="表格内字体811"/>
    <w:basedOn w:val="315"/>
    <w:next w:val="315"/>
    <w:qFormat/>
    <w:uiPriority w:val="0"/>
    <w:pPr>
      <w:spacing w:line="240" w:lineRule="auto"/>
      <w:ind w:firstLine="0"/>
      <w:jc w:val="center"/>
    </w:pPr>
    <w:rPr>
      <w:rFonts w:hAnsi="宋体"/>
      <w:b w:val="0"/>
      <w:spacing w:val="0"/>
      <w:sz w:val="21"/>
    </w:rPr>
  </w:style>
  <w:style w:type="paragraph" w:customStyle="1" w:styleId="3785">
    <w:name w:val="Char1141"/>
    <w:basedOn w:val="1"/>
    <w:qFormat/>
    <w:uiPriority w:val="0"/>
    <w:pPr>
      <w:ind w:left="-48"/>
    </w:pPr>
    <w:rPr>
      <w:rFonts w:ascii="宋体" w:hAnsi="宋体" w:cs="宋体"/>
    </w:rPr>
  </w:style>
  <w:style w:type="paragraph" w:customStyle="1" w:styleId="3786">
    <w:name w:val="表题1611"/>
    <w:basedOn w:val="23"/>
    <w:qFormat/>
    <w:uiPriority w:val="0"/>
    <w:pPr>
      <w:widowControl w:val="0"/>
      <w:spacing w:line="360" w:lineRule="auto"/>
      <w:jc w:val="center"/>
    </w:pPr>
    <w:rPr>
      <w:rFonts w:ascii="黑体" w:hAnsi="Arial" w:cs="Arial"/>
      <w:b/>
      <w:kern w:val="2"/>
    </w:rPr>
  </w:style>
  <w:style w:type="character" w:customStyle="1" w:styleId="3787">
    <w:name w:val="表题1 Char711"/>
    <w:qFormat/>
    <w:uiPriority w:val="0"/>
    <w:rPr>
      <w:rFonts w:ascii="黑体" w:hAnsi="Arial" w:eastAsia="黑体" w:cs="Arial"/>
      <w:b/>
      <w:kern w:val="2"/>
      <w:sz w:val="24"/>
      <w:szCs w:val="24"/>
      <w:lang w:val="en-US" w:eastAsia="zh-CN" w:bidi="ar-SA"/>
    </w:rPr>
  </w:style>
  <w:style w:type="paragraph" w:customStyle="1" w:styleId="3788">
    <w:name w:val="燕山正文511"/>
    <w:basedOn w:val="1"/>
    <w:qFormat/>
    <w:uiPriority w:val="0"/>
    <w:pPr>
      <w:tabs>
        <w:tab w:val="left" w:pos="4680"/>
      </w:tabs>
      <w:adjustRightInd w:val="0"/>
      <w:snapToGrid w:val="0"/>
      <w:spacing w:line="480" w:lineRule="exact"/>
    </w:pPr>
    <w:rPr>
      <w:rFonts w:ascii="宋体" w:hAnsi="宋体" w:cs="宋体"/>
      <w:sz w:val="24"/>
    </w:rPr>
  </w:style>
  <w:style w:type="paragraph" w:customStyle="1" w:styleId="3789">
    <w:name w:val="正文修改511"/>
    <w:basedOn w:val="1180"/>
    <w:qFormat/>
    <w:uiPriority w:val="0"/>
    <w:rPr>
      <w:rFonts w:hAnsi="宋体"/>
      <w:color w:val="000000"/>
    </w:rPr>
  </w:style>
  <w:style w:type="character" w:customStyle="1" w:styleId="3790">
    <w:name w:val="正文修改 Char1511"/>
    <w:qFormat/>
    <w:uiPriority w:val="0"/>
    <w:rPr>
      <w:rFonts w:hAnsi="宋体"/>
      <w:color w:val="000000"/>
    </w:rPr>
  </w:style>
  <w:style w:type="paragraph" w:customStyle="1" w:styleId="3791">
    <w:name w:val="表中文字611"/>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792">
    <w:name w:val="默认段落字体 Para Char Char Char Char611"/>
    <w:basedOn w:val="1"/>
    <w:qFormat/>
    <w:uiPriority w:val="0"/>
    <w:rPr>
      <w:rFonts w:ascii="宋体" w:hAnsi="宋体" w:cs="宋体"/>
    </w:rPr>
  </w:style>
  <w:style w:type="paragraph" w:customStyle="1" w:styleId="3793">
    <w:name w:val="Char1212"/>
    <w:basedOn w:val="1"/>
    <w:qFormat/>
    <w:uiPriority w:val="0"/>
    <w:pPr>
      <w:adjustRightInd w:val="0"/>
      <w:snapToGrid w:val="0"/>
      <w:spacing w:line="360" w:lineRule="auto"/>
    </w:pPr>
    <w:rPr>
      <w:rFonts w:ascii="宋体" w:hAnsi="宋体" w:cs="宋体"/>
    </w:rPr>
  </w:style>
  <w:style w:type="paragraph" w:customStyle="1" w:styleId="3794">
    <w:name w:val="封面标准文稿编辑信息111"/>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795">
    <w:name w:val="样式 表内小5 + 黑体 加粗 倾斜 下划线111"/>
    <w:basedOn w:val="1"/>
    <w:qFormat/>
    <w:uiPriority w:val="0"/>
    <w:pPr>
      <w:adjustRightInd w:val="0"/>
      <w:snapToGrid w:val="0"/>
      <w:spacing w:line="300" w:lineRule="auto"/>
      <w:jc w:val="left"/>
    </w:pPr>
    <w:rPr>
      <w:rFonts w:ascii="黑体" w:hAnsi="黑体" w:eastAsia="黑体" w:cs="宋体"/>
      <w:b/>
      <w:bCs/>
      <w:i/>
      <w:iCs/>
      <w:sz w:val="18"/>
      <w:u w:val="single"/>
    </w:rPr>
  </w:style>
  <w:style w:type="paragraph" w:customStyle="1" w:styleId="3796">
    <w:name w:val="表内5中211"/>
    <w:basedOn w:val="1"/>
    <w:qFormat/>
    <w:uiPriority w:val="0"/>
    <w:pPr>
      <w:adjustRightInd w:val="0"/>
      <w:snapToGrid w:val="0"/>
      <w:jc w:val="center"/>
    </w:pPr>
    <w:rPr>
      <w:rFonts w:ascii="宋体" w:hAnsi="宋体" w:cs="Arial"/>
      <w:snapToGrid w:val="0"/>
      <w:color w:val="000000"/>
      <w:szCs w:val="21"/>
    </w:rPr>
  </w:style>
  <w:style w:type="paragraph" w:customStyle="1" w:styleId="3797">
    <w:name w:val="表内541511"/>
    <w:basedOn w:val="1"/>
    <w:qFormat/>
    <w:uiPriority w:val="0"/>
    <w:pPr>
      <w:adjustRightInd w:val="0"/>
      <w:snapToGrid w:val="0"/>
      <w:spacing w:line="300" w:lineRule="auto"/>
      <w:jc w:val="center"/>
    </w:pPr>
    <w:rPr>
      <w:rFonts w:ascii="宋体" w:hAnsi="宋体" w:cs="宋体"/>
    </w:rPr>
  </w:style>
  <w:style w:type="paragraph" w:customStyle="1" w:styleId="3798">
    <w:name w:val="表格1111"/>
    <w:basedOn w:val="1"/>
    <w:qFormat/>
    <w:uiPriority w:val="0"/>
    <w:pPr>
      <w:adjustRightInd w:val="0"/>
      <w:jc w:val="center"/>
      <w:textAlignment w:val="baseline"/>
    </w:pPr>
    <w:rPr>
      <w:rFonts w:ascii="宋体" w:hAnsi="宋体" w:cs="宋体"/>
      <w:kern w:val="0"/>
      <w:sz w:val="24"/>
    </w:rPr>
  </w:style>
  <w:style w:type="paragraph" w:customStyle="1" w:styleId="3799">
    <w:name w:val="c111"/>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800">
    <w:name w:val="表题9111"/>
    <w:basedOn w:val="46"/>
    <w:qFormat/>
    <w:uiPriority w:val="0"/>
    <w:pPr>
      <w:widowControl w:val="0"/>
      <w:adjustRightInd w:val="0"/>
      <w:snapToGrid w:val="0"/>
      <w:spacing w:line="300" w:lineRule="auto"/>
      <w:jc w:val="center"/>
    </w:pPr>
    <w:rPr>
      <w:rFonts w:ascii="黑体" w:eastAsia="黑体" w:cs="Times New Roman"/>
      <w:kern w:val="2"/>
      <w:szCs w:val="20"/>
    </w:rPr>
  </w:style>
  <w:style w:type="paragraph" w:customStyle="1" w:styleId="3801">
    <w:name w:val="福建正文缩进111"/>
    <w:basedOn w:val="6"/>
    <w:qFormat/>
    <w:uiPriority w:val="0"/>
    <w:pPr>
      <w:spacing w:line="360" w:lineRule="auto"/>
      <w:ind w:firstLine="567" w:firstLineChars="0"/>
    </w:pPr>
    <w:rPr>
      <w:rFonts w:ascii="宋体" w:hAnsi="Calibri" w:eastAsia="宋体" w:cs="宋体"/>
      <w:color w:val="auto"/>
      <w:kern w:val="0"/>
      <w:sz w:val="24"/>
    </w:rPr>
  </w:style>
  <w:style w:type="paragraph" w:customStyle="1" w:styleId="3802">
    <w:name w:val="表内文字小321"/>
    <w:basedOn w:val="1"/>
    <w:qFormat/>
    <w:uiPriority w:val="0"/>
    <w:pPr>
      <w:adjustRightInd w:val="0"/>
      <w:snapToGrid w:val="0"/>
      <w:jc w:val="center"/>
    </w:pPr>
    <w:rPr>
      <w:rFonts w:ascii="宋体" w:hAnsi="Times" w:cs="宋体"/>
    </w:rPr>
  </w:style>
  <w:style w:type="paragraph" w:customStyle="1" w:styleId="3803">
    <w:name w:val="表内59111"/>
    <w:basedOn w:val="1"/>
    <w:qFormat/>
    <w:uiPriority w:val="0"/>
    <w:pPr>
      <w:adjustRightInd w:val="0"/>
      <w:snapToGrid w:val="0"/>
      <w:spacing w:line="300" w:lineRule="auto"/>
      <w:jc w:val="center"/>
    </w:pPr>
    <w:rPr>
      <w:rFonts w:ascii="宋体" w:hAnsi="宋体" w:cs="宋体"/>
      <w:snapToGrid w:val="0"/>
      <w:szCs w:val="21"/>
    </w:rPr>
  </w:style>
  <w:style w:type="paragraph" w:customStyle="1" w:styleId="3804">
    <w:name w:val="表内小5中111"/>
    <w:basedOn w:val="1"/>
    <w:qFormat/>
    <w:uiPriority w:val="0"/>
    <w:pPr>
      <w:adjustRightInd w:val="0"/>
      <w:snapToGrid w:val="0"/>
      <w:jc w:val="center"/>
    </w:pPr>
    <w:rPr>
      <w:rFonts w:ascii="宋体" w:hAnsi="宋体" w:cs="宋体"/>
      <w:sz w:val="18"/>
    </w:rPr>
  </w:style>
  <w:style w:type="paragraph" w:customStyle="1" w:styleId="3805">
    <w:name w:val="表内5中4111"/>
    <w:basedOn w:val="1"/>
    <w:qFormat/>
    <w:uiPriority w:val="0"/>
    <w:pPr>
      <w:adjustRightInd w:val="0"/>
      <w:snapToGrid w:val="0"/>
      <w:jc w:val="center"/>
    </w:pPr>
    <w:rPr>
      <w:rFonts w:ascii="宋体" w:hAnsi="宋体" w:cs="宋体"/>
      <w:bCs/>
    </w:rPr>
  </w:style>
  <w:style w:type="paragraph" w:customStyle="1" w:styleId="3806">
    <w:name w:val="默认段落字体 Para Char51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807">
    <w:name w:val="燕山正文13111"/>
    <w:basedOn w:val="1"/>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3808">
    <w:name w:val="样式 标题 4无效格式无效格式1河石管道4H4H41小小节河石管道41H42H411小小节1河石管道42...211"/>
    <w:basedOn w:val="8"/>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3809">
    <w:name w:val="样式 标题 4无效格式无效格式1河石管道4H4H41小小节河石管道41H42H411小小节1河石管道42...1111"/>
    <w:basedOn w:val="8"/>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3810">
    <w:name w:val="附件411"/>
    <w:basedOn w:val="4"/>
    <w:next w:val="315"/>
    <w:qFormat/>
    <w:uiPriority w:val="0"/>
    <w:pPr>
      <w:keepLines/>
      <w:widowControl w:val="0"/>
      <w:numPr>
        <w:numId w:val="0"/>
      </w:numPr>
      <w:tabs>
        <w:tab w:val="left" w:pos="1566"/>
      </w:tabs>
      <w:spacing w:after="210"/>
    </w:pPr>
    <w:rPr>
      <w:rFonts w:ascii="黑体" w:eastAsia="黑体"/>
      <w:b/>
      <w:bCs/>
      <w:kern w:val="44"/>
      <w:szCs w:val="32"/>
    </w:rPr>
  </w:style>
  <w:style w:type="paragraph" w:customStyle="1" w:styleId="3811">
    <w:name w:val="标题431311"/>
    <w:basedOn w:val="1"/>
    <w:qFormat/>
    <w:uiPriority w:val="0"/>
    <w:pPr>
      <w:adjustRightInd w:val="0"/>
      <w:snapToGrid w:val="0"/>
      <w:spacing w:line="480" w:lineRule="exact"/>
      <w:jc w:val="center"/>
    </w:pPr>
    <w:rPr>
      <w:rFonts w:ascii="宋体" w:hAnsi="宋体" w:cs="宋体"/>
      <w:sz w:val="24"/>
    </w:rPr>
  </w:style>
  <w:style w:type="paragraph" w:customStyle="1" w:styleId="3812">
    <w:name w:val="燕山正文11411"/>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813">
    <w:name w:val="表题41111"/>
    <w:basedOn w:val="36"/>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3814">
    <w:name w:val="表内文字小21411"/>
    <w:basedOn w:val="1"/>
    <w:qFormat/>
    <w:uiPriority w:val="0"/>
    <w:pPr>
      <w:adjustRightInd w:val="0"/>
      <w:snapToGrid w:val="0"/>
      <w:jc w:val="center"/>
    </w:pPr>
    <w:rPr>
      <w:rFonts w:ascii="宋体" w:hAnsi="Times" w:cs="宋体"/>
      <w:bCs/>
      <w:color w:val="000000"/>
    </w:rPr>
  </w:style>
  <w:style w:type="paragraph" w:customStyle="1" w:styleId="3815">
    <w:name w:val="表题31411"/>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816">
    <w:name w:val="Char Char Char Char Char Char Char312"/>
    <w:basedOn w:val="1"/>
    <w:qFormat/>
    <w:uiPriority w:val="0"/>
    <w:rPr>
      <w:rFonts w:ascii="宋体" w:hAnsi="宋体" w:cs="宋体"/>
    </w:rPr>
  </w:style>
  <w:style w:type="paragraph" w:customStyle="1" w:styleId="3817">
    <w:name w:val="表文字5411"/>
    <w:basedOn w:val="1"/>
    <w:qFormat/>
    <w:uiPriority w:val="0"/>
    <w:pPr>
      <w:adjustRightInd w:val="0"/>
      <w:jc w:val="left"/>
      <w:textAlignment w:val="baseline"/>
    </w:pPr>
    <w:rPr>
      <w:rFonts w:ascii="宋体" w:hAnsi="宋体" w:cs="宋体"/>
      <w:kern w:val="0"/>
    </w:rPr>
  </w:style>
  <w:style w:type="paragraph" w:customStyle="1" w:styleId="3818">
    <w:name w:val="表内文字小31411"/>
    <w:basedOn w:val="1"/>
    <w:qFormat/>
    <w:uiPriority w:val="0"/>
    <w:pPr>
      <w:adjustRightInd w:val="0"/>
      <w:snapToGrid w:val="0"/>
      <w:jc w:val="center"/>
    </w:pPr>
    <w:rPr>
      <w:rFonts w:ascii="宋体" w:hAnsi="Times" w:cs="宋体"/>
      <w:bCs/>
      <w:color w:val="003366"/>
    </w:rPr>
  </w:style>
  <w:style w:type="paragraph" w:customStyle="1" w:styleId="3819">
    <w:name w:val="表内宋511211"/>
    <w:basedOn w:val="81"/>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3820">
    <w:name w:val="文本框211"/>
    <w:basedOn w:val="1"/>
    <w:qFormat/>
    <w:uiPriority w:val="0"/>
    <w:pPr>
      <w:adjustRightInd w:val="0"/>
      <w:snapToGrid w:val="0"/>
      <w:spacing w:after="6"/>
      <w:jc w:val="center"/>
    </w:pPr>
    <w:rPr>
      <w:rFonts w:ascii="宋体" w:hAnsi="宋体" w:eastAsia="仿宋_GB2312" w:cs="宋体"/>
    </w:rPr>
  </w:style>
  <w:style w:type="paragraph" w:customStyle="1" w:styleId="3821">
    <w:name w:val="正文.21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822">
    <w:name w:val="表411"/>
    <w:basedOn w:val="1"/>
    <w:qFormat/>
    <w:uiPriority w:val="0"/>
    <w:pPr>
      <w:adjustRightInd w:val="0"/>
      <w:snapToGrid w:val="0"/>
      <w:jc w:val="center"/>
    </w:pPr>
    <w:rPr>
      <w:rFonts w:ascii="宋体" w:hAnsi="宋体" w:eastAsia="仿宋_GB2312" w:cs="宋体"/>
      <w:sz w:val="24"/>
    </w:rPr>
  </w:style>
  <w:style w:type="paragraph" w:customStyle="1" w:styleId="3823">
    <w:name w:val="黑体三号511"/>
    <w:basedOn w:val="315"/>
    <w:qFormat/>
    <w:uiPriority w:val="0"/>
    <w:pPr>
      <w:jc w:val="center"/>
    </w:pPr>
    <w:rPr>
      <w:rFonts w:ascii="黑体" w:hAnsi="宋体" w:eastAsia="黑体"/>
      <w:bCs/>
      <w:spacing w:val="0"/>
      <w:sz w:val="32"/>
    </w:rPr>
  </w:style>
  <w:style w:type="paragraph" w:customStyle="1" w:styleId="3824">
    <w:name w:val="Char1312"/>
    <w:basedOn w:val="1"/>
    <w:qFormat/>
    <w:uiPriority w:val="0"/>
    <w:pPr>
      <w:ind w:left="-48"/>
    </w:pPr>
    <w:rPr>
      <w:rFonts w:ascii="宋体" w:hAnsi="宋体" w:cs="宋体"/>
    </w:rPr>
  </w:style>
  <w:style w:type="paragraph" w:customStyle="1" w:styleId="3825">
    <w:name w:val="样式1311"/>
    <w:basedOn w:val="1227"/>
    <w:qFormat/>
    <w:uiPriority w:val="0"/>
    <w:pPr>
      <w:spacing w:line="240" w:lineRule="auto"/>
      <w:ind w:firstLine="0"/>
      <w:jc w:val="center"/>
    </w:pPr>
    <w:rPr>
      <w:rFonts w:cs="Times New Roman"/>
      <w:b/>
      <w:color w:val="auto"/>
      <w:szCs w:val="20"/>
    </w:rPr>
  </w:style>
  <w:style w:type="paragraph" w:customStyle="1" w:styleId="3826">
    <w:name w:val="首行缩进:  0.99 厘米 + 首行缩进:  2 字符111"/>
    <w:basedOn w:val="1"/>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paragraph" w:customStyle="1" w:styleId="3827">
    <w:name w:val="图表名称111"/>
    <w:basedOn w:val="86"/>
    <w:qFormat/>
    <w:uiPriority w:val="0"/>
    <w:pPr>
      <w:adjustRightInd w:val="0"/>
      <w:snapToGrid w:val="0"/>
      <w:spacing w:after="0" w:line="480" w:lineRule="exact"/>
      <w:ind w:firstLine="0" w:firstLineChars="0"/>
      <w:jc w:val="center"/>
    </w:pPr>
    <w:rPr>
      <w:bCs/>
      <w:kern w:val="2"/>
      <w:sz w:val="24"/>
    </w:rPr>
  </w:style>
  <w:style w:type="paragraph" w:customStyle="1" w:styleId="3828">
    <w:name w:val="表内文字边111"/>
    <w:basedOn w:val="1"/>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3829">
    <w:name w:val="正文缩111"/>
    <w:basedOn w:val="1"/>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3830">
    <w:name w:val="样式2111"/>
    <w:basedOn w:val="1"/>
    <w:qFormat/>
    <w:uiPriority w:val="0"/>
    <w:pPr>
      <w:adjustRightInd w:val="0"/>
      <w:spacing w:line="360" w:lineRule="auto"/>
      <w:jc w:val="center"/>
      <w:textAlignment w:val="baseline"/>
      <w:outlineLvl w:val="0"/>
    </w:pPr>
    <w:rPr>
      <w:rFonts w:ascii="宋体" w:hAnsi="宋体" w:cs="宋体"/>
      <w:kern w:val="0"/>
    </w:rPr>
  </w:style>
  <w:style w:type="paragraph" w:customStyle="1" w:styleId="3831">
    <w:name w:val="默认段落字体 Para Char Char Char Char Char111"/>
    <w:basedOn w:val="1"/>
    <w:qFormat/>
    <w:uiPriority w:val="0"/>
    <w:rPr>
      <w:rFonts w:ascii="宋体" w:hAnsi="宋体" w:cs="宋体"/>
    </w:rPr>
  </w:style>
  <w:style w:type="paragraph" w:customStyle="1" w:styleId="3832">
    <w:name w:val="表内宋5中311"/>
    <w:basedOn w:val="1"/>
    <w:qFormat/>
    <w:uiPriority w:val="0"/>
    <w:pPr>
      <w:adjustRightInd w:val="0"/>
      <w:snapToGrid w:val="0"/>
      <w:textAlignment w:val="baseline"/>
    </w:pPr>
    <w:rPr>
      <w:rFonts w:ascii="宋体" w:hAnsi="宋体" w:cs="宋体"/>
      <w:color w:val="000000"/>
      <w:kern w:val="0"/>
    </w:rPr>
  </w:style>
  <w:style w:type="paragraph" w:customStyle="1" w:styleId="3833">
    <w:name w:val="样式 标题 3 + 段前: 12 磅111"/>
    <w:basedOn w:val="7"/>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3834">
    <w:name w:val="表内5211"/>
    <w:basedOn w:val="1"/>
    <w:qFormat/>
    <w:uiPriority w:val="0"/>
    <w:pPr>
      <w:adjustRightInd w:val="0"/>
      <w:snapToGrid w:val="0"/>
      <w:spacing w:line="300" w:lineRule="auto"/>
      <w:jc w:val="left"/>
    </w:pPr>
    <w:rPr>
      <w:rFonts w:ascii="宋体" w:hAnsi="宋体" w:cs="宋体"/>
      <w:sz w:val="18"/>
    </w:rPr>
  </w:style>
  <w:style w:type="paragraph" w:customStyle="1" w:styleId="3835">
    <w:name w:val="Char Char Char Char1 Char Char Char112"/>
    <w:basedOn w:val="1"/>
    <w:qFormat/>
    <w:uiPriority w:val="0"/>
    <w:pPr>
      <w:widowControl/>
      <w:spacing w:after="160"/>
      <w:jc w:val="left"/>
    </w:pPr>
    <w:rPr>
      <w:rFonts w:ascii="Verdana" w:hAnsi="Verdana" w:cs="宋体"/>
      <w:kern w:val="0"/>
      <w:sz w:val="24"/>
      <w:lang w:eastAsia="en-US"/>
    </w:rPr>
  </w:style>
  <w:style w:type="paragraph" w:customStyle="1" w:styleId="3836">
    <w:name w:val="正文格式1112"/>
    <w:basedOn w:val="1"/>
    <w:qFormat/>
    <w:uiPriority w:val="0"/>
    <w:pPr>
      <w:spacing w:line="360" w:lineRule="auto"/>
      <w:ind w:firstLine="482"/>
    </w:pPr>
    <w:rPr>
      <w:rFonts w:ascii="宋体" w:hAnsi="宋体" w:cs="宋体"/>
      <w:sz w:val="24"/>
    </w:rPr>
  </w:style>
  <w:style w:type="paragraph" w:customStyle="1" w:styleId="3837">
    <w:name w:val="图题1111"/>
    <w:basedOn w:val="315"/>
    <w:next w:val="315"/>
    <w:qFormat/>
    <w:uiPriority w:val="0"/>
    <w:pPr>
      <w:ind w:firstLine="0"/>
      <w:jc w:val="center"/>
    </w:pPr>
    <w:rPr>
      <w:rFonts w:ascii="黑体" w:hAnsi="宋体" w:eastAsia="黑体"/>
      <w:bCs/>
      <w:spacing w:val="0"/>
    </w:rPr>
  </w:style>
  <w:style w:type="paragraph" w:customStyle="1" w:styleId="3838">
    <w:name w:val="表格内字体1211"/>
    <w:basedOn w:val="315"/>
    <w:next w:val="315"/>
    <w:qFormat/>
    <w:uiPriority w:val="0"/>
    <w:pPr>
      <w:spacing w:line="240" w:lineRule="auto"/>
      <w:ind w:firstLine="0"/>
      <w:jc w:val="center"/>
    </w:pPr>
    <w:rPr>
      <w:rFonts w:hAnsi="宋体"/>
      <w:b w:val="0"/>
      <w:spacing w:val="0"/>
      <w:sz w:val="21"/>
    </w:rPr>
  </w:style>
  <w:style w:type="paragraph" w:customStyle="1" w:styleId="3839">
    <w:name w:val="Char1412"/>
    <w:basedOn w:val="1"/>
    <w:qFormat/>
    <w:uiPriority w:val="0"/>
    <w:pPr>
      <w:ind w:left="-48"/>
    </w:pPr>
    <w:rPr>
      <w:rFonts w:ascii="宋体" w:hAnsi="宋体" w:cs="宋体"/>
    </w:rPr>
  </w:style>
  <w:style w:type="paragraph" w:customStyle="1" w:styleId="3840">
    <w:name w:val="正文格式2211"/>
    <w:basedOn w:val="1"/>
    <w:qFormat/>
    <w:uiPriority w:val="0"/>
    <w:pPr>
      <w:spacing w:line="360" w:lineRule="auto"/>
      <w:ind w:firstLine="482"/>
    </w:pPr>
    <w:rPr>
      <w:rFonts w:ascii="宋体" w:hAnsi="宋体" w:cs="宋体"/>
      <w:sz w:val="24"/>
    </w:rPr>
  </w:style>
  <w:style w:type="paragraph" w:customStyle="1" w:styleId="3841">
    <w:name w:val="Char1512"/>
    <w:basedOn w:val="1"/>
    <w:qFormat/>
    <w:uiPriority w:val="0"/>
    <w:pPr>
      <w:adjustRightInd w:val="0"/>
      <w:snapToGrid w:val="0"/>
      <w:spacing w:beforeLines="50" w:line="360" w:lineRule="auto"/>
    </w:pPr>
    <w:rPr>
      <w:rFonts w:ascii="黑体" w:hAnsi="宋体" w:eastAsia="黑体" w:cs="宋体"/>
      <w:sz w:val="32"/>
      <w:szCs w:val="32"/>
    </w:rPr>
  </w:style>
  <w:style w:type="character" w:customStyle="1" w:styleId="3842">
    <w:name w:val="题注 Char1111"/>
    <w:qFormat/>
    <w:uiPriority w:val="0"/>
    <w:rPr>
      <w:rFonts w:ascii="黑体" w:hAnsi="Arial" w:eastAsia="黑体" w:cs="Arial"/>
      <w:b/>
      <w:szCs w:val="24"/>
    </w:rPr>
  </w:style>
  <w:style w:type="paragraph" w:customStyle="1" w:styleId="3843">
    <w:name w:val="图题2211"/>
    <w:basedOn w:val="315"/>
    <w:next w:val="315"/>
    <w:qFormat/>
    <w:uiPriority w:val="0"/>
    <w:pPr>
      <w:ind w:firstLine="0"/>
      <w:jc w:val="center"/>
    </w:pPr>
    <w:rPr>
      <w:rFonts w:ascii="黑体" w:hAnsi="宋体" w:eastAsia="黑体"/>
      <w:bCs/>
      <w:spacing w:val="0"/>
    </w:rPr>
  </w:style>
  <w:style w:type="paragraph" w:customStyle="1" w:styleId="3844">
    <w:name w:val="表格内字体2211"/>
    <w:basedOn w:val="315"/>
    <w:next w:val="315"/>
    <w:qFormat/>
    <w:uiPriority w:val="0"/>
    <w:pPr>
      <w:spacing w:line="240" w:lineRule="auto"/>
      <w:ind w:firstLine="0"/>
      <w:jc w:val="center"/>
    </w:pPr>
    <w:rPr>
      <w:rFonts w:hAnsi="宋体"/>
      <w:b w:val="0"/>
      <w:spacing w:val="0"/>
      <w:sz w:val="21"/>
    </w:rPr>
  </w:style>
  <w:style w:type="paragraph" w:customStyle="1" w:styleId="3845">
    <w:name w:val="表内5411111"/>
    <w:basedOn w:val="1"/>
    <w:qFormat/>
    <w:uiPriority w:val="0"/>
    <w:pPr>
      <w:adjustRightInd w:val="0"/>
      <w:snapToGrid w:val="0"/>
      <w:spacing w:line="300" w:lineRule="auto"/>
      <w:jc w:val="center"/>
    </w:pPr>
    <w:rPr>
      <w:rFonts w:ascii="宋体" w:hAnsi="宋体" w:cs="宋体"/>
    </w:rPr>
  </w:style>
  <w:style w:type="paragraph" w:customStyle="1" w:styleId="3846">
    <w:name w:val="表内文字小211111"/>
    <w:basedOn w:val="1"/>
    <w:qFormat/>
    <w:uiPriority w:val="0"/>
    <w:pPr>
      <w:adjustRightInd w:val="0"/>
      <w:snapToGrid w:val="0"/>
      <w:jc w:val="center"/>
    </w:pPr>
    <w:rPr>
      <w:rFonts w:ascii="宋体" w:hAnsi="Times" w:cs="宋体"/>
      <w:bCs/>
      <w:color w:val="000000"/>
    </w:rPr>
  </w:style>
  <w:style w:type="paragraph" w:customStyle="1" w:styleId="3847">
    <w:name w:val="表题311111"/>
    <w:basedOn w:val="36"/>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848">
    <w:name w:val="Char Char Char Char Char Char Char1112"/>
    <w:basedOn w:val="1"/>
    <w:qFormat/>
    <w:uiPriority w:val="0"/>
    <w:rPr>
      <w:rFonts w:ascii="宋体" w:hAnsi="宋体" w:cs="宋体"/>
    </w:rPr>
  </w:style>
  <w:style w:type="paragraph" w:customStyle="1" w:styleId="3849">
    <w:name w:val="标题4311111"/>
    <w:basedOn w:val="1"/>
    <w:qFormat/>
    <w:uiPriority w:val="0"/>
    <w:pPr>
      <w:adjustRightInd w:val="0"/>
      <w:snapToGrid w:val="0"/>
      <w:spacing w:line="480" w:lineRule="exact"/>
      <w:jc w:val="center"/>
    </w:pPr>
    <w:rPr>
      <w:rFonts w:ascii="宋体" w:hAnsi="宋体" w:cs="宋体"/>
      <w:sz w:val="24"/>
    </w:rPr>
  </w:style>
  <w:style w:type="paragraph" w:customStyle="1" w:styleId="3850">
    <w:name w:val="燕山正文111111"/>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851">
    <w:name w:val="默认段落字体 Para Char Char Char Char1111"/>
    <w:basedOn w:val="1"/>
    <w:qFormat/>
    <w:uiPriority w:val="0"/>
    <w:rPr>
      <w:rFonts w:ascii="宋体" w:hAnsi="宋体" w:cs="宋体"/>
    </w:rPr>
  </w:style>
  <w:style w:type="paragraph" w:customStyle="1" w:styleId="3852">
    <w:name w:val="附件1111"/>
    <w:basedOn w:val="4"/>
    <w:next w:val="315"/>
    <w:qFormat/>
    <w:uiPriority w:val="0"/>
    <w:pPr>
      <w:keepLines/>
      <w:widowControl w:val="0"/>
      <w:numPr>
        <w:numId w:val="0"/>
      </w:numPr>
      <w:tabs>
        <w:tab w:val="left" w:pos="1566"/>
      </w:tabs>
      <w:spacing w:after="210"/>
    </w:pPr>
    <w:rPr>
      <w:rFonts w:ascii="黑体" w:eastAsia="黑体"/>
      <w:bCs/>
      <w:kern w:val="44"/>
      <w:szCs w:val="32"/>
    </w:rPr>
  </w:style>
  <w:style w:type="paragraph" w:customStyle="1" w:styleId="3853">
    <w:name w:val="黑体三号1111"/>
    <w:basedOn w:val="315"/>
    <w:qFormat/>
    <w:uiPriority w:val="0"/>
    <w:pPr>
      <w:jc w:val="center"/>
    </w:pPr>
    <w:rPr>
      <w:rFonts w:ascii="黑体" w:hAnsi="宋体" w:eastAsia="黑体"/>
      <w:bCs/>
      <w:spacing w:val="0"/>
      <w:sz w:val="32"/>
    </w:rPr>
  </w:style>
  <w:style w:type="paragraph" w:customStyle="1" w:styleId="3854">
    <w:name w:val="表1111"/>
    <w:basedOn w:val="1"/>
    <w:qFormat/>
    <w:uiPriority w:val="0"/>
    <w:pPr>
      <w:adjustRightInd w:val="0"/>
      <w:snapToGrid w:val="0"/>
      <w:jc w:val="center"/>
    </w:pPr>
    <w:rPr>
      <w:rFonts w:ascii="宋体" w:hAnsi="宋体" w:eastAsia="仿宋_GB2312" w:cs="宋体"/>
      <w:sz w:val="24"/>
    </w:rPr>
  </w:style>
  <w:style w:type="paragraph" w:customStyle="1" w:styleId="3855">
    <w:name w:val="表题11211"/>
    <w:basedOn w:val="23"/>
    <w:qFormat/>
    <w:uiPriority w:val="0"/>
    <w:pPr>
      <w:widowControl w:val="0"/>
      <w:spacing w:line="360" w:lineRule="auto"/>
      <w:jc w:val="center"/>
    </w:pPr>
    <w:rPr>
      <w:rFonts w:ascii="黑体" w:hAnsi="Arial" w:cs="Arial"/>
      <w:kern w:val="2"/>
    </w:rPr>
  </w:style>
  <w:style w:type="paragraph" w:customStyle="1" w:styleId="3856">
    <w:name w:val="燕山正文1211"/>
    <w:basedOn w:val="1"/>
    <w:qFormat/>
    <w:uiPriority w:val="0"/>
    <w:pPr>
      <w:tabs>
        <w:tab w:val="left" w:pos="4680"/>
      </w:tabs>
      <w:adjustRightInd w:val="0"/>
      <w:snapToGrid w:val="0"/>
      <w:spacing w:line="480" w:lineRule="exact"/>
    </w:pPr>
    <w:rPr>
      <w:rFonts w:ascii="宋体" w:hAnsi="宋体" w:cs="宋体"/>
      <w:sz w:val="24"/>
    </w:rPr>
  </w:style>
  <w:style w:type="paragraph" w:customStyle="1" w:styleId="3857">
    <w:name w:val="正文修改1111"/>
    <w:basedOn w:val="1180"/>
    <w:qFormat/>
    <w:uiPriority w:val="0"/>
    <w:rPr>
      <w:rFonts w:hAnsi="宋体"/>
      <w:color w:val="000000"/>
    </w:rPr>
  </w:style>
  <w:style w:type="character" w:customStyle="1" w:styleId="3858">
    <w:name w:val="正文修改 Char11111"/>
    <w:qFormat/>
    <w:uiPriority w:val="0"/>
    <w:rPr>
      <w:rFonts w:hAnsi="宋体"/>
      <w:color w:val="000000"/>
    </w:rPr>
  </w:style>
  <w:style w:type="paragraph" w:customStyle="1" w:styleId="3859">
    <w:name w:val="表中文字1211"/>
    <w:basedOn w:val="1"/>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860">
    <w:name w:val="表文字51211"/>
    <w:basedOn w:val="1"/>
    <w:qFormat/>
    <w:uiPriority w:val="0"/>
    <w:pPr>
      <w:adjustRightInd w:val="0"/>
      <w:jc w:val="left"/>
      <w:textAlignment w:val="baseline"/>
    </w:pPr>
    <w:rPr>
      <w:rFonts w:ascii="宋体" w:hAnsi="宋体" w:cs="宋体"/>
      <w:kern w:val="0"/>
    </w:rPr>
  </w:style>
  <w:style w:type="paragraph" w:customStyle="1" w:styleId="3861">
    <w:name w:val="表内文字小311111"/>
    <w:basedOn w:val="1"/>
    <w:qFormat/>
    <w:uiPriority w:val="0"/>
    <w:pPr>
      <w:adjustRightInd w:val="0"/>
      <w:snapToGrid w:val="0"/>
      <w:jc w:val="center"/>
    </w:pPr>
    <w:rPr>
      <w:rFonts w:ascii="宋体" w:hAnsi="Times" w:cs="宋体"/>
      <w:bCs/>
      <w:color w:val="003366"/>
    </w:rPr>
  </w:style>
  <w:style w:type="paragraph" w:customStyle="1" w:styleId="3862">
    <w:name w:val="样式11111"/>
    <w:basedOn w:val="1227"/>
    <w:qFormat/>
    <w:uiPriority w:val="0"/>
    <w:pPr>
      <w:spacing w:line="240" w:lineRule="auto"/>
      <w:ind w:firstLine="0"/>
      <w:jc w:val="center"/>
    </w:pPr>
    <w:rPr>
      <w:rFonts w:cs="Times New Roman"/>
      <w:b/>
      <w:color w:val="auto"/>
      <w:szCs w:val="20"/>
    </w:rPr>
  </w:style>
  <w:style w:type="paragraph" w:customStyle="1" w:styleId="3863">
    <w:name w:val="Char2112"/>
    <w:basedOn w:val="1"/>
    <w:qFormat/>
    <w:uiPriority w:val="0"/>
    <w:pPr>
      <w:ind w:left="-48"/>
    </w:pPr>
    <w:rPr>
      <w:rFonts w:ascii="宋体" w:hAnsi="宋体" w:cs="宋体"/>
    </w:rPr>
  </w:style>
  <w:style w:type="paragraph" w:customStyle="1" w:styleId="3864">
    <w:name w:val="表内文字小2311"/>
    <w:basedOn w:val="1"/>
    <w:qFormat/>
    <w:uiPriority w:val="0"/>
    <w:pPr>
      <w:adjustRightInd w:val="0"/>
      <w:snapToGrid w:val="0"/>
      <w:jc w:val="center"/>
    </w:pPr>
    <w:rPr>
      <w:rFonts w:ascii="宋体" w:hAnsi="Times" w:cs="宋体"/>
      <w:bCs/>
      <w:color w:val="000000"/>
    </w:rPr>
  </w:style>
  <w:style w:type="paragraph" w:customStyle="1" w:styleId="3865">
    <w:name w:val="表内53211"/>
    <w:basedOn w:val="1"/>
    <w:qFormat/>
    <w:uiPriority w:val="0"/>
    <w:pPr>
      <w:adjustRightInd w:val="0"/>
      <w:snapToGrid w:val="0"/>
      <w:spacing w:line="300" w:lineRule="auto"/>
      <w:jc w:val="left"/>
    </w:pPr>
    <w:rPr>
      <w:rFonts w:ascii="宋体" w:hAnsi="宋体" w:cs="宋体"/>
    </w:rPr>
  </w:style>
  <w:style w:type="paragraph" w:customStyle="1" w:styleId="3866">
    <w:name w:val="正文格式3111"/>
    <w:basedOn w:val="1"/>
    <w:qFormat/>
    <w:uiPriority w:val="0"/>
    <w:pPr>
      <w:spacing w:line="360" w:lineRule="auto"/>
      <w:ind w:firstLine="482"/>
    </w:pPr>
    <w:rPr>
      <w:rFonts w:ascii="宋体" w:hAnsi="宋体" w:cs="宋体"/>
      <w:sz w:val="24"/>
    </w:rPr>
  </w:style>
  <w:style w:type="paragraph" w:customStyle="1" w:styleId="3867">
    <w:name w:val="Char2212"/>
    <w:basedOn w:val="1"/>
    <w:qFormat/>
    <w:uiPriority w:val="0"/>
    <w:pPr>
      <w:adjustRightInd w:val="0"/>
      <w:snapToGrid w:val="0"/>
      <w:spacing w:beforeLines="50" w:line="360" w:lineRule="auto"/>
    </w:pPr>
    <w:rPr>
      <w:rFonts w:ascii="黑体" w:hAnsi="宋体" w:eastAsia="黑体" w:cs="宋体"/>
      <w:sz w:val="32"/>
      <w:szCs w:val="32"/>
    </w:rPr>
  </w:style>
  <w:style w:type="character" w:customStyle="1" w:styleId="3868">
    <w:name w:val="题注 Char2111"/>
    <w:qFormat/>
    <w:uiPriority w:val="0"/>
    <w:rPr>
      <w:rFonts w:ascii="黑体" w:hAnsi="Arial" w:eastAsia="黑体" w:cs="Arial"/>
      <w:b/>
      <w:szCs w:val="24"/>
    </w:rPr>
  </w:style>
  <w:style w:type="paragraph" w:customStyle="1" w:styleId="3869">
    <w:name w:val="图题3111"/>
    <w:basedOn w:val="315"/>
    <w:next w:val="315"/>
    <w:qFormat/>
    <w:uiPriority w:val="0"/>
    <w:pPr>
      <w:ind w:firstLine="0"/>
      <w:jc w:val="center"/>
    </w:pPr>
    <w:rPr>
      <w:rFonts w:ascii="黑体" w:hAnsi="宋体" w:eastAsia="黑体"/>
      <w:bCs/>
      <w:spacing w:val="0"/>
    </w:rPr>
  </w:style>
  <w:style w:type="paragraph" w:customStyle="1" w:styleId="3870">
    <w:name w:val="表格内字体3111"/>
    <w:basedOn w:val="315"/>
    <w:next w:val="315"/>
    <w:qFormat/>
    <w:uiPriority w:val="0"/>
    <w:pPr>
      <w:spacing w:line="240" w:lineRule="auto"/>
      <w:ind w:firstLine="0"/>
      <w:jc w:val="center"/>
    </w:pPr>
    <w:rPr>
      <w:rFonts w:hAnsi="宋体"/>
      <w:b w:val="0"/>
      <w:spacing w:val="0"/>
      <w:sz w:val="21"/>
    </w:rPr>
  </w:style>
  <w:style w:type="paragraph" w:customStyle="1" w:styleId="3871">
    <w:name w:val="表内5412111"/>
    <w:basedOn w:val="1"/>
    <w:qFormat/>
    <w:uiPriority w:val="0"/>
    <w:pPr>
      <w:adjustRightInd w:val="0"/>
      <w:snapToGrid w:val="0"/>
      <w:spacing w:line="300" w:lineRule="auto"/>
      <w:jc w:val="center"/>
    </w:pPr>
    <w:rPr>
      <w:rFonts w:ascii="宋体" w:hAnsi="宋体" w:cs="宋体"/>
    </w:rPr>
  </w:style>
  <w:style w:type="character" w:customStyle="1" w:styleId="3872">
    <w:name w:val="表格文字 Char Char"/>
    <w:qFormat/>
    <w:uiPriority w:val="0"/>
    <w:rPr>
      <w:rFonts w:ascii="仿宋_GB2312" w:hAnsi="Arial Black" w:eastAsia="仿宋_GB2312" w:cs="Times New Roman"/>
      <w:kern w:val="44"/>
      <w:sz w:val="24"/>
      <w:szCs w:val="20"/>
    </w:rPr>
  </w:style>
  <w:style w:type="character" w:customStyle="1" w:styleId="3873">
    <w:name w:val="+正文加黑 字符"/>
    <w:link w:val="3874"/>
    <w:qFormat/>
    <w:locked/>
    <w:uiPriority w:val="0"/>
    <w:rPr>
      <w:rFonts w:ascii="宋体" w:hAnsi="宋体"/>
      <w:sz w:val="24"/>
      <w:szCs w:val="24"/>
    </w:rPr>
  </w:style>
  <w:style w:type="paragraph" w:customStyle="1" w:styleId="3874">
    <w:name w:val="+正文加黑"/>
    <w:basedOn w:val="1"/>
    <w:link w:val="3873"/>
    <w:qFormat/>
    <w:uiPriority w:val="0"/>
    <w:pPr>
      <w:spacing w:line="500" w:lineRule="exact"/>
      <w:ind w:firstLine="480" w:firstLineChars="200"/>
    </w:pPr>
    <w:rPr>
      <w:rFonts w:ascii="宋体" w:hAnsi="宋体"/>
      <w:kern w:val="0"/>
      <w:sz w:val="24"/>
    </w:rPr>
  </w:style>
  <w:style w:type="paragraph" w:customStyle="1" w:styleId="3875">
    <w:name w:val="（1）小标题"/>
    <w:basedOn w:val="84"/>
    <w:qFormat/>
    <w:uiPriority w:val="0"/>
    <w:pPr>
      <w:widowControl w:val="0"/>
      <w:autoSpaceDE w:val="0"/>
      <w:autoSpaceDN w:val="0"/>
      <w:adjustRightInd w:val="0"/>
      <w:snapToGrid w:val="0"/>
      <w:spacing w:line="360" w:lineRule="auto"/>
      <w:jc w:val="left"/>
    </w:pPr>
    <w:rPr>
      <w:rFonts w:ascii="Times New Roman" w:hAnsi="Times New Roman"/>
      <w:bCs w:val="0"/>
      <w:sz w:val="24"/>
      <w:szCs w:val="21"/>
    </w:rPr>
  </w:style>
  <w:style w:type="paragraph" w:customStyle="1" w:styleId="3876">
    <w:name w:val="正文000000"/>
    <w:basedOn w:val="1"/>
    <w:next w:val="1"/>
    <w:qFormat/>
    <w:uiPriority w:val="0"/>
    <w:pPr>
      <w:spacing w:line="360" w:lineRule="auto"/>
      <w:ind w:firstLine="200"/>
    </w:pPr>
    <w:rPr>
      <w:rFonts w:ascii="宋体" w:cs="宋体"/>
    </w:rPr>
  </w:style>
  <w:style w:type="character" w:customStyle="1" w:styleId="3877">
    <w:name w:val="报告正文 Char"/>
    <w:link w:val="3878"/>
    <w:qFormat/>
    <w:uiPriority w:val="0"/>
    <w:rPr>
      <w:bCs/>
      <w:kern w:val="44"/>
      <w:sz w:val="24"/>
      <w:szCs w:val="44"/>
    </w:rPr>
  </w:style>
  <w:style w:type="paragraph" w:customStyle="1" w:styleId="3878">
    <w:name w:val="报告正文"/>
    <w:link w:val="3877"/>
    <w:qFormat/>
    <w:uiPriority w:val="0"/>
    <w:pPr>
      <w:spacing w:line="360" w:lineRule="auto"/>
      <w:ind w:firstLine="200" w:firstLineChars="200"/>
    </w:pPr>
    <w:rPr>
      <w:rFonts w:ascii="Times New Roman" w:hAnsi="Times New Roman" w:eastAsia="宋体" w:cs="Times New Roman"/>
      <w:bCs/>
      <w:kern w:val="44"/>
      <w:sz w:val="24"/>
      <w:szCs w:val="44"/>
      <w:lang w:val="en-US" w:eastAsia="zh-CN" w:bidi="ar-SA"/>
    </w:rPr>
  </w:style>
  <w:style w:type="paragraph" w:customStyle="1" w:styleId="3879">
    <w:name w:val="表内表"/>
    <w:basedOn w:val="1"/>
    <w:qFormat/>
    <w:uiPriority w:val="0"/>
    <w:pPr>
      <w:spacing w:line="240" w:lineRule="atLeast"/>
      <w:jc w:val="center"/>
    </w:pPr>
    <w:rPr>
      <w:bCs/>
      <w:sz w:val="18"/>
      <w:szCs w:val="21"/>
      <w:lang w:val="zh-CN"/>
    </w:rPr>
  </w:style>
  <w:style w:type="character" w:customStyle="1" w:styleId="3880">
    <w:name w:val="普通(网站) Char1"/>
    <w:qFormat/>
    <w:locked/>
    <w:uiPriority w:val="0"/>
    <w:rPr>
      <w:rFonts w:ascii="宋体" w:hAnsi="宋体" w:eastAsia="宋体"/>
      <w:sz w:val="24"/>
    </w:rPr>
  </w:style>
  <w:style w:type="character" w:customStyle="1" w:styleId="3881">
    <w:name w:val="刘炳昊正文 Char"/>
    <w:link w:val="3882"/>
    <w:qFormat/>
    <w:locked/>
    <w:uiPriority w:val="0"/>
    <w:rPr>
      <w:sz w:val="24"/>
      <w:szCs w:val="24"/>
    </w:rPr>
  </w:style>
  <w:style w:type="paragraph" w:customStyle="1" w:styleId="3882">
    <w:name w:val="刘炳昊正文"/>
    <w:basedOn w:val="1"/>
    <w:link w:val="3881"/>
    <w:qFormat/>
    <w:uiPriority w:val="0"/>
    <w:pPr>
      <w:keepNext/>
      <w:keepLines/>
      <w:spacing w:line="360" w:lineRule="auto"/>
      <w:ind w:firstLine="562" w:firstLineChars="200"/>
      <w:outlineLvl w:val="2"/>
    </w:pPr>
    <w:rPr>
      <w:kern w:val="0"/>
      <w:sz w:val="24"/>
    </w:rPr>
  </w:style>
  <w:style w:type="paragraph" w:customStyle="1" w:styleId="3883">
    <w:name w:val="TOC 标题2"/>
    <w:basedOn w:val="4"/>
    <w:next w:val="1"/>
    <w:semiHidden/>
    <w:unhideWhenUsed/>
    <w:qFormat/>
    <w:uiPriority w:val="39"/>
    <w:pPr>
      <w:keepLines/>
      <w:widowControl w:val="0"/>
      <w:numPr>
        <w:numId w:val="0"/>
      </w:numPr>
      <w:tabs>
        <w:tab w:val="clear" w:pos="1276"/>
      </w:tabs>
      <w:spacing w:before="340" w:after="330" w:line="578" w:lineRule="auto"/>
      <w:jc w:val="both"/>
      <w:outlineLvl w:val="9"/>
    </w:pPr>
    <w:rPr>
      <w:rFonts w:ascii="Times New Roman" w:hAnsi="Times New Roman" w:cs="Times New Roman"/>
      <w:b/>
      <w:bCs/>
      <w:kern w:val="44"/>
      <w:sz w:val="44"/>
      <w:szCs w:val="44"/>
    </w:rPr>
  </w:style>
  <w:style w:type="paragraph" w:customStyle="1" w:styleId="3884">
    <w:name w:val="UserStyle_0"/>
    <w:basedOn w:val="1"/>
    <w:qFormat/>
    <w:uiPriority w:val="0"/>
    <w:pPr>
      <w:snapToGrid w:val="0"/>
      <w:spacing w:line="480" w:lineRule="exact"/>
    </w:pPr>
    <w:rPr>
      <w:sz w:val="24"/>
      <w:szCs w:val="22"/>
    </w:rPr>
  </w:style>
  <w:style w:type="character" w:customStyle="1" w:styleId="3885">
    <w:name w:val="正文缩进 Char1"/>
    <w:qFormat/>
    <w:uiPriority w:val="0"/>
    <w:rPr>
      <w:rFonts w:ascii="Times New Roman" w:hAnsi="Times New Roman" w:eastAsia="宋体" w:cs="Times New Roman"/>
      <w:kern w:val="2"/>
      <w:sz w:val="21"/>
      <w:szCs w:val="24"/>
      <w:lang w:val="en-US" w:eastAsia="zh-CN" w:bidi="ar-SA"/>
    </w:rPr>
  </w:style>
  <w:style w:type="paragraph" w:customStyle="1" w:styleId="3886">
    <w:name w:val="样式 正文文本缩进 + 行距: 1.5 倍行距"/>
    <w:basedOn w:val="3887"/>
    <w:next w:val="1"/>
    <w:qFormat/>
    <w:uiPriority w:val="0"/>
    <w:pPr>
      <w:spacing w:line="360" w:lineRule="auto"/>
      <w:ind w:left="90" w:leftChars="32" w:firstLine="560" w:firstLineChars="200"/>
    </w:pPr>
    <w:rPr>
      <w:rFonts w:cs="宋体"/>
    </w:rPr>
  </w:style>
  <w:style w:type="paragraph" w:customStyle="1" w:styleId="3887">
    <w:name w:val="正文文本缩进1"/>
    <w:basedOn w:val="1"/>
    <w:next w:val="3886"/>
    <w:qFormat/>
    <w:uiPriority w:val="0"/>
    <w:pPr>
      <w:spacing w:after="120"/>
      <w:ind w:left="420" w:leftChars="200"/>
    </w:pPr>
    <w:rPr>
      <w:sz w:val="24"/>
      <w:szCs w:val="20"/>
    </w:rPr>
  </w:style>
  <w:style w:type="paragraph" w:customStyle="1" w:styleId="3888">
    <w:name w:val="Char11"/>
    <w:basedOn w:val="1"/>
    <w:qFormat/>
    <w:uiPriority w:val="0"/>
    <w:pPr>
      <w:snapToGrid w:val="0"/>
      <w:spacing w:line="360" w:lineRule="auto"/>
      <w:ind w:firstLine="200" w:firstLineChars="200"/>
    </w:pPr>
    <w:rPr>
      <w:rFonts w:eastAsia="仿宋_GB2312"/>
      <w:sz w:val="24"/>
      <w:szCs w:val="20"/>
    </w:rPr>
  </w:style>
  <w:style w:type="character" w:customStyle="1" w:styleId="3889">
    <w:name w:val="red1"/>
    <w:qFormat/>
    <w:uiPriority w:val="0"/>
    <w:rPr>
      <w:b/>
      <w:bCs/>
      <w:color w:val="FF0000"/>
    </w:rPr>
  </w:style>
  <w:style w:type="character" w:customStyle="1" w:styleId="3890">
    <w:name w:val="正文down Char"/>
    <w:link w:val="3891"/>
    <w:qFormat/>
    <w:uiPriority w:val="0"/>
    <w:rPr>
      <w:kern w:val="2"/>
      <w:sz w:val="24"/>
      <w:szCs w:val="24"/>
    </w:rPr>
  </w:style>
  <w:style w:type="paragraph" w:customStyle="1" w:styleId="3891">
    <w:name w:val="正文down"/>
    <w:basedOn w:val="87"/>
    <w:link w:val="3890"/>
    <w:qFormat/>
    <w:uiPriority w:val="0"/>
    <w:pPr>
      <w:spacing w:after="120" w:line="360" w:lineRule="auto"/>
      <w:ind w:firstLine="200"/>
      <w:jc w:val="left"/>
    </w:pPr>
    <w:rPr>
      <w:rFonts w:ascii="Times New Roman" w:hAnsi="Times New Roman" w:eastAsia="宋体" w:cs="Times New Roman"/>
      <w:sz w:val="24"/>
    </w:rPr>
  </w:style>
  <w:style w:type="character" w:customStyle="1" w:styleId="3892">
    <w:name w:val="Body text|2 + 10 pt"/>
    <w:basedOn w:val="3893"/>
    <w:unhideWhenUsed/>
    <w:qFormat/>
    <w:uiPriority w:val="0"/>
    <w:rPr>
      <w:color w:val="000000"/>
      <w:spacing w:val="0"/>
      <w:w w:val="100"/>
      <w:position w:val="0"/>
      <w:sz w:val="20"/>
      <w:szCs w:val="20"/>
      <w:lang w:val="zh-CN" w:eastAsia="zh-CN" w:bidi="zh-CN"/>
    </w:rPr>
  </w:style>
  <w:style w:type="character" w:customStyle="1" w:styleId="3893">
    <w:name w:val="Body text|2_"/>
    <w:basedOn w:val="91"/>
    <w:link w:val="3894"/>
    <w:qFormat/>
    <w:uiPriority w:val="0"/>
    <w:rPr>
      <w:rFonts w:ascii="PMingLiU" w:hAnsi="PMingLiU" w:eastAsia="PMingLiU" w:cs="PMingLiU"/>
      <w:sz w:val="22"/>
      <w:szCs w:val="22"/>
      <w:shd w:val="clear" w:color="auto" w:fill="FFFFFF"/>
    </w:rPr>
  </w:style>
  <w:style w:type="paragraph" w:customStyle="1" w:styleId="3894">
    <w:name w:val="Body text|221"/>
    <w:basedOn w:val="1"/>
    <w:link w:val="3893"/>
    <w:qFormat/>
    <w:uiPriority w:val="0"/>
    <w:pPr>
      <w:shd w:val="clear" w:color="auto" w:fill="FFFFFF"/>
      <w:spacing w:line="374" w:lineRule="exact"/>
      <w:ind w:hanging="120"/>
      <w:jc w:val="distribute"/>
    </w:pPr>
    <w:rPr>
      <w:rFonts w:ascii="PMingLiU" w:hAnsi="PMingLiU" w:eastAsia="PMingLiU" w:cs="PMingLiU"/>
      <w:kern w:val="0"/>
      <w:sz w:val="22"/>
      <w:szCs w:val="22"/>
    </w:rPr>
  </w:style>
  <w:style w:type="character" w:customStyle="1" w:styleId="3895">
    <w:name w:val="tip811"/>
    <w:qFormat/>
    <w:uiPriority w:val="0"/>
    <w:rPr>
      <w:color w:val="FFFFFF"/>
      <w:sz w:val="3"/>
      <w:szCs w:val="3"/>
      <w:u w:val="none"/>
    </w:rPr>
  </w:style>
  <w:style w:type="character" w:customStyle="1" w:styleId="3896">
    <w:name w:val="Body text|2"/>
    <w:basedOn w:val="3893"/>
    <w:unhideWhenUsed/>
    <w:qFormat/>
    <w:uiPriority w:val="0"/>
    <w:rPr>
      <w:color w:val="000000"/>
      <w:spacing w:val="0"/>
      <w:w w:val="100"/>
      <w:position w:val="0"/>
      <w:lang w:val="zh-CN" w:eastAsia="zh-CN" w:bidi="zh-CN"/>
    </w:rPr>
  </w:style>
  <w:style w:type="character" w:customStyle="1" w:styleId="3897">
    <w:name w:val="!正文_ALT+Z Char Char"/>
    <w:link w:val="3898"/>
    <w:qFormat/>
    <w:uiPriority w:val="0"/>
    <w:rPr>
      <w:rFonts w:eastAsia="仿宋_GB2312"/>
      <w:kern w:val="2"/>
      <w:sz w:val="28"/>
      <w:szCs w:val="28"/>
    </w:rPr>
  </w:style>
  <w:style w:type="paragraph" w:customStyle="1" w:styleId="3898">
    <w:name w:val="!正文_ALT+Z"/>
    <w:basedOn w:val="1"/>
    <w:link w:val="3897"/>
    <w:qFormat/>
    <w:uiPriority w:val="0"/>
    <w:pPr>
      <w:spacing w:line="520" w:lineRule="exact"/>
      <w:ind w:firstLine="200" w:firstLineChars="200"/>
    </w:pPr>
    <w:rPr>
      <w:rFonts w:eastAsia="仿宋_GB2312"/>
      <w:sz w:val="28"/>
      <w:szCs w:val="28"/>
    </w:rPr>
  </w:style>
  <w:style w:type="character" w:customStyle="1" w:styleId="3899">
    <w:name w:val="Body text|2 + SimSun"/>
    <w:basedOn w:val="3893"/>
    <w:unhideWhenUsed/>
    <w:qFormat/>
    <w:uiPriority w:val="0"/>
    <w:rPr>
      <w:rFonts w:ascii="宋体" w:hAnsi="宋体" w:eastAsia="宋体" w:cs="宋体"/>
      <w:color w:val="000000"/>
      <w:spacing w:val="0"/>
      <w:w w:val="100"/>
      <w:position w:val="0"/>
      <w:sz w:val="24"/>
      <w:szCs w:val="24"/>
      <w:lang w:val="en-US" w:eastAsia="en-US" w:bidi="en-US"/>
    </w:rPr>
  </w:style>
  <w:style w:type="character" w:customStyle="1" w:styleId="3900">
    <w:name w:val="表格填充1 Char"/>
    <w:basedOn w:val="91"/>
    <w:link w:val="3901"/>
    <w:qFormat/>
    <w:uiPriority w:val="0"/>
    <w:rPr>
      <w:snapToGrid w:val="0"/>
      <w:sz w:val="21"/>
      <w:szCs w:val="18"/>
    </w:rPr>
  </w:style>
  <w:style w:type="paragraph" w:customStyle="1" w:styleId="3901">
    <w:name w:val="表格填充1"/>
    <w:basedOn w:val="1"/>
    <w:link w:val="3900"/>
    <w:qFormat/>
    <w:uiPriority w:val="0"/>
    <w:pPr>
      <w:adjustRightInd w:val="0"/>
      <w:snapToGrid w:val="0"/>
      <w:spacing w:line="400" w:lineRule="exact"/>
      <w:jc w:val="center"/>
    </w:pPr>
    <w:rPr>
      <w:snapToGrid w:val="0"/>
      <w:kern w:val="0"/>
      <w:szCs w:val="18"/>
    </w:rPr>
  </w:style>
  <w:style w:type="paragraph" w:customStyle="1" w:styleId="3902">
    <w:name w:val="四级标题1.1.1.1"/>
    <w:basedOn w:val="1"/>
    <w:next w:val="1"/>
    <w:qFormat/>
    <w:uiPriority w:val="0"/>
    <w:pPr>
      <w:keepNext/>
      <w:keepLines/>
      <w:widowControl/>
      <w:adjustRightInd w:val="0"/>
      <w:spacing w:before="40" w:after="40" w:line="360" w:lineRule="auto"/>
      <w:ind w:firstLine="200" w:firstLineChars="200"/>
      <w:textAlignment w:val="baseline"/>
      <w:outlineLvl w:val="3"/>
    </w:pPr>
    <w:rPr>
      <w:rFonts w:eastAsia="仿宋_GB2312" w:cs="宋体"/>
      <w:b/>
      <w:kern w:val="0"/>
      <w:sz w:val="24"/>
      <w:szCs w:val="28"/>
    </w:rPr>
  </w:style>
  <w:style w:type="paragraph" w:customStyle="1" w:styleId="3903">
    <w:name w:val="样式 标2 +2"/>
    <w:basedOn w:val="5"/>
    <w:qFormat/>
    <w:uiPriority w:val="0"/>
    <w:pPr>
      <w:widowControl w:val="0"/>
      <w:tabs>
        <w:tab w:val="left" w:pos="576"/>
        <w:tab w:val="left" w:pos="1003"/>
        <w:tab w:val="clear" w:pos="1276"/>
      </w:tabs>
      <w:spacing w:before="260" w:after="260" w:line="416" w:lineRule="auto"/>
      <w:ind w:left="576"/>
      <w:jc w:val="both"/>
    </w:pPr>
    <w:rPr>
      <w:rFonts w:ascii="Times New Roman" w:hAnsi="Times New Roman" w:eastAsia="楷体_GB2312"/>
      <w:b/>
      <w:bCs/>
      <w:sz w:val="32"/>
      <w:szCs w:val="32"/>
      <w:u w:color="000000"/>
    </w:rPr>
  </w:style>
  <w:style w:type="paragraph" w:customStyle="1" w:styleId="3904">
    <w:name w:val="基准脚注"/>
    <w:basedOn w:val="1"/>
    <w:qFormat/>
    <w:uiPriority w:val="0"/>
    <w:pPr>
      <w:widowControl/>
      <w:jc w:val="left"/>
    </w:pPr>
    <w:rPr>
      <w:rFonts w:ascii="Garamond" w:hAnsi="Garamond"/>
      <w:kern w:val="0"/>
      <w:sz w:val="24"/>
      <w:szCs w:val="20"/>
    </w:rPr>
  </w:style>
  <w:style w:type="paragraph" w:customStyle="1" w:styleId="3905">
    <w:name w:val="报告书正文"/>
    <w:basedOn w:val="1"/>
    <w:qFormat/>
    <w:uiPriority w:val="0"/>
    <w:pPr>
      <w:ind w:firstLine="200" w:firstLineChars="200"/>
    </w:pPr>
    <w:rPr>
      <w:kern w:val="0"/>
    </w:rPr>
  </w:style>
  <w:style w:type="paragraph" w:customStyle="1" w:styleId="3906">
    <w:name w:val="Char Char Char Char Char Char Char Char Char Char Char Char1 Char Char Char Char Char Char Char Char Char Char"/>
    <w:basedOn w:val="1"/>
    <w:qFormat/>
    <w:uiPriority w:val="0"/>
    <w:pPr>
      <w:widowControl/>
      <w:spacing w:after="160" w:line="240" w:lineRule="exact"/>
      <w:jc w:val="left"/>
    </w:pPr>
    <w:rPr>
      <w:rFonts w:eastAsia="Times New Roman"/>
      <w:kern w:val="0"/>
      <w:sz w:val="24"/>
    </w:rPr>
  </w:style>
  <w:style w:type="paragraph" w:customStyle="1" w:styleId="3907">
    <w:name w:val="默认段落字体 Para Char Char Char Char Char Char Char Char Char1 Char Char Char Char Char Char Char Char Char Char"/>
    <w:basedOn w:val="27"/>
    <w:qFormat/>
    <w:uiPriority w:val="0"/>
    <w:pPr>
      <w:shd w:val="clear" w:color="auto" w:fill="000080"/>
    </w:pPr>
    <w:rPr>
      <w:rFonts w:ascii="Tahoma" w:hAnsi="Tahoma"/>
      <w:sz w:val="24"/>
      <w:szCs w:val="24"/>
    </w:rPr>
  </w:style>
  <w:style w:type="paragraph" w:customStyle="1" w:styleId="3908">
    <w:name w:val="Char Char3 Char Char Char Char Char Char Char Char"/>
    <w:basedOn w:val="1"/>
    <w:qFormat/>
    <w:uiPriority w:val="0"/>
    <w:pPr>
      <w:widowControl/>
      <w:jc w:val="left"/>
    </w:pPr>
    <w:rPr>
      <w:rFonts w:ascii="宋体" w:hAnsi="宋体"/>
      <w:sz w:val="28"/>
      <w:szCs w:val="28"/>
    </w:rPr>
  </w:style>
  <w:style w:type="paragraph" w:customStyle="1" w:styleId="3909">
    <w:name w:val="1说明"/>
    <w:basedOn w:val="1"/>
    <w:qFormat/>
    <w:uiPriority w:val="0"/>
    <w:pPr>
      <w:snapToGrid w:val="0"/>
      <w:spacing w:line="420" w:lineRule="auto"/>
      <w:ind w:firstLine="454"/>
      <w:outlineLvl w:val="4"/>
    </w:pPr>
    <w:rPr>
      <w:spacing w:val="4"/>
    </w:rPr>
  </w:style>
  <w:style w:type="paragraph" w:customStyle="1" w:styleId="3910">
    <w:name w:val="Char Char Char3"/>
    <w:basedOn w:val="1"/>
    <w:qFormat/>
    <w:uiPriority w:val="0"/>
    <w:rPr>
      <w:sz w:val="24"/>
    </w:rPr>
  </w:style>
  <w:style w:type="paragraph" w:customStyle="1" w:styleId="3911">
    <w:name w:val="正文 + 小四"/>
    <w:basedOn w:val="1"/>
    <w:qFormat/>
    <w:uiPriority w:val="0"/>
    <w:pPr>
      <w:snapToGrid w:val="0"/>
      <w:spacing w:line="360" w:lineRule="auto"/>
      <w:ind w:firstLine="472" w:firstLineChars="196"/>
    </w:pPr>
    <w:rPr>
      <w:rFonts w:ascii="宋体"/>
      <w:b/>
      <w:sz w:val="24"/>
      <w:szCs w:val="20"/>
    </w:rPr>
  </w:style>
  <w:style w:type="paragraph" w:customStyle="1" w:styleId="3912">
    <w:name w:val="p0"/>
    <w:basedOn w:val="1"/>
    <w:qFormat/>
    <w:uiPriority w:val="0"/>
    <w:pPr>
      <w:widowControl/>
      <w:spacing w:line="365" w:lineRule="atLeast"/>
      <w:ind w:left="1"/>
      <w:textAlignment w:val="bottom"/>
    </w:pPr>
    <w:rPr>
      <w:kern w:val="0"/>
      <w:sz w:val="20"/>
      <w:szCs w:val="20"/>
    </w:rPr>
  </w:style>
  <w:style w:type="paragraph" w:customStyle="1" w:styleId="3913">
    <w:name w:val="正文18"/>
    <w:basedOn w:val="1"/>
    <w:qFormat/>
    <w:uiPriority w:val="0"/>
    <w:pPr>
      <w:adjustRightInd w:val="0"/>
      <w:snapToGrid w:val="0"/>
      <w:spacing w:line="360" w:lineRule="auto"/>
      <w:ind w:firstLine="200" w:firstLineChars="200"/>
    </w:pPr>
    <w:rPr>
      <w:sz w:val="24"/>
      <w:szCs w:val="20"/>
    </w:rPr>
  </w:style>
  <w:style w:type="paragraph" w:customStyle="1" w:styleId="3914">
    <w:name w:val="WPSOffice手动目录 1"/>
    <w:qFormat/>
    <w:uiPriority w:val="0"/>
    <w:rPr>
      <w:rFonts w:ascii="Times New Roman" w:hAnsi="Times New Roman" w:eastAsia="宋体" w:cs="Times New Roman"/>
      <w:lang w:val="en-US" w:eastAsia="zh-CN" w:bidi="ar-SA"/>
    </w:rPr>
  </w:style>
  <w:style w:type="paragraph" w:customStyle="1" w:styleId="3915">
    <w:name w:val="样式 宋体 红色 行距: 1.5 倍行距"/>
    <w:basedOn w:val="1"/>
    <w:qFormat/>
    <w:uiPriority w:val="0"/>
    <w:pPr>
      <w:adjustRightInd w:val="0"/>
      <w:snapToGrid w:val="0"/>
      <w:spacing w:line="360" w:lineRule="auto"/>
      <w:ind w:firstLine="560" w:firstLineChars="200"/>
    </w:pPr>
    <w:rPr>
      <w:rFonts w:ascii="宋体" w:hAnsi="宋体" w:cs="宋体"/>
      <w:color w:val="FF0000"/>
      <w:sz w:val="24"/>
      <w:szCs w:val="20"/>
    </w:rPr>
  </w:style>
  <w:style w:type="paragraph" w:customStyle="1" w:styleId="3916">
    <w:name w:val="表格标题"/>
    <w:basedOn w:val="1"/>
    <w:qFormat/>
    <w:uiPriority w:val="0"/>
    <w:pPr>
      <w:spacing w:before="60" w:line="460" w:lineRule="exact"/>
      <w:jc w:val="center"/>
    </w:pPr>
    <w:rPr>
      <w:sz w:val="24"/>
      <w:szCs w:val="20"/>
    </w:rPr>
  </w:style>
  <w:style w:type="paragraph" w:customStyle="1" w:styleId="3917">
    <w:name w:val="Char77"/>
    <w:basedOn w:val="1"/>
    <w:next w:val="1"/>
    <w:qFormat/>
    <w:uiPriority w:val="0"/>
    <w:pPr>
      <w:keepNext/>
      <w:keepLines/>
      <w:widowControl/>
      <w:adjustRightInd w:val="0"/>
      <w:spacing w:before="40" w:after="40" w:line="360" w:lineRule="auto"/>
      <w:ind w:firstLine="200" w:firstLineChars="200"/>
      <w:textAlignment w:val="baseline"/>
      <w:outlineLvl w:val="3"/>
    </w:pPr>
    <w:rPr>
      <w:rFonts w:eastAsia="仿宋_GB2312" w:cs="宋体"/>
      <w:b/>
      <w:kern w:val="0"/>
      <w:sz w:val="24"/>
      <w:szCs w:val="28"/>
    </w:rPr>
  </w:style>
  <w:style w:type="paragraph" w:customStyle="1" w:styleId="3918">
    <w:name w:val="正1"/>
    <w:basedOn w:val="1"/>
    <w:qFormat/>
    <w:uiPriority w:val="0"/>
    <w:pPr>
      <w:spacing w:line="360" w:lineRule="auto"/>
      <w:ind w:firstLine="200" w:firstLineChars="200"/>
      <w:jc w:val="left"/>
    </w:pPr>
    <w:rPr>
      <w:rFonts w:eastAsia="楷体_GB2312"/>
      <w:sz w:val="24"/>
      <w:szCs w:val="20"/>
    </w:rPr>
  </w:style>
  <w:style w:type="paragraph" w:customStyle="1" w:styleId="3919">
    <w:name w:val="新格式表"/>
    <w:basedOn w:val="1"/>
    <w:qFormat/>
    <w:uiPriority w:val="0"/>
    <w:pPr>
      <w:adjustRightInd w:val="0"/>
      <w:snapToGrid w:val="0"/>
      <w:spacing w:line="0" w:lineRule="atLeast"/>
      <w:jc w:val="center"/>
    </w:pPr>
    <w:rPr>
      <w:color w:val="000000"/>
      <w:kern w:val="0"/>
      <w:szCs w:val="21"/>
    </w:rPr>
  </w:style>
  <w:style w:type="paragraph" w:customStyle="1" w:styleId="3920">
    <w:name w:val="样式 标3 + 段前: 1 行 段后: 1 行1"/>
    <w:basedOn w:val="7"/>
    <w:qFormat/>
    <w:uiPriority w:val="0"/>
    <w:pPr>
      <w:tabs>
        <w:tab w:val="left" w:pos="720"/>
        <w:tab w:val="left" w:pos="1146"/>
        <w:tab w:val="left" w:pos="2176"/>
      </w:tabs>
      <w:spacing w:before="0" w:after="0" w:line="360" w:lineRule="auto"/>
      <w:ind w:left="2023" w:hanging="567"/>
      <w:jc w:val="left"/>
    </w:pPr>
    <w:rPr>
      <w:rFonts w:eastAsia="楷体_GB2312" w:cs="宋体"/>
      <w:bCs w:val="0"/>
      <w:iCs/>
      <w:kern w:val="24"/>
      <w:sz w:val="28"/>
      <w:szCs w:val="20"/>
    </w:rPr>
  </w:style>
  <w:style w:type="paragraph" w:customStyle="1" w:styleId="3921">
    <w:name w:val="Char Char Char Char Char Char Char Char Char Char Char Char Char Char Char Char Char Char Char Char Char Char Char Char Char1"/>
    <w:basedOn w:val="1"/>
    <w:next w:val="1"/>
    <w:qFormat/>
    <w:uiPriority w:val="0"/>
    <w:pPr>
      <w:spacing w:line="360" w:lineRule="auto"/>
      <w:ind w:firstLine="200" w:firstLineChars="200"/>
    </w:pPr>
    <w:rPr>
      <w:rFonts w:ascii="宋体" w:hAnsi="宋体" w:cs="宋体"/>
      <w:sz w:val="24"/>
    </w:rPr>
  </w:style>
  <w:style w:type="paragraph" w:customStyle="1" w:styleId="3922">
    <w:name w:val="样式 正文 行距: 固定值 25 磅"/>
    <w:basedOn w:val="1"/>
    <w:qFormat/>
    <w:uiPriority w:val="0"/>
    <w:pPr>
      <w:adjustRightInd w:val="0"/>
      <w:spacing w:line="500" w:lineRule="exact"/>
      <w:ind w:firstLine="200" w:firstLineChars="200"/>
    </w:pPr>
    <w:rPr>
      <w:rFonts w:cs="宋体"/>
      <w:sz w:val="24"/>
    </w:rPr>
  </w:style>
  <w:style w:type="paragraph" w:customStyle="1" w:styleId="3923">
    <w:name w:val="WPS Plain"/>
    <w:qFormat/>
    <w:uiPriority w:val="0"/>
    <w:rPr>
      <w:rFonts w:ascii="Times New Roman" w:hAnsi="Times New Roman" w:eastAsia="宋体" w:cs="Times New Roman"/>
      <w:lang w:val="en-US" w:eastAsia="zh-CN" w:bidi="ar-SA"/>
    </w:rPr>
  </w:style>
  <w:style w:type="paragraph" w:customStyle="1" w:styleId="3924">
    <w:name w:val="Char236"/>
    <w:basedOn w:val="1"/>
    <w:qFormat/>
    <w:uiPriority w:val="0"/>
    <w:rPr>
      <w:sz w:val="24"/>
    </w:rPr>
  </w:style>
  <w:style w:type="paragraph" w:customStyle="1" w:styleId="392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926">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3927">
    <w:name w:val="表内容"/>
    <w:basedOn w:val="1"/>
    <w:qFormat/>
    <w:uiPriority w:val="0"/>
    <w:pPr>
      <w:adjustRightInd w:val="0"/>
      <w:snapToGrid w:val="0"/>
      <w:jc w:val="center"/>
    </w:pPr>
    <w:rPr>
      <w:szCs w:val="21"/>
    </w:rPr>
  </w:style>
  <w:style w:type="character" w:customStyle="1" w:styleId="3928">
    <w:name w:val="font181"/>
    <w:basedOn w:val="91"/>
    <w:qFormat/>
    <w:uiPriority w:val="0"/>
    <w:rPr>
      <w:rFonts w:hint="eastAsia" w:ascii="宋体" w:hAnsi="宋体" w:eastAsia="宋体" w:cs="宋体"/>
      <w:color w:val="000000"/>
      <w:sz w:val="21"/>
      <w:szCs w:val="21"/>
      <w:u w:val="none"/>
    </w:rPr>
  </w:style>
  <w:style w:type="character" w:customStyle="1" w:styleId="3929">
    <w:name w:val="font171"/>
    <w:basedOn w:val="91"/>
    <w:qFormat/>
    <w:uiPriority w:val="0"/>
    <w:rPr>
      <w:rFonts w:hint="default" w:ascii="Times New Roman" w:hAnsi="Times New Roman" w:eastAsia="仿宋_GB2312" w:cs="Times New Roman"/>
      <w:color w:val="000000"/>
      <w:sz w:val="21"/>
      <w:szCs w:val="21"/>
      <w:u w:val="none"/>
    </w:rPr>
  </w:style>
  <w:style w:type="character" w:customStyle="1" w:styleId="3930">
    <w:name w:val="font161"/>
    <w:basedOn w:val="91"/>
    <w:qFormat/>
    <w:uiPriority w:val="0"/>
    <w:rPr>
      <w:rFonts w:hint="default" w:ascii="Times New Roman" w:hAnsi="Times New Roman" w:eastAsia="仿宋_GB2312" w:cs="Times New Roman"/>
      <w:color w:val="000000"/>
      <w:sz w:val="21"/>
      <w:szCs w:val="21"/>
      <w:u w:val="none"/>
    </w:rPr>
  </w:style>
  <w:style w:type="character" w:customStyle="1" w:styleId="3931">
    <w:name w:val="font101"/>
    <w:basedOn w:val="91"/>
    <w:qFormat/>
    <w:uiPriority w:val="0"/>
    <w:rPr>
      <w:rFonts w:hint="default" w:ascii="Times New Roman" w:hAnsi="Times New Roman" w:eastAsia="仿宋_GB2312" w:cs="Times New Roman"/>
      <w:color w:val="000000"/>
      <w:sz w:val="21"/>
      <w:szCs w:val="21"/>
      <w:u w:val="none"/>
    </w:rPr>
  </w:style>
  <w:style w:type="paragraph" w:customStyle="1" w:styleId="3932">
    <w:name w:val="Char Char"/>
    <w:basedOn w:val="1"/>
    <w:qFormat/>
    <w:uiPriority w:val="0"/>
    <w:pPr>
      <w:widowControl/>
      <w:adjustRightInd w:val="0"/>
      <w:jc w:val="center"/>
    </w:pPr>
    <w:rPr>
      <w:rFonts w:ascii="Verdana" w:hAnsi="Verdana" w:eastAsia="仿宋_GB2312"/>
      <w:kern w:val="0"/>
      <w:szCs w:val="20"/>
      <w:lang w:eastAsia="en-US"/>
    </w:rPr>
  </w:style>
  <w:style w:type="character" w:customStyle="1" w:styleId="3933">
    <w:name w:val="font41"/>
    <w:basedOn w:val="91"/>
    <w:qFormat/>
    <w:uiPriority w:val="0"/>
    <w:rPr>
      <w:rFonts w:hint="default" w:ascii="Times New Roman" w:hAnsi="Times New Roman" w:eastAsia="仿宋_GB2312" w:cs="Times New Roman"/>
      <w:color w:val="000000"/>
      <w:sz w:val="24"/>
      <w:szCs w:val="24"/>
      <w:u w:val="none"/>
      <w:vertAlign w:val="superscript"/>
    </w:rPr>
  </w:style>
  <w:style w:type="paragraph" w:customStyle="1" w:styleId="3934">
    <w:name w:val="ch表标题"/>
    <w:next w:val="1"/>
    <w:qFormat/>
    <w:uiPriority w:val="0"/>
    <w:pPr>
      <w:spacing w:line="500" w:lineRule="atLeast"/>
      <w:jc w:val="center"/>
    </w:pPr>
    <w:rPr>
      <w:rFonts w:ascii="Times New Roman" w:hAnsi="Times New Roman" w:eastAsia="宋体" w:cs="Times New Roman"/>
      <w:b/>
      <w:bCs/>
      <w:kern w:val="28"/>
      <w:sz w:val="24"/>
      <w:szCs w:val="24"/>
      <w:lang w:val="en-US" w:eastAsia="zh-CN" w:bidi="ar-SA"/>
    </w:rPr>
  </w:style>
  <w:style w:type="paragraph" w:customStyle="1" w:styleId="3935">
    <w:name w:val="ch表格文字"/>
    <w:basedOn w:val="3934"/>
    <w:next w:val="1"/>
    <w:qFormat/>
    <w:uiPriority w:val="0"/>
    <w:pPr>
      <w:widowControl/>
      <w:spacing w:line="240" w:lineRule="atLeast"/>
      <w:jc w:val="center"/>
    </w:pPr>
    <w:rPr>
      <w:b w:val="0"/>
      <w:color w:val="000000"/>
      <w:sz w:val="21"/>
      <w:szCs w:val="21"/>
    </w:rPr>
  </w:style>
  <w:style w:type="paragraph" w:customStyle="1" w:styleId="3936">
    <w:name w:val="表格题注"/>
    <w:basedOn w:val="23"/>
    <w:qFormat/>
    <w:uiPriority w:val="0"/>
    <w:pPr>
      <w:tabs>
        <w:tab w:val="left" w:pos="7380"/>
      </w:tabs>
      <w:spacing w:before="100" w:beforeAutospacing="1" w:line="360" w:lineRule="auto"/>
      <w:jc w:val="center"/>
    </w:pPr>
    <w:rPr>
      <w:rFonts w:ascii="Calibri" w:hAnsi="Calibri" w:eastAsia="宋体"/>
      <w:b/>
      <w:spacing w:val="20"/>
      <w:kern w:val="10"/>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3.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9.png"/><Relationship Id="rId23" Type="http://schemas.openxmlformats.org/officeDocument/2006/relationships/image" Target="media/image8.wmf"/><Relationship Id="rId22" Type="http://schemas.openxmlformats.org/officeDocument/2006/relationships/oleObject" Target="embeddings/oleObject1.bin"/><Relationship Id="rId21" Type="http://schemas.openxmlformats.org/officeDocument/2006/relationships/oleObject" Target="file:///G:\&#25105;&#30340;&#25253;&#21578;\&#27491;&#22312;&#36827;&#34892;\&#23457;&#26680;\&#25253;&#21578;&#34920;\&#21326;&#28304;-1\&#38468;&#22270;\&#24223;&#27668;&#29983;&#20135;&#24037;&#33402;&#27969;&#31243;&#21450;&#20135;&#27745;&#29615;&#33410;&#22270;%20-0406.vsd" TargetMode="External"/><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file:///G:\&#25105;&#30340;&#25253;&#21578;\&#27491;&#22312;&#36827;&#34892;\&#23457;&#26680;\&#25253;&#21578;&#34920;\&#21326;&#28304;-1\&#38468;&#22270;\&#33976;&#27773;&#24179;&#34913;&#22270;%20-&#20840;&#21378;.vsd" TargetMode="External"/><Relationship Id="rId18" Type="http://schemas.openxmlformats.org/officeDocument/2006/relationships/image" Target="media/image6.emf"/><Relationship Id="rId17" Type="http://schemas.openxmlformats.org/officeDocument/2006/relationships/oleObject" Target="file:///G:\&#25105;&#30340;&#25253;&#21578;\&#27491;&#22312;&#36827;&#34892;\&#23457;&#26680;\&#25253;&#21578;&#34920;\&#21326;&#28304;-1\&#38468;&#22270;\&#33976;&#27773;&#24179;&#34913;&#22270;.vsd" TargetMode="External"/><Relationship Id="rId16" Type="http://schemas.openxmlformats.org/officeDocument/2006/relationships/image" Target="media/image5.emf"/><Relationship Id="rId15" Type="http://schemas.openxmlformats.org/officeDocument/2006/relationships/oleObject" Target="file:///G:\&#25105;&#30340;&#25253;&#21578;\&#27491;&#22312;&#36827;&#34892;\&#23457;&#26680;\&#25253;&#21578;&#34920;\&#21326;&#28304;-1\&#38468;&#22270;\&#27700;&#24179;&#34913;&#22270;-&#20840;&#21378;.vsd" TargetMode="External"/><Relationship Id="rId14" Type="http://schemas.openxmlformats.org/officeDocument/2006/relationships/image" Target="media/image4.emf"/><Relationship Id="rId13" Type="http://schemas.openxmlformats.org/officeDocument/2006/relationships/oleObject" Target="file:///G:\&#25105;&#30340;&#25253;&#21578;\&#27491;&#22312;&#36827;&#34892;\&#23457;&#26680;\&#25253;&#21578;&#34920;\&#21326;&#28304;-1\&#38468;&#22270;\&#27700;&#24179;&#34913;&#22270;.vsd" TargetMode="External"/><Relationship Id="rId12" Type="http://schemas.openxmlformats.org/officeDocument/2006/relationships/image" Target="media/image3.emf"/><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ntractReview xmlns="http://schemas.wps.cn/vas-ai-hub/contract-review">
  <reviewItems>
    <reviewItem>
      <errorID>77064a9a-764e-4f66-b91a-6d54b32c19d1</errorID>
      <errorWord>证</errorWord>
      <group>L1_Word</group>
      <groupName>字词问题</groupName>
      <ability>L2_Typo</ability>
      <abilityName>字词错误</abilityName>
      <candidateList>
        <item>证明</item>
      </candidateList>
      <explain/>
      <paraID>5EC672A7</paraID>
      <start>5</start>
      <end>6</end>
      <status>ignored</status>
      <modifiedWord/>
      <trackRevisions>false</trackRevisions>
    </reviewItem>
    <reviewItem>
      <errorID>11802ec9-4066-4659-9f41-8c79d295d1b0</errorID>
      <errorWord>现场勘察</errorWord>
      <group>L1_Word</group>
      <groupName>字词问题</groupName>
      <ability>L2_Typo</ability>
      <abilityName>字词错误</abilityName>
      <candidateList>
        <item>现场勘查</item>
      </candidateList>
      <explain/>
      <paraID>422AE319</paraID>
      <start>4</start>
      <end>8</end>
      <status>ignored</status>
      <modifiedWord/>
      <trackRevisions>false</trackRevisions>
    </reviewItem>
    <reviewItem>
      <errorID>059634e7-bc69-4be5-ae36-dbc9afc1bd77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EACBA6</paraID>
      <start>0</start>
      <end>2</end>
      <status>modified</status>
      <modifiedWord>1.</modifiedWord>
      <trackRevisions>false</trackRevisions>
    </reviewItem>
    <reviewItem>
      <errorID>a506b1eb-0e14-4bf4-b222-355b5b3731bf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95B04C5</paraID>
      <start>0</start>
      <end>2</end>
      <status>modified</status>
      <modifiedWord>2.</modifiedWord>
      <trackRevisions>false</trackRevisions>
    </reviewItem>
    <reviewItem>
      <errorID>93ebd23e-0ade-4575-bfe1-b1bfa0f2b9f3</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7E2346EC</paraID>
      <start>183</start>
      <end>184</end>
      <status>modified</status>
      <modifiedWord>‘</modifiedWord>
      <trackRevisions>false</trackRevisions>
    </reviewItem>
    <reviewItem>
      <errorID>7a836097-8893-45b9-a14b-25043b27e239</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7E2346EC</paraID>
      <start>195</start>
      <end>196</end>
      <status>modified</status>
      <modifiedWord>’</modifiedWord>
      <trackRevisions>false</trackRevisions>
    </reviewItem>
    <reviewItem>
      <errorID>a7bb59b3-73b5-4484-994b-7356fa1c2b7e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7E2346EC</paraID>
      <start>215</start>
      <end>217</end>
      <status>modified</status>
      <modifiedWord>”“</modifiedWord>
      <trackRevisions>false</trackRevisions>
    </reviewItem>
    <reviewItem>
      <errorID>393dfef2-de5f-4d1e-abcb-df2e01192bbe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3F041CE</paraID>
      <start>0</start>
      <end>2</end>
      <status>modified</status>
      <modifiedWord>3.</modifiedWord>
      <trackRevisions>false</trackRevisions>
    </reviewItem>
    <reviewItem>
      <errorID>414a2790-5c5b-4cc7-8a51-e20d8a73ad65</errorID>
      <errorWord>原由</errorWord>
      <group>L1_Word</group>
      <groupName>字词问题</groupName>
      <ability>L2_Variant</ability>
      <abilityName>异形词</abilityName>
      <candidateList>
        <item>缘由</item>
      </candidateList>
      <explain>词汇[原由]的规范词形写作[缘由]。</explain>
      <paraID>5D3C194A</paraID>
      <start>42</start>
      <end>44</end>
      <status>ignored</status>
      <modifiedWord/>
      <trackRevisions>false</trackRevisions>
    </reviewItem>
    <reviewItem>
      <errorID>4efe2910-1853-4b6d-aec2-af338a585b4e</errorID>
      <errorWord>（</errorWord>
      <group>L1_Punc</group>
      <groupName>标点问题</groupName>
      <ability>L2_Punc</ability>
      <abilityName>标点符号检查</abilityName>
      <candidateList/>
      <explain>同一形式括号套用。</explain>
      <paraID>5D3C194A</paraID>
      <start>105</start>
      <end>106</end>
      <status>unmodified</status>
      <modifiedWord/>
      <trackRevisions>false</trackRevisions>
    </reviewItem>
    <reviewItem>
      <errorID>36c6d0fc-daeb-4f74-b09c-29bc58f03d3d</errorID>
      <errorWord>）</errorWord>
      <group>L1_Punc</group>
      <groupName>标点问题</groupName>
      <ability>L2_Punc</ability>
      <abilityName>标点符号检查</abilityName>
      <candidateList/>
      <explain>同一形式括号套用。</explain>
      <paraID>5D3C194A</paraID>
      <start>119</start>
      <end>120</end>
      <status>unmodified</status>
      <modifiedWord/>
      <trackRevisions>false</trackRevisions>
    </reviewItem>
    <reviewItem>
      <errorID>bbdd3e88-4264-406a-9705-811ab54763d5</errorID>
      <errorWord>（</errorWord>
      <group>L1_Punc</group>
      <groupName>标点问题</groupName>
      <ability>L2_Punc</ability>
      <abilityName>标点符号检查</abilityName>
      <candidateList/>
      <explain>同一形式括号套用。</explain>
      <paraID>2E73B4FE</paraID>
      <start>167</start>
      <end>168</end>
      <status>unmodified</status>
      <modifiedWord/>
      <trackRevisions>false</trackRevisions>
    </reviewItem>
    <reviewItem>
      <errorID>e0abcded-4ddb-4477-8c7a-38879c112e53</errorID>
      <errorWord>）</errorWord>
      <group>L1_Punc</group>
      <groupName>标点问题</groupName>
      <ability>L2_Punc</ability>
      <abilityName>标点符号检查</abilityName>
      <candidateList/>
      <explain>同一形式括号套用。</explain>
      <paraID>2E73B4FE</paraID>
      <start>181</start>
      <end>182</end>
      <status>unmodified</status>
      <modifiedWord/>
      <trackRevisions>false</trackRevisions>
    </reviewItem>
    <reviewItem>
      <errorID>bbe705b0-7002-4cb6-977f-15ffb20386ff</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2BF9D635</paraID>
      <start>235</start>
      <end>237</end>
      <status>modified</status>
      <modifiedWord>可以</modifiedWord>
      <trackRevisions>false</trackRevisions>
    </reviewItem>
    <reviewItem>
      <errorID>364c5822-aa9e-4bbd-b264-f7cb27b4cf0f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34EACF60</paraID>
      <start>23</start>
      <end>24</end>
      <status>modified</status>
      <modifiedWord>—</modifiedWord>
      <trackRevisions>false</trackRevisions>
    </reviewItem>
    <reviewItem>
      <errorID>1fd93d21-fa3d-4677-a722-317e3fc75b4a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1CBF9262</paraID>
      <start>35</start>
      <end>36</end>
      <status>modified</status>
      <modifiedWord>—</modifiedWord>
      <trackRevisions>false</trackRevisions>
    </reviewItem>
    <reviewItem>
      <errorID>b4425301-6e75-4c7b-9707-562677136f3f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69C46711</paraID>
      <start>36</start>
      <end>37</end>
      <status>modified</status>
      <modifiedWord>—</modifiedWord>
      <trackRevisions>false</trackRevisions>
    </reviewItem>
    <reviewItem>
      <errorID>5cb17fe4-f536-4a78-8c4c-29ab387c431d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69C46711</paraID>
      <start>61</start>
      <end>62</end>
      <status>modified</status>
      <modifiedWord>—</modifiedWord>
      <trackRevisions>false</trackRevisions>
    </reviewItem>
    <reviewItem>
      <errorID>6acd03c6-0334-4616-aa2c-6c952ee8cfd6</errorID>
      <errorWord>》</errorWord>
      <group>L1_Word</group>
      <groupName>字词问题</groupName>
      <ability>L2_Typo</ability>
      <abilityName>字词错误</abilityName>
      <candidateList>
        <item>》和</item>
      </candidateList>
      <explain/>
      <paraID>76FAD72A</paraID>
      <start>71</start>
      <end>73</end>
      <status>modified</status>
      <modifiedWord>》和</modifiedWord>
      <trackRevisions>false</trackRevisions>
    </reviewItem>
    <reviewItem>
      <errorID>1a0b312f-b96b-481d-bb9f-49b2c4ec83ba</errorID>
      <errorWord>胜</errorWord>
      <group>L1_Word</group>
      <groupName>字词问题</groupName>
      <ability>L2_Typo</ability>
      <abilityName>字词错误</abilityName>
      <candidateList>
        <item>胜区</item>
      </candidateList>
      <explain/>
      <paraID>76FAD72A</paraID>
      <start>123</start>
      <end>125</end>
      <status>modified</status>
      <modifiedWord>胜区</modifiedWord>
      <trackRevisions>false</trackRevisions>
    </reviewItem>
    <reviewItem>
      <errorID>ee5ec1da-465f-4801-9d4a-d3f22b08d411</errorID>
      <errorWord>总图</errorWord>
      <group>L1_Word</group>
      <groupName>字词问题</groupName>
      <ability>L2_Typo</ability>
      <abilityName>字词错误</abilityName>
      <candidateList>
        <item>总体</item>
      </candidateList>
      <explain/>
      <paraID>3DB6157E</paraID>
      <start>20</start>
      <end>22</end>
      <status>modified</status>
      <modifiedWord>总体</modifiedWord>
      <trackRevisions>false</trackRevisions>
    </reviewItem>
    <reviewItem>
      <errorID>be185cfc-9488-471a-a860-130678ec9727</errorID>
      <errorWord>（</errorWord>
      <group>L1_Punc</group>
      <groupName>标点问题</groupName>
      <ability>L2_Punc</ability>
      <abilityName>标点符号检查</abilityName>
      <candidateList/>
      <explain>同一形式括号套用。</explain>
      <paraID>7090B40C</paraID>
      <start>234</start>
      <end>235</end>
      <status>unmodified</status>
      <modifiedWord/>
      <trackRevisions>false</trackRevisions>
    </reviewItem>
    <reviewItem>
      <errorID>2d240d4f-b0d5-4bd1-8667-4d385c7ff437</errorID>
      <errorWord>）</errorWord>
      <group>L1_Punc</group>
      <groupName>标点问题</groupName>
      <ability>L2_Punc</ability>
      <abilityName>标点符号检查</abilityName>
      <candidateList/>
      <explain>同一形式括号套用。</explain>
      <paraID>7090B40C</paraID>
      <start>239</start>
      <end>240</end>
      <status>unmodified</status>
      <modifiedWord/>
      <trackRevisions>false</trackRevisions>
    </reviewItem>
    <reviewItem>
      <errorID>aeed0b83-f06e-4e63-8be8-929ddb139175</errorID>
      <errorWord>（</errorWord>
      <group>L1_Punc</group>
      <groupName>标点问题</groupName>
      <ability>L2_Punc</ability>
      <abilityName>标点符号检查</abilityName>
      <candidateList/>
      <explain>同一形式括号套用。</explain>
      <paraID>7090B40C</paraID>
      <start>257</start>
      <end>258</end>
      <status>unmodified</status>
      <modifiedWord/>
      <trackRevisions>false</trackRevisions>
    </reviewItem>
    <reviewItem>
      <errorID>445b2970-8861-4819-ab19-f7a934a8b7ce</errorID>
      <errorWord>）</errorWord>
      <group>L1_Punc</group>
      <groupName>标点问题</groupName>
      <ability>L2_Punc</ability>
      <abilityName>标点符号检查</abilityName>
      <candidateList/>
      <explain>同一形式括号套用。</explain>
      <paraID>7090B40C</paraID>
      <start>262</start>
      <end>263</end>
      <status>unmodified</status>
      <modifiedWord/>
      <trackRevisions>false</trackRevisions>
    </reviewItem>
    <reviewItem>
      <errorID>0eae5c12-9088-4ae3-b673-fb270195a626</errorID>
      <errorWord>氯氧</errorWord>
      <group>L1_Word</group>
      <groupName>字词问题</groupName>
      <ability>L2_Typo</ability>
      <abilityName>字词错误</abilityName>
      <candidateList>
        <item>氯化</item>
      </candidateList>
      <explain/>
      <paraID>3BC843CE</paraID>
      <start>50</start>
      <end>52</end>
      <status>ignored</status>
      <modifiedWord/>
      <trackRevisions>false</trackRevisions>
    </reviewItem>
    <reviewItem>
      <errorID>b8b8ab5c-a1af-4908-8d34-a3f2fff3c70b</errorID>
      <errorWord>氯氧</errorWord>
      <group>L1_Word</group>
      <groupName>字词问题</groupName>
      <ability>L2_Typo</ability>
      <abilityName>字词错误</abilityName>
      <candidateList>
        <item>氯化</item>
      </candidateList>
      <explain/>
      <paraID>3BC843CE</paraID>
      <start>181</start>
      <end>183</end>
      <status>ignored</status>
      <modifiedWord/>
      <trackRevisions>false</trackRevisions>
    </reviewItem>
    <reviewItem>
      <errorID>7b862a20-37a6-4b16-8339-3003b2ea06ad</errorID>
      <errorWord>物质</errorWord>
      <group>L1_Word</group>
      <groupName>字词问题</groupName>
      <ability>L2_Typo</ability>
      <abilityName>字词错误</abilityName>
      <candidateList>
        <item>物资</item>
      </candidateList>
      <explain/>
      <paraID>7241CF13</paraID>
      <start>36</start>
      <end>38</end>
      <status>ignored</status>
      <modifiedWord/>
      <trackRevisions>false</trackRevisions>
    </reviewItem>
    <reviewItem>
      <errorID>f5e2d36f-185e-4f8c-a0f6-3e00e99059e8</errorID>
      <errorWord>（</errorWord>
      <group>L1_Format</group>
      <groupName>格式问题</groupName>
      <ability>L2_HalfPunc</ability>
      <abilityName>全半角检查</abilityName>
      <candidateList>
        <item>(</item>
      </candidateList>
      <explain>文本全半角错误。</explain>
      <paraID>62432F04</paraID>
      <start>6</start>
      <end>7</end>
      <status>ignored</status>
      <modifiedWord/>
      <trackRevisions>false</trackRevisions>
    </reviewItem>
    <reviewItem>
      <errorID>d1c21cbd-1664-4df7-a055-073a0f4161a1</errorID>
      <errorWord>）</errorWord>
      <group>L1_Format</group>
      <groupName>格式问题</groupName>
      <ability>L2_HalfPunc</ability>
      <abilityName>全半角检查</abilityName>
      <candidateList>
        <item>)</item>
      </candidateList>
      <explain>文本全半角错误。</explain>
      <paraID>62432F04</paraID>
      <start>8</start>
      <end>9</end>
      <status>ignored</status>
      <modifiedWord/>
      <trackRevisions>false</trackRevisions>
    </reviewItem>
    <reviewItem>
      <errorID>708f28e7-ae89-4113-bce6-f48097790af5</errorID>
      <errorWord>氯氧</errorWord>
      <group>L1_Word</group>
      <groupName>字词问题</groupName>
      <ability>L2_Typo</ability>
      <abilityName>字词错误</abilityName>
      <candidateList>
        <item>氯化</item>
      </candidateList>
      <explain/>
      <paraID>6297737E</paraID>
      <start>16</start>
      <end>18</end>
      <status>ignored</status>
      <modifiedWord/>
      <trackRevisions>false</trackRevisions>
    </reviewItem>
    <reviewItem>
      <errorID>da59c74b-4207-44b3-ad2c-5b05a62b45b7</errorID>
      <errorWord>二道</errorWord>
      <group>L1_Word</group>
      <groupName>字词问题</groupName>
      <ability>L2_Typo</ability>
      <abilityName>字词错误</abilityName>
      <candidateList>
        <item>两道</item>
      </candidateList>
      <explain/>
      <paraID>39D3E6F0</paraID>
      <start>48</start>
      <end>50</end>
      <status>modified</status>
      <modifiedWord>两道</modifiedWord>
      <trackRevisions>false</trackRevisions>
    </reviewItem>
    <reviewItem>
      <errorID>4269fc08-5474-42bc-895e-73ec31f73775</errorID>
      <errorWord>二道</errorWord>
      <group>L1_Word</group>
      <groupName>字词问题</groupName>
      <ability>L2_Typo</ability>
      <abilityName>字词错误</abilityName>
      <candidateList>
        <item>两道</item>
      </candidateList>
      <explain/>
      <paraID>7F54027A</paraID>
      <start>48</start>
      <end>50</end>
      <status>modified</status>
      <modifiedWord>两道</modifiedWord>
      <trackRevisions>false</trackRevisions>
    </reviewItem>
    <reviewItem>
      <errorID>1eb918a5-a9f2-47b2-aaab-de22026aa42d</errorID>
      <errorWord>要求外</errorWord>
      <group>L1_Word</group>
      <groupName>字词问题</groupName>
      <ability>L2_Typo</ability>
      <abilityName>字词错误</abilityName>
      <candidateList>
        <item>要求</item>
      </candidateList>
      <explain>❶〈动〉提出具体愿望或条件，希望得到满足或实现：～转学｜～进步｜严格～自己。❷〈名〉所提出的具体愿望或条件：满足了他的～｜符合规定的～。</explain>
      <paraID> C7D8BC9</paraID>
      <start>79</start>
      <end>81</end>
      <status>modified</status>
      <modifiedWord>要求</modifiedWord>
      <trackRevisions>false</trackRevisions>
    </reviewItem>
    <reviewItem>
      <errorID>f113fc4f-71fe-4be2-bcb1-270147f69beb</errorID>
      <errorWord>水</errorWord>
      <group>L1_Word</group>
      <groupName>字词问题</groupName>
      <ability>L2_Typo</ability>
      <abilityName>字词错误</abilityName>
      <candidateList>
        <item>水平</item>
      </candidateList>
      <explain>❶〈形〉属性词。跟水平面平行的：～方向。❷〈名〉在生产、生活、政治、思想、文化、艺术、技术、业务等方面所达到的高度：提高思想～和业务～。</explain>
      <paraID>13F80C0F</paraID>
      <start>14</start>
      <end>15</end>
      <status>ignored</status>
      <modifiedWord/>
      <trackRevisions>false</trackRevisions>
    </reviewItem>
    <reviewItem>
      <errorID>56d2187c-a29a-4f19-8c55-6081ae4ca7dc</errorID>
      <errorWord>打开至</errorWord>
      <group>L1_Word</group>
      <groupName>字词问题</groupName>
      <ability>L2_Typo</ability>
      <abilityName>字词错误</abilityName>
      <candidateList>
        <item>打开</item>
      </candidateList>
      <explain/>
      <paraID>29559A02</paraID>
      <start>4</start>
      <end>6</end>
      <status>modified</status>
      <modifiedWord>打开</modifiedWord>
      <trackRevisions>false</trackRevisions>
    </reviewItem>
    <reviewItem>
      <errorID>dbeed90f-0ea9-457c-809f-bb19550df6dc</errorID>
      <errorWord>（</errorWord>
      <group>L1_Punc</group>
      <groupName>标点问题</groupName>
      <ability>L2_Punc</ability>
      <abilityName>标点符号检查</abilityName>
      <candidateList/>
      <explain>同一形式括号套用。</explain>
      <paraID>4E099AA2</paraID>
      <start>24</start>
      <end>25</end>
      <status>unmodified</status>
      <modifiedWord/>
      <trackRevisions>false</trackRevisions>
    </reviewItem>
    <reviewItem>
      <errorID>f360dcb9-2138-4c9c-885f-35ae57349267</errorID>
      <errorWord>）</errorWord>
      <group>L1_Punc</group>
      <groupName>标点问题</groupName>
      <ability>L2_Punc</ability>
      <abilityName>标点符号检查</abilityName>
      <candidateList/>
      <explain>同一形式括号套用。</explain>
      <paraID>4E099AA2</paraID>
      <start>29</start>
      <end>30</end>
      <status>unmodified</status>
      <modifiedWord/>
      <trackRevisions>false</trackRevisions>
    </reviewItem>
    <reviewItem>
      <errorID>6b001fc3-bdcd-46ec-9fd6-b9b3f81c74f9</errorID>
      <errorWord>（</errorWord>
      <group>L1_Punc</group>
      <groupName>标点问题</groupName>
      <ability>L2_Punc</ability>
      <abilityName>标点符号检查</abilityName>
      <candidateList/>
      <explain>同一形式括号套用。</explain>
      <paraID>4E099AA2</paraID>
      <start>47</start>
      <end>48</end>
      <status>unmodified</status>
      <modifiedWord/>
      <trackRevisions>false</trackRevisions>
    </reviewItem>
    <reviewItem>
      <errorID>0b925da7-c53e-4417-9f54-5178f8a61742</errorID>
      <errorWord>）</errorWord>
      <group>L1_Punc</group>
      <groupName>标点问题</groupName>
      <ability>L2_Punc</ability>
      <abilityName>标点符号检查</abilityName>
      <candidateList/>
      <explain>同一形式括号套用。</explain>
      <paraID>4E099AA2</paraID>
      <start>52</start>
      <end>53</end>
      <status>unmodified</status>
      <modifiedWord/>
      <trackRevisions>false</trackRevisions>
    </reviewItem>
    <reviewItem>
      <errorID>23b2bb9b-6327-40d7-abb1-8edd44c3b36e</errorID>
      <errorWord>液氯汽化</errorWord>
      <group>L1_Word</group>
      <groupName>字词问题</groupName>
      <ability>L2_Typo</ability>
      <abilityName>字词错误</abilityName>
      <candidateList>
        <item>液氯气化</item>
      </candidateList>
      <explain/>
      <paraID>584B6AD3</paraID>
      <start>42</start>
      <end>46</end>
      <status>ignored</status>
      <modifiedWord/>
      <trackRevisions>false</trackRevisions>
    </reviewItem>
    <reviewItem>
      <errorID>6f8c5dc3-fea8-4065-abe5-478d7da88f1f</errorID>
      <errorWord>打开至</errorWord>
      <group>L1_Word</group>
      <groupName>字词问题</groupName>
      <ability>L2_Typo</ability>
      <abilityName>字词错误</abilityName>
      <candidateList>
        <item>打开</item>
      </candidateList>
      <explain/>
      <paraID>  1DF245</paraID>
      <start>4</start>
      <end>6</end>
      <status>modified</status>
      <modifiedWord>打开</modifiedWord>
      <trackRevisions>false</trackRevisions>
    </reviewItem>
    <reviewItem>
      <errorID>94e3aecd-b1e2-4908-bbaa-d9a2bdc19831</errorID>
      <errorWord>-</errorWord>
      <group>L1_Format</group>
      <groupName>格式问题</groupName>
      <ability>L2_HalfPunc</ability>
      <abilityName>全半角检查</abilityName>
      <candidateList>
        <item>－</item>
      </candidateList>
      <explain>文本全半角错误。</explain>
      <paraID>26AD0BB3</paraID>
      <start>18</start>
      <end>19</end>
      <status>modified</status>
      <modifiedWord>－</modifiedWord>
      <trackRevisions>false</trackRevisions>
    </reviewItem>
    <reviewItem>
      <errorID>246994e7-7a22-4e19-a6b7-a101273aeb23</errorID>
      <errorWord>-</errorWord>
      <group>L1_Format</group>
      <groupName>格式问题</groupName>
      <ability>L2_HalfPunc</ability>
      <abilityName>全半角检查</abilityName>
      <candidateList>
        <item>－</item>
      </candidateList>
      <explain>文本全半角错误。</explain>
      <paraID>70675990</paraID>
      <start>10</start>
      <end>11</end>
      <status>modified</status>
      <modifiedWord>－</modifiedWord>
      <trackRevisions>false</trackRevisions>
    </reviewItem>
    <reviewItem>
      <errorID>cc917102-c470-4652-a867-97a5b1401d8d</errorID>
      <errorWord>-</errorWord>
      <group>L1_Format</group>
      <groupName>格式问题</groupName>
      <ability>L2_HalfPunc</ability>
      <abilityName>全半角检查</abilityName>
      <candidateList>
        <item>－</item>
      </candidateList>
      <explain>文本全半角错误。</explain>
      <paraID>41A83AA1</paraID>
      <start>10</start>
      <end>11</end>
      <status>modified</status>
      <modifiedWord>－</modifiedWord>
      <trackRevisions>false</trackRevisions>
    </reviewItem>
    <reviewItem>
      <errorID>e353cd92-06aa-404c-ac6a-cfc1d2b41956</errorID>
      <errorWord>-</errorWord>
      <group>L1_Format</group>
      <groupName>格式问题</groupName>
      <ability>L2_HalfPunc</ability>
      <abilityName>全半角检查</abilityName>
      <candidateList>
        <item>－</item>
      </candidateList>
      <explain>文本全半角错误。</explain>
      <paraID>1FB51F17</paraID>
      <start>10</start>
      <end>11</end>
      <status>modified</status>
      <modifiedWord>－</modifiedWord>
      <trackRevisions>false</trackRevisions>
    </reviewItem>
    <reviewItem>
      <errorID>5a976f69-34a5-4ab1-8e42-5fcf0d641d04</errorID>
      <errorWord>-</errorWord>
      <group>L1_Format</group>
      <groupName>格式问题</groupName>
      <ability>L2_HalfPunc</ability>
      <abilityName>全半角检查</abilityName>
      <candidateList>
        <item>－</item>
      </candidateList>
      <explain>文本全半角错误。</explain>
      <paraID>1C552A75</paraID>
      <start>10</start>
      <end>11</end>
      <status>modified</status>
      <modifiedWord>－</modifiedWord>
      <trackRevisions>false</trackRevisions>
    </reviewItem>
    <reviewItem>
      <errorID>0078ed4c-b3c9-4b20-8b02-ff72eab0fb9b</errorID>
      <errorWord>-</errorWord>
      <group>L1_Format</group>
      <groupName>格式问题</groupName>
      <ability>L2_HalfPunc</ability>
      <abilityName>全半角检查</abilityName>
      <candidateList>
        <item>－</item>
      </candidateList>
      <explain>文本全半角错误。</explain>
      <paraID>32204B93</paraID>
      <start>10</start>
      <end>11</end>
      <status>modified</status>
      <modifiedWord>－</modifiedWord>
      <trackRevisions>false</trackRevisions>
    </reviewItem>
    <reviewItem>
      <errorID>dd0cecfa-c29b-4b53-824e-505508260b68</errorID>
      <errorWord>-</errorWord>
      <group>L1_Format</group>
      <groupName>格式问题</groupName>
      <ability>L2_HalfPunc</ability>
      <abilityName>全半角检查</abilityName>
      <candidateList>
        <item>－</item>
      </candidateList>
      <explain>文本全半角错误。</explain>
      <paraID>3CFB845E</paraID>
      <start>10</start>
      <end>11</end>
      <status>modified</status>
      <modifiedWord>－</modifiedWord>
      <trackRevisions>false</trackRevisions>
    </reviewItem>
    <reviewItem>
      <errorID>e1e9f4a8-ec6b-4139-80d5-739964f99310</errorID>
      <errorWord>-</errorWord>
      <group>L1_Format</group>
      <groupName>格式问题</groupName>
      <ability>L2_HalfPunc</ability>
      <abilityName>全半角检查</abilityName>
      <candidateList>
        <item>－</item>
      </candidateList>
      <explain>文本全半角错误。</explain>
      <paraID>34FB9D9E</paraID>
      <start>9</start>
      <end>10</end>
      <status>modified</status>
      <modifiedWord>－</modifiedWord>
      <trackRevisions>false</trackRevisions>
    </reviewItem>
    <reviewItem>
      <errorID>5fa8a6e4-ec18-43d8-8ce5-96a6b366890c</errorID>
      <errorWord>-</errorWord>
      <group>L1_Format</group>
      <groupName>格式问题</groupName>
      <ability>L2_HalfPunc</ability>
      <abilityName>全半角检查</abilityName>
      <candidateList>
        <item>－</item>
      </candidateList>
      <explain>文本全半角错误。</explain>
      <paraID>4678F46A</paraID>
      <start>10</start>
      <end>11</end>
      <status>modified</status>
      <modifiedWord>－</modifiedWord>
      <trackRevisions>false</trackRevisions>
    </reviewItem>
    <reviewItem>
      <errorID>df664a2f-eb78-4276-b6f6-7ff7dffdb7cc</errorID>
      <errorWord>-</errorWord>
      <group>L1_Format</group>
      <groupName>格式问题</groupName>
      <ability>L2_HalfPunc</ability>
      <abilityName>全半角检查</abilityName>
      <candidateList>
        <item>－</item>
      </candidateList>
      <explain>文本全半角错误。</explain>
      <paraID>552CD4A3</paraID>
      <start>10</start>
      <end>11</end>
      <status>modified</status>
      <modifiedWord>－</modifiedWord>
      <trackRevisions>false</trackRevisions>
    </reviewItem>
    <reviewItem>
      <errorID>ac073878-538c-416a-a68d-2e6244593586</errorID>
      <errorWord>-</errorWord>
      <group>L1_Format</group>
      <groupName>格式问题</groupName>
      <ability>L2_HalfPunc</ability>
      <abilityName>全半角检查</abilityName>
      <candidateList>
        <item>－</item>
      </candidateList>
      <explain>文本全半角错误。</explain>
      <paraID>7976AC7B</paraID>
      <start>10</start>
      <end>11</end>
      <status>modified</status>
      <modifiedWord>－</modifiedWord>
      <trackRevisions>false</trackRevisions>
    </reviewItem>
    <reviewItem>
      <errorID>04ecb8ee-a7de-44d6-bef7-290eedf69b28</errorID>
      <errorWord>-</errorWord>
      <group>L1_Format</group>
      <groupName>格式问题</groupName>
      <ability>L2_HalfPunc</ability>
      <abilityName>全半角检查</abilityName>
      <candidateList>
        <item>－</item>
      </candidateList>
      <explain>文本全半角错误。</explain>
      <paraID>718FB593</paraID>
      <start>9</start>
      <end>10</end>
      <status>modified</status>
      <modifiedWord>－</modifiedWord>
      <trackRevisions>false</trackRevisions>
    </reviewItem>
    <reviewItem>
      <errorID>184adb18-c0a1-44eb-8f40-dae3682448cc</errorID>
      <errorWord>-</errorWord>
      <group>L1_Format</group>
      <groupName>格式问题</groupName>
      <ability>L2_HalfPunc</ability>
      <abilityName>全半角检查</abilityName>
      <candidateList>
        <item>－</item>
      </candidateList>
      <explain>文本全半角错误。</explain>
      <paraID>14642EA9</paraID>
      <start>10</start>
      <end>11</end>
      <status>modified</status>
      <modifiedWord>－</modifiedWord>
      <trackRevisions>false</trackRevisions>
    </reviewItem>
    <reviewItem>
      <errorID>e62902b0-6d8f-419e-b717-acd0628ab485</errorID>
      <errorWord>-</errorWord>
      <group>L1_Format</group>
      <groupName>格式问题</groupName>
      <ability>L2_HalfPunc</ability>
      <abilityName>全半角检查</abilityName>
      <candidateList>
        <item>－</item>
      </candidateList>
      <explain>文本全半角错误。</explain>
      <paraID>12CA6959</paraID>
      <start>10</start>
      <end>11</end>
      <status>modified</status>
      <modifiedWord>－</modifiedWord>
      <trackRevisions>false</trackRevisions>
    </reviewItem>
    <reviewItem>
      <errorID>b45e2b77-6916-4c96-8269-698a97026f18</errorID>
      <errorWord>-</errorWord>
      <group>L1_Format</group>
      <groupName>格式问题</groupName>
      <ability>L2_HalfPunc</ability>
      <abilityName>全半角检查</abilityName>
      <candidateList>
        <item>－</item>
      </candidateList>
      <explain>文本全半角错误。</explain>
      <paraID>4ADD188E</paraID>
      <start>10</start>
      <end>11</end>
      <status>modified</status>
      <modifiedWord>－</modifiedWord>
      <trackRevisions>false</trackRevisions>
    </reviewItem>
    <reviewItem>
      <errorID>923bea49-8af4-4656-ba13-ba230346d21b</errorID>
      <errorWord>-</errorWord>
      <group>L1_Format</group>
      <groupName>格式问题</groupName>
      <ability>L2_HalfPunc</ability>
      <abilityName>全半角检查</abilityName>
      <candidateList>
        <item>－</item>
      </candidateList>
      <explain>文本全半角错误。</explain>
      <paraID>7B9C367F</paraID>
      <start>9</start>
      <end>10</end>
      <status>modified</status>
      <modifiedWord>－</modifiedWord>
      <trackRevisions>false</trackRevisions>
    </reviewItem>
    <reviewItem>
      <errorID>d575342f-fa96-4e4d-bdd1-8ce3954d965f</errorID>
      <errorWord>-</errorWord>
      <group>L1_Format</group>
      <groupName>格式问题</groupName>
      <ability>L2_HalfPunc</ability>
      <abilityName>全半角检查</abilityName>
      <candidateList>
        <item>－</item>
      </candidateList>
      <explain>文本全半角错误。</explain>
      <paraID>661CF81E</paraID>
      <start>10</start>
      <end>11</end>
      <status>modified</status>
      <modifiedWord>－</modifiedWord>
      <trackRevisions>false</trackRevisions>
    </reviewItem>
    <reviewItem>
      <errorID>2cfaf304-3d6a-46ed-ac20-c9caf3e41d6f</errorID>
      <errorWord>-</errorWord>
      <group>L1_Format</group>
      <groupName>格式问题</groupName>
      <ability>L2_HalfPunc</ability>
      <abilityName>全半角检查</abilityName>
      <candidateList>
        <item>－</item>
      </candidateList>
      <explain>文本全半角错误。</explain>
      <paraID>7D63F8AF</paraID>
      <start>10</start>
      <end>11</end>
      <status>modified</status>
      <modifiedWord>－</modifiedWord>
      <trackRevisions>false</trackRevisions>
    </reviewItem>
    <reviewItem>
      <errorID>f6b66814-8d23-4958-94ef-fc1b07a583c2</errorID>
      <errorWord>-</errorWord>
      <group>L1_Format</group>
      <groupName>格式问题</groupName>
      <ability>L2_HalfPunc</ability>
      <abilityName>全半角检查</abilityName>
      <candidateList>
        <item>－</item>
      </candidateList>
      <explain>文本全半角错误。</explain>
      <paraID>  599FD4</paraID>
      <start>10</start>
      <end>11</end>
      <status>modified</status>
      <modifiedWord>－</modifiedWord>
      <trackRevisions>false</trackRevisions>
    </reviewItem>
    <reviewItem>
      <errorID>a458bac2-7c6f-4c78-9ba2-9636e7c4d253</errorID>
      <errorWord>-</errorWord>
      <group>L1_Format</group>
      <groupName>格式问题</groupName>
      <ability>L2_HalfPunc</ability>
      <abilityName>全半角检查</abilityName>
      <candidateList>
        <item>－</item>
      </candidateList>
      <explain>文本全半角错误。</explain>
      <paraID>4FC542A8</paraID>
      <start>9</start>
      <end>10</end>
      <status>modified</status>
      <modifiedWord>－</modifiedWord>
      <trackRevisions>false</trackRevisions>
    </reviewItem>
    <reviewItem>
      <errorID>05a5c113-011d-4cec-9571-40399a8c4819</errorID>
      <errorWord>＜</errorWord>
      <group>L1_Format</group>
      <groupName>格式问题</groupName>
      <ability>L2_HalfPunc</ability>
      <abilityName>全半角检查</abilityName>
      <candidateList>
        <item>&lt;</item>
      </candidateList>
      <explain>文本全半角错误。</explain>
      <paraID>6CBF71A7</paraID>
      <start>0</start>
      <end>1</end>
      <status>modified</status>
      <modifiedWord>&lt;</modifiedWord>
      <trackRevisions>false</trackRevisions>
    </reviewItem>
    <reviewItem>
      <errorID>52283877-47ba-4dea-af0f-aaa754bd0a63</errorID>
      <errorWord>＜</errorWord>
      <group>L1_Format</group>
      <groupName>格式问题</groupName>
      <ability>L2_HalfPunc</ability>
      <abilityName>全半角检查</abilityName>
      <candidateList>
        <item>&lt;</item>
      </candidateList>
      <explain>文本全半角错误。</explain>
      <paraID>290722F6</paraID>
      <start>0</start>
      <end>1</end>
      <status>modified</status>
      <modifiedWord>&lt;</modifiedWord>
      <trackRevisions>false</trackRevisions>
    </reviewItem>
    <reviewItem>
      <errorID>fe16b495-fcd6-437f-8fe8-210b806090fb</errorID>
      <errorWord>＜</errorWord>
      <group>L1_Format</group>
      <groupName>格式问题</groupName>
      <ability>L2_HalfPunc</ability>
      <abilityName>全半角检查</abilityName>
      <candidateList>
        <item>&lt;</item>
      </candidateList>
      <explain>文本全半角错误。</explain>
      <paraID>695ACBBE</paraID>
      <start>0</start>
      <end>1</end>
      <status>modified</status>
      <modifiedWord>&lt;</modifiedWord>
      <trackRevisions>false</trackRevisions>
    </reviewItem>
    <reviewItem>
      <errorID>718a4bfd-9ec2-48f0-ba48-1ead3aaabad0</errorID>
      <errorWord>＜</errorWord>
      <group>L1_Format</group>
      <groupName>格式问题</groupName>
      <ability>L2_HalfPunc</ability>
      <abilityName>全半角检查</abilityName>
      <candidateList>
        <item>&lt;</item>
      </candidateList>
      <explain>文本全半角错误。</explain>
      <paraID>1CBA74C3</paraID>
      <start>0</start>
      <end>1</end>
      <status>modified</status>
      <modifiedWord>&lt;</modifiedWord>
      <trackRevisions>false</trackRevisions>
    </reviewItem>
    <reviewItem>
      <errorID>c936ed92-3d50-4629-a719-6184e001415d</errorID>
      <errorWord>-</errorWord>
      <group>L1_Format</group>
      <groupName>格式问题</groupName>
      <ability>L2_HalfPunc</ability>
      <abilityName>全半角检查</abilityName>
      <candidateList>
        <item>－</item>
      </candidateList>
      <explain>文本全半角错误。</explain>
      <paraID>  E76750</paraID>
      <start>10</start>
      <end>11</end>
      <status>modified</status>
      <modifiedWord>－</modifiedWord>
      <trackRevisions>false</trackRevisions>
    </reviewItem>
    <reviewItem>
      <errorID>a47fdd92-6d75-489a-adbf-7889ba5554fb</errorID>
      <errorWord>＜</errorWord>
      <group>L1_Format</group>
      <groupName>格式问题</groupName>
      <ability>L2_HalfPunc</ability>
      <abilityName>全半角检查</abilityName>
      <candidateList>
        <item>&lt;</item>
      </candidateList>
      <explain>文本全半角错误。</explain>
      <paraID>352AF850</paraID>
      <start>0</start>
      <end>1</end>
      <status>modified</status>
      <modifiedWord>&lt;</modifiedWord>
      <trackRevisions>false</trackRevisions>
    </reviewItem>
    <reviewItem>
      <errorID>0c702417-136e-43cd-9c1a-039469890f90</errorID>
      <errorWord>＜</errorWord>
      <group>L1_Format</group>
      <groupName>格式问题</groupName>
      <ability>L2_HalfPunc</ability>
      <abilityName>全半角检查</abilityName>
      <candidateList>
        <item>&lt;</item>
      </candidateList>
      <explain>文本全半角错误。</explain>
      <paraID>525A1F8F</paraID>
      <start>0</start>
      <end>1</end>
      <status>modified</status>
      <modifiedWord>&lt;</modifiedWord>
      <trackRevisions>false</trackRevisions>
    </reviewItem>
    <reviewItem>
      <errorID>d985f879-22a7-4789-a519-97f2b67c3914</errorID>
      <errorWord>＜</errorWord>
      <group>L1_Format</group>
      <groupName>格式问题</groupName>
      <ability>L2_HalfPunc</ability>
      <abilityName>全半角检查</abilityName>
      <candidateList>
        <item>&lt;</item>
      </candidateList>
      <explain>文本全半角错误。</explain>
      <paraID>781A3CA8</paraID>
      <start>0</start>
      <end>1</end>
      <status>modified</status>
      <modifiedWord>&lt;</modifiedWord>
      <trackRevisions>false</trackRevisions>
    </reviewItem>
    <reviewItem>
      <errorID>d830fb6c-f35e-442c-9f3a-c25f5fd127fd</errorID>
      <errorWord>＜</errorWord>
      <group>L1_Format</group>
      <groupName>格式问题</groupName>
      <ability>L2_HalfPunc</ability>
      <abilityName>全半角检查</abilityName>
      <candidateList>
        <item>&lt;</item>
      </candidateList>
      <explain>文本全半角错误。</explain>
      <paraID>47F98E03</paraID>
      <start>0</start>
      <end>1</end>
      <status>modified</status>
      <modifiedWord>&lt;</modifiedWord>
      <trackRevisions>false</trackRevisions>
    </reviewItem>
    <reviewItem>
      <errorID>0cdc98c6-3d4d-49a0-a2b0-5f8099efb8c8</errorID>
      <errorWord>-</errorWord>
      <group>L1_Format</group>
      <groupName>格式问题</groupName>
      <ability>L2_HalfPunc</ability>
      <abilityName>全半角检查</abilityName>
      <candidateList>
        <item>－</item>
      </candidateList>
      <explain>文本全半角错误。</explain>
      <paraID>600EFB70</paraID>
      <start>10</start>
      <end>11</end>
      <status>modified</status>
      <modifiedWord>－</modifiedWord>
      <trackRevisions>false</trackRevisions>
    </reviewItem>
    <reviewItem>
      <errorID>ec46a2e8-2211-49f9-83ef-ca6a0c2e7021</errorID>
      <errorWord>＜</errorWord>
      <group>L1_Format</group>
      <groupName>格式问题</groupName>
      <ability>L2_HalfPunc</ability>
      <abilityName>全半角检查</abilityName>
      <candidateList>
        <item>&lt;</item>
      </candidateList>
      <explain>文本全半角错误。</explain>
      <paraID> 254B0DD</paraID>
      <start>0</start>
      <end>1</end>
      <status>modified</status>
      <modifiedWord>&lt;</modifiedWord>
      <trackRevisions>false</trackRevisions>
    </reviewItem>
    <reviewItem>
      <errorID>10b5adc4-fcff-4735-bd30-2c6031210f78</errorID>
      <errorWord>＜</errorWord>
      <group>L1_Format</group>
      <groupName>格式问题</groupName>
      <ability>L2_HalfPunc</ability>
      <abilityName>全半角检查</abilityName>
      <candidateList>
        <item>&lt;</item>
      </candidateList>
      <explain>文本全半角错误。</explain>
      <paraID> 8EEF1C3</paraID>
      <start>0</start>
      <end>1</end>
      <status>modified</status>
      <modifiedWord>&lt;</modifiedWord>
      <trackRevisions>false</trackRevisions>
    </reviewItem>
    <reviewItem>
      <errorID>380b2843-4f18-4063-a0ac-76701098584d</errorID>
      <errorWord>＜</errorWord>
      <group>L1_Format</group>
      <groupName>格式问题</groupName>
      <ability>L2_HalfPunc</ability>
      <abilityName>全半角检查</abilityName>
      <candidateList>
        <item>&lt;</item>
      </candidateList>
      <explain>文本全半角错误。</explain>
      <paraID>4D81CFF5</paraID>
      <start>0</start>
      <end>1</end>
      <status>modified</status>
      <modifiedWord>&lt;</modifiedWord>
      <trackRevisions>false</trackRevisions>
    </reviewItem>
    <reviewItem>
      <errorID>2a5a79a5-3b1c-403b-a1fb-4fbdedf9d41b</errorID>
      <errorWord>＜</errorWord>
      <group>L1_Format</group>
      <groupName>格式问题</groupName>
      <ability>L2_HalfPunc</ability>
      <abilityName>全半角检查</abilityName>
      <candidateList>
        <item>&lt;</item>
      </candidateList>
      <explain>文本全半角错误。</explain>
      <paraID>4A1C392F</paraID>
      <start>0</start>
      <end>1</end>
      <status>modified</status>
      <modifiedWord>&lt;</modifiedWord>
      <trackRevisions>false</trackRevisions>
    </reviewItem>
    <reviewItem>
      <errorID>1991d3e4-1001-4eec-898a-7bc0e31a7db1</errorID>
      <errorWord>＜</errorWord>
      <group>L1_Format</group>
      <groupName>格式问题</groupName>
      <ability>L2_HalfPunc</ability>
      <abilityName>全半角检查</abilityName>
      <candidateList>
        <item>&lt;</item>
      </candidateList>
      <explain>文本全半角错误。</explain>
      <paraID>5F8C7CC7</paraID>
      <start>0</start>
      <end>1</end>
      <status>modified</status>
      <modifiedWord>&lt;</modifiedWord>
      <trackRevisions>false</trackRevisions>
    </reviewItem>
    <reviewItem>
      <errorID>11c2d544-96e2-4460-bbf3-90320b3b2767</errorID>
      <errorWord>＜</errorWord>
      <group>L1_Format</group>
      <groupName>格式问题</groupName>
      <ability>L2_HalfPunc</ability>
      <abilityName>全半角检查</abilityName>
      <candidateList>
        <item>&lt;</item>
      </candidateList>
      <explain>文本全半角错误。</explain>
      <paraID>29C8F500</paraID>
      <start>0</start>
      <end>1</end>
      <status>modified</status>
      <modifiedWord>&lt;</modifiedWord>
      <trackRevisions>false</trackRevisions>
    </reviewItem>
    <reviewItem>
      <errorID>3e861e15-9372-4b80-a1bc-9962f696ac81</errorID>
      <errorWord>＜</errorWord>
      <group>L1_Format</group>
      <groupName>格式问题</groupName>
      <ability>L2_HalfPunc</ability>
      <abilityName>全半角检查</abilityName>
      <candidateList>
        <item>&lt;</item>
      </candidateList>
      <explain>文本全半角错误。</explain>
      <paraID>  31774B</paraID>
      <start>0</start>
      <end>1</end>
      <status>modified</status>
      <modifiedWord>&lt;</modifiedWord>
      <trackRevisions>false</trackRevisions>
    </reviewItem>
    <reviewItem>
      <errorID>31a524aa-704b-419b-b963-5f420fa52118</errorID>
      <errorWord>＜</errorWord>
      <group>L1_Format</group>
      <groupName>格式问题</groupName>
      <ability>L2_HalfPunc</ability>
      <abilityName>全半角检查</abilityName>
      <candidateList>
        <item>&lt;</item>
      </candidateList>
      <explain>文本全半角错误。</explain>
      <paraID>4E72155C</paraID>
      <start>0</start>
      <end>1</end>
      <status>modified</status>
      <modifiedWord>&lt;</modifiedWord>
      <trackRevisions>false</trackRevisions>
    </reviewItem>
    <reviewItem>
      <errorID>a296fa42-5bda-4ae8-89b0-f70d8f925a19</errorID>
      <errorWord>达</errorWord>
      <group>L1_Word</group>
      <groupName>字词问题</groupName>
      <ability>L2_Typo</ability>
      <abilityName>字词错误</abilityName>
      <candidateList>
        <item>达到</item>
      </candidateList>
      <explain>〈动〉到（多指抽象事物或程度）：达得到｜达不到｜目的没有～｜～国际水平。</explain>
      <paraID>16B43370</paraID>
      <start>88</start>
      <end>90</end>
      <status>modified</status>
      <modifiedWord>达到</modifiedWord>
      <trackRevisions>false</trackRevisions>
    </reviewItem>
    <reviewItem>
      <errorID>3721ed02-fb99-4350-8a18-8f6eb4b802b0</errorID>
      <errorWord>-</errorWord>
      <group>L1_Format</group>
      <groupName>格式问题</groupName>
      <ability>L2_HalfPunc</ability>
      <abilityName>全半角检查</abilityName>
      <candidateList>
        <item>－</item>
      </candidateList>
      <explain>文本全半角错误。</explain>
      <paraID>5A6D45E7</paraID>
      <start>10</start>
      <end>11</end>
      <status>modified</status>
      <modifiedWord>－</modifiedWord>
      <trackRevisions>false</trackRevisions>
    </reviewItem>
    <reviewItem>
      <errorID>89aaede1-847f-461b-b951-8eeead38a308</errorID>
      <errorWord>-</errorWord>
      <group>L1_Format</group>
      <groupName>格式问题</groupName>
      <ability>L2_HalfPunc</ability>
      <abilityName>全半角检查</abilityName>
      <candidateList>
        <item>－</item>
      </candidateList>
      <explain>文本全半角错误。</explain>
      <paraID>19342D81</paraID>
      <start>10</start>
      <end>11</end>
      <status>modified</status>
      <modifiedWord>－</modifiedWord>
      <trackRevisions>false</trackRevisions>
    </reviewItem>
    <reviewItem>
      <errorID>48d73743-3cb8-4da3-b448-deb7752cf780</errorID>
      <errorWord>-</errorWord>
      <group>L1_Format</group>
      <groupName>格式问题</groupName>
      <ability>L2_HalfPunc</ability>
      <abilityName>全半角检查</abilityName>
      <candidateList>
        <item>－</item>
      </candidateList>
      <explain>文本全半角错误。</explain>
      <paraID>1F137FB4</paraID>
      <start>10</start>
      <end>11</end>
      <status>modified</status>
      <modifiedWord>－</modifiedWord>
      <trackRevisions>false</trackRevisions>
    </reviewItem>
    <reviewItem>
      <errorID>ce82c7ef-9e57-4641-a3b6-6a3f16d4ef76</errorID>
      <errorWord>-</errorWord>
      <group>L1_Format</group>
      <groupName>格式问题</groupName>
      <ability>L2_HalfPunc</ability>
      <abilityName>全半角检查</abilityName>
      <candidateList>
        <item>－</item>
      </candidateList>
      <explain>文本全半角错误。</explain>
      <paraID>4D5C5456</paraID>
      <start>10</start>
      <end>11</end>
      <status>modified</status>
      <modifiedWord>－</modifiedWord>
      <trackRevisions>false</trackRevisions>
    </reviewItem>
    <reviewItem>
      <errorID>bb122613-bdec-4e7c-a835-62ee177091c2</errorID>
      <errorWord>-</errorWord>
      <group>L1_Format</group>
      <groupName>格式问题</groupName>
      <ability>L2_HalfPunc</ability>
      <abilityName>全半角检查</abilityName>
      <candidateList>
        <item>－</item>
      </candidateList>
      <explain>文本全半角错误。</explain>
      <paraID>5FA2C04B</paraID>
      <start>10</start>
      <end>11</end>
      <status>modified</status>
      <modifiedWord>－</modifiedWord>
      <trackRevisions>false</trackRevisions>
    </reviewItem>
    <reviewItem>
      <errorID>14560923-1c12-48a5-91d4-f984f5350f19</errorID>
      <errorWord>-</errorWord>
      <group>L1_Format</group>
      <groupName>格式问题</groupName>
      <ability>L2_HalfPunc</ability>
      <abilityName>全半角检查</abilityName>
      <candidateList>
        <item>－</item>
      </candidateList>
      <explain>文本全半角错误。</explain>
      <paraID>5A1B98AD</paraID>
      <start>10</start>
      <end>11</end>
      <status>modified</status>
      <modifiedWord>－</modifiedWord>
      <trackRevisions>false</trackRevisions>
    </reviewItem>
    <reviewItem>
      <errorID>0ec045b7-1afb-4c4a-bdd7-5fe66c9b0835</errorID>
      <errorWord>达</errorWord>
      <group>L1_Word</group>
      <groupName>字词问题</groupName>
      <ability>L2_Typo</ability>
      <abilityName>字词错误</abilityName>
      <candidateList>
        <item>达到</item>
      </candidateList>
      <explain>〈动〉到（多指抽象事物或程度）：达得到｜达不到｜目的没有～｜～国际水平。</explain>
      <paraID>2C83D659</paraID>
      <start>105</start>
      <end>107</end>
      <status>modified</status>
      <modifiedWord>达到</modifiedWord>
      <trackRevisions>false</trackRevisions>
    </reviewItem>
    <reviewItem>
      <errorID>deb51277-2bd0-4938-bc6b-e3c75bffbf77</errorID>
      <errorWord>达</errorWord>
      <group>L1_Word</group>
      <groupName>字词问题</groupName>
      <ability>L2_Typo</ability>
      <abilityName>字词错误</abilityName>
      <candidateList>
        <item>达到</item>
      </candidateList>
      <explain>〈动〉到（多指抽象事物或程度）：达得到｜达不到｜目的没有～｜～国际水平。</explain>
      <paraID>1A243060</paraID>
      <start>89</start>
      <end>91</end>
      <status>modified</status>
      <modifiedWord>达到</modifiedWord>
      <trackRevisions>false</trackRevisions>
    </reviewItem>
    <reviewItem>
      <errorID>81b1c216-e21f-4768-a8f3-0edb05f5a59c</errorID>
      <errorWord>装</errorWord>
      <group>L1_Word</group>
      <groupName>字词问题</groupName>
      <ability>L2_Typo</ability>
      <abilityName>字词错误</abilityName>
      <candidateList>
        <item>状</item>
      </candidateList>
      <explain>存在发音相同字词的误用。</explain>
      <paraID>6ADF0AD6</paraID>
      <start>28</start>
      <end>29</end>
      <status>ignored</status>
      <modifiedWord/>
      <trackRevisions>false</trackRevisions>
    </reviewItem>
    <reviewItem>
      <errorID>7f95dba8-74e5-48ca-9d14-2f3ccbdd745d</errorID>
      <errorWord>，</errorWord>
      <group>L1_Word</group>
      <groupName>字词问题</groupName>
      <ability>L2_Typo</ability>
      <abilityName>字词错误</abilityName>
      <candidateList>
        <item>，在</item>
      </candidateList>
      <explain/>
      <paraID>6282FD17</paraID>
      <start>247</start>
      <end>249</end>
      <status>modified</status>
      <modifiedWord>，在</modifiedWord>
      <trackRevisions>false</trackRevisions>
    </reviewItem>
    <reviewItem>
      <errorID>88f8ec5e-0c28-4772-840d-807ba0f2b84f</errorID>
      <errorWord>排污虚空证</errorWord>
      <group>L1_Word</group>
      <groupName>字词问题</groupName>
      <ability>L2_Typo</ability>
      <abilityName>字词错误</abilityName>
      <candidateList>
        <item>排污许可证</item>
      </candidateList>
      <explain/>
      <paraID>524C06BB</paraID>
      <start>103</start>
      <end>108</end>
      <status>modified</status>
      <modifiedWord>排污许可证</modifiedWord>
      <trackRevisions>false</trackRevisions>
    </reviewItem>
    <reviewItem>
      <errorID>1bc1abb7-1935-4da4-9b45-ada11cd637c2</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70888D23</paraID>
      <start>38</start>
      <end>40</end>
      <status>modified</status>
      <modifiedWord>5）</modifiedWord>
      <trackRevisions>false</trackRevisions>
    </reviewItem>
    <reviewItem>
      <errorID>1ecd8d72-7094-4786-89c4-11f1f67e3739</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70888D23</paraID>
      <start>275</start>
      <end>277</end>
      <status>modified</status>
      <modifiedWord>5）</modifiedWord>
      <trackRevisions>false</trackRevisions>
    </reviewItem>
    <reviewItem>
      <errorID>bed3fbcb-f731-49b2-9709-3bab7766068f</errorID>
      <errorWord>水污染排放</errorWord>
      <group>L1_Knowledge</group>
      <groupName>知识性问题</groupName>
      <ability>L2_Knowledge</ability>
      <abilityName>其他知识</abilityName>
      <candidateList>
        <item>水污染物排放</item>
      </candidateList>
      <explain/>
      <paraID>10F55CC4</paraID>
      <start>2</start>
      <end>7</end>
      <status>ignored</status>
      <modifiedWord/>
      <trackRevisions>false</trackRevisions>
    </reviewItem>
    <reviewItem>
      <errorID>c3635e42-c6f4-4bff-8dec-2c9e9325e5e7</errorID>
      <errorWord>（</errorWord>
      <group>L1_Format</group>
      <groupName>格式问题</groupName>
      <ability>L2_HalfPunc</ability>
      <abilityName>全半角检查</abilityName>
      <candidateList>
        <item>(</item>
      </candidateList>
      <explain>文本全半角错误。</explain>
      <paraID>72F1400C</paraID>
      <start>2</start>
      <end>3</end>
      <status>modified</status>
      <modifiedWord>(</modifiedWord>
      <trackRevisions>false</trackRevisions>
    </reviewItem>
    <reviewItem>
      <errorID>ecc3adb9-559f-470a-8dc2-0682b4953dc6</errorID>
      <errorWord>）</errorWord>
      <group>L1_Format</group>
      <groupName>格式问题</groupName>
      <ability>L2_HalfPunc</ability>
      <abilityName>全半角检查</abilityName>
      <candidateList>
        <item>)</item>
      </candidateList>
      <explain>文本全半角错误。</explain>
      <paraID>72F1400C</paraID>
      <start>4</start>
      <end>5</end>
      <status>modified</status>
      <modifiedWord>)</modifiedWord>
      <trackRevisions>false</trackRevisions>
    </reviewItem>
    <reviewItem>
      <errorID>54ceb918-383a-4fab-8a02-6f60eb4513b7</errorID>
      <errorWord>程</errorWord>
      <group>L1_Word</group>
      <groupName>字词问题</groupName>
      <ability>L2_Typo</ability>
      <abilityName>字词错误</abilityName>
      <candidateList>
        <item>程中</item>
      </candidateList>
      <explain/>
      <paraID>6A07A99F</paraID>
      <start>111</start>
      <end>113</end>
      <status>modified</status>
      <modifiedWord>程中</modifiedWord>
      <trackRevisions>false</trackRevisions>
    </reviewItem>
    <reviewItem>
      <errorID>df38611f-a540-4f03-b6e2-d4cbab784885</errorID>
      <errorWord>期</errorWord>
      <group>L1_Word</group>
      <groupName>字词问题</groupName>
      <ability>L2_Typo</ability>
      <abilityName>字词错误</abilityName>
      <candidateList>
        <item>期间</item>
      </candidateList>
      <explain>〈名〉某个时期里面：农忙～｜春节～｜抗战～。</explain>
      <paraID>19C29161</paraID>
      <start>2</start>
      <end>4</end>
      <status>modified</status>
      <modifiedWord>期间</modifiedWord>
      <trackRevisions>false</trackRevisions>
    </reviewItem>
    <reviewItem>
      <errorID>7ba68b67-7dbc-4624-a5c9-4aefe301eabd</errorID>
      <errorWord>（</errorWord>
      <group>L1_Punc</group>
      <groupName>标点问题</groupName>
      <ability>L2_Punc</ability>
      <abilityName>标点符号检查</abilityName>
      <candidateList/>
      <explain/>
      <paraID>551E84B6</paraID>
      <start>30</start>
      <end>31</end>
      <status>unmodified</status>
      <modifiedWord/>
      <trackRevisions>false</trackRevisions>
    </reviewItem>
    <reviewItem>
      <errorID>38d02451-a46e-4038-a378-f4aed4ccf551</errorID>
      <errorWord>时</errorWord>
      <group>L1_Word</group>
      <groupName>字词问题</groupName>
      <ability>L2_Typo</ability>
      <abilityName>字词错误</abilityName>
      <candidateList>
        <item>时间</item>
      </candidateList>
      <explain>〈名〉❶物质动动中的一种存在方式，由过去、现在、将来构成的连绵不断的系统。是物质的运动、变化的持续性、顺序性的表现。❷有起点和终点的一段时间：地球自转一周的～是二十四小时｜盖这么一所房子要多少～？❸时间里的某一点：现在的～是三点十五分。</explain>
      <paraID>551E84B6</paraID>
      <start>33</start>
      <end>35</end>
      <status>modified</status>
      <modifiedWord>时间</modifiedWord>
      <trackRevisions>false</trackRevisions>
    </reviewItem>
    <reviewItem>
      <errorID>b591fffc-5b29-45e6-b99d-064562ceb03f</errorID>
      <errorWord>-</errorWord>
      <group>L1_Format</group>
      <groupName>格式问题</groupName>
      <ability>L2_HalfPunc</ability>
      <abilityName>全半角检查</abilityName>
      <candidateList>
        <item>－</item>
      </candidateList>
      <explain>文本全半角错误。</explain>
      <paraID>551E84B6</paraID>
      <start>42</start>
      <end>43</end>
      <status>modified</status>
      <modifiedWord>－</modifiedWord>
      <trackRevisions>false</trackRevisions>
    </reviewItem>
    <reviewItem>
      <errorID>23549fab-1a22-43ec-85be-05e4aa060959</errorID>
      <errorWord>-</errorWord>
      <group>L1_Format</group>
      <groupName>格式问题</groupName>
      <ability>L2_HalfPunc</ability>
      <abilityName>全半角检查</abilityName>
      <candidateList>
        <item>－</item>
      </candidateList>
      <explain>文本全半角错误。</explain>
      <paraID> 1AB71FF</paraID>
      <start>96</start>
      <end>97</end>
      <status>modified</status>
      <modifiedWord>－</modifiedWord>
      <trackRevisions>false</trackRevisions>
    </reviewItem>
    <reviewItem>
      <errorID>925b301b-73f3-452c-82de-46b5a0b3a68e</errorID>
      <errorWord>、等</errorWord>
      <group>L1_Punc</group>
      <groupName>标点问题</groupName>
      <ability>L2_Punc</ability>
      <abilityName>标点符号检查</abilityName>
      <candidateList>
        <item>等</item>
      </candidateList>
      <explain>“及”“和”“等”连词前不宜使用顿号，建议删除（或使用逗号）。</explain>
      <paraID>1780B967</paraID>
      <start>37</start>
      <end>38</end>
      <status>modified</status>
      <modifiedWord>等</modifiedWord>
      <trackRevisions>false</trackRevisions>
    </reviewItem>
    <reviewItem>
      <errorID>bc1f5fd5-d968-42a7-92a4-ebba36ed4fad</errorID>
      <errorWord>-</errorWord>
      <group>L1_Format</group>
      <groupName>格式问题</groupName>
      <ability>L2_HalfPunc</ability>
      <abilityName>全半角检查</abilityName>
      <candidateList>
        <item>－</item>
      </candidateList>
      <explain>文本全半角错误。</explain>
      <paraID> A6F36ED</paraID>
      <start>7</start>
      <end>8</end>
      <status>modified</status>
      <modifiedWord>－</modifiedWord>
      <trackRevisions>false</trackRevisions>
    </reviewItem>
    <reviewItem>
      <errorID>27d8b6be-2720-4a4b-98c8-1c802fff9887</errorID>
      <errorWord>-</errorWord>
      <group>L1_Format</group>
      <groupName>格式问题</groupName>
      <ability>L2_HalfPunc</ability>
      <abilityName>全半角检查</abilityName>
      <candidateList>
        <item>－</item>
      </candidateList>
      <explain>文本全半角错误。</explain>
      <paraID>5B02EB28</paraID>
      <start>7</start>
      <end>8</end>
      <status>modified</status>
      <modifiedWord>－</modifiedWord>
      <trackRevisions>false</trackRevisions>
    </reviewItem>
    <reviewItem>
      <errorID>92584806-f3d0-48c9-863d-393c64bc652b</errorID>
      <errorWord>项目项目</errorWord>
      <group>L1_Word</group>
      <groupName>字词问题</groupName>
      <ability>L2_Typo</ability>
      <abilityName>字词错误</abilityName>
      <candidateList>
        <item>项目</item>
      </candidateList>
      <explain>〈名〉事物分成的门类：服务～｜体育～｜建设～。</explain>
      <paraID>531CCC5E</paraID>
      <start>52</start>
      <end>54</end>
      <status>modified</status>
      <modifiedWord>项目</modifiedWord>
      <trackRevisions>false</trackRevisions>
    </reviewItem>
    <reviewItem>
      <errorID>5f0001bc-6bca-4c56-80d1-d53eb1f30daf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3BE4A129</paraID>
      <start>61</start>
      <end>62</end>
      <status>modified</status>
      <modifiedWord>地</modifiedWord>
      <trackRevisions>false</trackRevisions>
    </reviewItem>
    <reviewItem>
      <errorID>fa627f11-6c18-43bf-873d-b2d39cda6710</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109AD94C</paraID>
      <start>43</start>
      <end>44</end>
      <status>modified</status>
      <modifiedWord>地</modifiedWord>
      <trackRevisions>false</trackRevisions>
    </reviewItem>
    <reviewItem>
      <errorID>e0c1d0a2-fa29-4a6f-a82f-51eff4a659a6</errorID>
      <errorWord>：</errorWord>
      <group>L1_Word</group>
      <groupName>字词问题</groupName>
      <ability>L2_Typo</ability>
      <abilityName>字词错误</abilityName>
      <candidateList>
        <item>：不</item>
      </candidateList>
      <explain/>
      <paraID>4A859745</paraID>
      <start>179</start>
      <end>181</end>
      <status>modified</status>
      <modifiedWord>：不</modifiedWord>
      <trackRevisions>false</trackRevisions>
    </reviewItem>
    <reviewItem>
      <errorID>6b05ff96-8475-4fe2-b768-c17721e638e4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7278C26F</paraID>
      <start>25</start>
      <end>26</end>
      <status>modified</status>
      <modifiedWord>—</modifiedWord>
      <trackRevisions>false</trackRevisions>
    </reviewItem>
    <reviewItem>
      <errorID>032f364a-8136-4f6b-b67c-57f3c054b875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57D1A835</paraID>
      <start>30</start>
      <end>31</end>
      <status>modified</status>
      <modifiedWord>—</modifiedWord>
      <trackRevisions>false</trackRevisions>
    </reviewItem>
    <reviewItem>
      <errorID>5813b800-670a-4404-96a3-19c761b78062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12F5159B</paraID>
      <start>23</start>
      <end>24</end>
      <status>modified</status>
      <modifiedWord>—</modifiedWord>
      <trackRevisions>false</trackRevisions>
    </reviewItem>
    <reviewItem>
      <errorID>2e4d44a6-e0b7-44ba-91b6-9d51161bdce1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12F5159B</paraID>
      <start>34</start>
      <end>35</end>
      <status>modified</status>
      <modifiedWord>—</modifiedWord>
      <trackRevisions>false</trackRevisions>
    </reviewItem>
    <reviewItem>
      <errorID>b0502921-3a66-4ea0-8511-e030e50367e9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3EBEDBCA</paraID>
      <start>26</start>
      <end>27</end>
      <status>modified</status>
      <modifiedWord>—</modifiedWord>
      <trackRevisions>false</trackRevisions>
    </reviewItem>
    <reviewItem>
      <errorID>08a40431-dd49-4bab-a707-81dc661949a3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3EBEDBCA</paraID>
      <start>70</start>
      <end>71</end>
      <status>modified</status>
      <modifiedWord>—</modifiedWord>
      <trackRevisions>false</trackRevisions>
    </reviewItem>
    <reviewItem>
      <errorID>8cb67805-e6a5-44f3-8108-d0f259db74c8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4B3D3A68</paraID>
      <start>11</start>
      <end>12</end>
      <status>modified</status>
      <modifiedWord>—</modifiedWord>
      <trackRevisions>false</trackRevisions>
    </reviewItem>
    <reviewItem>
      <errorID>2c6094c2-8af4-4507-b46e-a58bfe0e1f53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5FA7D2A1</paraID>
      <start>11</start>
      <end>12</end>
      <status>modified</status>
      <modifiedWord>—</modifiedWord>
      <trackRevisions>false</trackRevisions>
    </reviewItem>
    <reviewItem>
      <errorID>88d89df8-ee13-46ea-9bc3-1b1cbd7156ca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4E25BA3A</paraID>
      <start>11</start>
      <end>12</end>
      <status>modified</status>
      <modifiedWord>—</modifiedWord>
      <trackRevisions>false</trackRevisions>
    </reviewItem>
    <reviewItem>
      <errorID>9009f765-4121-4064-b1db-a94ad1e83576</errorID>
      <errorWord>顺应天然</errorWord>
      <group>L1_Political</group>
      <groupName>政治性问题</groupName>
      <ability>L2_Keyword</ability>
      <abilityName>固定表述</abilityName>
      <candidateList>
        <item>顺应自然</item>
      </candidateList>
      <explain>词汇“顺应自然”在特定场景下为固定表述形式，请确认此处的“顺应天然”是否存在不当。</explain>
      <paraID>580DDF01</paraID>
      <start>74</start>
      <end>78</end>
      <status>modified</status>
      <modifiedWord>顺应自然</modifiedWord>
      <trackRevisions>false</trackRevisions>
    </reviewItem>
    <reviewItem>
      <errorID>2bae47fb-c443-462f-b027-0afb25970408</errorID>
      <errorWord>等</errorWord>
      <group>L1_Word</group>
      <groupName>字词问题</groupName>
      <ability>L2_Typo</ability>
      <abilityName>字词错误</abilityName>
      <candidateList>
        <item>层</item>
      </candidateList>
      <explain>存在发音相近字词的误用。</explain>
      <paraID>6AAC1366</paraID>
      <start>48</start>
      <end>49</end>
      <status>modified</status>
      <modifiedWord>层</modifiedWord>
      <trackRevisions>false</trackRevisions>
    </reviewItem>
    <reviewItem>
      <errorID>625a6d4b-b41f-46a3-9f3b-38a07d4e26e7</errorID>
      <errorWord>漫流</errorWord>
      <group>L1_Word</group>
      <groupName>字词问题</groupName>
      <ability>L2_Typo</ability>
      <abilityName>字词错误</abilityName>
      <candidateList>
        <item>径流</item>
      </candidateList>
      <explain>〈名〉降水除蒸发的、被土地吸收的和被拦堵的以外，沿着地面流走的水叫径流。渗入地下的也可以形成地下径流。</explain>
      <paraID> E529ABB</paraID>
      <start>4</start>
      <end>6</end>
      <status>modified</status>
      <modifiedWord>径流</modifiedWord>
      <trackRevisions>false</trackRevisions>
    </reviewItem>
    <reviewItem>
      <errorID>5a728bc6-d2b3-49e2-81e2-aa148a808f3c</errorID>
      <errorWord>能</errorWord>
      <group>L1_Word</group>
      <groupName>字词问题</groupName>
      <ability>L2_Typo</ability>
      <abilityName>字词错误</abilityName>
      <candidateList>
        <item>能在</item>
      </candidateList>
      <explain/>
      <paraID>1CF38B66</paraID>
      <start>168</start>
      <end>170</end>
      <status>modified</status>
      <modifiedWord>能在</modifiedWord>
      <trackRevisions>false</trackRevisions>
    </reviewItem>
    <reviewItem>
      <errorID>a37fb02f-fc3c-4bb3-a601-de9bff48a0f4</errorID>
      <errorWord>准</errorWord>
      <group>L1_Word</group>
      <groupName>字词问题</groupName>
      <ability>L2_Typo</ability>
      <abilityName>字词错误</abilityName>
      <candidateList>
        <item>准和</item>
      </candidateList>
      <explain/>
      <paraID> CB5A7FC</paraID>
      <start>37</start>
      <end>39</end>
      <status>modified</status>
      <modifiedWord>准和</modifiedWord>
      <trackRevisions>false</trackRevisions>
    </reviewItem>
    <reviewItem>
      <errorID>57fecab7-cdf0-451c-b005-4f595d703987</errorID>
      <errorWord>砂土</errorWord>
      <group>L1_Word</group>
      <groupName>字词问题</groupName>
      <ability>L2_Typo</ability>
      <abilityName>字词错误</abilityName>
      <candidateList>
        <item>沙土</item>
      </candidateList>
      <explain/>
      <paraID>62A5B107</paraID>
      <start>105</start>
      <end>107</end>
      <status>modified</status>
      <modifiedWord>沙土</modifiedWord>
      <trackRevisions>false</trackRevisions>
    </reviewItem>
    <reviewItem>
      <errorID>58c441b4-e78e-46fb-ad58-1705bacd1d8c</errorID>
      <errorWord>其它</errorWord>
      <group>L1_Word</group>
      <groupName>字词问题</groupName>
      <ability>L2_Alias</ability>
      <abilityName>也作/曾用词</abilityName>
      <candidateList>
        <item>其他</item>
      </candidateList>
      <explain>词汇[其它]为不规范表述或旧称，其规范书面表述为[其他]。</explain>
      <paraID>62A5B107</paraID>
      <start>108</start>
      <end>110</end>
      <status>modified</status>
      <modifiedWord>其他</modifiedWord>
      <trackRevisions>false</trackRevisions>
    </reviewItem>
    <reviewItem>
      <errorID>f5f49392-cfea-4240-8628-2e5614aba67a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363AC133</paraID>
      <start>0</start>
      <end>2</end>
      <status>modified</status>
      <modifiedWord>1.</modifiedWord>
      <trackRevisions>false</trackRevisions>
    </reviewItem>
    <reviewItem>
      <errorID>754049ff-03c8-41ac-9bd5-15835ed3570e</errorID>
      <errorWord>污染处理</errorWord>
      <group>L1_Knowledge</group>
      <groupName>知识性问题</groupName>
      <ability>L2_Term</ability>
      <abilityName>专业术语</abilityName>
      <candidateList>
        <item>污水处理</item>
      </candidateList>
      <explain/>
      <paraID>606857E7</paraID>
      <start>34</start>
      <end>38</end>
      <status>modified</status>
      <modifiedWord>污水处理</modifiedWord>
      <trackRevisions>false</trackRevisions>
    </reviewItem>
    <reviewItem>
      <errorID>14588955-78a6-4cf7-a194-7d892ceab0f6</errorID>
      <errorWord>部部</errorWord>
      <group>L1_Word</group>
      <groupName>字词问题</groupName>
      <ability>L2_Typo</ability>
      <abilityName>字词错误</abilityName>
      <candidateList>
        <item>部</item>
      </candidateList>
      <explain>❶部分；部位：内～｜上～｜胸～｜局～。❷〈名〉中央政府按业务划分的单位（级别比局、厅高）：外交～｜商务～。❸一般机关企业按业务划分的单位：编辑～｜门市～。❹军队（连以上）等的领导机构或其所在地：连～｜司令～。❺〈名〉指部队：率～突围。❻〈书〉统辖；统率；所～｜～领。❼〈量〉a）用于书籍、影片等：两～字典｜一～纪录片｜三～电视剧。</explain>
      <paraID>27773183</paraID>
      <start>28</start>
      <end>29</end>
      <status>modified</status>
      <modifiedWord>部</modifiedWord>
      <trackRevisions>false</trackRevisions>
    </reviewItem>
    <reviewItem>
      <errorID>92561b63-4d4b-4598-a2b1-fc5e45d951ad</errorID>
      <errorWord>《</errorWord>
      <group>L1_Punc</group>
      <groupName>标点问题</groupName>
      <ability>L2_Punc</ability>
      <abilityName>标点符号检查</abilityName>
      <candidateList/>
      <explain/>
      <paraID>734D6D7F</paraID>
      <start>78</start>
      <end>79</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70A41F-AA6D-4AB2-9228-FAB960833D3F}">
  <ds:schemaRefs/>
</ds:datastoreItem>
</file>

<file path=customXml/itemProps3.xml><?xml version="1.0" encoding="utf-8"?>
<ds:datastoreItem xmlns:ds="http://schemas.openxmlformats.org/officeDocument/2006/customXml" ds:itemID="{89bf0d88-d3e5-4e06-b0fe-ed788e8ac71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79</Pages>
  <Words>7430</Words>
  <Characters>7826</Characters>
  <Lines>1202</Lines>
  <Paragraphs>338</Paragraphs>
  <TotalTime>11</TotalTime>
  <ScaleCrop>false</ScaleCrop>
  <LinksUpToDate>false</LinksUpToDate>
  <CharactersWithSpaces>7950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2023-09-14T05:55:00Z</dcterms:created>
  <dc:creator>新诚润科</dc:creator>
  <cp:lastModifiedBy>a moon</cp:lastModifiedBy>
  <cp:lastPrinted>2025-11-20T08:18:00Z</cp:lastPrinted>
  <dcterms:modified xsi:type="dcterms:W3CDTF">2026-01-26T08:11:39Z</dcterms:modified>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2B37A4FCE3A849D1A2952D205C785D1C_13</vt:lpwstr>
  </property>
  <property fmtid="{D5CDD505-2E9C-101B-9397-08002B2CF9AE}" pid="4" name="KSOTemplateDocerSaveRecord">
    <vt:lpwstr>eyJoZGlkIjoiNzUzZDE2YzA3NDM3Nzg1MDY1NmNiNWFjNjBmZDhiOWMiLCJ1c2VySWQiOiIyNjEyMzM3ODAifQ==</vt:lpwstr>
  </property>
</Properties>
</file>