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1AB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9" w:lineRule="exact"/>
        <w:ind w:right="0"/>
        <w:jc w:val="center"/>
        <w:textAlignment w:val="auto"/>
        <w:rPr>
          <w:rFonts w:hint="default" w:ascii="Times New Roman" w:hAnsi="Times New Roman" w:eastAsia="方正小标宋简体" w:cs="Times New Roman"/>
          <w:i w:val="0"/>
          <w:iCs w:val="0"/>
          <w:caps w:val="0"/>
          <w:color w:val="000000"/>
          <w:spacing w:val="0"/>
          <w:kern w:val="0"/>
          <w:sz w:val="44"/>
          <w:szCs w:val="44"/>
          <w:lang w:val="en-US" w:eastAsia="zh-CN" w:bidi="ar"/>
        </w:rPr>
      </w:pPr>
    </w:p>
    <w:p w14:paraId="524AC1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9" w:lineRule="exact"/>
        <w:ind w:right="0"/>
        <w:jc w:val="center"/>
        <w:textAlignment w:val="auto"/>
        <w:rPr>
          <w:rFonts w:hint="default" w:ascii="Times New Roman" w:hAnsi="Times New Roman" w:eastAsia="方正小标宋简体" w:cs="Times New Roman"/>
          <w:i w:val="0"/>
          <w:iCs w:val="0"/>
          <w:caps w:val="0"/>
          <w:color w:val="000000"/>
          <w:spacing w:val="0"/>
          <w:kern w:val="0"/>
          <w:sz w:val="44"/>
          <w:szCs w:val="44"/>
          <w:lang w:val="en-US" w:eastAsia="zh-CN" w:bidi="ar"/>
        </w:rPr>
      </w:pPr>
      <w:r>
        <w:rPr>
          <w:rFonts w:hint="default" w:ascii="Times New Roman" w:hAnsi="Times New Roman" w:eastAsia="方正小标宋简体" w:cs="Times New Roman"/>
          <w:i w:val="0"/>
          <w:iCs w:val="0"/>
          <w:caps w:val="0"/>
          <w:color w:val="000000"/>
          <w:spacing w:val="0"/>
          <w:kern w:val="0"/>
          <w:sz w:val="44"/>
          <w:szCs w:val="44"/>
          <w:lang w:val="en-US" w:eastAsia="zh-CN" w:bidi="ar"/>
        </w:rPr>
        <w:t>涟水县县级政务信息化项目建设管理办法</w:t>
      </w:r>
    </w:p>
    <w:p w14:paraId="67B43A1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9" w:lineRule="exact"/>
        <w:ind w:right="0"/>
        <w:jc w:val="center"/>
        <w:textAlignment w:val="auto"/>
        <w:rPr>
          <w:rFonts w:hint="default" w:ascii="Times New Roman" w:hAnsi="Times New Roman" w:eastAsia="楷体" w:cs="Times New Roman"/>
          <w:i w:val="0"/>
          <w:iCs w:val="0"/>
          <w:caps w:val="0"/>
          <w:color w:val="000000"/>
          <w:spacing w:val="0"/>
          <w:kern w:val="0"/>
          <w:sz w:val="32"/>
          <w:szCs w:val="32"/>
          <w:lang w:val="en-US" w:eastAsia="zh-CN" w:bidi="ar"/>
        </w:rPr>
      </w:pPr>
    </w:p>
    <w:p w14:paraId="7A81272C">
      <w:pPr>
        <w:keepNext w:val="0"/>
        <w:keepLines w:val="0"/>
        <w:pageBreakBefore w:val="0"/>
        <w:widowControl w:val="0"/>
        <w:kinsoku/>
        <w:wordWrap/>
        <w:overflowPunct/>
        <w:topLinePunct w:val="0"/>
        <w:autoSpaceDE/>
        <w:autoSpaceDN/>
        <w:bidi w:val="0"/>
        <w:spacing w:line="579" w:lineRule="exact"/>
        <w:jc w:val="center"/>
        <w:textAlignment w:val="auto"/>
        <w:rPr>
          <w:rFonts w:hint="default" w:ascii="Times New Roman" w:hAnsi="Times New Roman" w:eastAsia="楷体" w:cs="Times New Roman"/>
          <w:i w:val="0"/>
          <w:iCs w:val="0"/>
          <w:caps w:val="0"/>
          <w:color w:val="000000"/>
          <w:spacing w:val="0"/>
          <w:kern w:val="0"/>
          <w:sz w:val="32"/>
          <w:szCs w:val="32"/>
          <w:lang w:val="en-US" w:eastAsia="zh-CN" w:bidi="ar"/>
        </w:rPr>
      </w:pPr>
      <w:r>
        <w:rPr>
          <w:rFonts w:hint="default" w:ascii="Times New Roman" w:hAnsi="Times New Roman" w:eastAsia="楷体" w:cs="Times New Roman"/>
          <w:i w:val="0"/>
          <w:iCs w:val="0"/>
          <w:caps w:val="0"/>
          <w:color w:val="000000"/>
          <w:spacing w:val="0"/>
          <w:kern w:val="0"/>
          <w:sz w:val="32"/>
          <w:szCs w:val="32"/>
          <w:lang w:val="en-US" w:eastAsia="zh-CN" w:bidi="ar"/>
        </w:rPr>
        <w:t>（征求意见稿）</w:t>
      </w:r>
    </w:p>
    <w:p w14:paraId="6310778E">
      <w:pPr>
        <w:keepNext w:val="0"/>
        <w:keepLines w:val="0"/>
        <w:pageBreakBefore w:val="0"/>
        <w:widowControl w:val="0"/>
        <w:kinsoku/>
        <w:wordWrap/>
        <w:overflowPunct/>
        <w:topLinePunct w:val="0"/>
        <w:autoSpaceDE/>
        <w:autoSpaceDN/>
        <w:bidi w:val="0"/>
        <w:spacing w:line="579" w:lineRule="exact"/>
        <w:textAlignment w:val="auto"/>
        <w:rPr>
          <w:rFonts w:hint="default" w:ascii="Times New Roman" w:hAnsi="Times New Roman" w:eastAsia="楷体" w:cs="Times New Roman"/>
          <w:i w:val="0"/>
          <w:iCs w:val="0"/>
          <w:caps w:val="0"/>
          <w:color w:val="000000"/>
          <w:spacing w:val="0"/>
          <w:kern w:val="0"/>
          <w:sz w:val="32"/>
          <w:szCs w:val="32"/>
          <w:lang w:val="en-US" w:eastAsia="zh-CN" w:bidi="ar"/>
        </w:rPr>
      </w:pPr>
    </w:p>
    <w:p w14:paraId="15DEEA5B">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第一章  总  则</w:t>
      </w:r>
    </w:p>
    <w:p w14:paraId="7F3F9328">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eastAsia" w:ascii="楷体" w:hAnsi="楷体" w:eastAsia="楷体" w:cs="楷体"/>
          <w:b/>
          <w:bCs w:val="0"/>
          <w:color w:val="auto"/>
          <w:sz w:val="32"/>
          <w:szCs w:val="32"/>
        </w:rPr>
        <w:t>第一条</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color w:val="auto"/>
          <w:sz w:val="32"/>
          <w:szCs w:val="32"/>
        </w:rPr>
        <w:t>为规范县级政务信息化项目建设管理，推动政务信息系统跨部门跨层级互联互通、信息共享和业务协同，根据《国家政务信息化项目建设管理办法》（国办发〔2019〕57号）、《江苏省省级政务信息化项目建设管理办法》（苏政办发〔2021〕24号）和《淮安市政务信息化项目建设网络安全管理规定》（淮网信委〔2022〕5号）等有关文件规定，结合我</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实际，制定本办法。</w:t>
      </w:r>
    </w:p>
    <w:p w14:paraId="6AE2FCAC">
      <w:pPr>
        <w:keepNext w:val="0"/>
        <w:keepLines w:val="0"/>
        <w:pageBreakBefore w:val="0"/>
        <w:widowControl w:val="0"/>
        <w:kinsoku/>
        <w:wordWrap/>
        <w:overflowPunct/>
        <w:topLinePunct w:val="0"/>
        <w:autoSpaceDE/>
        <w:autoSpaceDN/>
        <w:bidi w:val="0"/>
        <w:adjustRightInd w:val="0"/>
        <w:snapToGrid w:val="0"/>
        <w:spacing w:line="579" w:lineRule="exact"/>
        <w:ind w:firstLine="64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第二条</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color w:val="auto"/>
          <w:sz w:val="32"/>
          <w:szCs w:val="32"/>
        </w:rPr>
        <w:t>本办法适用于全县党政机关、事业单位</w:t>
      </w:r>
      <w:r>
        <w:rPr>
          <w:rFonts w:hint="eastAsia" w:ascii="Times New Roman" w:hAnsi="Times New Roman" w:eastAsia="仿宋_GB2312" w:cs="Times New Roman"/>
          <w:color w:val="auto"/>
          <w:sz w:val="32"/>
          <w:szCs w:val="32"/>
          <w:lang w:val="en-US" w:eastAsia="zh-CN"/>
        </w:rPr>
        <w:t>和国有企业</w:t>
      </w:r>
      <w:r>
        <w:rPr>
          <w:rFonts w:hint="default" w:ascii="Times New Roman" w:hAnsi="Times New Roman" w:eastAsia="仿宋_GB2312" w:cs="Times New Roman"/>
          <w:color w:val="auto"/>
          <w:sz w:val="32"/>
          <w:szCs w:val="32"/>
        </w:rPr>
        <w:t>新建、升级改造及运维的各类政府投资的非涉及国家秘密的政务信息化项目。</w:t>
      </w:r>
    </w:p>
    <w:p w14:paraId="2506AC99">
      <w:pPr>
        <w:keepNext w:val="0"/>
        <w:keepLines w:val="0"/>
        <w:pageBreakBefore w:val="0"/>
        <w:widowControl w:val="0"/>
        <w:kinsoku/>
        <w:wordWrap/>
        <w:overflowPunct/>
        <w:topLinePunct w:val="0"/>
        <w:autoSpaceDE/>
        <w:autoSpaceDN/>
        <w:bidi w:val="0"/>
        <w:adjustRightInd w:val="0"/>
        <w:snapToGrid w:val="0"/>
        <w:spacing w:line="579" w:lineRule="exact"/>
        <w:ind w:firstLine="640"/>
        <w:textAlignment w:val="auto"/>
        <w:rPr>
          <w:rFonts w:hint="eastAsia" w:ascii="Times New Roman" w:hAnsi="Times New Roman" w:eastAsia="仿宋_GB2312" w:cs="Times New Roman"/>
          <w:color w:val="auto"/>
          <w:sz w:val="32"/>
          <w:szCs w:val="32"/>
          <w:lang w:val="en-US" w:eastAsia="zh-CN"/>
        </w:rPr>
      </w:pPr>
      <w:r>
        <w:rPr>
          <w:rFonts w:hint="default" w:ascii="楷体" w:hAnsi="楷体" w:eastAsia="楷体" w:cs="楷体"/>
          <w:b/>
          <w:bCs w:val="0"/>
          <w:color w:val="auto"/>
          <w:sz w:val="32"/>
          <w:szCs w:val="32"/>
        </w:rPr>
        <w:t>第三条</w:t>
      </w:r>
      <w:r>
        <w:rPr>
          <w:rFonts w:hint="default" w:ascii="Times New Roman" w:hAnsi="Times New Roman" w:eastAsia="仿宋_GB2312" w:cs="Times New Roman"/>
          <w:color w:val="auto"/>
          <w:sz w:val="32"/>
          <w:szCs w:val="32"/>
        </w:rPr>
        <w:t xml:space="preserve">  本办法所称政务信息化系统，是指用于直接支持工作或履行职能的电子政务网络平台、业务信息系统、信息资源库、信息安全基础设施、电子政务基础设施（数据中心、机房等）、电子政务标准化体系以及相关支撑体系等符合《政务信息系统定义和范围》规定的非涉密系统，以及相关运维服务项目</w:t>
      </w:r>
      <w:r>
        <w:rPr>
          <w:rFonts w:hint="eastAsia" w:ascii="Times New Roman" w:hAnsi="Times New Roman" w:eastAsia="仿宋_GB2312" w:cs="Times New Roman"/>
          <w:color w:val="auto"/>
          <w:sz w:val="32"/>
          <w:szCs w:val="32"/>
          <w:lang w:eastAsia="zh-CN"/>
        </w:rPr>
        <w:t>。</w:t>
      </w:r>
    </w:p>
    <w:p w14:paraId="42017D0E">
      <w:pPr>
        <w:keepNext w:val="0"/>
        <w:keepLines w:val="0"/>
        <w:pageBreakBefore w:val="0"/>
        <w:widowControl w:val="0"/>
        <w:kinsoku/>
        <w:wordWrap/>
        <w:overflowPunct/>
        <w:topLinePunct w:val="0"/>
        <w:autoSpaceDE/>
        <w:autoSpaceDN/>
        <w:bidi w:val="0"/>
        <w:adjustRightInd w:val="0"/>
        <w:snapToGrid w:val="0"/>
        <w:spacing w:line="579" w:lineRule="exact"/>
        <w:ind w:firstLine="640"/>
        <w:textAlignment w:val="auto"/>
        <w:rPr>
          <w:rFonts w:hint="default" w:ascii="Times New Roman" w:hAnsi="Times New Roman" w:eastAsia="仿宋_GB2312" w:cs="Times New Roman"/>
          <w:b/>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建设类项目是指新建、续建、升级改造的政务信息化项目。</w:t>
      </w:r>
    </w:p>
    <w:p w14:paraId="646B08B9">
      <w:pPr>
        <w:keepNext w:val="0"/>
        <w:keepLines w:val="0"/>
        <w:pageBreakBefore w:val="0"/>
        <w:widowControl w:val="0"/>
        <w:kinsoku/>
        <w:wordWrap/>
        <w:overflowPunct/>
        <w:topLinePunct w:val="0"/>
        <w:autoSpaceDE/>
        <w:autoSpaceDN/>
        <w:bidi w:val="0"/>
        <w:adjustRightInd w:val="0"/>
        <w:snapToGrid w:val="0"/>
        <w:spacing w:line="579" w:lineRule="exact"/>
        <w:ind w:firstLine="64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采购服务类项目是指通过采购服务方式实施的政务信息化项目。</w:t>
      </w:r>
    </w:p>
    <w:p w14:paraId="66517971">
      <w:pPr>
        <w:keepNext w:val="0"/>
        <w:keepLines w:val="0"/>
        <w:pageBreakBefore w:val="0"/>
        <w:widowControl w:val="0"/>
        <w:kinsoku/>
        <w:wordWrap/>
        <w:overflowPunct/>
        <w:topLinePunct w:val="0"/>
        <w:autoSpaceDE/>
        <w:autoSpaceDN/>
        <w:bidi w:val="0"/>
        <w:adjustRightInd w:val="0"/>
        <w:snapToGrid w:val="0"/>
        <w:spacing w:line="579" w:lineRule="exact"/>
        <w:ind w:firstLine="64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运维服务</w:t>
      </w:r>
      <w:r>
        <w:rPr>
          <w:rFonts w:hint="eastAsia" w:ascii="Times New Roman" w:hAnsi="Times New Roman" w:eastAsia="仿宋_GB2312" w:cs="Times New Roman"/>
          <w:color w:val="auto"/>
          <w:sz w:val="32"/>
          <w:szCs w:val="32"/>
          <w:lang w:val="en-US" w:eastAsia="zh-CN"/>
        </w:rPr>
        <w:t>类项目</w:t>
      </w:r>
      <w:r>
        <w:rPr>
          <w:rFonts w:hint="default" w:ascii="Times New Roman" w:hAnsi="Times New Roman" w:eastAsia="仿宋_GB2312" w:cs="Times New Roman"/>
          <w:color w:val="auto"/>
          <w:sz w:val="32"/>
          <w:szCs w:val="32"/>
        </w:rPr>
        <w:t>包括基础设施运行维护服务、软件系统运行维护服务。其中，基础设施运行维护服务是指为基础环境、硬件正常运行提供的各种支撑；软件系统运行维护服务是指为保障系统软件正常运行提供的各种支撑（零星办公软硬件添置、电子政务网租赁除外）。</w:t>
      </w:r>
    </w:p>
    <w:p w14:paraId="169EF56C">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第四条</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color w:val="auto"/>
          <w:sz w:val="32"/>
          <w:szCs w:val="32"/>
        </w:rPr>
        <w:t>信息化项目建设应当遵循统筹规划、集约建设、共建共享、安全可靠的原则，坚持整合存量、推动共享、规范增量、强化审批、全生命周期管理的发展思路，推动全县信息系统“网络通、系统通、数据通”、数据资源“跨层级、跨地域、跨系统、跨部门、跨业务”的共享交换。</w:t>
      </w:r>
    </w:p>
    <w:p w14:paraId="2F2E220F">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bCs/>
          <w:color w:val="auto"/>
          <w:sz w:val="32"/>
          <w:szCs w:val="32"/>
        </w:rPr>
      </w:pPr>
      <w:r>
        <w:rPr>
          <w:rFonts w:hint="default" w:ascii="楷体" w:hAnsi="楷体" w:eastAsia="楷体" w:cs="楷体"/>
          <w:b/>
          <w:bCs w:val="0"/>
          <w:color w:val="auto"/>
          <w:sz w:val="32"/>
          <w:szCs w:val="32"/>
        </w:rPr>
        <w:t>第五条</w:t>
      </w:r>
      <w:r>
        <w:rPr>
          <w:rFonts w:hint="default" w:ascii="Times New Roman" w:hAnsi="Times New Roman" w:eastAsia="仿宋_GB2312" w:cs="Times New Roman"/>
          <w:bCs/>
          <w:color w:val="auto"/>
          <w:sz w:val="32"/>
          <w:szCs w:val="32"/>
        </w:rPr>
        <w:t xml:space="preserve">  县级党政机关信息化项目建设管理职责分工：</w:t>
      </w:r>
    </w:p>
    <w:p w14:paraId="3DD2630F">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数据局负责牵头编制</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级政务信息化建设规划；会同相关部门拟定</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本级政务信息化项目年度计划；负责统筹管理</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级政务信息化项目，负责审核本级政务信息化项目，会同有关部门指导项目建设、验收等工作。</w:t>
      </w:r>
    </w:p>
    <w:p w14:paraId="104806F1">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卫健委、</w:t>
      </w:r>
      <w:r>
        <w:rPr>
          <w:rFonts w:hint="eastAsia" w:ascii="Times New Roman" w:hAnsi="Times New Roman" w:eastAsia="仿宋_GB2312" w:cs="Times New Roman"/>
          <w:color w:val="auto"/>
          <w:sz w:val="32"/>
          <w:szCs w:val="32"/>
          <w:lang w:eastAsia="zh-CN"/>
        </w:rPr>
        <w:t>教体局</w:t>
      </w:r>
      <w:r>
        <w:rPr>
          <w:rFonts w:hint="default" w:ascii="Times New Roman" w:hAnsi="Times New Roman" w:eastAsia="仿宋_GB2312" w:cs="Times New Roman"/>
          <w:color w:val="auto"/>
          <w:sz w:val="32"/>
          <w:szCs w:val="32"/>
        </w:rPr>
        <w:t>、国资委分别负责统筹管理</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管医院、学校、国企平台的信息化系统项目，加强存量信息系统整合和新建信息化项目审核把关，并建立监管机制，加强</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管医院、学校、国企平台的信息化系统绩效评价。</w:t>
      </w:r>
    </w:p>
    <w:p w14:paraId="0D81BB27">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委网信办负责统筹指导和监管</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级政务信息化项目的网络和数据安全工作，并会同</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网络安全职能部门、行业主管监管部门组织开展全</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网络安全检查评估工作。</w:t>
      </w:r>
    </w:p>
    <w:p w14:paraId="07A13335">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委机要局（</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密码管理局）负责统筹指导和监管</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级政务信息化项目的密码应用工作，对政务信息化项目密码应用及电子文件相关标准执行情况进行审核。</w:t>
      </w:r>
    </w:p>
    <w:p w14:paraId="51F797E1">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（五）县保密局负责涉密项目保密技术防护监督管理工作。</w:t>
      </w:r>
    </w:p>
    <w:p w14:paraId="0EAAD542">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档案局负责政务信息化项目档案管理的指导、监督。</w:t>
      </w:r>
    </w:p>
    <w:p w14:paraId="3B588817">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发改委负责</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级政务信息化项目的立项审批工作。</w:t>
      </w:r>
    </w:p>
    <w:p w14:paraId="750F0F2D">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（八）</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公安局负责指导和监管项目建设单位落实网络安全等级保护制度等工作。</w:t>
      </w:r>
    </w:p>
    <w:p w14:paraId="130B916A">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（九）</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财政局负责</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级政务信息化项目的资金管理、概算（预算）评审、资金拨付和政府采购监管等工作。</w:t>
      </w:r>
    </w:p>
    <w:p w14:paraId="42F0E2C7">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（十）</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审计局负责加强对</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级政务信息化项目的审计工作。</w:t>
      </w:r>
    </w:p>
    <w:p w14:paraId="437B5475">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建设单位承担本部门政务信息化项目管理的主体责任，落实“凡无有效数据则不建系统、凡建信息化业务系统则线下无业务，以有效数据产出确保系统建设的必要性，以业务全覆盖确保系统功能的完备性”的工作要求，负责梳理需求、编制方案、计划申报、项目建设、运维实施、绩效评价和安全管理等工作；</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直各主管部门负责本部门及下属单位政务信息化项目的归口管理，加强存量信息系统整合和新建信息化项目把关。</w:t>
      </w:r>
    </w:p>
    <w:p w14:paraId="5F1FBE71">
      <w:pPr>
        <w:keepNext w:val="0"/>
        <w:keepLines w:val="0"/>
        <w:pageBreakBefore w:val="0"/>
        <w:widowControl w:val="0"/>
        <w:kinsoku/>
        <w:wordWrap/>
        <w:overflowPunct/>
        <w:topLinePunct w:val="0"/>
        <w:autoSpaceDE/>
        <w:autoSpaceDN/>
        <w:bidi w:val="0"/>
        <w:adjustRightInd w:val="0"/>
        <w:snapToGrid w:val="0"/>
        <w:spacing w:line="579" w:lineRule="exact"/>
        <w:ind w:firstLine="640"/>
        <w:textAlignment w:val="auto"/>
        <w:rPr>
          <w:rFonts w:hint="default" w:ascii="Times New Roman" w:hAnsi="Times New Roman" w:eastAsia="仿宋_GB2312" w:cs="Times New Roman"/>
          <w:color w:val="auto"/>
          <w:sz w:val="32"/>
          <w:szCs w:val="32"/>
          <w:lang w:val="en-US"/>
        </w:rPr>
      </w:pPr>
      <w:r>
        <w:rPr>
          <w:rFonts w:hint="default" w:ascii="楷体" w:hAnsi="楷体" w:eastAsia="楷体" w:cs="楷体"/>
          <w:b/>
          <w:bCs w:val="0"/>
          <w:color w:val="auto"/>
          <w:sz w:val="32"/>
          <w:szCs w:val="32"/>
        </w:rPr>
        <w:t>第六条</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color w:val="auto"/>
          <w:sz w:val="32"/>
          <w:szCs w:val="32"/>
          <w:lang w:val="en-US" w:eastAsia="zh-CN"/>
        </w:rPr>
        <w:t>成立县信息化项目审定委员会（以下简称审定委员会），负责统一组织、协调、指导全县信息化项目规划、建设工作；负责审定全县信息化项目中长期规划、专项规划和区域规划；审定年度信息化工作目标、项目计划等；研究指导全县信息化项目规划、审批、建设等工作；协调解决信息化项目建设中遇到的重大问题。审定委员会办公室设在县数据局，负责审定委员会日常工作，统一组织、协调信息化项目规划、技术、资金概算、项目实施指导等工作</w:t>
      </w:r>
      <w:r>
        <w:rPr>
          <w:rFonts w:hint="eastAsia" w:ascii="Times New Roman" w:hAnsi="Times New Roman" w:eastAsia="仿宋_GB2312" w:cs="Times New Roman"/>
          <w:color w:val="auto"/>
          <w:sz w:val="32"/>
          <w:szCs w:val="32"/>
          <w:lang w:val="en-US" w:eastAsia="zh-CN"/>
        </w:rPr>
        <w:t>。</w:t>
      </w:r>
    </w:p>
    <w:p w14:paraId="722480C1">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default" w:ascii="Times New Roman" w:hAnsi="Times New Roman" w:eastAsia="仿宋_GB2312" w:cs="Times New Roman"/>
          <w:color w:val="auto"/>
          <w:sz w:val="32"/>
          <w:szCs w:val="32"/>
        </w:rPr>
      </w:pPr>
    </w:p>
    <w:p w14:paraId="398DF777">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第二章  项目计划管理</w:t>
      </w:r>
    </w:p>
    <w:p w14:paraId="44A62FEC">
      <w:pPr>
        <w:keepNext w:val="0"/>
        <w:keepLines w:val="0"/>
        <w:pageBreakBefore w:val="0"/>
        <w:widowControl w:val="0"/>
        <w:kinsoku/>
        <w:wordWrap/>
        <w:overflowPunct/>
        <w:topLinePunct w:val="0"/>
        <w:autoSpaceDE/>
        <w:autoSpaceDN/>
        <w:bidi w:val="0"/>
        <w:adjustRightInd w:val="0"/>
        <w:snapToGrid w:val="0"/>
        <w:spacing w:line="579" w:lineRule="exact"/>
        <w:ind w:firstLine="642"/>
        <w:textAlignment w:val="auto"/>
        <w:rPr>
          <w:rFonts w:hint="default" w:ascii="Times New Roman" w:hAnsi="Times New Roman" w:eastAsia="仿宋_GB2312" w:cs="Times New Roman"/>
          <w:bCs/>
          <w:color w:val="auto"/>
          <w:sz w:val="32"/>
          <w:szCs w:val="32"/>
        </w:rPr>
      </w:pPr>
      <w:r>
        <w:rPr>
          <w:rFonts w:hint="default" w:ascii="楷体" w:hAnsi="楷体" w:eastAsia="楷体" w:cs="楷体"/>
          <w:b/>
          <w:bCs w:val="0"/>
          <w:color w:val="auto"/>
          <w:sz w:val="32"/>
          <w:szCs w:val="32"/>
        </w:rPr>
        <w:t>第七条</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bCs/>
          <w:color w:val="auto"/>
          <w:sz w:val="32"/>
          <w:szCs w:val="32"/>
          <w:lang w:val="en-US" w:eastAsia="zh-CN"/>
        </w:rPr>
        <w:t>县</w:t>
      </w:r>
      <w:r>
        <w:rPr>
          <w:rFonts w:hint="default" w:ascii="Times New Roman" w:hAnsi="Times New Roman" w:eastAsia="仿宋_GB2312" w:cs="Times New Roman"/>
          <w:bCs/>
          <w:color w:val="auto"/>
          <w:sz w:val="32"/>
          <w:szCs w:val="32"/>
        </w:rPr>
        <w:t>数据局建立</w:t>
      </w:r>
      <w:r>
        <w:rPr>
          <w:rFonts w:hint="default" w:ascii="Times New Roman" w:hAnsi="Times New Roman" w:eastAsia="仿宋_GB2312" w:cs="Times New Roman"/>
          <w:bCs/>
          <w:color w:val="auto"/>
          <w:sz w:val="32"/>
          <w:szCs w:val="32"/>
          <w:lang w:val="en-US" w:eastAsia="zh-CN"/>
        </w:rPr>
        <w:t>县</w:t>
      </w:r>
      <w:r>
        <w:rPr>
          <w:rFonts w:hint="default" w:ascii="Times New Roman" w:hAnsi="Times New Roman" w:eastAsia="仿宋_GB2312" w:cs="Times New Roman"/>
          <w:bCs/>
          <w:color w:val="auto"/>
          <w:sz w:val="32"/>
          <w:szCs w:val="32"/>
        </w:rPr>
        <w:t>本级政务信息化项目场景建设储备库，原则上每年10月中旬前</w:t>
      </w:r>
      <w:r>
        <w:rPr>
          <w:rFonts w:hint="default" w:ascii="Times New Roman" w:hAnsi="Times New Roman" w:eastAsia="仿宋_GB2312" w:cs="Times New Roman"/>
          <w:bCs/>
          <w:color w:val="auto"/>
          <w:sz w:val="32"/>
          <w:szCs w:val="32"/>
          <w:lang w:val="en-US" w:eastAsia="zh-CN"/>
        </w:rPr>
        <w:t>县</w:t>
      </w:r>
      <w:r>
        <w:rPr>
          <w:rFonts w:hint="default" w:ascii="Times New Roman" w:hAnsi="Times New Roman" w:eastAsia="仿宋_GB2312" w:cs="Times New Roman"/>
          <w:bCs/>
          <w:color w:val="auto"/>
          <w:sz w:val="32"/>
          <w:szCs w:val="32"/>
        </w:rPr>
        <w:t>数据局组织编制下一年度政务信息化项目场景建设计划，履行入库程序后，实行项目场景建设动态管理。</w:t>
      </w:r>
    </w:p>
    <w:p w14:paraId="0D3D0264">
      <w:pPr>
        <w:keepNext w:val="0"/>
        <w:keepLines w:val="0"/>
        <w:pageBreakBefore w:val="0"/>
        <w:widowControl w:val="0"/>
        <w:kinsoku/>
        <w:wordWrap/>
        <w:overflowPunct/>
        <w:topLinePunct w:val="0"/>
        <w:autoSpaceDE/>
        <w:autoSpaceDN/>
        <w:bidi w:val="0"/>
        <w:adjustRightInd w:val="0"/>
        <w:snapToGrid w:val="0"/>
        <w:spacing w:line="579" w:lineRule="exact"/>
        <w:ind w:firstLine="642"/>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县</w:t>
      </w:r>
      <w:r>
        <w:rPr>
          <w:rFonts w:hint="default" w:ascii="Times New Roman" w:hAnsi="Times New Roman" w:eastAsia="仿宋_GB2312" w:cs="Times New Roman"/>
          <w:bCs/>
          <w:color w:val="auto"/>
          <w:sz w:val="32"/>
          <w:szCs w:val="32"/>
        </w:rPr>
        <w:t>直主管部门需加强本部门及下属单位申报的政务信息化项目审核把关后统一申请入库，不得拆分申报建设目标、主要内容、技术路线等相似项目。</w:t>
      </w:r>
    </w:p>
    <w:p w14:paraId="1E43ABA9">
      <w:pPr>
        <w:keepNext w:val="0"/>
        <w:keepLines w:val="0"/>
        <w:pageBreakBefore w:val="0"/>
        <w:widowControl w:val="0"/>
        <w:kinsoku/>
        <w:wordWrap/>
        <w:overflowPunct/>
        <w:topLinePunct w:val="0"/>
        <w:autoSpaceDE/>
        <w:autoSpaceDN/>
        <w:bidi w:val="0"/>
        <w:adjustRightInd w:val="0"/>
        <w:snapToGrid w:val="0"/>
        <w:spacing w:line="579" w:lineRule="exact"/>
        <w:ind w:firstLine="642"/>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第八条</w:t>
      </w:r>
      <w:r>
        <w:rPr>
          <w:rFonts w:hint="default" w:ascii="Times New Roman" w:hAnsi="Times New Roman" w:eastAsia="仿宋_GB2312" w:cs="Times New Roman"/>
          <w:color w:val="auto"/>
          <w:sz w:val="32"/>
          <w:szCs w:val="32"/>
        </w:rPr>
        <w:t xml:space="preserve">  项目申报单位向</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数据局提交项目计划申报材料，包含以下内容：</w:t>
      </w:r>
    </w:p>
    <w:p w14:paraId="089695BA">
      <w:pPr>
        <w:keepNext w:val="0"/>
        <w:keepLines w:val="0"/>
        <w:pageBreakBefore w:val="0"/>
        <w:widowControl w:val="0"/>
        <w:kinsoku/>
        <w:wordWrap/>
        <w:overflowPunct/>
        <w:topLinePunct w:val="0"/>
        <w:autoSpaceDE/>
        <w:autoSpaceDN/>
        <w:bidi w:val="0"/>
        <w:adjustRightInd w:val="0"/>
        <w:snapToGrid w:val="0"/>
        <w:spacing w:line="579" w:lineRule="exact"/>
        <w:ind w:firstLine="642"/>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（一）新建、改建、扩建类项目应当提交项目建设内容、概算（预算）情况、公共数据资源共享及需求情况等；</w:t>
      </w:r>
    </w:p>
    <w:p w14:paraId="679A3ECE">
      <w:pPr>
        <w:keepNext w:val="0"/>
        <w:keepLines w:val="0"/>
        <w:pageBreakBefore w:val="0"/>
        <w:widowControl w:val="0"/>
        <w:kinsoku/>
        <w:wordWrap/>
        <w:overflowPunct/>
        <w:topLinePunct w:val="0"/>
        <w:autoSpaceDE/>
        <w:autoSpaceDN/>
        <w:bidi w:val="0"/>
        <w:adjustRightInd w:val="0"/>
        <w:snapToGrid w:val="0"/>
        <w:spacing w:line="579" w:lineRule="exact"/>
        <w:ind w:firstLine="642"/>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（二）运维、购买服务类项目应当提交上一期合同或服务需求报告等；</w:t>
      </w:r>
    </w:p>
    <w:p w14:paraId="1651BD33">
      <w:pPr>
        <w:keepNext w:val="0"/>
        <w:keepLines w:val="0"/>
        <w:pageBreakBefore w:val="0"/>
        <w:widowControl w:val="0"/>
        <w:kinsoku/>
        <w:wordWrap/>
        <w:overflowPunct/>
        <w:topLinePunct w:val="0"/>
        <w:autoSpaceDE/>
        <w:autoSpaceDN/>
        <w:bidi w:val="0"/>
        <w:adjustRightInd w:val="0"/>
        <w:snapToGrid w:val="0"/>
        <w:spacing w:line="579" w:lineRule="exact"/>
        <w:ind w:firstLine="642"/>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（三）与项目有关的规划、批示、批复、会议纪要等文件资料。</w:t>
      </w:r>
    </w:p>
    <w:p w14:paraId="40208EE7">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第九条</w:t>
      </w:r>
      <w:r>
        <w:rPr>
          <w:rFonts w:hint="default" w:ascii="Times New Roman" w:hAnsi="Times New Roman" w:eastAsia="仿宋_GB2312" w:cs="Times New Roman"/>
          <w:bCs/>
          <w:color w:val="auto"/>
          <w:sz w:val="32"/>
          <w:szCs w:val="32"/>
        </w:rPr>
        <w:t xml:space="preserve">  依据</w:t>
      </w:r>
      <w:r>
        <w:rPr>
          <w:rFonts w:hint="default" w:ascii="Times New Roman" w:hAnsi="Times New Roman" w:eastAsia="仿宋_GB2312" w:cs="Times New Roman"/>
          <w:bCs/>
          <w:color w:val="auto"/>
          <w:sz w:val="32"/>
          <w:szCs w:val="32"/>
          <w:lang w:val="en-US" w:eastAsia="zh-CN"/>
        </w:rPr>
        <w:t>县</w:t>
      </w:r>
      <w:r>
        <w:rPr>
          <w:rFonts w:hint="default" w:ascii="Times New Roman" w:hAnsi="Times New Roman" w:eastAsia="仿宋_GB2312" w:cs="Times New Roman"/>
          <w:bCs/>
          <w:color w:val="auto"/>
          <w:sz w:val="32"/>
          <w:szCs w:val="32"/>
        </w:rPr>
        <w:t>本级政务信息化项目场景建设储备库，</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数据局会同</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发改委、财政局等部门，结合财力水平，按项目建设轻重缓急对年度计划申报材料进行会商讨论，形成年度计划建议方案。</w:t>
      </w:r>
    </w:p>
    <w:p w14:paraId="03DC4353">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建议方案提交</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政府同意后，作为下年度市级政务信息化项目场景建设实施的依据。列入年度计划的项目方可由市财政统筹安排预算经费。</w:t>
      </w:r>
    </w:p>
    <w:p w14:paraId="1E8BCF6B">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第十条</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color w:val="auto"/>
          <w:sz w:val="32"/>
          <w:szCs w:val="32"/>
        </w:rPr>
        <w:t>未列入年度计划的</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级政务信息化项目，原则上不予审批，不得未批先建。</w:t>
      </w:r>
    </w:p>
    <w:p w14:paraId="2DED5468">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第十一条</w:t>
      </w:r>
      <w:r>
        <w:rPr>
          <w:rFonts w:hint="default" w:ascii="Times New Roman" w:hAnsi="Times New Roman" w:eastAsia="仿宋_GB2312" w:cs="Times New Roman"/>
          <w:color w:val="auto"/>
          <w:sz w:val="32"/>
          <w:szCs w:val="32"/>
        </w:rPr>
        <w:t xml:space="preserve">  国家、省、市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有明确要求且建设任务迫切的重要项目，或应对自然灾害、事故灾难、公共卫生、社会安全等突发事件需要紧急建设的项目，经</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政府同意后，履行项目审批程序。</w:t>
      </w:r>
    </w:p>
    <w:p w14:paraId="519D011E">
      <w:pPr>
        <w:keepNext w:val="0"/>
        <w:keepLines w:val="0"/>
        <w:pageBreakBefore w:val="0"/>
        <w:widowControl w:val="0"/>
        <w:kinsoku/>
        <w:wordWrap/>
        <w:overflowPunct/>
        <w:topLinePunct w:val="0"/>
        <w:autoSpaceDE/>
        <w:autoSpaceDN/>
        <w:bidi w:val="0"/>
        <w:adjustRightInd w:val="0"/>
        <w:snapToGrid w:val="0"/>
        <w:spacing w:line="579" w:lineRule="exact"/>
        <w:ind w:firstLine="642"/>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第十二条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数据局会同相关部门依托一体化在线政务服务平台建设信息化项目管理系统，指导项目单位履行项目报批手续，通过结构化申报、资源自动关联、智能辅助决策等信息化手段，防止重复建设。</w:t>
      </w:r>
    </w:p>
    <w:p w14:paraId="67B1CC7A">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default" w:ascii="Times New Roman" w:hAnsi="Times New Roman" w:eastAsia="黑体" w:cs="Times New Roman"/>
          <w:sz w:val="32"/>
          <w:szCs w:val="32"/>
        </w:rPr>
      </w:pPr>
      <w:bookmarkStart w:id="0" w:name="_GoBack"/>
      <w:bookmarkEnd w:id="0"/>
    </w:p>
    <w:p w14:paraId="08233CC3">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项目立项审批</w:t>
      </w:r>
    </w:p>
    <w:p w14:paraId="0BD6C9EF">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shd w:val="clear" w:color="auto" w:fill="FFFFFF"/>
        </w:rPr>
      </w:pPr>
      <w:r>
        <w:rPr>
          <w:rFonts w:hint="default" w:ascii="楷体" w:hAnsi="楷体" w:eastAsia="楷体" w:cs="楷体"/>
          <w:b/>
          <w:bCs w:val="0"/>
          <w:color w:val="auto"/>
          <w:sz w:val="32"/>
          <w:szCs w:val="32"/>
        </w:rPr>
        <w:t>第十三条</w:t>
      </w:r>
      <w:r>
        <w:rPr>
          <w:rFonts w:hint="default" w:ascii="Times New Roman" w:hAnsi="Times New Roman" w:eastAsia="仿宋_GB2312" w:cs="Times New Roman"/>
          <w:color w:val="auto"/>
          <w:sz w:val="32"/>
          <w:szCs w:val="32"/>
        </w:rPr>
        <w:t xml:space="preserve">  列入年度计划的</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级政务信息化项目场景建设在实施前，项目建设单位应当编制详细的项目建设方案。建设方案应当包含数据资源共享、网络和数据安全、密码应用实施以及软硬件产品的安全可靠情况等内容。</w:t>
      </w:r>
    </w:p>
    <w:p w14:paraId="573C530F">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第十四条</w:t>
      </w:r>
      <w:r>
        <w:rPr>
          <w:rFonts w:hint="default" w:ascii="Times New Roman" w:hAnsi="Times New Roman" w:eastAsia="仿宋_GB2312" w:cs="Times New Roman"/>
          <w:color w:val="auto"/>
          <w:sz w:val="32"/>
          <w:szCs w:val="32"/>
          <w:shd w:val="clear" w:color="auto" w:fill="FFFFFF"/>
        </w:rPr>
        <w:t xml:space="preserve">  项目单位按照已下达年度建设计划和本单位运维项目计划，向</w:t>
      </w:r>
      <w:r>
        <w:rPr>
          <w:rFonts w:hint="default" w:ascii="Times New Roman" w:hAnsi="Times New Roman" w:eastAsia="仿宋_GB2312" w:cs="Times New Roman"/>
          <w:color w:val="auto"/>
          <w:sz w:val="32"/>
          <w:szCs w:val="32"/>
          <w:shd w:val="clear" w:color="auto" w:fill="FFFFFF"/>
          <w:lang w:val="en-US" w:eastAsia="zh-CN"/>
        </w:rPr>
        <w:t>县</w:t>
      </w:r>
      <w:r>
        <w:rPr>
          <w:rFonts w:hint="default" w:ascii="Times New Roman" w:hAnsi="Times New Roman" w:eastAsia="仿宋_GB2312" w:cs="Times New Roman"/>
          <w:color w:val="auto"/>
          <w:sz w:val="32"/>
          <w:szCs w:val="32"/>
          <w:shd w:val="clear" w:color="auto" w:fill="FFFFFF"/>
        </w:rPr>
        <w:t>数据局提出项目建设方案审核申请，</w:t>
      </w:r>
      <w:r>
        <w:rPr>
          <w:rFonts w:hint="default" w:ascii="Times New Roman" w:hAnsi="Times New Roman" w:eastAsia="仿宋_GB2312" w:cs="Times New Roman"/>
          <w:color w:val="auto"/>
          <w:sz w:val="32"/>
          <w:szCs w:val="32"/>
          <w:shd w:val="clear" w:color="auto" w:fill="FFFFFF"/>
          <w:lang w:val="en-US" w:eastAsia="zh-CN"/>
        </w:rPr>
        <w:t>县</w:t>
      </w:r>
      <w:r>
        <w:rPr>
          <w:rFonts w:hint="default" w:ascii="Times New Roman" w:hAnsi="Times New Roman" w:eastAsia="仿宋_GB2312" w:cs="Times New Roman"/>
          <w:color w:val="auto"/>
          <w:sz w:val="32"/>
          <w:szCs w:val="32"/>
          <w:shd w:val="clear" w:color="auto" w:fill="FFFFFF"/>
        </w:rPr>
        <w:t>数据局将根据项目类型会同相关部门开展联合评估，联合</w:t>
      </w:r>
      <w:r>
        <w:rPr>
          <w:rFonts w:hint="default" w:ascii="Times New Roman" w:hAnsi="Times New Roman" w:eastAsia="仿宋_GB2312" w:cs="Times New Roman"/>
          <w:color w:val="auto"/>
          <w:sz w:val="32"/>
          <w:szCs w:val="32"/>
        </w:rPr>
        <w:t>评估工作的具体方式和要求由</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数据局根据项目实际情况另行明确。</w:t>
      </w:r>
    </w:p>
    <w:p w14:paraId="171D11B0">
      <w:pPr>
        <w:keepNext w:val="0"/>
        <w:keepLines w:val="0"/>
        <w:pageBreakBefore w:val="0"/>
        <w:widowControl w:val="0"/>
        <w:kinsoku/>
        <w:wordWrap/>
        <w:overflowPunct/>
        <w:topLinePunct w:val="0"/>
        <w:autoSpaceDE/>
        <w:autoSpaceDN/>
        <w:bidi w:val="0"/>
        <w:adjustRightInd w:val="0"/>
        <w:snapToGrid w:val="0"/>
        <w:spacing w:line="579" w:lineRule="exact"/>
        <w:ind w:firstLine="642"/>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委网信办、机要局（市密码管理局）、</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档案局等部门应当根据项目类型会同</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数据局对政务信息化项目开展联合评审。</w:t>
      </w:r>
    </w:p>
    <w:p w14:paraId="53E8E423">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第十五条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发改委负责项目立项审批。建设类、采购服务类项目的立项审批，原则上包括项目建议书、可行性研究报告、联合评估意见等。对已纳入</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级年度建设计划的项目，</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发改委不再审批项目建议书，由项目建设单位直接编制可行性研究报告。</w:t>
      </w:r>
    </w:p>
    <w:p w14:paraId="6CAE457C">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rPr>
        <w:t>运维类项目，年度计划经</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数据局会同</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财政局批准后，由项目建设单位按程序组织实施，原则上不再进行立项审批。</w:t>
      </w:r>
    </w:p>
    <w:p w14:paraId="64464FCF">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shd w:val="clear" w:color="auto" w:fill="FFFFFF"/>
        </w:rPr>
      </w:pPr>
      <w:r>
        <w:rPr>
          <w:rFonts w:hint="default" w:ascii="楷体" w:hAnsi="楷体" w:eastAsia="楷体" w:cs="楷体"/>
          <w:b/>
          <w:bCs w:val="0"/>
          <w:color w:val="auto"/>
          <w:sz w:val="32"/>
          <w:szCs w:val="32"/>
        </w:rPr>
        <w:t>第十六条</w:t>
      </w:r>
      <w:r>
        <w:rPr>
          <w:rFonts w:hint="default" w:ascii="Times New Roman" w:hAnsi="Times New Roman" w:eastAsia="仿宋_GB2312" w:cs="Times New Roman"/>
          <w:color w:val="auto"/>
          <w:sz w:val="32"/>
          <w:szCs w:val="32"/>
          <w:shd w:val="clear" w:color="auto" w:fill="FFFFFF"/>
        </w:rPr>
        <w:t xml:space="preserve">  项目可行性研究报告应当包括数据资源共享分析专篇（章）。批复文件应当包括对数据资源共享分析专篇（章）的意见。</w:t>
      </w:r>
    </w:p>
    <w:p w14:paraId="57A9C48E">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项目建设单位应当在市数据共享交换平台上编制数据资源目录，纳入全</w:t>
      </w:r>
      <w:r>
        <w:rPr>
          <w:rFonts w:hint="default" w:ascii="Times New Roman" w:hAnsi="Times New Roman" w:eastAsia="仿宋_GB2312" w:cs="Times New Roman"/>
          <w:color w:val="auto"/>
          <w:sz w:val="32"/>
          <w:szCs w:val="32"/>
          <w:shd w:val="clear" w:color="auto" w:fill="FFFFFF"/>
          <w:lang w:val="en-US" w:eastAsia="zh-CN"/>
        </w:rPr>
        <w:t>县</w:t>
      </w:r>
      <w:r>
        <w:rPr>
          <w:rFonts w:hint="default" w:ascii="Times New Roman" w:hAnsi="Times New Roman" w:eastAsia="仿宋_GB2312" w:cs="Times New Roman"/>
          <w:color w:val="auto"/>
          <w:sz w:val="32"/>
          <w:szCs w:val="32"/>
          <w:shd w:val="clear" w:color="auto" w:fill="FFFFFF"/>
        </w:rPr>
        <w:t>数据资源统一管理，按要求共享数据资源。</w:t>
      </w:r>
    </w:p>
    <w:p w14:paraId="5981F78C">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shd w:val="clear" w:color="auto" w:fill="FFFFFF"/>
        </w:rPr>
      </w:pPr>
      <w:r>
        <w:rPr>
          <w:rFonts w:hint="default" w:ascii="楷体" w:hAnsi="楷体" w:eastAsia="楷体" w:cs="楷体"/>
          <w:b/>
          <w:bCs w:val="0"/>
          <w:color w:val="auto"/>
          <w:sz w:val="32"/>
          <w:szCs w:val="32"/>
        </w:rPr>
        <w:t>第十七条</w:t>
      </w:r>
      <w:r>
        <w:rPr>
          <w:rFonts w:hint="default" w:ascii="Times New Roman" w:hAnsi="Times New Roman" w:eastAsia="仿宋_GB2312" w:cs="Times New Roman"/>
          <w:color w:val="auto"/>
          <w:sz w:val="32"/>
          <w:szCs w:val="32"/>
          <w:shd w:val="clear" w:color="auto" w:fill="FFFFFF"/>
        </w:rPr>
        <w:t xml:space="preserve">  数据资源目录编制是审批相关政务信息化项目的必备条件。数据资源共享的范围、程度以及网络安全情况、密码评估情况是确定项目建设投资、运行维护经费和验收的重要依据。</w:t>
      </w:r>
    </w:p>
    <w:p w14:paraId="2DB35898">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楷体" w:hAnsi="楷体" w:eastAsia="楷体" w:cs="楷体"/>
          <w:b/>
          <w:bCs w:val="0"/>
          <w:color w:val="auto"/>
          <w:sz w:val="32"/>
          <w:szCs w:val="32"/>
        </w:rPr>
        <w:t>第十八条</w:t>
      </w:r>
      <w:r>
        <w:rPr>
          <w:rFonts w:hint="default" w:ascii="Times New Roman" w:hAnsi="Times New Roman" w:eastAsia="仿宋_GB2312" w:cs="Times New Roman"/>
          <w:color w:val="auto"/>
          <w:sz w:val="32"/>
          <w:szCs w:val="32"/>
          <w:shd w:val="clear" w:color="auto" w:fill="FFFFFF"/>
        </w:rPr>
        <w:t xml:space="preserve">  </w:t>
      </w:r>
      <w:r>
        <w:rPr>
          <w:rFonts w:hint="default" w:ascii="Times New Roman" w:hAnsi="Times New Roman" w:eastAsia="仿宋_GB2312" w:cs="Times New Roman"/>
          <w:color w:val="auto"/>
          <w:sz w:val="32"/>
          <w:szCs w:val="32"/>
          <w:shd w:val="clear" w:color="auto" w:fill="FFFFFF"/>
          <w:lang w:val="en-US" w:eastAsia="zh-CN"/>
        </w:rPr>
        <w:t>县级政务信息化项目原则上不再进行节能评估、规划选址、用地预审、环境影响评价等审批，涉及新建土建工程、高耗能项目除外。</w:t>
      </w:r>
    </w:p>
    <w:p w14:paraId="74497890">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shd w:val="clear" w:color="auto" w:fill="FFFFFF"/>
        </w:rPr>
      </w:pPr>
      <w:r>
        <w:rPr>
          <w:rFonts w:hint="default" w:ascii="楷体" w:hAnsi="楷体" w:eastAsia="楷体" w:cs="楷体"/>
          <w:b/>
          <w:bCs w:val="0"/>
          <w:color w:val="auto"/>
          <w:sz w:val="32"/>
          <w:szCs w:val="32"/>
        </w:rPr>
        <w:t>第十九条</w:t>
      </w:r>
      <w:r>
        <w:rPr>
          <w:rFonts w:hint="default" w:ascii="Times New Roman" w:hAnsi="Times New Roman" w:eastAsia="仿宋_GB2312" w:cs="Times New Roman"/>
          <w:color w:val="auto"/>
          <w:sz w:val="32"/>
          <w:szCs w:val="32"/>
          <w:shd w:val="clear" w:color="auto" w:fill="FFFFFF"/>
        </w:rPr>
        <w:t xml:space="preserve">  跨层级共享协同的项目，实行</w:t>
      </w:r>
      <w:r>
        <w:rPr>
          <w:rFonts w:hint="default" w:ascii="Times New Roman" w:hAnsi="Times New Roman" w:eastAsia="仿宋_GB2312" w:cs="Times New Roman"/>
          <w:color w:val="auto"/>
          <w:sz w:val="32"/>
          <w:szCs w:val="32"/>
          <w:shd w:val="clear" w:color="auto" w:fill="FFFFFF"/>
          <w:lang w:val="en-US" w:eastAsia="zh-CN"/>
        </w:rPr>
        <w:t>县</w:t>
      </w:r>
      <w:r>
        <w:rPr>
          <w:rFonts w:hint="default" w:ascii="Times New Roman" w:hAnsi="Times New Roman" w:eastAsia="仿宋_GB2312" w:cs="Times New Roman"/>
          <w:color w:val="auto"/>
          <w:sz w:val="32"/>
          <w:szCs w:val="32"/>
          <w:shd w:val="clear" w:color="auto" w:fill="FFFFFF"/>
        </w:rPr>
        <w:t>直部门统筹规划、统筹建设、分级安排资金，加强与各</w:t>
      </w:r>
      <w:r>
        <w:rPr>
          <w:rFonts w:hint="default" w:ascii="Times New Roman" w:hAnsi="Times New Roman" w:eastAsia="仿宋_GB2312" w:cs="Times New Roman"/>
          <w:color w:val="auto"/>
          <w:sz w:val="32"/>
          <w:szCs w:val="32"/>
          <w:shd w:val="clear" w:color="auto" w:fill="FFFFFF"/>
          <w:lang w:val="en-US" w:eastAsia="zh-CN"/>
        </w:rPr>
        <w:t>镇（街）</w:t>
      </w:r>
      <w:r>
        <w:rPr>
          <w:rFonts w:hint="default" w:ascii="Times New Roman" w:hAnsi="Times New Roman" w:eastAsia="仿宋_GB2312" w:cs="Times New Roman"/>
          <w:color w:val="auto"/>
          <w:sz w:val="32"/>
          <w:szCs w:val="32"/>
          <w:shd w:val="clear" w:color="auto" w:fill="FFFFFF"/>
        </w:rPr>
        <w:t>已有项目的整合衔接。</w:t>
      </w:r>
    </w:p>
    <w:p w14:paraId="2E55742C">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default" w:ascii="Times New Roman" w:hAnsi="Times New Roman" w:eastAsia="仿宋_GB2312" w:cs="Times New Roman"/>
          <w:color w:val="auto"/>
          <w:sz w:val="32"/>
          <w:szCs w:val="32"/>
        </w:rPr>
      </w:pPr>
    </w:p>
    <w:p w14:paraId="61628A8E">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项目建设管理</w:t>
      </w:r>
    </w:p>
    <w:p w14:paraId="465D6F4A">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第二十条</w:t>
      </w:r>
      <w:r>
        <w:rPr>
          <w:rFonts w:hint="default" w:ascii="Times New Roman" w:hAnsi="Times New Roman" w:eastAsia="仿宋_GB2312" w:cs="Times New Roman"/>
          <w:bCs/>
          <w:color w:val="auto"/>
          <w:sz w:val="32"/>
          <w:szCs w:val="32"/>
        </w:rPr>
        <w:t xml:space="preserve">  项目建设单位应当充分依托电子政务外网资源、政务云资源、数据共享交换平台、</w:t>
      </w:r>
      <w:r>
        <w:rPr>
          <w:rFonts w:hint="default" w:ascii="Times New Roman" w:hAnsi="Times New Roman" w:eastAsia="仿宋_GB2312" w:cs="Times New Roman"/>
          <w:color w:val="auto"/>
          <w:sz w:val="32"/>
          <w:szCs w:val="32"/>
        </w:rPr>
        <w:t xml:space="preserve">政务中台、一体化在线政务服务平台、“互联网+监管”系统及其他可共享利用的资源进行集约节约建设和运维。可以通过共享交换获取的信息资源，原则上不重复采集，相关系统不重复建设。 </w:t>
      </w:r>
    </w:p>
    <w:p w14:paraId="2320AD25">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项目建设单位应加强县</w:t>
      </w:r>
      <w:r>
        <w:rPr>
          <w:rFonts w:hint="default" w:ascii="Times New Roman" w:hAnsi="Times New Roman" w:eastAsia="仿宋_GB2312" w:cs="Times New Roman"/>
          <w:color w:val="auto"/>
          <w:sz w:val="32"/>
          <w:szCs w:val="32"/>
          <w:lang w:val="en-US" w:eastAsia="zh-CN"/>
        </w:rPr>
        <w:t>镇（街）</w:t>
      </w:r>
      <w:r>
        <w:rPr>
          <w:rFonts w:hint="default" w:ascii="Times New Roman" w:hAnsi="Times New Roman" w:eastAsia="仿宋_GB2312" w:cs="Times New Roman"/>
          <w:color w:val="auto"/>
          <w:sz w:val="32"/>
          <w:szCs w:val="32"/>
        </w:rPr>
        <w:t>平台（系统）一体化建设。</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级新建平台（系统）原则上应延伸至</w:t>
      </w:r>
      <w:r>
        <w:rPr>
          <w:rFonts w:hint="default" w:ascii="Times New Roman" w:hAnsi="Times New Roman" w:eastAsia="仿宋_GB2312" w:cs="Times New Roman"/>
          <w:color w:val="auto"/>
          <w:sz w:val="32"/>
          <w:szCs w:val="32"/>
          <w:lang w:val="en-US" w:eastAsia="zh-CN"/>
        </w:rPr>
        <w:t>镇（街）</w:t>
      </w:r>
      <w:r>
        <w:rPr>
          <w:rFonts w:hint="default" w:ascii="Times New Roman" w:hAnsi="Times New Roman" w:eastAsia="仿宋_GB2312" w:cs="Times New Roman"/>
          <w:color w:val="auto"/>
          <w:sz w:val="32"/>
          <w:szCs w:val="32"/>
        </w:rPr>
        <w:t>，打造成县</w:t>
      </w:r>
      <w:r>
        <w:rPr>
          <w:rFonts w:hint="default" w:ascii="Times New Roman" w:hAnsi="Times New Roman" w:eastAsia="仿宋_GB2312" w:cs="Times New Roman"/>
          <w:color w:val="auto"/>
          <w:sz w:val="32"/>
          <w:szCs w:val="32"/>
          <w:lang w:val="en-US" w:eastAsia="zh-CN"/>
        </w:rPr>
        <w:t>镇（街）</w:t>
      </w:r>
      <w:r>
        <w:rPr>
          <w:rFonts w:hint="default" w:ascii="Times New Roman" w:hAnsi="Times New Roman" w:eastAsia="仿宋_GB2312" w:cs="Times New Roman"/>
          <w:color w:val="auto"/>
          <w:sz w:val="32"/>
          <w:szCs w:val="32"/>
        </w:rPr>
        <w:t>共用的平台（系统）。</w:t>
      </w:r>
      <w:r>
        <w:rPr>
          <w:rFonts w:hint="eastAsia" w:ascii="Times New Roman" w:hAnsi="Times New Roman" w:eastAsia="仿宋_GB2312" w:cs="Times New Roman"/>
          <w:color w:val="auto"/>
          <w:sz w:val="32"/>
          <w:szCs w:val="32"/>
          <w:lang w:val="en-US" w:eastAsia="zh-CN"/>
        </w:rPr>
        <w:t xml:space="preserve"> </w:t>
      </w:r>
    </w:p>
    <w:p w14:paraId="44985AFE">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第二十一条</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color w:val="auto"/>
          <w:sz w:val="32"/>
          <w:szCs w:val="32"/>
          <w:shd w:val="clear" w:color="auto" w:fill="FFFFFF"/>
        </w:rPr>
        <w:t>项目建设单位对项目实施进度、建设质量及资金使用等工作负主体责任。</w:t>
      </w:r>
      <w:r>
        <w:rPr>
          <w:rFonts w:hint="default" w:ascii="Times New Roman" w:hAnsi="Times New Roman" w:eastAsia="仿宋_GB2312" w:cs="Times New Roman"/>
          <w:color w:val="auto"/>
          <w:sz w:val="32"/>
          <w:szCs w:val="32"/>
        </w:rPr>
        <w:t>项目建设单位应当确定项目实施机构和项目责任人，建立健全项目管理制度，加强对项目全过程的统筹协调，强化信息共享、安全防护和业务协同，并严格执行招标投标、政府采购、工程监理、合同管理等制度。</w:t>
      </w:r>
    </w:p>
    <w:p w14:paraId="3537F556">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shd w:val="clear" w:color="auto" w:fill="FFFFFF"/>
        </w:rPr>
      </w:pPr>
      <w:r>
        <w:rPr>
          <w:rFonts w:hint="default" w:ascii="楷体" w:hAnsi="楷体" w:eastAsia="楷体" w:cs="楷体"/>
          <w:b/>
          <w:bCs w:val="0"/>
          <w:color w:val="auto"/>
          <w:sz w:val="32"/>
          <w:szCs w:val="32"/>
        </w:rPr>
        <w:t>第二十二条</w:t>
      </w:r>
      <w:r>
        <w:rPr>
          <w:rFonts w:hint="default" w:ascii="Times New Roman" w:hAnsi="Times New Roman" w:eastAsia="仿宋_GB2312" w:cs="Times New Roman"/>
          <w:color w:val="auto"/>
          <w:sz w:val="32"/>
          <w:szCs w:val="32"/>
          <w:shd w:val="clear" w:color="auto" w:fill="FFFFFF"/>
        </w:rPr>
        <w:t xml:space="preserve">  项目建设单位应当落实国家和省、市</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县</w:t>
      </w:r>
      <w:r>
        <w:rPr>
          <w:rFonts w:hint="default" w:ascii="Times New Roman" w:hAnsi="Times New Roman" w:eastAsia="仿宋_GB2312" w:cs="Times New Roman"/>
          <w:color w:val="auto"/>
          <w:sz w:val="32"/>
          <w:szCs w:val="32"/>
          <w:shd w:val="clear" w:color="auto" w:fill="FFFFFF"/>
        </w:rPr>
        <w:t>密码管理有关法律法规和标准规范的要求，同步规划、同步建设、同步运行密码保障系统并定期进行评估。政务信息化项目场景建设应当采用安全可靠的软硬件产品，并在报批阶段对产品安全可靠性进行说明。</w:t>
      </w:r>
    </w:p>
    <w:p w14:paraId="4D9A91FF">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shd w:val="clear" w:color="auto" w:fill="FFFFFF"/>
        </w:rPr>
      </w:pPr>
      <w:r>
        <w:rPr>
          <w:rFonts w:hint="default" w:ascii="楷体" w:hAnsi="楷体" w:eastAsia="楷体" w:cs="楷体"/>
          <w:b/>
          <w:bCs w:val="0"/>
          <w:color w:val="auto"/>
          <w:sz w:val="32"/>
          <w:szCs w:val="32"/>
        </w:rPr>
        <w:t>第二十三条</w:t>
      </w:r>
      <w:r>
        <w:rPr>
          <w:rFonts w:hint="default" w:ascii="Times New Roman" w:hAnsi="Times New Roman" w:eastAsia="仿宋_GB2312" w:cs="Times New Roman"/>
          <w:color w:val="auto"/>
          <w:sz w:val="32"/>
          <w:szCs w:val="32"/>
          <w:shd w:val="clear" w:color="auto" w:fill="FFFFFF"/>
        </w:rPr>
        <w:t xml:space="preserve">  项目建设单位应当按照《中华人民共和国网络安全法》《中华人民共和国数据安全法》《中华人民共和国个人信息保护法》等法律法规以及党政机关安全管理等有关规定，落实国家网络安全等级保护、数据安全保护制度，落实信息化建设与网络安全保护同步规划、同步建设、同步使用要求，完善网络安全管理制度，定期开展网络安全检测与风险评估，保障信息系统安全稳定运行。</w:t>
      </w:r>
    </w:p>
    <w:p w14:paraId="13282DE1">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第二十四条</w:t>
      </w:r>
      <w:r>
        <w:rPr>
          <w:rFonts w:hint="default" w:ascii="Times New Roman" w:hAnsi="Times New Roman" w:eastAsia="仿宋_GB2312" w:cs="Times New Roman"/>
          <w:bCs/>
          <w:color w:val="auto"/>
          <w:sz w:val="32"/>
          <w:szCs w:val="32"/>
        </w:rPr>
        <w:t xml:space="preserve">  建设类项目应当在政府采购文件和合同中明确质保和免费运维期。免费运维期原则上自项目竣工验收合格之日起不得少于2年，法律、法规另有规定的，从其规定。</w:t>
      </w:r>
    </w:p>
    <w:p w14:paraId="2D15300C">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 xml:space="preserve">第二十五条 </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color w:val="auto"/>
          <w:sz w:val="32"/>
          <w:szCs w:val="32"/>
        </w:rPr>
        <w:t>项目建设过程中出现工程严重逾期、投资重大损失等问题的，项目建设单位应当及时向</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数据局报告。</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数据局会同发改、财政等部门按照有关规定督促项目建设单位进行整改或暂停项目建设。</w:t>
      </w:r>
    </w:p>
    <w:p w14:paraId="2B745D55">
      <w:pPr>
        <w:keepNext w:val="0"/>
        <w:keepLines w:val="0"/>
        <w:pageBreakBefore w:val="0"/>
        <w:widowControl w:val="0"/>
        <w:kinsoku/>
        <w:wordWrap/>
        <w:overflowPunct/>
        <w:topLinePunct w:val="0"/>
        <w:autoSpaceDE/>
        <w:autoSpaceDN/>
        <w:bidi w:val="0"/>
        <w:adjustRightInd w:val="0"/>
        <w:snapToGrid w:val="0"/>
        <w:spacing w:line="579" w:lineRule="exact"/>
        <w:ind w:firstLine="64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第二十六条</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color w:val="auto"/>
          <w:sz w:val="32"/>
          <w:szCs w:val="32"/>
        </w:rPr>
        <w:t>项目建设单位应当严格按照项目相关审批部门批复的项目建设方案、可行性研究报告、网络安全审核意见、密码应用意见和投资概算等开展项目建设。项目建设目标和内容不变，项目总投资有结余的，应当按照相关规定将结余资金退回。</w:t>
      </w:r>
    </w:p>
    <w:p w14:paraId="74B81363">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项目建设的资金支出按照国库集中支付有关制度规定执行。</w:t>
      </w:r>
    </w:p>
    <w:p w14:paraId="71D1C6BA">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default" w:ascii="Times New Roman" w:hAnsi="Times New Roman" w:eastAsia="仿宋_GB2312" w:cs="Times New Roman"/>
          <w:color w:val="auto"/>
          <w:sz w:val="32"/>
          <w:szCs w:val="32"/>
        </w:rPr>
      </w:pPr>
    </w:p>
    <w:p w14:paraId="53C2C9BD">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default" w:ascii="Times New Roman" w:hAnsi="Times New Roman" w:eastAsia="仿宋_GB2312" w:cs="Times New Roman"/>
          <w:color w:val="auto"/>
          <w:sz w:val="32"/>
          <w:szCs w:val="32"/>
        </w:rPr>
      </w:pPr>
      <w:r>
        <w:rPr>
          <w:rFonts w:hint="eastAsia" w:ascii="黑体" w:hAnsi="黑体" w:eastAsia="黑体" w:cs="黑体"/>
          <w:color w:val="auto"/>
          <w:sz w:val="32"/>
          <w:szCs w:val="32"/>
        </w:rPr>
        <w:t>第五章  项目验收和运维管理</w:t>
      </w:r>
    </w:p>
    <w:p w14:paraId="6600B1B5">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第二十七条</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color w:val="auto"/>
          <w:sz w:val="32"/>
          <w:szCs w:val="32"/>
        </w:rPr>
        <w:t>项目建成后，项目建设单位须向</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数据局提交系统建设报告，报告应包括：项目建设情况、项目数据目录编制和共享开放开发情况、密码应用情况、网络安全、电子档案完成情况等内容。</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数据局会同相关部门确认后，项目建设单位可自行组织竣工验收。涉及网络安全、电子档案等内容的项目，</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有关部门依据职责组织专项技术验收。</w:t>
      </w:r>
    </w:p>
    <w:p w14:paraId="7D6F0CC7">
      <w:pPr>
        <w:keepNext w:val="0"/>
        <w:keepLines w:val="0"/>
        <w:pageBreakBefore w:val="0"/>
        <w:widowControl w:val="0"/>
        <w:kinsoku/>
        <w:wordWrap/>
        <w:overflowPunct/>
        <w:topLinePunct w:val="0"/>
        <w:autoSpaceDE/>
        <w:autoSpaceDN/>
        <w:bidi w:val="0"/>
        <w:adjustRightInd w:val="0"/>
        <w:snapToGrid w:val="0"/>
        <w:spacing w:line="579" w:lineRule="exact"/>
        <w:ind w:firstLine="64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第二十八条</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color w:val="auto"/>
          <w:sz w:val="32"/>
          <w:szCs w:val="32"/>
        </w:rPr>
        <w:t>项目建设单位应当在项目竣工验收合格后一个月内将验收报告等资料提交</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数据局备案。未提交备案的项目，不予安排后续建设资金和运维经费。</w:t>
      </w:r>
    </w:p>
    <w:p w14:paraId="617BFEA0">
      <w:pPr>
        <w:keepNext w:val="0"/>
        <w:keepLines w:val="0"/>
        <w:pageBreakBefore w:val="0"/>
        <w:widowControl w:val="0"/>
        <w:kinsoku/>
        <w:wordWrap/>
        <w:overflowPunct/>
        <w:topLinePunct w:val="0"/>
        <w:autoSpaceDE/>
        <w:autoSpaceDN/>
        <w:bidi w:val="0"/>
        <w:adjustRightInd w:val="0"/>
        <w:snapToGrid w:val="0"/>
        <w:spacing w:line="579" w:lineRule="exact"/>
        <w:ind w:firstLine="640"/>
        <w:textAlignment w:val="auto"/>
        <w:rPr>
          <w:rFonts w:hint="default" w:ascii="Times New Roman" w:hAnsi="Times New Roman" w:eastAsia="仿宋_GB2312" w:cs="Times New Roman"/>
          <w:b/>
          <w:color w:val="auto"/>
          <w:sz w:val="32"/>
          <w:szCs w:val="32"/>
        </w:rPr>
      </w:pPr>
      <w:r>
        <w:rPr>
          <w:rFonts w:hint="default" w:ascii="楷体" w:hAnsi="楷体" w:eastAsia="楷体" w:cs="楷体"/>
          <w:b/>
          <w:bCs w:val="0"/>
          <w:color w:val="auto"/>
          <w:sz w:val="32"/>
          <w:szCs w:val="32"/>
        </w:rPr>
        <w:t>第二十九条</w:t>
      </w:r>
      <w:r>
        <w:rPr>
          <w:rFonts w:hint="default" w:ascii="Times New Roman" w:hAnsi="Times New Roman" w:eastAsia="仿宋_GB2312" w:cs="Times New Roman"/>
          <w:color w:val="auto"/>
          <w:sz w:val="32"/>
          <w:szCs w:val="32"/>
        </w:rPr>
        <w:t xml:space="preserve">  竣工验收不合格的项目，项目建设单位应按验收意见进行整改，整改完成后重新申请竣工验收。未验收或验收不合格的项目，不得投入使用，不拨付项目资金。</w:t>
      </w:r>
    </w:p>
    <w:p w14:paraId="64C19538">
      <w:pPr>
        <w:keepNext w:val="0"/>
        <w:keepLines w:val="0"/>
        <w:pageBreakBefore w:val="0"/>
        <w:widowControl w:val="0"/>
        <w:kinsoku/>
        <w:wordWrap/>
        <w:overflowPunct/>
        <w:topLinePunct w:val="0"/>
        <w:autoSpaceDE/>
        <w:autoSpaceDN/>
        <w:bidi w:val="0"/>
        <w:adjustRightInd w:val="0"/>
        <w:snapToGrid w:val="0"/>
        <w:spacing w:line="579" w:lineRule="exact"/>
        <w:ind w:firstLine="64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第三十条</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color w:val="auto"/>
          <w:sz w:val="32"/>
          <w:szCs w:val="32"/>
          <w:shd w:val="clear" w:color="auto" w:fill="FFFFFF"/>
        </w:rPr>
        <w:t>项目建设单位是项目运维的责任主体，应当建立健全项目运维管理制度，加强日常运维管理，制定应急预案，确保系统安全稳定运行</w:t>
      </w:r>
      <w:r>
        <w:rPr>
          <w:rFonts w:hint="default" w:ascii="Times New Roman" w:hAnsi="Times New Roman" w:eastAsia="仿宋_GB2312" w:cs="Times New Roman"/>
          <w:color w:val="auto"/>
          <w:sz w:val="32"/>
          <w:szCs w:val="32"/>
        </w:rPr>
        <w:t>。同时，系统运维还需符合数据共享、网络安全、密码应用等有关要求。</w:t>
      </w:r>
    </w:p>
    <w:p w14:paraId="6D91CFFB">
      <w:pPr>
        <w:keepNext w:val="0"/>
        <w:keepLines w:val="0"/>
        <w:pageBreakBefore w:val="0"/>
        <w:widowControl w:val="0"/>
        <w:kinsoku/>
        <w:wordWrap/>
        <w:overflowPunct/>
        <w:topLinePunct w:val="0"/>
        <w:autoSpaceDE/>
        <w:autoSpaceDN/>
        <w:bidi w:val="0"/>
        <w:adjustRightInd w:val="0"/>
        <w:snapToGrid w:val="0"/>
        <w:spacing w:line="579" w:lineRule="exact"/>
        <w:ind w:firstLine="64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第三十一条</w:t>
      </w:r>
      <w:r>
        <w:rPr>
          <w:rFonts w:hint="default" w:ascii="Times New Roman" w:hAnsi="Times New Roman" w:eastAsia="仿宋_GB2312" w:cs="Times New Roman"/>
          <w:color w:val="auto"/>
          <w:sz w:val="32"/>
          <w:szCs w:val="32"/>
        </w:rPr>
        <w:t xml:space="preserve">  项目建设单位应当按照行政事业单位国有资产管理有关规定和要求，做好项目国有资产的管理，纳入本单位的资产管理，提高国有资产使用效益。</w:t>
      </w:r>
    </w:p>
    <w:p w14:paraId="5E49E7C8">
      <w:pPr>
        <w:keepNext w:val="0"/>
        <w:keepLines w:val="0"/>
        <w:pageBreakBefore w:val="0"/>
        <w:widowControl w:val="0"/>
        <w:kinsoku/>
        <w:wordWrap/>
        <w:overflowPunct/>
        <w:topLinePunct w:val="0"/>
        <w:autoSpaceDE/>
        <w:autoSpaceDN/>
        <w:bidi w:val="0"/>
        <w:adjustRightInd w:val="0"/>
        <w:snapToGrid w:val="0"/>
        <w:spacing w:line="579" w:lineRule="exact"/>
        <w:ind w:firstLine="64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第三十二条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数据局对项目产生的数据进行统筹管理。项目建设单位应当在职责范围内，按照标准要求生产数据，并做好数据采集治理、资源编目、共享开放、开发应用和安全管理等工作。</w:t>
      </w:r>
    </w:p>
    <w:p w14:paraId="46587144">
      <w:pPr>
        <w:keepNext w:val="0"/>
        <w:keepLines w:val="0"/>
        <w:pageBreakBefore w:val="0"/>
        <w:widowControl w:val="0"/>
        <w:kinsoku/>
        <w:wordWrap/>
        <w:overflowPunct/>
        <w:topLinePunct w:val="0"/>
        <w:autoSpaceDE/>
        <w:autoSpaceDN/>
        <w:bidi w:val="0"/>
        <w:adjustRightInd w:val="0"/>
        <w:snapToGrid w:val="0"/>
        <w:spacing w:line="579" w:lineRule="exact"/>
        <w:ind w:firstLine="64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第三十三条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直部门和单位应推进“一部门一系统”建设，统筹开展政务信息系统的整合工作，推进系统互联互通、业务协同、信息共享，及时停用与实际业务流程长期脱节、功能可被其他系统替代的系统。</w:t>
      </w:r>
    </w:p>
    <w:p w14:paraId="0AFA4BFA">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default" w:ascii="Times New Roman" w:hAnsi="Times New Roman" w:eastAsia="仿宋_GB2312" w:cs="Times New Roman"/>
          <w:color w:val="auto"/>
          <w:sz w:val="32"/>
          <w:szCs w:val="32"/>
        </w:rPr>
      </w:pPr>
    </w:p>
    <w:p w14:paraId="3E442308">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default" w:ascii="Times New Roman" w:hAnsi="Times New Roman" w:eastAsia="仿宋_GB2312" w:cs="Times New Roman"/>
          <w:color w:val="auto"/>
          <w:sz w:val="32"/>
          <w:szCs w:val="32"/>
        </w:rPr>
      </w:pPr>
      <w:r>
        <w:rPr>
          <w:rFonts w:hint="default" w:ascii="黑体" w:hAnsi="黑体" w:eastAsia="黑体" w:cs="黑体"/>
          <w:color w:val="auto"/>
          <w:sz w:val="32"/>
          <w:szCs w:val="32"/>
        </w:rPr>
        <w:t>第六章  监督评价</w:t>
      </w:r>
    </w:p>
    <w:p w14:paraId="6078F434">
      <w:pPr>
        <w:keepNext w:val="0"/>
        <w:keepLines w:val="0"/>
        <w:pageBreakBefore w:val="0"/>
        <w:widowControl w:val="0"/>
        <w:kinsoku/>
        <w:wordWrap/>
        <w:overflowPunct/>
        <w:topLinePunct w:val="0"/>
        <w:autoSpaceDE/>
        <w:autoSpaceDN/>
        <w:bidi w:val="0"/>
        <w:adjustRightInd w:val="0"/>
        <w:snapToGrid w:val="0"/>
        <w:spacing w:line="579" w:lineRule="exact"/>
        <w:ind w:firstLine="64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第三十四条</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各有关部门按照职责分工，对政务信息化项目是否符合政务信息共享和集约化建设要求，以及项目建设中招标采购、资金使用、密码应用、网络安全等情况实施监督管理。发现违反有关规定或者批复要求的，应当要求项目建设单位限期整改。逾期不整改或者整改后仍不符合要求的，可以对其进行通报批评、暂缓安排投资计划、暂停项目建设直至终止项目。</w:t>
      </w:r>
    </w:p>
    <w:p w14:paraId="15672208">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第三十五条</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color w:val="auto"/>
          <w:sz w:val="32"/>
          <w:szCs w:val="32"/>
        </w:rPr>
        <w:t>项目建设单位应当接受</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各有关部门的监督管理，配合做好绩效评价、审计等监督管理工作，如实提供建设项目有关资料和情况，不得拒绝、隐匿、瞒报。</w:t>
      </w:r>
    </w:p>
    <w:p w14:paraId="4139FD94">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 xml:space="preserve">第三十六条 </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审计部门应当依法加强对政务信息系统的审计，促进专项资金使用真实、合法和高效，推动完善并监督落实相关制度政策。</w:t>
      </w:r>
    </w:p>
    <w:p w14:paraId="78C2F0A6">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 xml:space="preserve">第三十七条 </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color w:val="auto"/>
          <w:sz w:val="32"/>
          <w:szCs w:val="32"/>
        </w:rPr>
        <w:t>项目建设单位应当参照国家和省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rPr>
        <w:t>政务信息化建设管理绩效评价有关要求开展自评价，形成自评价报告。</w:t>
      </w:r>
    </w:p>
    <w:p w14:paraId="7144A32D">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第三十八条</w:t>
      </w:r>
      <w:r>
        <w:rPr>
          <w:rFonts w:hint="eastAsia"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lang w:val="en-US" w:eastAsia="zh-CN"/>
        </w:rPr>
        <w:t>县</w:t>
      </w:r>
      <w:r>
        <w:rPr>
          <w:rFonts w:hint="default" w:ascii="Times New Roman" w:hAnsi="Times New Roman" w:eastAsia="仿宋_GB2312" w:cs="Times New Roman"/>
          <w:color w:val="auto"/>
          <w:sz w:val="32"/>
          <w:szCs w:val="32"/>
        </w:rPr>
        <w:t>数据局会同有关部门结合项目建设单位自评价情况，可以组织专家或者委托相应的第三方机构开展后评价。</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各有关部门应当加强绩效评价结果应用，根据评价结果对市级政务信息化项目存在的问题提出整改意见，指导完善相关管理制度，并将评价结果作为下一年度安排政府投资、运行维护经费的重要依据。</w:t>
      </w:r>
    </w:p>
    <w:p w14:paraId="7DA2D1FB">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第三十九条</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color w:val="auto"/>
          <w:sz w:val="32"/>
          <w:szCs w:val="32"/>
        </w:rPr>
        <w:t>加强项目建设投资和运维经费协同联动，绩效评价出现下列情形之一的，不予安排项目的后续建设及运维服务计划。</w:t>
      </w:r>
    </w:p>
    <w:p w14:paraId="16B4D958">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（一）对未按要求完成系统对接互通、数据归集和共享数据资源的或者重复采集数据的政务信息系统；</w:t>
      </w:r>
    </w:p>
    <w:p w14:paraId="3F759AFA">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（二）不按规定使用电子政务网络或政务云资源的；</w:t>
      </w:r>
    </w:p>
    <w:p w14:paraId="68E81C19">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（三）不基于统一移动门户，擅自开发APP等应用的；</w:t>
      </w:r>
    </w:p>
    <w:p w14:paraId="7F9C2428">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（四）不按规定接入“一网统管”平台的。</w:t>
      </w:r>
    </w:p>
    <w:p w14:paraId="7CC408D7">
      <w:pPr>
        <w:keepNext w:val="0"/>
        <w:keepLines w:val="0"/>
        <w:pageBreakBefore w:val="0"/>
        <w:widowControl w:val="0"/>
        <w:kinsoku/>
        <w:wordWrap/>
        <w:overflowPunct/>
        <w:topLinePunct w:val="0"/>
        <w:autoSpaceDE/>
        <w:autoSpaceDN/>
        <w:bidi w:val="0"/>
        <w:adjustRightInd w:val="0"/>
        <w:snapToGrid w:val="0"/>
        <w:spacing w:line="579"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（五）未接入一体化在线政务服务平台的政务服务、公共服务类项目，未接入“互联网+监管”系统的监管类项目，未接入统一协同办公平台的非涉密办公类项目。</w:t>
      </w:r>
    </w:p>
    <w:p w14:paraId="31594307">
      <w:pPr>
        <w:keepNext w:val="0"/>
        <w:keepLines w:val="0"/>
        <w:pageBreakBefore w:val="0"/>
        <w:widowControl w:val="0"/>
        <w:kinsoku/>
        <w:wordWrap/>
        <w:overflowPunct/>
        <w:topLinePunct w:val="0"/>
        <w:autoSpaceDE/>
        <w:autoSpaceDN/>
        <w:bidi w:val="0"/>
        <w:adjustRightInd w:val="0"/>
        <w:snapToGrid w:val="0"/>
        <w:spacing w:line="579"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（六）对于不符合密码应用和网络安全要求，或者存在重大安全隐患的新建政务信息化项目。</w:t>
      </w:r>
    </w:p>
    <w:p w14:paraId="6F2811FF">
      <w:pPr>
        <w:keepNext w:val="0"/>
        <w:keepLines w:val="0"/>
        <w:pageBreakBefore w:val="0"/>
        <w:widowControl w:val="0"/>
        <w:kinsoku/>
        <w:wordWrap/>
        <w:overflowPunct/>
        <w:topLinePunct w:val="0"/>
        <w:autoSpaceDE/>
        <w:autoSpaceDN/>
        <w:bidi w:val="0"/>
        <w:adjustRightInd w:val="0"/>
        <w:snapToGrid w:val="0"/>
        <w:spacing w:line="579"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（七）停用系统、僵尸系统。</w:t>
      </w:r>
    </w:p>
    <w:p w14:paraId="11351067">
      <w:pPr>
        <w:keepNext w:val="0"/>
        <w:keepLines w:val="0"/>
        <w:pageBreakBefore w:val="0"/>
        <w:widowControl w:val="0"/>
        <w:kinsoku/>
        <w:wordWrap/>
        <w:overflowPunct/>
        <w:topLinePunct w:val="0"/>
        <w:autoSpaceDE/>
        <w:autoSpaceDN/>
        <w:bidi w:val="0"/>
        <w:adjustRightInd w:val="0"/>
        <w:snapToGrid w:val="0"/>
        <w:spacing w:line="579"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（八）绩效评价不合格且整改不到位的项目。</w:t>
      </w:r>
    </w:p>
    <w:p w14:paraId="1DB19416">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第四十条</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color w:val="auto"/>
          <w:sz w:val="32"/>
          <w:szCs w:val="32"/>
        </w:rPr>
        <w:t>单位或者个人违反本办法规定未履行审批、备案程序，或者因管理不善、弄虚作假造成严重超概算、质量低劣、损失浪费、安全事故或者其他责任事故的，相关部门应当予以通报批评，并对负有直接责任的主管人员和其他责任人员依法给予处分。</w:t>
      </w:r>
    </w:p>
    <w:p w14:paraId="276EE7C8">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default" w:ascii="Times New Roman" w:hAnsi="Times New Roman" w:eastAsia="仿宋_GB2312" w:cs="Times New Roman"/>
          <w:color w:val="auto"/>
          <w:sz w:val="32"/>
          <w:szCs w:val="32"/>
        </w:rPr>
      </w:pPr>
    </w:p>
    <w:p w14:paraId="57A7C614">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default" w:ascii="黑体" w:hAnsi="黑体" w:eastAsia="黑体" w:cs="黑体"/>
          <w:color w:val="auto"/>
          <w:sz w:val="32"/>
          <w:szCs w:val="32"/>
        </w:rPr>
      </w:pPr>
      <w:r>
        <w:rPr>
          <w:rFonts w:hint="default" w:ascii="黑体" w:hAnsi="黑体" w:eastAsia="黑体" w:cs="黑体"/>
          <w:color w:val="auto"/>
          <w:sz w:val="32"/>
          <w:szCs w:val="32"/>
        </w:rPr>
        <w:t>第七章  附则</w:t>
      </w:r>
    </w:p>
    <w:p w14:paraId="1076C80F">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bCs/>
          <w:color w:val="auto"/>
          <w:sz w:val="32"/>
          <w:szCs w:val="32"/>
        </w:rPr>
      </w:pPr>
      <w:r>
        <w:rPr>
          <w:rFonts w:hint="default" w:ascii="楷体" w:hAnsi="楷体" w:eastAsia="楷体" w:cs="楷体"/>
          <w:b/>
          <w:bCs w:val="0"/>
          <w:color w:val="auto"/>
          <w:sz w:val="32"/>
          <w:szCs w:val="32"/>
        </w:rPr>
        <w:t xml:space="preserve">第四十一条 </w:t>
      </w:r>
      <w:r>
        <w:rPr>
          <w:rFonts w:hint="default" w:ascii="Times New Roman" w:hAnsi="Times New Roman" w:eastAsia="仿宋_GB2312" w:cs="Times New Roman"/>
          <w:bCs/>
          <w:color w:val="auto"/>
          <w:sz w:val="32"/>
          <w:szCs w:val="32"/>
        </w:rPr>
        <w:t xml:space="preserve"> 不属于本办法管理范围的项目：</w:t>
      </w:r>
    </w:p>
    <w:p w14:paraId="11863387">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（一）基建工程及维护项目，如政务信息化项目涉及的土建环境装修、消防、强弱电建设等；</w:t>
      </w:r>
    </w:p>
    <w:p w14:paraId="5C15154C">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（二）建筑智能设施设备及维护项目，如智能楼宇、物业管理、停车场管理、就餐管理、门禁、考勤管理、内部监控、消防喷淋、广播、值班巡查等设施设备及配套系统；</w:t>
      </w:r>
    </w:p>
    <w:p w14:paraId="4CBF6A68">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（三）单独购置通用办公设备及维护项目，如购置电脑、电视机、电子显示屏、打印机、扫描仪、复印机、话筒、音响等办公设备、会议设施、电子产品及配件、耗材、维护服务；</w:t>
      </w:r>
    </w:p>
    <w:p w14:paraId="3A5F3C71">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（四）单独购置专业设施设备及维护项目，如自助查询机触摸屏、快递柜、仪器仪表、通信基站、通信台站、电话、对讲机、无人机、机器人及教学、科研等专业设施设备及其配套软件；</w:t>
      </w:r>
    </w:p>
    <w:p w14:paraId="6E0008AF">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（五）单独购置的办公软件、杀毒软件、操作系统等终端成品软件及升级服务；</w:t>
      </w:r>
    </w:p>
    <w:p w14:paraId="65A7417B">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（六）单独购买人员服务（含人工客服、纸质材料人工扫描等）、业务运行服务、信息制作发布服务、舆情监测服务及通讯费等不涉及信息系统开发或集成的项目；</w:t>
      </w:r>
    </w:p>
    <w:p w14:paraId="4298EDA0">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（七）其他不符合本办法第三条规定的非政务信息化项目。</w:t>
      </w:r>
    </w:p>
    <w:p w14:paraId="598F1D91">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第四十二条</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color w:val="auto"/>
          <w:sz w:val="32"/>
          <w:szCs w:val="32"/>
        </w:rPr>
        <w:t>涉密项目依据相关保密要求执行。</w:t>
      </w:r>
    </w:p>
    <w:p w14:paraId="76E6DAB4">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第四十三条</w:t>
      </w:r>
      <w:r>
        <w:rPr>
          <w:rFonts w:hint="default" w:ascii="Times New Roman" w:hAnsi="Times New Roman" w:eastAsia="仿宋_GB2312" w:cs="Times New Roman"/>
          <w:color w:val="auto"/>
          <w:sz w:val="32"/>
          <w:szCs w:val="32"/>
        </w:rPr>
        <w:t xml:space="preserve">  本办法由</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数据局会同</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财政局负责解释。</w:t>
      </w:r>
    </w:p>
    <w:p w14:paraId="275ABD68">
      <w:pPr>
        <w:keepNext w:val="0"/>
        <w:keepLines w:val="0"/>
        <w:pageBreakBefore w:val="0"/>
        <w:widowControl w:val="0"/>
        <w:kinsoku/>
        <w:wordWrap/>
        <w:overflowPunct/>
        <w:topLinePunct w:val="0"/>
        <w:autoSpaceDE/>
        <w:autoSpaceDN/>
        <w:bidi w:val="0"/>
        <w:adjustRightInd w:val="0"/>
        <w:snapToGrid w:val="0"/>
        <w:spacing w:line="579" w:lineRule="exact"/>
        <w:ind w:firstLine="662" w:firstLineChars="200"/>
        <w:textAlignment w:val="auto"/>
        <w:rPr>
          <w:rFonts w:hint="default" w:ascii="Times New Roman" w:hAnsi="Times New Roman" w:eastAsia="仿宋_GB2312" w:cs="Times New Roman"/>
          <w:color w:val="auto"/>
          <w:sz w:val="32"/>
          <w:szCs w:val="32"/>
        </w:rPr>
      </w:pPr>
      <w:r>
        <w:rPr>
          <w:rFonts w:hint="default" w:ascii="楷体" w:hAnsi="楷体" w:eastAsia="楷体" w:cs="楷体"/>
          <w:b/>
          <w:bCs w:val="0"/>
          <w:color w:val="auto"/>
          <w:sz w:val="32"/>
          <w:szCs w:val="32"/>
        </w:rPr>
        <w:t>第四十四条</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color w:val="auto"/>
          <w:sz w:val="32"/>
          <w:szCs w:val="32"/>
        </w:rPr>
        <w:t>本办法自印发之日起施行。</w:t>
      </w:r>
    </w:p>
    <w:p w14:paraId="26D31E2A">
      <w:pPr>
        <w:keepNext w:val="0"/>
        <w:keepLines w:val="0"/>
        <w:pageBreakBefore w:val="0"/>
        <w:widowControl w:val="0"/>
        <w:kinsoku/>
        <w:wordWrap/>
        <w:overflowPunct/>
        <w:topLinePunct w:val="0"/>
        <w:autoSpaceDE/>
        <w:autoSpaceDN/>
        <w:bidi w:val="0"/>
        <w:spacing w:line="579" w:lineRule="exact"/>
        <w:textAlignment w:val="auto"/>
        <w:rPr>
          <w:rFonts w:hint="default" w:ascii="Times New Roman" w:hAnsi="Times New Roman" w:eastAsia="楷体" w:cs="Times New Roman"/>
          <w:i w:val="0"/>
          <w:iCs w:val="0"/>
          <w:caps w:val="0"/>
          <w:color w:val="000000"/>
          <w:spacing w:val="0"/>
          <w:kern w:val="0"/>
          <w:sz w:val="32"/>
          <w:szCs w:val="32"/>
          <w:lang w:val="en-US" w:eastAsia="zh-CN" w:bidi="ar"/>
        </w:rPr>
      </w:pPr>
    </w:p>
    <w:sectPr>
      <w:footerReference r:id="rId3" w:type="default"/>
      <w:pgSz w:w="11905" w:h="16838"/>
      <w:pgMar w:top="2041" w:right="1531" w:bottom="2041" w:left="1531" w:header="851" w:footer="1417" w:gutter="0"/>
      <w:pgNumType w:fmt="numberInDash"/>
      <w:cols w:space="0" w:num="1"/>
      <w:rtlGutter w:val="0"/>
      <w:docGrid w:type="linesAndChars" w:linePitch="439" w:charSpace="22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4EA7E3-619A-451E-8D3E-CB2828432E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D494080B-D03E-4D4B-8CC9-22295ABD19F4}"/>
  </w:font>
  <w:font w:name="楷体">
    <w:panose1 w:val="02010609060101010101"/>
    <w:charset w:val="86"/>
    <w:family w:val="auto"/>
    <w:pitch w:val="default"/>
    <w:sig w:usb0="800002BF" w:usb1="38CF7CFA" w:usb2="00000016" w:usb3="00000000" w:csb0="00040001" w:csb1="00000000"/>
    <w:embedRegular r:id="rId3" w:fontKey="{720A50EE-5210-4892-98AF-CD44D6DCA264}"/>
  </w:font>
  <w:font w:name="仿宋_GB2312">
    <w:panose1 w:val="02010609030101010101"/>
    <w:charset w:val="86"/>
    <w:family w:val="auto"/>
    <w:pitch w:val="default"/>
    <w:sig w:usb0="00000001" w:usb1="080E0000" w:usb2="00000000" w:usb3="00000000" w:csb0="00040000" w:csb1="00000000"/>
    <w:embedRegular r:id="rId4" w:fontKey="{0EFCD4C3-D686-4965-9CC2-6F2E16787175}"/>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5D0A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9C396">
                          <w:pPr>
                            <w:pStyle w:val="2"/>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A9C396">
                    <w:pPr>
                      <w:pStyle w:val="2"/>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ZWQ1MGJlNmQwZGYwNWQ3N2E2NGZjOGRkMmM4MWEifQ=="/>
  </w:docVars>
  <w:rsids>
    <w:rsidRoot w:val="00000000"/>
    <w:rsid w:val="00401E53"/>
    <w:rsid w:val="004C291A"/>
    <w:rsid w:val="008578D8"/>
    <w:rsid w:val="00DE5610"/>
    <w:rsid w:val="00E75EF3"/>
    <w:rsid w:val="016E2A94"/>
    <w:rsid w:val="024F409D"/>
    <w:rsid w:val="025A0EB3"/>
    <w:rsid w:val="02704C69"/>
    <w:rsid w:val="02A54DDF"/>
    <w:rsid w:val="02AE0EFF"/>
    <w:rsid w:val="02BE5E27"/>
    <w:rsid w:val="02C4079E"/>
    <w:rsid w:val="02D7482B"/>
    <w:rsid w:val="02E2169D"/>
    <w:rsid w:val="02F04655"/>
    <w:rsid w:val="02FE0FD6"/>
    <w:rsid w:val="03177ED2"/>
    <w:rsid w:val="03C756EF"/>
    <w:rsid w:val="03C91400"/>
    <w:rsid w:val="03EC2BC3"/>
    <w:rsid w:val="04166F9C"/>
    <w:rsid w:val="04351AE2"/>
    <w:rsid w:val="046872AC"/>
    <w:rsid w:val="04770ABE"/>
    <w:rsid w:val="04800C3D"/>
    <w:rsid w:val="04C41BCC"/>
    <w:rsid w:val="04F17173"/>
    <w:rsid w:val="04FE5F95"/>
    <w:rsid w:val="051F100B"/>
    <w:rsid w:val="052F2567"/>
    <w:rsid w:val="05482477"/>
    <w:rsid w:val="055A659F"/>
    <w:rsid w:val="05876252"/>
    <w:rsid w:val="05877B78"/>
    <w:rsid w:val="05B33C47"/>
    <w:rsid w:val="05B61A7F"/>
    <w:rsid w:val="05D67331"/>
    <w:rsid w:val="05E378B0"/>
    <w:rsid w:val="068F5351"/>
    <w:rsid w:val="07304E30"/>
    <w:rsid w:val="07504F37"/>
    <w:rsid w:val="07594CCB"/>
    <w:rsid w:val="07A87845"/>
    <w:rsid w:val="07C81308"/>
    <w:rsid w:val="0813250F"/>
    <w:rsid w:val="084A5ECD"/>
    <w:rsid w:val="085262B7"/>
    <w:rsid w:val="08664DFF"/>
    <w:rsid w:val="08BE68E7"/>
    <w:rsid w:val="08C53004"/>
    <w:rsid w:val="08F02C5F"/>
    <w:rsid w:val="08F93118"/>
    <w:rsid w:val="09A82D96"/>
    <w:rsid w:val="09B5060F"/>
    <w:rsid w:val="09C91DBD"/>
    <w:rsid w:val="0A1D2627"/>
    <w:rsid w:val="0A4020ED"/>
    <w:rsid w:val="0A6A2937"/>
    <w:rsid w:val="0A873757"/>
    <w:rsid w:val="0AA25163"/>
    <w:rsid w:val="0AE03C4C"/>
    <w:rsid w:val="0AE66329"/>
    <w:rsid w:val="0B035018"/>
    <w:rsid w:val="0B3963C1"/>
    <w:rsid w:val="0B513E78"/>
    <w:rsid w:val="0B824B41"/>
    <w:rsid w:val="0C2B1BBF"/>
    <w:rsid w:val="0C3D20B5"/>
    <w:rsid w:val="0C5F7C6B"/>
    <w:rsid w:val="0C7C5F79"/>
    <w:rsid w:val="0CA45DC6"/>
    <w:rsid w:val="0CC1510A"/>
    <w:rsid w:val="0CE954DE"/>
    <w:rsid w:val="0E411871"/>
    <w:rsid w:val="0E8949D8"/>
    <w:rsid w:val="0F23291E"/>
    <w:rsid w:val="0F354945"/>
    <w:rsid w:val="0F53137A"/>
    <w:rsid w:val="0F6E66E8"/>
    <w:rsid w:val="0F9D21F8"/>
    <w:rsid w:val="0FEF4509"/>
    <w:rsid w:val="101D30D1"/>
    <w:rsid w:val="103514EE"/>
    <w:rsid w:val="10495968"/>
    <w:rsid w:val="1075286F"/>
    <w:rsid w:val="11072D74"/>
    <w:rsid w:val="11534930"/>
    <w:rsid w:val="11C8205F"/>
    <w:rsid w:val="11D07A50"/>
    <w:rsid w:val="11D40DF0"/>
    <w:rsid w:val="125D7278"/>
    <w:rsid w:val="12687AB4"/>
    <w:rsid w:val="12B63748"/>
    <w:rsid w:val="12E04504"/>
    <w:rsid w:val="12F0300A"/>
    <w:rsid w:val="13034DAE"/>
    <w:rsid w:val="13072B4F"/>
    <w:rsid w:val="13367401"/>
    <w:rsid w:val="134029B0"/>
    <w:rsid w:val="13710F7F"/>
    <w:rsid w:val="13844B9A"/>
    <w:rsid w:val="13A7337C"/>
    <w:rsid w:val="13B34AEC"/>
    <w:rsid w:val="13CB630C"/>
    <w:rsid w:val="13DB7BBE"/>
    <w:rsid w:val="13FA5F17"/>
    <w:rsid w:val="14211EC3"/>
    <w:rsid w:val="14685380"/>
    <w:rsid w:val="146B7141"/>
    <w:rsid w:val="14F748BB"/>
    <w:rsid w:val="153C1BDF"/>
    <w:rsid w:val="155202A3"/>
    <w:rsid w:val="157356EC"/>
    <w:rsid w:val="15806FC7"/>
    <w:rsid w:val="158D2DE4"/>
    <w:rsid w:val="161426DA"/>
    <w:rsid w:val="16A058E4"/>
    <w:rsid w:val="16BD614D"/>
    <w:rsid w:val="16E57315"/>
    <w:rsid w:val="170628B3"/>
    <w:rsid w:val="17465999"/>
    <w:rsid w:val="175045E3"/>
    <w:rsid w:val="176F181D"/>
    <w:rsid w:val="17B4181B"/>
    <w:rsid w:val="17B64CD5"/>
    <w:rsid w:val="17D16347"/>
    <w:rsid w:val="181673FD"/>
    <w:rsid w:val="181E16BB"/>
    <w:rsid w:val="182F4FE7"/>
    <w:rsid w:val="18811FB6"/>
    <w:rsid w:val="18923C75"/>
    <w:rsid w:val="18C516CD"/>
    <w:rsid w:val="191423B8"/>
    <w:rsid w:val="1917401B"/>
    <w:rsid w:val="19A84AE8"/>
    <w:rsid w:val="1A1241E2"/>
    <w:rsid w:val="1A211E3C"/>
    <w:rsid w:val="1A79106C"/>
    <w:rsid w:val="1A7F4F0B"/>
    <w:rsid w:val="1AB12D01"/>
    <w:rsid w:val="1B0920AC"/>
    <w:rsid w:val="1B4838EF"/>
    <w:rsid w:val="1C097146"/>
    <w:rsid w:val="1C8E03A2"/>
    <w:rsid w:val="1C95157C"/>
    <w:rsid w:val="1CCE7765"/>
    <w:rsid w:val="1CD91A1E"/>
    <w:rsid w:val="1CE86597"/>
    <w:rsid w:val="1CEF7CF7"/>
    <w:rsid w:val="1D052982"/>
    <w:rsid w:val="1D232387"/>
    <w:rsid w:val="1D6756BE"/>
    <w:rsid w:val="1D90415D"/>
    <w:rsid w:val="1D9E1C3E"/>
    <w:rsid w:val="1DA250DE"/>
    <w:rsid w:val="1DF1272C"/>
    <w:rsid w:val="1DFE1203"/>
    <w:rsid w:val="1E0778A4"/>
    <w:rsid w:val="1E1814CA"/>
    <w:rsid w:val="1E262EF3"/>
    <w:rsid w:val="1E38659B"/>
    <w:rsid w:val="1E4A7D2B"/>
    <w:rsid w:val="1E693A93"/>
    <w:rsid w:val="1E7A2A36"/>
    <w:rsid w:val="1EBA10EF"/>
    <w:rsid w:val="1EF70846"/>
    <w:rsid w:val="1F020A7F"/>
    <w:rsid w:val="1F086E69"/>
    <w:rsid w:val="1F1B0B93"/>
    <w:rsid w:val="1F741E8B"/>
    <w:rsid w:val="1F8169CC"/>
    <w:rsid w:val="1F932B49"/>
    <w:rsid w:val="1FA55695"/>
    <w:rsid w:val="1FD56FB4"/>
    <w:rsid w:val="20342598"/>
    <w:rsid w:val="203A5376"/>
    <w:rsid w:val="204121B7"/>
    <w:rsid w:val="20473DFF"/>
    <w:rsid w:val="208261F6"/>
    <w:rsid w:val="20D74E38"/>
    <w:rsid w:val="21163D00"/>
    <w:rsid w:val="21832B9C"/>
    <w:rsid w:val="21A45EBC"/>
    <w:rsid w:val="21A634F1"/>
    <w:rsid w:val="21CC6083"/>
    <w:rsid w:val="21FC4DFA"/>
    <w:rsid w:val="22576655"/>
    <w:rsid w:val="22CF2F63"/>
    <w:rsid w:val="2316421F"/>
    <w:rsid w:val="238160A8"/>
    <w:rsid w:val="239C4358"/>
    <w:rsid w:val="23AD322C"/>
    <w:rsid w:val="23B638B6"/>
    <w:rsid w:val="23E4531E"/>
    <w:rsid w:val="23E4663E"/>
    <w:rsid w:val="23E84FCD"/>
    <w:rsid w:val="24655B78"/>
    <w:rsid w:val="25007937"/>
    <w:rsid w:val="250E5F2F"/>
    <w:rsid w:val="25B1279E"/>
    <w:rsid w:val="25C171CE"/>
    <w:rsid w:val="25F877A6"/>
    <w:rsid w:val="26013812"/>
    <w:rsid w:val="263343BB"/>
    <w:rsid w:val="265D30BB"/>
    <w:rsid w:val="26D35DC7"/>
    <w:rsid w:val="26F15F5C"/>
    <w:rsid w:val="26F90E4F"/>
    <w:rsid w:val="26FB2532"/>
    <w:rsid w:val="27091DEF"/>
    <w:rsid w:val="27187B68"/>
    <w:rsid w:val="272C2C45"/>
    <w:rsid w:val="27820F5D"/>
    <w:rsid w:val="27A90ADE"/>
    <w:rsid w:val="27E9606B"/>
    <w:rsid w:val="284866CB"/>
    <w:rsid w:val="289C28EF"/>
    <w:rsid w:val="28D47A70"/>
    <w:rsid w:val="28EE7A52"/>
    <w:rsid w:val="293353B9"/>
    <w:rsid w:val="299C4566"/>
    <w:rsid w:val="2A060DC4"/>
    <w:rsid w:val="2A1A60F7"/>
    <w:rsid w:val="2A93377D"/>
    <w:rsid w:val="2ABD6E98"/>
    <w:rsid w:val="2B225383"/>
    <w:rsid w:val="2B3177E3"/>
    <w:rsid w:val="2B3E2D6C"/>
    <w:rsid w:val="2B8A35A2"/>
    <w:rsid w:val="2C9312EC"/>
    <w:rsid w:val="2CA67B9A"/>
    <w:rsid w:val="2CC9635F"/>
    <w:rsid w:val="2CF717B7"/>
    <w:rsid w:val="2CFB4F66"/>
    <w:rsid w:val="2D8B4433"/>
    <w:rsid w:val="2DA00AAF"/>
    <w:rsid w:val="2DB0144F"/>
    <w:rsid w:val="2DB50E77"/>
    <w:rsid w:val="2DCF73CD"/>
    <w:rsid w:val="2DE55A6C"/>
    <w:rsid w:val="2E041CC1"/>
    <w:rsid w:val="2E1E4466"/>
    <w:rsid w:val="2E7C1E96"/>
    <w:rsid w:val="2ED87DC5"/>
    <w:rsid w:val="2EE15BA6"/>
    <w:rsid w:val="2EE43CF5"/>
    <w:rsid w:val="2EE8052A"/>
    <w:rsid w:val="2EE8722A"/>
    <w:rsid w:val="2F1E572F"/>
    <w:rsid w:val="2F391C13"/>
    <w:rsid w:val="2F454A5C"/>
    <w:rsid w:val="2F6546C8"/>
    <w:rsid w:val="2FEE653C"/>
    <w:rsid w:val="2FF21B22"/>
    <w:rsid w:val="30254A3A"/>
    <w:rsid w:val="307B3D0E"/>
    <w:rsid w:val="30A833B3"/>
    <w:rsid w:val="30E06D85"/>
    <w:rsid w:val="314074A5"/>
    <w:rsid w:val="31765578"/>
    <w:rsid w:val="31BD10AB"/>
    <w:rsid w:val="31C159C3"/>
    <w:rsid w:val="31FD4174"/>
    <w:rsid w:val="321C0E66"/>
    <w:rsid w:val="3238083B"/>
    <w:rsid w:val="3298345E"/>
    <w:rsid w:val="32F81034"/>
    <w:rsid w:val="335B2C2B"/>
    <w:rsid w:val="33B37E5D"/>
    <w:rsid w:val="33FF0B12"/>
    <w:rsid w:val="34157FD9"/>
    <w:rsid w:val="34B55007"/>
    <w:rsid w:val="352275ED"/>
    <w:rsid w:val="3550484A"/>
    <w:rsid w:val="356E540D"/>
    <w:rsid w:val="35B97EE5"/>
    <w:rsid w:val="35E55670"/>
    <w:rsid w:val="36405F7D"/>
    <w:rsid w:val="36926AC3"/>
    <w:rsid w:val="36CC0120"/>
    <w:rsid w:val="36E343F7"/>
    <w:rsid w:val="3702139D"/>
    <w:rsid w:val="37F53210"/>
    <w:rsid w:val="37FC7FD1"/>
    <w:rsid w:val="381B6F4E"/>
    <w:rsid w:val="38283528"/>
    <w:rsid w:val="38400FB4"/>
    <w:rsid w:val="38430D62"/>
    <w:rsid w:val="384539F4"/>
    <w:rsid w:val="38A85923"/>
    <w:rsid w:val="38AB1469"/>
    <w:rsid w:val="38BF4BEF"/>
    <w:rsid w:val="38E13F74"/>
    <w:rsid w:val="39381C39"/>
    <w:rsid w:val="39477E02"/>
    <w:rsid w:val="3A866A3F"/>
    <w:rsid w:val="3AA329A0"/>
    <w:rsid w:val="3AD1647D"/>
    <w:rsid w:val="3AEC1946"/>
    <w:rsid w:val="3AFC4C93"/>
    <w:rsid w:val="3B1C4FC2"/>
    <w:rsid w:val="3B266256"/>
    <w:rsid w:val="3B47167B"/>
    <w:rsid w:val="3B727189"/>
    <w:rsid w:val="3B7C4046"/>
    <w:rsid w:val="3BA65E96"/>
    <w:rsid w:val="3BBC11B4"/>
    <w:rsid w:val="3BBF3706"/>
    <w:rsid w:val="3C855A83"/>
    <w:rsid w:val="3C86245F"/>
    <w:rsid w:val="3D036572"/>
    <w:rsid w:val="3D177022"/>
    <w:rsid w:val="3D3C39DB"/>
    <w:rsid w:val="3D55475D"/>
    <w:rsid w:val="3DB93C92"/>
    <w:rsid w:val="3E0C3F73"/>
    <w:rsid w:val="3E465F2B"/>
    <w:rsid w:val="3E8622F7"/>
    <w:rsid w:val="3F0C35FF"/>
    <w:rsid w:val="3F652B8D"/>
    <w:rsid w:val="3FAE7E56"/>
    <w:rsid w:val="3FD22C11"/>
    <w:rsid w:val="3FF81E8D"/>
    <w:rsid w:val="4005565D"/>
    <w:rsid w:val="4067798C"/>
    <w:rsid w:val="40780066"/>
    <w:rsid w:val="40A62EBF"/>
    <w:rsid w:val="40C46A90"/>
    <w:rsid w:val="40E47F25"/>
    <w:rsid w:val="41022446"/>
    <w:rsid w:val="414D564F"/>
    <w:rsid w:val="41637733"/>
    <w:rsid w:val="41EA3396"/>
    <w:rsid w:val="41FB1C6A"/>
    <w:rsid w:val="423678AB"/>
    <w:rsid w:val="427D3BF0"/>
    <w:rsid w:val="42CF76FF"/>
    <w:rsid w:val="430C37E2"/>
    <w:rsid w:val="4338713E"/>
    <w:rsid w:val="43A6086F"/>
    <w:rsid w:val="43A70559"/>
    <w:rsid w:val="43DE607C"/>
    <w:rsid w:val="43E855A1"/>
    <w:rsid w:val="43FF0665"/>
    <w:rsid w:val="44012152"/>
    <w:rsid w:val="441829D1"/>
    <w:rsid w:val="44530C3F"/>
    <w:rsid w:val="44533449"/>
    <w:rsid w:val="44A37CFC"/>
    <w:rsid w:val="45300A9E"/>
    <w:rsid w:val="4538003D"/>
    <w:rsid w:val="45664C6E"/>
    <w:rsid w:val="457530D0"/>
    <w:rsid w:val="45AB5EF3"/>
    <w:rsid w:val="45B579A4"/>
    <w:rsid w:val="45BF5646"/>
    <w:rsid w:val="45FF4869"/>
    <w:rsid w:val="46087630"/>
    <w:rsid w:val="462801CA"/>
    <w:rsid w:val="4636182E"/>
    <w:rsid w:val="46406A2E"/>
    <w:rsid w:val="468528D4"/>
    <w:rsid w:val="46E308D7"/>
    <w:rsid w:val="47333A31"/>
    <w:rsid w:val="474870DA"/>
    <w:rsid w:val="4872675C"/>
    <w:rsid w:val="48A421CF"/>
    <w:rsid w:val="48AB4A70"/>
    <w:rsid w:val="48C324FF"/>
    <w:rsid w:val="48DA293C"/>
    <w:rsid w:val="48FA7EBF"/>
    <w:rsid w:val="49484CD7"/>
    <w:rsid w:val="495B55BE"/>
    <w:rsid w:val="497A11D8"/>
    <w:rsid w:val="49983CA7"/>
    <w:rsid w:val="49B17FDB"/>
    <w:rsid w:val="4A450044"/>
    <w:rsid w:val="4A854D8F"/>
    <w:rsid w:val="4AA37EA2"/>
    <w:rsid w:val="4B0233A9"/>
    <w:rsid w:val="4B2C123A"/>
    <w:rsid w:val="4B363B0F"/>
    <w:rsid w:val="4B3F0A29"/>
    <w:rsid w:val="4B53794C"/>
    <w:rsid w:val="4B7A1B91"/>
    <w:rsid w:val="4B8F53DB"/>
    <w:rsid w:val="4BAD294F"/>
    <w:rsid w:val="4BAE2239"/>
    <w:rsid w:val="4BE036BE"/>
    <w:rsid w:val="4C856565"/>
    <w:rsid w:val="4C9E4CEC"/>
    <w:rsid w:val="4CAD3E91"/>
    <w:rsid w:val="4CC20243"/>
    <w:rsid w:val="4CEC0595"/>
    <w:rsid w:val="4D45740D"/>
    <w:rsid w:val="4DBF6F83"/>
    <w:rsid w:val="4DC70B42"/>
    <w:rsid w:val="4DFC21B1"/>
    <w:rsid w:val="4E524945"/>
    <w:rsid w:val="4E6468CF"/>
    <w:rsid w:val="4E6756CC"/>
    <w:rsid w:val="4E9915F5"/>
    <w:rsid w:val="4F0B19C7"/>
    <w:rsid w:val="4F245FE4"/>
    <w:rsid w:val="50910A06"/>
    <w:rsid w:val="50B031C6"/>
    <w:rsid w:val="50EC4E57"/>
    <w:rsid w:val="51325D07"/>
    <w:rsid w:val="513C5944"/>
    <w:rsid w:val="51A030C4"/>
    <w:rsid w:val="51BA202F"/>
    <w:rsid w:val="520F1DBC"/>
    <w:rsid w:val="521B0F49"/>
    <w:rsid w:val="522D07E9"/>
    <w:rsid w:val="5268443A"/>
    <w:rsid w:val="5273604F"/>
    <w:rsid w:val="52795006"/>
    <w:rsid w:val="528440A3"/>
    <w:rsid w:val="528A7C20"/>
    <w:rsid w:val="52F958E9"/>
    <w:rsid w:val="52FF770E"/>
    <w:rsid w:val="537A382C"/>
    <w:rsid w:val="537C01EC"/>
    <w:rsid w:val="53A84292"/>
    <w:rsid w:val="53C72C6E"/>
    <w:rsid w:val="53D20328"/>
    <w:rsid w:val="53FC752F"/>
    <w:rsid w:val="542B5EFA"/>
    <w:rsid w:val="545E0005"/>
    <w:rsid w:val="54700B4C"/>
    <w:rsid w:val="547A0A57"/>
    <w:rsid w:val="54A2706F"/>
    <w:rsid w:val="54C259F5"/>
    <w:rsid w:val="54CE3730"/>
    <w:rsid w:val="55472259"/>
    <w:rsid w:val="55702612"/>
    <w:rsid w:val="5588430C"/>
    <w:rsid w:val="55B91067"/>
    <w:rsid w:val="55C511B5"/>
    <w:rsid w:val="55C55AE7"/>
    <w:rsid w:val="562B74D7"/>
    <w:rsid w:val="565E5D3F"/>
    <w:rsid w:val="56640D84"/>
    <w:rsid w:val="56C63ABC"/>
    <w:rsid w:val="56D7088A"/>
    <w:rsid w:val="56EF0DFC"/>
    <w:rsid w:val="570076C5"/>
    <w:rsid w:val="573F0E4B"/>
    <w:rsid w:val="575A0779"/>
    <w:rsid w:val="57AE1009"/>
    <w:rsid w:val="57D35BB5"/>
    <w:rsid w:val="580A496B"/>
    <w:rsid w:val="580B2836"/>
    <w:rsid w:val="580C04A2"/>
    <w:rsid w:val="58482998"/>
    <w:rsid w:val="5875165E"/>
    <w:rsid w:val="587808EE"/>
    <w:rsid w:val="589A49BF"/>
    <w:rsid w:val="589F02E1"/>
    <w:rsid w:val="58EB4A7A"/>
    <w:rsid w:val="58F0552B"/>
    <w:rsid w:val="59115B7A"/>
    <w:rsid w:val="59484837"/>
    <w:rsid w:val="59484FC5"/>
    <w:rsid w:val="59654724"/>
    <w:rsid w:val="598611DD"/>
    <w:rsid w:val="59947A8F"/>
    <w:rsid w:val="59B66EB3"/>
    <w:rsid w:val="5A071B27"/>
    <w:rsid w:val="5A2507DF"/>
    <w:rsid w:val="5ACB7D7C"/>
    <w:rsid w:val="5B266CC9"/>
    <w:rsid w:val="5B7B54B8"/>
    <w:rsid w:val="5B8F6401"/>
    <w:rsid w:val="5BB259C8"/>
    <w:rsid w:val="5BDD4B62"/>
    <w:rsid w:val="5C210C4B"/>
    <w:rsid w:val="5C5B56EF"/>
    <w:rsid w:val="5CAB59FA"/>
    <w:rsid w:val="5CB8712F"/>
    <w:rsid w:val="5CC7665B"/>
    <w:rsid w:val="5D350ABA"/>
    <w:rsid w:val="5D364A89"/>
    <w:rsid w:val="5D7840E7"/>
    <w:rsid w:val="5D7E7207"/>
    <w:rsid w:val="5D902925"/>
    <w:rsid w:val="5DBE1076"/>
    <w:rsid w:val="5E432A7B"/>
    <w:rsid w:val="5E5A0ABD"/>
    <w:rsid w:val="5E8611D4"/>
    <w:rsid w:val="5EC36729"/>
    <w:rsid w:val="5EC70650"/>
    <w:rsid w:val="5F474BC7"/>
    <w:rsid w:val="5FC1566C"/>
    <w:rsid w:val="601E3516"/>
    <w:rsid w:val="60960F99"/>
    <w:rsid w:val="60DF4F55"/>
    <w:rsid w:val="60E61D17"/>
    <w:rsid w:val="61183355"/>
    <w:rsid w:val="61386BD4"/>
    <w:rsid w:val="613C21B2"/>
    <w:rsid w:val="615D62BD"/>
    <w:rsid w:val="61854881"/>
    <w:rsid w:val="61B768C4"/>
    <w:rsid w:val="61B83624"/>
    <w:rsid w:val="61BD326E"/>
    <w:rsid w:val="61E93663"/>
    <w:rsid w:val="61F452F6"/>
    <w:rsid w:val="620F692E"/>
    <w:rsid w:val="621B3938"/>
    <w:rsid w:val="621F0DDD"/>
    <w:rsid w:val="626F2D2C"/>
    <w:rsid w:val="62A52763"/>
    <w:rsid w:val="62B37DE2"/>
    <w:rsid w:val="62F672D3"/>
    <w:rsid w:val="631E6FF0"/>
    <w:rsid w:val="63220B85"/>
    <w:rsid w:val="638F46BF"/>
    <w:rsid w:val="63963500"/>
    <w:rsid w:val="63C51DB9"/>
    <w:rsid w:val="63C5317E"/>
    <w:rsid w:val="64063A96"/>
    <w:rsid w:val="64123FAD"/>
    <w:rsid w:val="6470717E"/>
    <w:rsid w:val="65023EE4"/>
    <w:rsid w:val="651701F8"/>
    <w:rsid w:val="65384140"/>
    <w:rsid w:val="654352BF"/>
    <w:rsid w:val="654E007A"/>
    <w:rsid w:val="657A1D37"/>
    <w:rsid w:val="65B6139F"/>
    <w:rsid w:val="669B6E49"/>
    <w:rsid w:val="66B5304F"/>
    <w:rsid w:val="66B62C82"/>
    <w:rsid w:val="66E608C6"/>
    <w:rsid w:val="66EE6A6F"/>
    <w:rsid w:val="67184D4E"/>
    <w:rsid w:val="672D3AFE"/>
    <w:rsid w:val="672E6433"/>
    <w:rsid w:val="67A74C43"/>
    <w:rsid w:val="67AB03A7"/>
    <w:rsid w:val="67F313BD"/>
    <w:rsid w:val="68545F31"/>
    <w:rsid w:val="688B546D"/>
    <w:rsid w:val="689A3179"/>
    <w:rsid w:val="68DB7863"/>
    <w:rsid w:val="69682D76"/>
    <w:rsid w:val="69743BA8"/>
    <w:rsid w:val="69911DCB"/>
    <w:rsid w:val="69C479D5"/>
    <w:rsid w:val="6A5137DB"/>
    <w:rsid w:val="6A5D2F49"/>
    <w:rsid w:val="6A9A3597"/>
    <w:rsid w:val="6AB74543"/>
    <w:rsid w:val="6AC7420F"/>
    <w:rsid w:val="6AE50C54"/>
    <w:rsid w:val="6B063938"/>
    <w:rsid w:val="6B133DE2"/>
    <w:rsid w:val="6B1940A9"/>
    <w:rsid w:val="6B1A68C0"/>
    <w:rsid w:val="6B2A074B"/>
    <w:rsid w:val="6BB76E9A"/>
    <w:rsid w:val="6BF609EE"/>
    <w:rsid w:val="6BF73662"/>
    <w:rsid w:val="6C686EB2"/>
    <w:rsid w:val="6C7F7BEF"/>
    <w:rsid w:val="6CDD30DA"/>
    <w:rsid w:val="6CE72821"/>
    <w:rsid w:val="6CF07827"/>
    <w:rsid w:val="6D5B546F"/>
    <w:rsid w:val="6D8F71CE"/>
    <w:rsid w:val="6DAB651A"/>
    <w:rsid w:val="6E067168"/>
    <w:rsid w:val="6E1673DD"/>
    <w:rsid w:val="6E4F2EC1"/>
    <w:rsid w:val="6E6D4EB4"/>
    <w:rsid w:val="6EA458F0"/>
    <w:rsid w:val="6F0A5448"/>
    <w:rsid w:val="6F125EE0"/>
    <w:rsid w:val="6FCD1E2B"/>
    <w:rsid w:val="6FEF65AF"/>
    <w:rsid w:val="708E4BE2"/>
    <w:rsid w:val="70AF569D"/>
    <w:rsid w:val="70B16C28"/>
    <w:rsid w:val="70C142E7"/>
    <w:rsid w:val="71EC07C6"/>
    <w:rsid w:val="72BE234E"/>
    <w:rsid w:val="72ED7299"/>
    <w:rsid w:val="72F8331D"/>
    <w:rsid w:val="732F58BB"/>
    <w:rsid w:val="7335019F"/>
    <w:rsid w:val="73437BEE"/>
    <w:rsid w:val="73683EE9"/>
    <w:rsid w:val="737A1898"/>
    <w:rsid w:val="737A7513"/>
    <w:rsid w:val="73DC5FDB"/>
    <w:rsid w:val="742573B7"/>
    <w:rsid w:val="743054A1"/>
    <w:rsid w:val="74516F61"/>
    <w:rsid w:val="745613D0"/>
    <w:rsid w:val="746A53A9"/>
    <w:rsid w:val="74EF762C"/>
    <w:rsid w:val="7514504D"/>
    <w:rsid w:val="759558AD"/>
    <w:rsid w:val="75CA5585"/>
    <w:rsid w:val="765F09AC"/>
    <w:rsid w:val="76614EB4"/>
    <w:rsid w:val="766C4148"/>
    <w:rsid w:val="768724F5"/>
    <w:rsid w:val="76A04F80"/>
    <w:rsid w:val="76AC667C"/>
    <w:rsid w:val="76F51576"/>
    <w:rsid w:val="77007C29"/>
    <w:rsid w:val="77432854"/>
    <w:rsid w:val="77A411F7"/>
    <w:rsid w:val="78695160"/>
    <w:rsid w:val="78F85C68"/>
    <w:rsid w:val="78F94E8F"/>
    <w:rsid w:val="795815A0"/>
    <w:rsid w:val="79F544EC"/>
    <w:rsid w:val="7A034766"/>
    <w:rsid w:val="7A8A5AD7"/>
    <w:rsid w:val="7A9B202F"/>
    <w:rsid w:val="7AD1414F"/>
    <w:rsid w:val="7AF36598"/>
    <w:rsid w:val="7B1B00E5"/>
    <w:rsid w:val="7B95561B"/>
    <w:rsid w:val="7B9F67FF"/>
    <w:rsid w:val="7BAD4D4E"/>
    <w:rsid w:val="7BBA156F"/>
    <w:rsid w:val="7BD714DF"/>
    <w:rsid w:val="7BDA2243"/>
    <w:rsid w:val="7C32248C"/>
    <w:rsid w:val="7C4F1B8C"/>
    <w:rsid w:val="7C612160"/>
    <w:rsid w:val="7C694735"/>
    <w:rsid w:val="7C6C6BFC"/>
    <w:rsid w:val="7CC02A96"/>
    <w:rsid w:val="7CF70084"/>
    <w:rsid w:val="7D036EC6"/>
    <w:rsid w:val="7D407F13"/>
    <w:rsid w:val="7D483633"/>
    <w:rsid w:val="7D4B7CEE"/>
    <w:rsid w:val="7DD043AC"/>
    <w:rsid w:val="7E376A0B"/>
    <w:rsid w:val="7E571356"/>
    <w:rsid w:val="7E7F3881"/>
    <w:rsid w:val="7E9F7006"/>
    <w:rsid w:val="7EA102C7"/>
    <w:rsid w:val="7EA709D6"/>
    <w:rsid w:val="7F184D2A"/>
    <w:rsid w:val="7F5661F9"/>
    <w:rsid w:val="7F754736"/>
    <w:rsid w:val="7F8C1AB5"/>
    <w:rsid w:val="7FB572C9"/>
    <w:rsid w:val="7FE00D76"/>
    <w:rsid w:val="7FEC6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6011</Words>
  <Characters>6025</Characters>
  <Lines>0</Lines>
  <Paragraphs>0</Paragraphs>
  <TotalTime>0</TotalTime>
  <ScaleCrop>false</ScaleCrop>
  <LinksUpToDate>false</LinksUpToDate>
  <CharactersWithSpaces>6131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2022-01-05T06:49:00Z</dcterms:created>
  <dc:creator>Administrator</dc:creator>
  <cp:lastModifiedBy>，</cp:lastModifiedBy>
  <cp:lastPrinted>2024-08-20T03:52:00Z</cp:lastPrinted>
  <dcterms:modified xsi:type="dcterms:W3CDTF">2025-02-24T06:40:20Z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8BA32BFDCC4B4F0E9BCB188D8EADAAA8_13</vt:lpwstr>
  </property>
  <property fmtid="{D5CDD505-2E9C-101B-9397-08002B2CF9AE}" pid="4" name="KSOTemplateDocerSaveRecord">
    <vt:lpwstr>eyJoZGlkIjoiM2M1YWYwZmM4NDRjNTQwYjI5MDI0ZWZmZGE5YWY3MjMiLCJ1c2VySWQiOiI0MTUzMjQzNjIifQ==</vt:lpwstr>
  </property>
</Properties>
</file>