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37496">
      <w:pPr>
        <w:rPr>
          <w:rFonts w:hint="eastAsia" w:ascii="方正小标宋_GBK" w:hAnsi="Times New Roman" w:eastAsia="方正小标宋_GBK" w:cs="Times New Roman"/>
          <w:color w:val="000000"/>
          <w:sz w:val="36"/>
          <w:szCs w:val="36"/>
          <w:lang w:eastAsia="zh-CN"/>
        </w:rPr>
      </w:pPr>
      <w:r>
        <w:rPr>
          <w:rFonts w:hint="eastAsia" w:ascii="方正小标宋_GBK" w:hAnsi="Times New Roman" w:eastAsia="方正小标宋_GBK" w:cs="Times New Roman"/>
          <w:color w:val="000000"/>
          <w:sz w:val="36"/>
          <w:szCs w:val="36"/>
          <w:lang w:eastAsia="zh-CN"/>
        </w:rPr>
        <w:t>附件：</w:t>
      </w:r>
    </w:p>
    <w:p w14:paraId="170DD0A9">
      <w:pPr>
        <w:jc w:val="center"/>
        <w:rPr>
          <w:rFonts w:hint="eastAsia" w:ascii="方正小标宋_GBK" w:hAnsi="Times New Roman" w:eastAsia="方正小标宋_GBK" w:cs="Times New Roman"/>
          <w:color w:val="000000"/>
          <w:sz w:val="36"/>
          <w:szCs w:val="36"/>
          <w:lang w:eastAsia="zh-CN"/>
        </w:rPr>
      </w:pPr>
      <w:bookmarkStart w:id="0" w:name="_GoBack"/>
      <w:r>
        <w:rPr>
          <w:rFonts w:hint="eastAsia" w:ascii="方正小标宋_GBK" w:hAnsi="Times New Roman" w:eastAsia="方正小标宋_GBK" w:cs="Times New Roman"/>
          <w:color w:val="000000"/>
          <w:sz w:val="36"/>
          <w:szCs w:val="36"/>
          <w:lang w:eastAsia="zh-CN"/>
        </w:rPr>
        <w:t>2025年度县级基础研究（自然科学研究）计划</w:t>
      </w:r>
    </w:p>
    <w:p w14:paraId="5EFD9E5D">
      <w:pPr>
        <w:jc w:val="center"/>
        <w:rPr>
          <w:rFonts w:hint="eastAsia" w:ascii="方正小标宋_GBK" w:hAnsi="Times New Roman" w:eastAsia="方正小标宋_GBK" w:cs="Times New Roman"/>
          <w:color w:val="000000"/>
          <w:sz w:val="36"/>
          <w:szCs w:val="36"/>
          <w:lang w:eastAsia="zh-CN"/>
        </w:rPr>
      </w:pPr>
      <w:r>
        <w:rPr>
          <w:rFonts w:hint="eastAsia" w:ascii="方正小标宋_GBK" w:hAnsi="Arial" w:eastAsia="方正小标宋_GBK" w:cs="Arial"/>
          <w:sz w:val="36"/>
          <w:szCs w:val="36"/>
        </w:rPr>
        <w:t>拟立项项目</w:t>
      </w:r>
    </w:p>
    <w:bookmarkEnd w:id="0"/>
    <w:tbl>
      <w:tblPr>
        <w:tblStyle w:val="6"/>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5819"/>
        <w:gridCol w:w="1995"/>
      </w:tblGrid>
      <w:tr w14:paraId="2EBE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3" w:type="dxa"/>
            <w:vAlign w:val="center"/>
          </w:tcPr>
          <w:p w14:paraId="0B0455B1">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序号</w:t>
            </w:r>
          </w:p>
        </w:tc>
        <w:tc>
          <w:tcPr>
            <w:tcW w:w="5819" w:type="dxa"/>
            <w:vAlign w:val="center"/>
          </w:tcPr>
          <w:p w14:paraId="51CDD262">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项目名称</w:t>
            </w:r>
          </w:p>
        </w:tc>
        <w:tc>
          <w:tcPr>
            <w:tcW w:w="1995" w:type="dxa"/>
            <w:vAlign w:val="center"/>
          </w:tcPr>
          <w:p w14:paraId="274E37E1">
            <w:pPr>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承担单位</w:t>
            </w:r>
          </w:p>
        </w:tc>
      </w:tr>
      <w:tr w14:paraId="2CA0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723" w:type="dxa"/>
            <w:vAlign w:val="center"/>
          </w:tcPr>
          <w:p w14:paraId="62A04407">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val="en-US" w:eastAsia="zh-CN"/>
              </w:rPr>
              <w:t>1</w:t>
            </w:r>
          </w:p>
        </w:tc>
        <w:tc>
          <w:tcPr>
            <w:tcW w:w="5819" w:type="dxa"/>
            <w:vAlign w:val="center"/>
          </w:tcPr>
          <w:p w14:paraId="1BB509DC">
            <w:pPr>
              <w:shd w:val="clear" w:color="auto" w:fill="auto"/>
              <w:spacing w:line="320" w:lineRule="exact"/>
              <w:jc w:val="left"/>
              <w:rPr>
                <w:rFonts w:hint="eastAsia" w:ascii="宋体" w:hAnsi="宋体" w:eastAsia="宋体" w:cs="宋体"/>
                <w:i w:val="0"/>
                <w:iCs w:val="0"/>
                <w:color w:val="000000"/>
                <w:kern w:val="2"/>
                <w:sz w:val="22"/>
                <w:szCs w:val="22"/>
                <w:u w:val="none"/>
                <w:lang w:val="en-US" w:eastAsia="zh-CN" w:bidi="ar-SA"/>
              </w:rPr>
            </w:pPr>
            <w:r>
              <w:rPr>
                <w:rFonts w:hint="default" w:ascii="宋体" w:hAnsi="宋体" w:eastAsia="宋体" w:cs="宋体"/>
                <w:b w:val="0"/>
                <w:bCs w:val="0"/>
                <w:sz w:val="24"/>
                <w:szCs w:val="24"/>
                <w:lang w:val="en-US" w:eastAsia="zh-CN"/>
              </w:rPr>
              <w:t>基于METTL3-YTHDF1-Foxo3a-自噬调控轴探究丹酚酸C对肺动脉高压及肺动脉高压诱导的心肾综合症的治疗作用</w:t>
            </w:r>
          </w:p>
        </w:tc>
        <w:tc>
          <w:tcPr>
            <w:tcW w:w="1995" w:type="dxa"/>
            <w:vAlign w:val="center"/>
          </w:tcPr>
          <w:p w14:paraId="5BB32E6B">
            <w:pPr>
              <w:shd w:val="clear" w:color="auto" w:fill="auto"/>
              <w:spacing w:line="320" w:lineRule="exact"/>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b w:val="0"/>
                <w:bCs w:val="0"/>
                <w:sz w:val="24"/>
                <w:szCs w:val="24"/>
                <w:lang w:val="en-US" w:eastAsia="zh-CN"/>
              </w:rPr>
              <w:t>涟水县人民医院</w:t>
            </w:r>
          </w:p>
        </w:tc>
      </w:tr>
      <w:tr w14:paraId="29DE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23" w:type="dxa"/>
            <w:vAlign w:val="center"/>
          </w:tcPr>
          <w:p w14:paraId="3E8840C4">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val="en-US" w:eastAsia="zh-CN"/>
              </w:rPr>
              <w:t>2</w:t>
            </w:r>
          </w:p>
        </w:tc>
        <w:tc>
          <w:tcPr>
            <w:tcW w:w="5819" w:type="dxa"/>
            <w:vAlign w:val="center"/>
          </w:tcPr>
          <w:p w14:paraId="3BD39F1B">
            <w:pPr>
              <w:shd w:val="clear" w:color="auto" w:fill="auto"/>
              <w:spacing w:line="32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虾青素通过circ-SLIT3/Mcl-1/Caspas-7通路对MGC803人胃癌细胞的凋亡机制的研究</w:t>
            </w:r>
          </w:p>
        </w:tc>
        <w:tc>
          <w:tcPr>
            <w:tcW w:w="1995" w:type="dxa"/>
            <w:vAlign w:val="center"/>
          </w:tcPr>
          <w:p w14:paraId="74597C08">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涟水县人民医院</w:t>
            </w:r>
          </w:p>
        </w:tc>
      </w:tr>
      <w:tr w14:paraId="4319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723" w:type="dxa"/>
            <w:vAlign w:val="center"/>
          </w:tcPr>
          <w:p w14:paraId="5B3AAF6D">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val="en-US" w:eastAsia="zh-CN"/>
              </w:rPr>
              <w:t>3</w:t>
            </w:r>
          </w:p>
        </w:tc>
        <w:tc>
          <w:tcPr>
            <w:tcW w:w="5819" w:type="dxa"/>
            <w:vAlign w:val="center"/>
          </w:tcPr>
          <w:p w14:paraId="586697A5">
            <w:pPr>
              <w:shd w:val="clear" w:color="auto" w:fill="auto"/>
              <w:spacing w:line="32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润堂宁对2型糖尿病患者血糖及其并发症的影响研究</w:t>
            </w:r>
          </w:p>
        </w:tc>
        <w:tc>
          <w:tcPr>
            <w:tcW w:w="1995" w:type="dxa"/>
            <w:vAlign w:val="center"/>
          </w:tcPr>
          <w:p w14:paraId="2FE09A95">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涟水县人民医院</w:t>
            </w:r>
          </w:p>
        </w:tc>
      </w:tr>
      <w:tr w14:paraId="7023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3" w:type="dxa"/>
            <w:vAlign w:val="center"/>
          </w:tcPr>
          <w:p w14:paraId="142FD063">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4"/>
                <w:szCs w:val="24"/>
                <w:lang w:val="en-US" w:eastAsia="zh-CN"/>
              </w:rPr>
              <w:t>4</w:t>
            </w:r>
          </w:p>
        </w:tc>
        <w:tc>
          <w:tcPr>
            <w:tcW w:w="5819" w:type="dxa"/>
            <w:vAlign w:val="center"/>
          </w:tcPr>
          <w:p w14:paraId="503E099A">
            <w:pPr>
              <w:shd w:val="clear" w:color="auto" w:fill="auto"/>
              <w:spacing w:line="32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丙泊酚重塑小胶质细胞表观遗传抑制创伤性脑损伤神经炎症的机制</w:t>
            </w:r>
          </w:p>
        </w:tc>
        <w:tc>
          <w:tcPr>
            <w:tcW w:w="1995" w:type="dxa"/>
            <w:vAlign w:val="center"/>
          </w:tcPr>
          <w:p w14:paraId="5A8326C7">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涟水县人民医院</w:t>
            </w:r>
          </w:p>
        </w:tc>
      </w:tr>
      <w:tr w14:paraId="4EF9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723" w:type="dxa"/>
            <w:vAlign w:val="center"/>
          </w:tcPr>
          <w:p w14:paraId="53701AED">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5819" w:type="dxa"/>
            <w:vAlign w:val="center"/>
          </w:tcPr>
          <w:p w14:paraId="6ABAFAED">
            <w:pPr>
              <w:shd w:val="clear" w:color="auto" w:fill="auto"/>
              <w:spacing w:line="32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乌梢蛇通过影响HMGB1在银屑病的作用及机制研究</w:t>
            </w:r>
          </w:p>
        </w:tc>
        <w:tc>
          <w:tcPr>
            <w:tcW w:w="1995" w:type="dxa"/>
            <w:vAlign w:val="center"/>
          </w:tcPr>
          <w:p w14:paraId="224A82A9">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涟水县人民医院</w:t>
            </w:r>
          </w:p>
        </w:tc>
      </w:tr>
      <w:tr w14:paraId="62C4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23" w:type="dxa"/>
            <w:vAlign w:val="center"/>
          </w:tcPr>
          <w:p w14:paraId="1B56367E">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5819" w:type="dxa"/>
            <w:vAlign w:val="center"/>
          </w:tcPr>
          <w:p w14:paraId="28395971">
            <w:pPr>
              <w:shd w:val="clear" w:color="auto" w:fill="auto"/>
              <w:spacing w:line="32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基于“肠道菌群-免疫平衡”轴探讨大黄牡丹汤辅助腹腔镜阑尾切除术治疗急性阑尾炎的机制研究</w:t>
            </w:r>
          </w:p>
        </w:tc>
        <w:tc>
          <w:tcPr>
            <w:tcW w:w="1995" w:type="dxa"/>
            <w:vAlign w:val="center"/>
          </w:tcPr>
          <w:p w14:paraId="152D76BB">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涟水县中医院</w:t>
            </w:r>
          </w:p>
        </w:tc>
      </w:tr>
      <w:tr w14:paraId="42CA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23" w:type="dxa"/>
            <w:vAlign w:val="center"/>
          </w:tcPr>
          <w:p w14:paraId="68C7F5D8">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5819" w:type="dxa"/>
            <w:vAlign w:val="center"/>
          </w:tcPr>
          <w:p w14:paraId="61A038D8">
            <w:pPr>
              <w:shd w:val="clear" w:color="auto" w:fill="auto"/>
              <w:spacing w:line="32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基于“以通为用、以通为补”理论的放血疗法联合热敏灸治疗气滞血瘀型项痹病的临床疗效及作用机制研究</w:t>
            </w:r>
          </w:p>
        </w:tc>
        <w:tc>
          <w:tcPr>
            <w:tcW w:w="1995" w:type="dxa"/>
            <w:vAlign w:val="center"/>
          </w:tcPr>
          <w:p w14:paraId="29D538BE">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涟水县中医院</w:t>
            </w:r>
          </w:p>
        </w:tc>
      </w:tr>
      <w:tr w14:paraId="7229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723" w:type="dxa"/>
            <w:vAlign w:val="center"/>
          </w:tcPr>
          <w:p w14:paraId="56D0FA96">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w:t>
            </w:r>
          </w:p>
        </w:tc>
        <w:tc>
          <w:tcPr>
            <w:tcW w:w="5819" w:type="dxa"/>
            <w:vAlign w:val="center"/>
          </w:tcPr>
          <w:p w14:paraId="7D0C3BF6">
            <w:pPr>
              <w:shd w:val="clear" w:color="auto" w:fill="auto"/>
              <w:spacing w:line="32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真方白丸子联合刮痧治疗缺血性脑卒中（风痰阻络证）的临床效果研究</w:t>
            </w:r>
          </w:p>
        </w:tc>
        <w:tc>
          <w:tcPr>
            <w:tcW w:w="1995" w:type="dxa"/>
            <w:vAlign w:val="center"/>
          </w:tcPr>
          <w:p w14:paraId="18BBDE83">
            <w:pPr>
              <w:shd w:val="clear" w:color="auto" w:fill="auto"/>
              <w:spacing w:line="320" w:lineRule="exact"/>
              <w:jc w:val="center"/>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涟水县中医院</w:t>
            </w:r>
          </w:p>
        </w:tc>
      </w:tr>
    </w:tbl>
    <w:p w14:paraId="5BB0CA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ascii="方正小标宋_GBK" w:eastAsia="方正小标宋_GBK"/>
          <w:color w:val="00000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21"/>
    <w:rsid w:val="000B7105"/>
    <w:rsid w:val="00184BF8"/>
    <w:rsid w:val="001A76FD"/>
    <w:rsid w:val="00293F7E"/>
    <w:rsid w:val="00300384"/>
    <w:rsid w:val="0034020D"/>
    <w:rsid w:val="004C3301"/>
    <w:rsid w:val="00515187"/>
    <w:rsid w:val="005E428B"/>
    <w:rsid w:val="00637D7F"/>
    <w:rsid w:val="00675AA9"/>
    <w:rsid w:val="006A5776"/>
    <w:rsid w:val="00751321"/>
    <w:rsid w:val="007C35C6"/>
    <w:rsid w:val="0088156C"/>
    <w:rsid w:val="008D3C3E"/>
    <w:rsid w:val="00AA0124"/>
    <w:rsid w:val="00B84746"/>
    <w:rsid w:val="00D069A8"/>
    <w:rsid w:val="00E7058E"/>
    <w:rsid w:val="00F308CC"/>
    <w:rsid w:val="03362153"/>
    <w:rsid w:val="05BB4666"/>
    <w:rsid w:val="06823015"/>
    <w:rsid w:val="07B97C5A"/>
    <w:rsid w:val="082A74C0"/>
    <w:rsid w:val="092D6A65"/>
    <w:rsid w:val="12117034"/>
    <w:rsid w:val="13072A44"/>
    <w:rsid w:val="13CF4C34"/>
    <w:rsid w:val="14B33D84"/>
    <w:rsid w:val="1546380C"/>
    <w:rsid w:val="16080E33"/>
    <w:rsid w:val="19E16F05"/>
    <w:rsid w:val="1A7309F2"/>
    <w:rsid w:val="1EA913DC"/>
    <w:rsid w:val="1F3834F3"/>
    <w:rsid w:val="1F66307C"/>
    <w:rsid w:val="1F7652AC"/>
    <w:rsid w:val="202E1ED0"/>
    <w:rsid w:val="211F1734"/>
    <w:rsid w:val="213A3C94"/>
    <w:rsid w:val="22054661"/>
    <w:rsid w:val="255424A4"/>
    <w:rsid w:val="25AE66E1"/>
    <w:rsid w:val="272C6B52"/>
    <w:rsid w:val="28EE0144"/>
    <w:rsid w:val="2923744D"/>
    <w:rsid w:val="29AE7AF9"/>
    <w:rsid w:val="2CC04EFA"/>
    <w:rsid w:val="2FCE4B7C"/>
    <w:rsid w:val="320C542C"/>
    <w:rsid w:val="32132BEF"/>
    <w:rsid w:val="377063EE"/>
    <w:rsid w:val="3ABB2076"/>
    <w:rsid w:val="3B455DE4"/>
    <w:rsid w:val="3D6029C0"/>
    <w:rsid w:val="3F2413A7"/>
    <w:rsid w:val="3F62179B"/>
    <w:rsid w:val="40B90E06"/>
    <w:rsid w:val="41B50326"/>
    <w:rsid w:val="42156510"/>
    <w:rsid w:val="4AAA260D"/>
    <w:rsid w:val="4B0E61F2"/>
    <w:rsid w:val="4C673E0C"/>
    <w:rsid w:val="4D924EB8"/>
    <w:rsid w:val="4E2A67E0"/>
    <w:rsid w:val="4E932EF7"/>
    <w:rsid w:val="503F09B5"/>
    <w:rsid w:val="513656C9"/>
    <w:rsid w:val="52354064"/>
    <w:rsid w:val="53DA34AC"/>
    <w:rsid w:val="54C45F90"/>
    <w:rsid w:val="55311752"/>
    <w:rsid w:val="558859E4"/>
    <w:rsid w:val="56044479"/>
    <w:rsid w:val="57B240BE"/>
    <w:rsid w:val="59ED369A"/>
    <w:rsid w:val="5A1B7FE4"/>
    <w:rsid w:val="5AE9787F"/>
    <w:rsid w:val="60867FEA"/>
    <w:rsid w:val="613F1B1B"/>
    <w:rsid w:val="62FF1978"/>
    <w:rsid w:val="63A9438F"/>
    <w:rsid w:val="6C3C148D"/>
    <w:rsid w:val="703219A0"/>
    <w:rsid w:val="732F4B67"/>
    <w:rsid w:val="73691968"/>
    <w:rsid w:val="77587947"/>
    <w:rsid w:val="78FA17ED"/>
    <w:rsid w:val="7A3F3423"/>
    <w:rsid w:val="7C3778F7"/>
    <w:rsid w:val="7CED3003"/>
    <w:rsid w:val="7DBA34EC"/>
    <w:rsid w:val="7EA87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Char"/>
    <w:basedOn w:val="7"/>
    <w:link w:val="3"/>
    <w:semiHidden/>
    <w:qFormat/>
    <w:uiPriority w:val="99"/>
    <w:rPr>
      <w:rFonts w:ascii="Times New Roman" w:hAnsi="Times New Roman" w:eastAsia="宋体" w:cs="Times New Roman"/>
      <w:sz w:val="18"/>
      <w:szCs w:val="18"/>
    </w:rPr>
  </w:style>
  <w:style w:type="character" w:customStyle="1" w:styleId="10">
    <w:name w:val="页脚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531</Words>
  <Characters>617</Characters>
  <Lines>6</Lines>
  <Paragraphs>1</Paragraphs>
  <TotalTime>9</TotalTime>
  <ScaleCrop>false</ScaleCrop>
  <LinksUpToDate>false</LinksUpToDate>
  <CharactersWithSpaces>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2023-12-13T06:47:00Z</dcterms:created>
  <dc:creator>lenovo</dc:creator>
  <cp:lastModifiedBy>独饮孤寂</cp:lastModifiedBy>
  <cp:lastPrinted>2025-12-05T01:18:00Z</cp:lastPrinted>
  <dcterms:modified xsi:type="dcterms:W3CDTF">2025-12-05T01:21:10Z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DFE9998F2031485C9FE81EAF74BF1796_13</vt:lpwstr>
  </property>
  <property fmtid="{D5CDD505-2E9C-101B-9397-08002B2CF9AE}" pid="4" name="KSOTemplateDocerSaveRecord">
    <vt:lpwstr>eyJoZGlkIjoiOWIyYzMyYjAwYTczZjE4YTI3N2Q4MGM2N2Y5ZDhmNmIiLCJ1c2VySWQiOiIzMDc1NjM1MzAifQ==</vt:lpwstr>
  </property>
</Properties>
</file>