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C3917">
      <w:pPr>
        <w:ind w:firstLine="420" w:firstLineChars="0"/>
        <w:rPr>
          <w:rFonts w:hint="default" w:eastAsia="宋体"/>
          <w:color w:val="auto"/>
          <w:sz w:val="36"/>
          <w:szCs w:val="36"/>
          <w:lang w:val="en-US" w:eastAsia="zh-CN"/>
        </w:rPr>
      </w:pPr>
    </w:p>
    <w:p w14:paraId="3D64957B">
      <w:pPr>
        <w:rPr>
          <w:color w:val="auto"/>
          <w:sz w:val="36"/>
          <w:szCs w:val="36"/>
        </w:rPr>
      </w:pPr>
      <w:r>
        <w:rPr>
          <w:color w:val="auto"/>
          <w:sz w:val="36"/>
          <w:szCs w:val="36"/>
        </w:rPr>
        <w:tab/>
      </w:r>
      <w:r>
        <w:rPr>
          <w:color w:val="auto"/>
          <w:sz w:val="36"/>
          <w:szCs w:val="36"/>
        </w:rPr>
        <w:tab/>
      </w:r>
    </w:p>
    <w:p w14:paraId="0765ABEF">
      <w:pPr>
        <w:adjustRightInd w:val="0"/>
        <w:snapToGrid w:val="0"/>
        <w:jc w:val="center"/>
        <w:rPr>
          <w:bCs/>
          <w:color w:val="auto"/>
          <w:sz w:val="72"/>
          <w:szCs w:val="72"/>
        </w:rPr>
      </w:pPr>
      <w:bookmarkStart w:id="0" w:name="_Toc69388160"/>
      <w:r>
        <w:rPr>
          <w:rFonts w:hAnsi="宋体"/>
          <w:bCs/>
          <w:color w:val="auto"/>
          <w:sz w:val="72"/>
          <w:szCs w:val="72"/>
        </w:rPr>
        <w:t>建设项目环境影响报告表</w:t>
      </w:r>
      <w:bookmarkEnd w:id="0"/>
    </w:p>
    <w:p w14:paraId="29EE2555">
      <w:pPr>
        <w:adjustRightInd w:val="0"/>
        <w:snapToGrid w:val="0"/>
        <w:spacing w:before="192" w:beforeLines="80"/>
        <w:jc w:val="center"/>
        <w:rPr>
          <w:bCs/>
          <w:color w:val="auto"/>
          <w:sz w:val="48"/>
          <w:szCs w:val="48"/>
        </w:rPr>
      </w:pPr>
      <w:r>
        <w:rPr>
          <w:rFonts w:hAnsi="宋体"/>
          <w:bCs/>
          <w:color w:val="auto"/>
          <w:sz w:val="48"/>
          <w:szCs w:val="48"/>
        </w:rPr>
        <w:t>（污染影响类）</w:t>
      </w:r>
    </w:p>
    <w:p w14:paraId="55C36540">
      <w:pPr>
        <w:rPr>
          <w:color w:val="auto"/>
        </w:rPr>
      </w:pPr>
    </w:p>
    <w:p w14:paraId="669EB726">
      <w:pPr>
        <w:jc w:val="center"/>
        <w:rPr>
          <w:color w:val="auto"/>
          <w:sz w:val="52"/>
          <w:szCs w:val="52"/>
        </w:rPr>
      </w:pPr>
    </w:p>
    <w:p w14:paraId="7A5C57B5">
      <w:pPr>
        <w:ind w:firstLine="1040"/>
        <w:rPr>
          <w:color w:val="auto"/>
          <w:sz w:val="44"/>
          <w:szCs w:val="44"/>
        </w:rPr>
      </w:pPr>
    </w:p>
    <w:p w14:paraId="1E65F4AC">
      <w:pPr>
        <w:ind w:firstLine="1040"/>
        <w:rPr>
          <w:color w:val="auto"/>
          <w:sz w:val="44"/>
          <w:szCs w:val="44"/>
        </w:rPr>
      </w:pPr>
    </w:p>
    <w:p w14:paraId="5C85E579">
      <w:pPr>
        <w:ind w:firstLine="1040"/>
        <w:rPr>
          <w:color w:val="auto"/>
          <w:sz w:val="44"/>
          <w:szCs w:val="44"/>
        </w:rPr>
      </w:pPr>
    </w:p>
    <w:p w14:paraId="3FCD938E">
      <w:pPr>
        <w:ind w:firstLine="1040"/>
        <w:rPr>
          <w:color w:val="auto"/>
          <w:sz w:val="44"/>
          <w:szCs w:val="44"/>
        </w:rPr>
      </w:pPr>
    </w:p>
    <w:p w14:paraId="1133CC9C">
      <w:pPr>
        <w:adjustRightInd w:val="0"/>
        <w:snapToGrid w:val="0"/>
        <w:spacing w:line="360" w:lineRule="auto"/>
        <w:ind w:left="1039" w:leftChars="495"/>
        <w:jc w:val="center"/>
        <w:rPr>
          <w:rFonts w:hint="eastAsia" w:hAnsi="宋体"/>
          <w:color w:val="auto"/>
          <w:sz w:val="30"/>
          <w:szCs w:val="30"/>
          <w:u w:val="single"/>
        </w:rPr>
      </w:pPr>
      <w:bookmarkStart w:id="1" w:name="_Hlk57884087"/>
      <w:r>
        <w:rPr>
          <w:rFonts w:hAnsi="宋体"/>
          <w:color w:val="auto"/>
          <w:spacing w:val="150"/>
          <w:sz w:val="30"/>
          <w:szCs w:val="30"/>
        </w:rPr>
        <w:t>项目名称</w:t>
      </w:r>
      <w:r>
        <w:rPr>
          <w:rFonts w:hAnsi="宋体"/>
          <w:color w:val="auto"/>
          <w:sz w:val="30"/>
          <w:szCs w:val="30"/>
        </w:rPr>
        <w:t>：</w:t>
      </w:r>
      <w:r>
        <w:rPr>
          <w:rFonts w:hint="eastAsia" w:hAnsi="宋体"/>
          <w:color w:val="auto"/>
          <w:sz w:val="30"/>
          <w:szCs w:val="30"/>
          <w:u w:val="single"/>
          <w:lang w:val="en-US" w:eastAsia="zh-CN"/>
        </w:rPr>
        <w:t>淮安零碳能源环保科技有限公司飞灰暂存库建设项目</w:t>
      </w:r>
    </w:p>
    <w:p w14:paraId="77E91B46">
      <w:pPr>
        <w:adjustRightInd w:val="0"/>
        <w:snapToGrid w:val="0"/>
        <w:spacing w:line="360" w:lineRule="auto"/>
        <w:ind w:left="1039" w:leftChars="495"/>
        <w:rPr>
          <w:color w:val="auto"/>
          <w:sz w:val="30"/>
          <w:szCs w:val="30"/>
          <w:u w:val="single"/>
        </w:rPr>
      </w:pPr>
      <w:r>
        <w:rPr>
          <w:rFonts w:hAnsi="宋体"/>
          <w:color w:val="auto"/>
          <w:sz w:val="30"/>
          <w:szCs w:val="30"/>
        </w:rPr>
        <w:t>建设单位（盖章）：</w:t>
      </w:r>
      <w:r>
        <w:rPr>
          <w:rFonts w:hint="eastAsia" w:hAnsi="宋体"/>
          <w:color w:val="auto"/>
          <w:sz w:val="30"/>
          <w:szCs w:val="30"/>
          <w:u w:val="single"/>
          <w:lang w:val="en-US" w:eastAsia="zh-CN"/>
        </w:rPr>
        <w:t>淮安零碳能源环保科技有限公司</w:t>
      </w:r>
    </w:p>
    <w:p w14:paraId="0298A110">
      <w:pPr>
        <w:adjustRightInd w:val="0"/>
        <w:snapToGrid w:val="0"/>
        <w:spacing w:line="360" w:lineRule="auto"/>
        <w:ind w:left="1039" w:leftChars="495"/>
        <w:rPr>
          <w:rFonts w:hint="eastAsia" w:eastAsia="宋体"/>
          <w:color w:val="auto"/>
          <w:sz w:val="30"/>
          <w:szCs w:val="30"/>
          <w:u w:val="single"/>
          <w:lang w:eastAsia="zh-CN"/>
        </w:rPr>
      </w:pPr>
      <w:r>
        <w:rPr>
          <w:rFonts w:hAnsi="宋体"/>
          <w:color w:val="auto"/>
          <w:spacing w:val="150"/>
          <w:sz w:val="30"/>
          <w:szCs w:val="30"/>
        </w:rPr>
        <w:t>编制日期</w:t>
      </w:r>
      <w:r>
        <w:rPr>
          <w:rFonts w:hAnsi="宋体"/>
          <w:color w:val="auto"/>
          <w:sz w:val="30"/>
          <w:szCs w:val="30"/>
        </w:rPr>
        <w:t>：</w:t>
      </w:r>
      <w:r>
        <w:rPr>
          <w:color w:val="auto"/>
          <w:sz w:val="30"/>
          <w:szCs w:val="30"/>
          <w:u w:val="single"/>
        </w:rPr>
        <w:t>202</w:t>
      </w:r>
      <w:r>
        <w:rPr>
          <w:rFonts w:hint="eastAsia"/>
          <w:color w:val="auto"/>
          <w:sz w:val="30"/>
          <w:szCs w:val="30"/>
          <w:u w:val="single"/>
          <w:lang w:val="en-US" w:eastAsia="zh-CN"/>
        </w:rPr>
        <w:t>5</w:t>
      </w:r>
      <w:r>
        <w:rPr>
          <w:rFonts w:hAnsi="宋体"/>
          <w:color w:val="auto"/>
          <w:sz w:val="30"/>
          <w:szCs w:val="30"/>
          <w:u w:val="single"/>
        </w:rPr>
        <w:t>年</w:t>
      </w:r>
      <w:r>
        <w:rPr>
          <w:rFonts w:hint="eastAsia"/>
          <w:color w:val="auto"/>
          <w:sz w:val="30"/>
          <w:szCs w:val="30"/>
          <w:u w:val="single"/>
          <w:lang w:val="en-US" w:eastAsia="zh-CN"/>
        </w:rPr>
        <w:t>12</w:t>
      </w:r>
      <w:r>
        <w:rPr>
          <w:rFonts w:hAnsi="宋体"/>
          <w:color w:val="auto"/>
          <w:sz w:val="30"/>
          <w:szCs w:val="30"/>
          <w:u w:val="single"/>
        </w:rPr>
        <w:t>月</w:t>
      </w:r>
    </w:p>
    <w:p w14:paraId="583927F7">
      <w:pPr>
        <w:adjustRightInd w:val="0"/>
        <w:snapToGrid w:val="0"/>
        <w:spacing w:line="288" w:lineRule="auto"/>
        <w:ind w:firstLine="1040"/>
        <w:rPr>
          <w:color w:val="auto"/>
          <w:sz w:val="36"/>
          <w:szCs w:val="36"/>
          <w:u w:val="single"/>
        </w:rPr>
      </w:pPr>
    </w:p>
    <w:p w14:paraId="690AF985">
      <w:pPr>
        <w:adjustRightInd w:val="0"/>
        <w:snapToGrid w:val="0"/>
        <w:spacing w:line="288" w:lineRule="auto"/>
        <w:ind w:firstLine="1040"/>
        <w:rPr>
          <w:color w:val="auto"/>
          <w:sz w:val="36"/>
          <w:szCs w:val="36"/>
        </w:rPr>
      </w:pPr>
    </w:p>
    <w:p w14:paraId="618DB147">
      <w:pPr>
        <w:ind w:firstLine="1040"/>
        <w:rPr>
          <w:color w:val="auto"/>
          <w:sz w:val="44"/>
          <w:szCs w:val="44"/>
        </w:rPr>
      </w:pPr>
    </w:p>
    <w:p w14:paraId="73D0295C">
      <w:pPr>
        <w:ind w:firstLine="1040"/>
        <w:rPr>
          <w:color w:val="auto"/>
          <w:sz w:val="44"/>
          <w:szCs w:val="44"/>
        </w:rPr>
      </w:pPr>
    </w:p>
    <w:p w14:paraId="665FE05C">
      <w:pPr>
        <w:ind w:firstLine="1040"/>
        <w:rPr>
          <w:color w:val="auto"/>
          <w:sz w:val="44"/>
          <w:szCs w:val="44"/>
        </w:rPr>
      </w:pPr>
    </w:p>
    <w:p w14:paraId="4D0C6A5F">
      <w:pPr>
        <w:rPr>
          <w:color w:val="auto"/>
          <w:sz w:val="44"/>
          <w:szCs w:val="44"/>
        </w:rPr>
      </w:pPr>
    </w:p>
    <w:p w14:paraId="172FF14E">
      <w:pPr>
        <w:pStyle w:val="5"/>
        <w:rPr>
          <w:color w:val="auto"/>
        </w:rPr>
      </w:pPr>
    </w:p>
    <w:p w14:paraId="3E9AA1D6">
      <w:pPr>
        <w:ind w:firstLine="1040"/>
        <w:rPr>
          <w:color w:val="auto"/>
          <w:sz w:val="44"/>
          <w:szCs w:val="44"/>
        </w:rPr>
      </w:pPr>
    </w:p>
    <w:bookmarkEnd w:id="1"/>
    <w:p w14:paraId="137AC370">
      <w:pPr>
        <w:adjustRightInd w:val="0"/>
        <w:snapToGrid w:val="0"/>
        <w:spacing w:line="288" w:lineRule="auto"/>
        <w:jc w:val="center"/>
        <w:rPr>
          <w:color w:val="auto"/>
          <w:sz w:val="36"/>
          <w:szCs w:val="36"/>
        </w:rPr>
      </w:pPr>
      <w:r>
        <w:rPr>
          <w:rFonts w:hAnsi="宋体"/>
          <w:color w:val="auto"/>
          <w:sz w:val="36"/>
          <w:szCs w:val="36"/>
        </w:rPr>
        <w:t>中华人民共和国生态环境部制</w:t>
      </w:r>
    </w:p>
    <w:p w14:paraId="75284A54">
      <w:pPr>
        <w:adjustRightInd w:val="0"/>
        <w:snapToGrid w:val="0"/>
        <w:spacing w:line="288" w:lineRule="auto"/>
        <w:ind w:firstLine="1040"/>
        <w:rPr>
          <w:color w:val="auto"/>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5FDC30A">
      <w:pPr>
        <w:adjustRightInd w:val="0"/>
        <w:snapToGrid w:val="0"/>
        <w:spacing w:line="360" w:lineRule="auto"/>
        <w:jc w:val="center"/>
        <w:rPr>
          <w:b/>
          <w:color w:val="auto"/>
          <w:sz w:val="30"/>
          <w:szCs w:val="30"/>
        </w:rPr>
      </w:pPr>
      <w:r>
        <w:rPr>
          <w:rFonts w:hAnsi="宋体"/>
          <w:b/>
          <w:color w:val="auto"/>
          <w:sz w:val="30"/>
          <w:szCs w:val="30"/>
        </w:rPr>
        <w:t>目录</w:t>
      </w:r>
    </w:p>
    <w:p w14:paraId="6B784C07">
      <w:pPr>
        <w:pStyle w:val="23"/>
        <w:tabs>
          <w:tab w:val="right" w:leader="dot" w:pos="8844"/>
        </w:tabs>
        <w:rPr>
          <w:color w:val="auto"/>
        </w:rPr>
      </w:pPr>
      <w:r>
        <w:rPr>
          <w:color w:val="auto"/>
          <w:sz w:val="24"/>
        </w:rPr>
        <w:fldChar w:fldCharType="begin"/>
      </w:r>
      <w:r>
        <w:rPr>
          <w:color w:val="auto"/>
          <w:sz w:val="24"/>
        </w:rPr>
        <w:instrText xml:space="preserve"> TOC \o "1-3" \h \z \u </w:instrText>
      </w:r>
      <w:r>
        <w:rPr>
          <w:color w:val="auto"/>
          <w:sz w:val="24"/>
        </w:rPr>
        <w:fldChar w:fldCharType="separate"/>
      </w:r>
      <w:r>
        <w:rPr>
          <w:color w:val="auto"/>
        </w:rPr>
        <w:fldChar w:fldCharType="begin"/>
      </w:r>
      <w:r>
        <w:rPr>
          <w:color w:val="auto"/>
        </w:rPr>
        <w:instrText xml:space="preserve"> HYPERLINK \l _Toc28317 </w:instrText>
      </w:r>
      <w:r>
        <w:rPr>
          <w:color w:val="auto"/>
        </w:rPr>
        <w:fldChar w:fldCharType="separate"/>
      </w:r>
      <w:r>
        <w:rPr>
          <w:rFonts w:ascii="Times New Roman"/>
          <w:snapToGrid w:val="0"/>
          <w:color w:val="auto"/>
          <w:szCs w:val="30"/>
        </w:rPr>
        <w:t>一、建设项目基本情况</w:t>
      </w:r>
      <w:r>
        <w:rPr>
          <w:color w:val="auto"/>
        </w:rPr>
        <w:tab/>
      </w:r>
      <w:r>
        <w:rPr>
          <w:color w:val="auto"/>
        </w:rPr>
        <w:fldChar w:fldCharType="begin"/>
      </w:r>
      <w:r>
        <w:rPr>
          <w:color w:val="auto"/>
        </w:rPr>
        <w:instrText xml:space="preserve"> PAGEREF _Toc28317 \h </w:instrText>
      </w:r>
      <w:r>
        <w:rPr>
          <w:color w:val="auto"/>
        </w:rPr>
        <w:fldChar w:fldCharType="separate"/>
      </w:r>
      <w:r>
        <w:rPr>
          <w:color w:val="auto"/>
        </w:rPr>
        <w:t>1</w:t>
      </w:r>
      <w:r>
        <w:rPr>
          <w:color w:val="auto"/>
        </w:rPr>
        <w:fldChar w:fldCharType="end"/>
      </w:r>
      <w:r>
        <w:rPr>
          <w:color w:val="auto"/>
        </w:rPr>
        <w:fldChar w:fldCharType="end"/>
      </w:r>
    </w:p>
    <w:p w14:paraId="03571478">
      <w:pPr>
        <w:pStyle w:val="23"/>
        <w:tabs>
          <w:tab w:val="right" w:leader="dot" w:pos="8844"/>
        </w:tabs>
        <w:rPr>
          <w:color w:val="auto"/>
        </w:rPr>
      </w:pPr>
      <w:r>
        <w:rPr>
          <w:color w:val="auto"/>
        </w:rPr>
        <w:fldChar w:fldCharType="begin"/>
      </w:r>
      <w:r>
        <w:rPr>
          <w:color w:val="auto"/>
        </w:rPr>
        <w:instrText xml:space="preserve"> HYPERLINK \l _Toc7534 </w:instrText>
      </w:r>
      <w:r>
        <w:rPr>
          <w:color w:val="auto"/>
        </w:rPr>
        <w:fldChar w:fldCharType="separate"/>
      </w:r>
      <w:r>
        <w:rPr>
          <w:rFonts w:ascii="Times New Roman"/>
          <w:snapToGrid w:val="0"/>
          <w:color w:val="auto"/>
          <w:szCs w:val="30"/>
        </w:rPr>
        <w:t>二、建设项目工程分析</w:t>
      </w:r>
      <w:r>
        <w:rPr>
          <w:color w:val="auto"/>
        </w:rPr>
        <w:tab/>
      </w:r>
      <w:r>
        <w:rPr>
          <w:color w:val="auto"/>
        </w:rPr>
        <w:fldChar w:fldCharType="begin"/>
      </w:r>
      <w:r>
        <w:rPr>
          <w:color w:val="auto"/>
        </w:rPr>
        <w:instrText xml:space="preserve"> PAGEREF _Toc7534 \h </w:instrText>
      </w:r>
      <w:r>
        <w:rPr>
          <w:color w:val="auto"/>
        </w:rPr>
        <w:fldChar w:fldCharType="separate"/>
      </w:r>
      <w:r>
        <w:rPr>
          <w:color w:val="auto"/>
        </w:rPr>
        <w:t>19</w:t>
      </w:r>
      <w:r>
        <w:rPr>
          <w:color w:val="auto"/>
        </w:rPr>
        <w:fldChar w:fldCharType="end"/>
      </w:r>
      <w:r>
        <w:rPr>
          <w:color w:val="auto"/>
        </w:rPr>
        <w:fldChar w:fldCharType="end"/>
      </w:r>
    </w:p>
    <w:p w14:paraId="32362951">
      <w:pPr>
        <w:pStyle w:val="23"/>
        <w:tabs>
          <w:tab w:val="right" w:leader="dot" w:pos="8844"/>
        </w:tabs>
        <w:rPr>
          <w:color w:val="auto"/>
        </w:rPr>
      </w:pPr>
      <w:r>
        <w:rPr>
          <w:color w:val="auto"/>
        </w:rPr>
        <w:fldChar w:fldCharType="begin"/>
      </w:r>
      <w:r>
        <w:rPr>
          <w:color w:val="auto"/>
        </w:rPr>
        <w:instrText xml:space="preserve"> HYPERLINK \l _Toc22431 </w:instrText>
      </w:r>
      <w:r>
        <w:rPr>
          <w:color w:val="auto"/>
        </w:rPr>
        <w:fldChar w:fldCharType="separate"/>
      </w:r>
      <w:r>
        <w:rPr>
          <w:rFonts w:hAnsi="宋体"/>
          <w:snapToGrid w:val="0"/>
          <w:color w:val="auto"/>
          <w:szCs w:val="30"/>
        </w:rPr>
        <w:t>三、区域环境质量现状、环境保护目标及评价标准</w:t>
      </w:r>
      <w:r>
        <w:rPr>
          <w:color w:val="auto"/>
        </w:rPr>
        <w:tab/>
      </w:r>
      <w:r>
        <w:rPr>
          <w:color w:val="auto"/>
        </w:rPr>
        <w:fldChar w:fldCharType="begin"/>
      </w:r>
      <w:r>
        <w:rPr>
          <w:color w:val="auto"/>
        </w:rPr>
        <w:instrText xml:space="preserve"> PAGEREF _Toc22431 \h </w:instrText>
      </w:r>
      <w:r>
        <w:rPr>
          <w:color w:val="auto"/>
        </w:rPr>
        <w:fldChar w:fldCharType="separate"/>
      </w:r>
      <w:r>
        <w:rPr>
          <w:color w:val="auto"/>
        </w:rPr>
        <w:t>63</w:t>
      </w:r>
      <w:r>
        <w:rPr>
          <w:color w:val="auto"/>
        </w:rPr>
        <w:fldChar w:fldCharType="end"/>
      </w:r>
      <w:r>
        <w:rPr>
          <w:color w:val="auto"/>
        </w:rPr>
        <w:fldChar w:fldCharType="end"/>
      </w:r>
    </w:p>
    <w:p w14:paraId="46CD5D8F">
      <w:pPr>
        <w:pStyle w:val="23"/>
        <w:tabs>
          <w:tab w:val="right" w:leader="dot" w:pos="8844"/>
        </w:tabs>
        <w:rPr>
          <w:color w:val="auto"/>
        </w:rPr>
      </w:pPr>
      <w:r>
        <w:rPr>
          <w:color w:val="auto"/>
        </w:rPr>
        <w:fldChar w:fldCharType="begin"/>
      </w:r>
      <w:r>
        <w:rPr>
          <w:color w:val="auto"/>
        </w:rPr>
        <w:instrText xml:space="preserve"> HYPERLINK \l _Toc31692 </w:instrText>
      </w:r>
      <w:r>
        <w:rPr>
          <w:color w:val="auto"/>
        </w:rPr>
        <w:fldChar w:fldCharType="separate"/>
      </w:r>
      <w:r>
        <w:rPr>
          <w:rFonts w:hint="eastAsia" w:hAnsi="宋体"/>
          <w:snapToGrid w:val="0"/>
          <w:color w:val="auto"/>
          <w:szCs w:val="30"/>
          <w:lang w:eastAsia="zh-CN"/>
        </w:rPr>
        <w:t>四、</w:t>
      </w:r>
      <w:r>
        <w:rPr>
          <w:rFonts w:hAnsi="宋体"/>
          <w:snapToGrid w:val="0"/>
          <w:color w:val="auto"/>
          <w:szCs w:val="30"/>
        </w:rPr>
        <w:t>主要环境影响和保护措施</w:t>
      </w:r>
      <w:r>
        <w:rPr>
          <w:color w:val="auto"/>
        </w:rPr>
        <w:tab/>
      </w:r>
      <w:r>
        <w:rPr>
          <w:color w:val="auto"/>
        </w:rPr>
        <w:fldChar w:fldCharType="begin"/>
      </w:r>
      <w:r>
        <w:rPr>
          <w:color w:val="auto"/>
        </w:rPr>
        <w:instrText xml:space="preserve"> PAGEREF _Toc31692 \h </w:instrText>
      </w:r>
      <w:r>
        <w:rPr>
          <w:color w:val="auto"/>
        </w:rPr>
        <w:fldChar w:fldCharType="separate"/>
      </w:r>
      <w:r>
        <w:rPr>
          <w:color w:val="auto"/>
        </w:rPr>
        <w:t>68</w:t>
      </w:r>
      <w:r>
        <w:rPr>
          <w:color w:val="auto"/>
        </w:rPr>
        <w:fldChar w:fldCharType="end"/>
      </w:r>
      <w:r>
        <w:rPr>
          <w:color w:val="auto"/>
        </w:rPr>
        <w:fldChar w:fldCharType="end"/>
      </w:r>
    </w:p>
    <w:p w14:paraId="5D8FEB45">
      <w:pPr>
        <w:pStyle w:val="23"/>
        <w:tabs>
          <w:tab w:val="right" w:leader="dot" w:pos="8844"/>
        </w:tabs>
        <w:rPr>
          <w:color w:val="auto"/>
        </w:rPr>
      </w:pPr>
      <w:r>
        <w:rPr>
          <w:color w:val="auto"/>
        </w:rPr>
        <w:fldChar w:fldCharType="begin"/>
      </w:r>
      <w:r>
        <w:rPr>
          <w:color w:val="auto"/>
        </w:rPr>
        <w:instrText xml:space="preserve"> HYPERLINK \l _Toc2191 </w:instrText>
      </w:r>
      <w:r>
        <w:rPr>
          <w:color w:val="auto"/>
        </w:rPr>
        <w:fldChar w:fldCharType="separate"/>
      </w:r>
      <w:r>
        <w:rPr>
          <w:rFonts w:ascii="Times New Roman"/>
          <w:snapToGrid w:val="0"/>
          <w:color w:val="auto"/>
          <w:szCs w:val="30"/>
        </w:rPr>
        <w:t>五、环境保护措施监督检查清单</w:t>
      </w:r>
      <w:r>
        <w:rPr>
          <w:color w:val="auto"/>
        </w:rPr>
        <w:tab/>
      </w:r>
      <w:r>
        <w:rPr>
          <w:color w:val="auto"/>
        </w:rPr>
        <w:fldChar w:fldCharType="begin"/>
      </w:r>
      <w:r>
        <w:rPr>
          <w:color w:val="auto"/>
        </w:rPr>
        <w:instrText xml:space="preserve"> PAGEREF _Toc2191 \h </w:instrText>
      </w:r>
      <w:r>
        <w:rPr>
          <w:color w:val="auto"/>
        </w:rPr>
        <w:fldChar w:fldCharType="separate"/>
      </w:r>
      <w:r>
        <w:rPr>
          <w:color w:val="auto"/>
        </w:rPr>
        <w:t>81</w:t>
      </w:r>
      <w:r>
        <w:rPr>
          <w:color w:val="auto"/>
        </w:rPr>
        <w:fldChar w:fldCharType="end"/>
      </w:r>
      <w:r>
        <w:rPr>
          <w:color w:val="auto"/>
        </w:rPr>
        <w:fldChar w:fldCharType="end"/>
      </w:r>
    </w:p>
    <w:p w14:paraId="75529360">
      <w:pPr>
        <w:pStyle w:val="23"/>
        <w:tabs>
          <w:tab w:val="right" w:leader="dot" w:pos="8844"/>
        </w:tabs>
        <w:rPr>
          <w:color w:val="auto"/>
        </w:rPr>
      </w:pPr>
      <w:r>
        <w:rPr>
          <w:color w:val="auto"/>
        </w:rPr>
        <w:fldChar w:fldCharType="begin"/>
      </w:r>
      <w:r>
        <w:rPr>
          <w:color w:val="auto"/>
        </w:rPr>
        <w:instrText xml:space="preserve"> HYPERLINK \l _Toc5737 </w:instrText>
      </w:r>
      <w:r>
        <w:rPr>
          <w:color w:val="auto"/>
        </w:rPr>
        <w:fldChar w:fldCharType="separate"/>
      </w:r>
      <w:r>
        <w:rPr>
          <w:rFonts w:hAnsi="宋体"/>
          <w:snapToGrid w:val="0"/>
          <w:color w:val="auto"/>
          <w:szCs w:val="30"/>
        </w:rPr>
        <w:t>六、结论</w:t>
      </w:r>
      <w:r>
        <w:rPr>
          <w:color w:val="auto"/>
        </w:rPr>
        <w:tab/>
      </w:r>
      <w:r>
        <w:rPr>
          <w:color w:val="auto"/>
        </w:rPr>
        <w:fldChar w:fldCharType="begin"/>
      </w:r>
      <w:r>
        <w:rPr>
          <w:color w:val="auto"/>
        </w:rPr>
        <w:instrText xml:space="preserve"> PAGEREF _Toc5737 \h </w:instrText>
      </w:r>
      <w:r>
        <w:rPr>
          <w:color w:val="auto"/>
        </w:rPr>
        <w:fldChar w:fldCharType="separate"/>
      </w:r>
      <w:r>
        <w:rPr>
          <w:color w:val="auto"/>
        </w:rPr>
        <w:t>82</w:t>
      </w:r>
      <w:r>
        <w:rPr>
          <w:color w:val="auto"/>
        </w:rPr>
        <w:fldChar w:fldCharType="end"/>
      </w:r>
      <w:r>
        <w:rPr>
          <w:color w:val="auto"/>
        </w:rPr>
        <w:fldChar w:fldCharType="end"/>
      </w:r>
    </w:p>
    <w:p w14:paraId="209DB5B4">
      <w:pPr>
        <w:pStyle w:val="23"/>
        <w:tabs>
          <w:tab w:val="right" w:leader="dot" w:pos="8844"/>
        </w:tabs>
        <w:rPr>
          <w:color w:val="auto"/>
        </w:rPr>
      </w:pPr>
      <w:r>
        <w:rPr>
          <w:color w:val="auto"/>
        </w:rPr>
        <w:fldChar w:fldCharType="begin"/>
      </w:r>
      <w:r>
        <w:rPr>
          <w:color w:val="auto"/>
        </w:rPr>
        <w:instrText xml:space="preserve"> HYPERLINK \l _Toc299 </w:instrText>
      </w:r>
      <w:r>
        <w:rPr>
          <w:color w:val="auto"/>
        </w:rPr>
        <w:fldChar w:fldCharType="separate"/>
      </w:r>
      <w:r>
        <w:rPr>
          <w:rFonts w:ascii="Times New Roman"/>
          <w:snapToGrid w:val="0"/>
          <w:color w:val="auto"/>
          <w:szCs w:val="22"/>
        </w:rPr>
        <w:t>附表</w:t>
      </w:r>
      <w:r>
        <w:rPr>
          <w:color w:val="auto"/>
        </w:rPr>
        <w:tab/>
      </w:r>
      <w:r>
        <w:rPr>
          <w:color w:val="auto"/>
        </w:rPr>
        <w:fldChar w:fldCharType="begin"/>
      </w:r>
      <w:r>
        <w:rPr>
          <w:color w:val="auto"/>
        </w:rPr>
        <w:instrText xml:space="preserve"> PAGEREF _Toc299 \h </w:instrText>
      </w:r>
      <w:r>
        <w:rPr>
          <w:color w:val="auto"/>
        </w:rPr>
        <w:fldChar w:fldCharType="separate"/>
      </w:r>
      <w:r>
        <w:rPr>
          <w:color w:val="auto"/>
        </w:rPr>
        <w:t>83</w:t>
      </w:r>
      <w:r>
        <w:rPr>
          <w:color w:val="auto"/>
        </w:rPr>
        <w:fldChar w:fldCharType="end"/>
      </w:r>
      <w:r>
        <w:rPr>
          <w:color w:val="auto"/>
        </w:rPr>
        <w:fldChar w:fldCharType="end"/>
      </w:r>
    </w:p>
    <w:p w14:paraId="11E1DCED">
      <w:pPr>
        <w:adjustRightInd w:val="0"/>
        <w:snapToGrid w:val="0"/>
        <w:spacing w:line="360" w:lineRule="auto"/>
        <w:rPr>
          <w:color w:val="auto"/>
          <w:sz w:val="36"/>
          <w:szCs w:val="36"/>
        </w:rPr>
      </w:pPr>
      <w:r>
        <w:rPr>
          <w:color w:val="auto"/>
        </w:rPr>
        <w:fldChar w:fldCharType="end"/>
      </w:r>
    </w:p>
    <w:p w14:paraId="67E7DBCC">
      <w:pPr>
        <w:widowControl/>
        <w:jc w:val="left"/>
        <w:rPr>
          <w:color w:val="auto"/>
          <w:sz w:val="36"/>
          <w:szCs w:val="36"/>
        </w:rPr>
      </w:pPr>
      <w:r>
        <w:rPr>
          <w:color w:val="auto"/>
          <w:sz w:val="36"/>
          <w:szCs w:val="36"/>
        </w:rPr>
        <w:br w:type="page"/>
      </w:r>
    </w:p>
    <w:p w14:paraId="5D28F4CD">
      <w:pPr>
        <w:adjustRightInd w:val="0"/>
        <w:snapToGrid w:val="0"/>
        <w:spacing w:line="336" w:lineRule="auto"/>
        <w:rPr>
          <w:rFonts w:hint="eastAsia" w:eastAsia="宋体"/>
          <w:b/>
          <w:color w:val="auto"/>
          <w:sz w:val="24"/>
          <w:lang w:val="en-US" w:eastAsia="zh-CN"/>
        </w:rPr>
      </w:pPr>
      <w:r>
        <w:rPr>
          <w:rFonts w:hAnsi="宋体"/>
          <w:b/>
          <w:color w:val="auto"/>
          <w:sz w:val="24"/>
        </w:rPr>
        <w:t>附件：</w:t>
      </w:r>
    </w:p>
    <w:p w14:paraId="3B69D345">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附件1江苏省投资项目备案证</w:t>
      </w:r>
    </w:p>
    <w:p w14:paraId="6F92A884">
      <w:pPr>
        <w:tabs>
          <w:tab w:val="left" w:pos="3481"/>
        </w:tabs>
        <w:adjustRightInd w:val="0"/>
        <w:snapToGrid w:val="0"/>
        <w:spacing w:line="336" w:lineRule="auto"/>
        <w:ind w:firstLine="480" w:firstLineChars="200"/>
        <w:rPr>
          <w:rFonts w:hint="eastAsia" w:eastAsia="宋体"/>
          <w:color w:val="auto"/>
          <w:sz w:val="24"/>
          <w:lang w:val="en-US" w:eastAsia="zh-CN"/>
        </w:rPr>
      </w:pPr>
      <w:r>
        <w:rPr>
          <w:rFonts w:hint="eastAsia"/>
          <w:color w:val="auto"/>
          <w:sz w:val="24"/>
          <w:lang w:val="en-US" w:eastAsia="zh-CN"/>
        </w:rPr>
        <w:t>附件2营业执照及法人身份证</w:t>
      </w:r>
    </w:p>
    <w:p w14:paraId="472B8B2D">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附件3房屋产权证明</w:t>
      </w:r>
    </w:p>
    <w:p w14:paraId="4FB8FDF5">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附件4环评委托书</w:t>
      </w:r>
    </w:p>
    <w:p w14:paraId="265B04DC">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附件5填埋场项目环评批复</w:t>
      </w:r>
    </w:p>
    <w:p w14:paraId="1030AAF0">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附件6填埋场项目环保验收意见</w:t>
      </w:r>
    </w:p>
    <w:p w14:paraId="2FDF4DCF">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附件7焚烧厂项目环评批复</w:t>
      </w:r>
    </w:p>
    <w:p w14:paraId="6B0D33EC">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附件8焚烧厂项目验收意见</w:t>
      </w:r>
    </w:p>
    <w:p w14:paraId="2FA0E4AD">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附件9发电技改项目环评批复</w:t>
      </w:r>
    </w:p>
    <w:p w14:paraId="787E8E00">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附件10发电技改验收意见</w:t>
      </w:r>
    </w:p>
    <w:p w14:paraId="3CEE3B0F">
      <w:pPr>
        <w:pStyle w:val="32"/>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附件11 排污许可证正本</w:t>
      </w:r>
    </w:p>
    <w:p w14:paraId="589B1CEA">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附件12工程师现场踏勘照片</w:t>
      </w:r>
    </w:p>
    <w:p w14:paraId="6F4A7D71">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附件13公示截图</w:t>
      </w:r>
    </w:p>
    <w:p w14:paraId="21B2C934">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附件14零碳能源生态环境分区管控综合查询报告书</w:t>
      </w:r>
    </w:p>
    <w:p w14:paraId="0B10D1A6">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附件15政府信息公开删除内容申请表</w:t>
      </w:r>
    </w:p>
    <w:p w14:paraId="78200EB3">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附件16建设项目环境影响评价文件报批申请书</w:t>
      </w:r>
    </w:p>
    <w:p w14:paraId="2E80B789">
      <w:pPr>
        <w:pStyle w:val="32"/>
        <w:ind w:left="0" w:leftChars="0" w:firstLine="480" w:firstLineChars="200"/>
        <w:rPr>
          <w:rFonts w:hint="eastAsia" w:ascii="Times New Roman" w:hAnsi="Times New Roman" w:eastAsia="宋体" w:cs="Times New Roman"/>
          <w:color w:val="auto"/>
          <w:kern w:val="2"/>
          <w:sz w:val="24"/>
          <w:szCs w:val="24"/>
          <w:lang w:val="en-US" w:eastAsia="zh-CN" w:bidi="ar-SA"/>
        </w:rPr>
      </w:pPr>
    </w:p>
    <w:p w14:paraId="6AA3C41E">
      <w:pPr>
        <w:adjustRightInd w:val="0"/>
        <w:snapToGrid w:val="0"/>
        <w:spacing w:line="336" w:lineRule="auto"/>
        <w:jc w:val="left"/>
        <w:rPr>
          <w:b/>
          <w:color w:val="auto"/>
          <w:sz w:val="24"/>
        </w:rPr>
      </w:pPr>
      <w:r>
        <w:rPr>
          <w:rFonts w:hAnsi="宋体"/>
          <w:b/>
          <w:color w:val="auto"/>
          <w:sz w:val="24"/>
        </w:rPr>
        <w:t>附图：</w:t>
      </w:r>
    </w:p>
    <w:p w14:paraId="07A70A0E">
      <w:pPr>
        <w:spacing w:line="336" w:lineRule="auto"/>
        <w:ind w:firstLine="480" w:firstLineChars="200"/>
        <w:rPr>
          <w:rFonts w:hint="default" w:hAnsi="宋体" w:eastAsia="宋体"/>
          <w:color w:val="auto"/>
          <w:kern w:val="0"/>
          <w:sz w:val="24"/>
          <w:szCs w:val="20"/>
          <w:lang w:val="en-US" w:eastAsia="zh-CN"/>
        </w:rPr>
      </w:pPr>
      <w:r>
        <w:rPr>
          <w:rFonts w:hint="eastAsia" w:hAnsi="宋体"/>
          <w:color w:val="auto"/>
          <w:kern w:val="0"/>
          <w:sz w:val="24"/>
          <w:szCs w:val="20"/>
          <w:lang w:eastAsia="zh-CN"/>
        </w:rPr>
        <w:t>附图</w:t>
      </w:r>
      <w:r>
        <w:rPr>
          <w:rFonts w:hint="eastAsia" w:hAnsi="宋体"/>
          <w:color w:val="auto"/>
          <w:kern w:val="0"/>
          <w:sz w:val="24"/>
          <w:szCs w:val="20"/>
          <w:lang w:val="en-US" w:eastAsia="zh-CN"/>
        </w:rPr>
        <w:t>1 改建项目地理位置图</w:t>
      </w:r>
    </w:p>
    <w:p w14:paraId="5015B0B1">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2</w:t>
      </w:r>
      <w:r>
        <w:rPr>
          <w:rFonts w:hint="eastAsia" w:hAnsi="宋体"/>
          <w:color w:val="auto"/>
          <w:kern w:val="0"/>
          <w:sz w:val="24"/>
          <w:szCs w:val="20"/>
          <w:lang w:val="en-US" w:eastAsia="zh-CN"/>
        </w:rPr>
        <w:t>改建</w:t>
      </w:r>
      <w:r>
        <w:rPr>
          <w:rFonts w:hint="eastAsia" w:hAnsi="宋体"/>
          <w:color w:val="auto"/>
          <w:sz w:val="24"/>
          <w:lang w:eastAsia="zh-CN"/>
        </w:rPr>
        <w:t>项目与江苏省生态空间保护区域位置关系图</w:t>
      </w:r>
    </w:p>
    <w:p w14:paraId="1EF9996C">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3</w:t>
      </w:r>
      <w:r>
        <w:rPr>
          <w:rFonts w:hint="eastAsia" w:hAnsi="宋体"/>
          <w:color w:val="auto"/>
          <w:kern w:val="0"/>
          <w:sz w:val="24"/>
          <w:szCs w:val="20"/>
          <w:lang w:val="en-US" w:eastAsia="zh-CN"/>
        </w:rPr>
        <w:t>改建</w:t>
      </w:r>
      <w:r>
        <w:rPr>
          <w:rFonts w:hint="eastAsia" w:hAnsi="宋体"/>
          <w:color w:val="auto"/>
          <w:sz w:val="24"/>
          <w:lang w:eastAsia="zh-CN"/>
        </w:rPr>
        <w:t>项目与淮安市环境管控单元位置关系图</w:t>
      </w:r>
    </w:p>
    <w:p w14:paraId="5B9E8FB9">
      <w:pPr>
        <w:spacing w:line="336" w:lineRule="auto"/>
        <w:ind w:firstLine="480" w:firstLineChars="200"/>
        <w:rPr>
          <w:rFonts w:hint="eastAsia" w:hAnsi="宋体"/>
          <w:color w:val="auto"/>
          <w:sz w:val="24"/>
        </w:rPr>
      </w:pPr>
      <w:r>
        <w:rPr>
          <w:rFonts w:hAnsi="宋体"/>
          <w:color w:val="auto"/>
          <w:sz w:val="24"/>
        </w:rPr>
        <w:t>附图</w:t>
      </w:r>
      <w:r>
        <w:rPr>
          <w:rFonts w:hint="eastAsia"/>
          <w:color w:val="auto"/>
          <w:sz w:val="24"/>
          <w:lang w:val="en-US" w:eastAsia="zh-CN"/>
        </w:rPr>
        <w:t>4</w:t>
      </w:r>
      <w:r>
        <w:rPr>
          <w:rFonts w:hint="eastAsia" w:hAnsi="宋体"/>
          <w:color w:val="auto"/>
          <w:kern w:val="0"/>
          <w:sz w:val="24"/>
          <w:szCs w:val="20"/>
          <w:lang w:val="en-US" w:eastAsia="zh-CN"/>
        </w:rPr>
        <w:t>改建</w:t>
      </w:r>
      <w:r>
        <w:rPr>
          <w:rFonts w:hint="eastAsia" w:hAnsi="宋体"/>
          <w:color w:val="auto"/>
          <w:sz w:val="24"/>
        </w:rPr>
        <w:t>项目平面布置图</w:t>
      </w:r>
    </w:p>
    <w:p w14:paraId="16005447">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5</w:t>
      </w:r>
      <w:r>
        <w:rPr>
          <w:rFonts w:hint="eastAsia" w:hAnsi="宋体"/>
          <w:color w:val="auto"/>
          <w:kern w:val="0"/>
          <w:sz w:val="24"/>
          <w:szCs w:val="20"/>
          <w:lang w:val="en-US" w:eastAsia="zh-CN"/>
        </w:rPr>
        <w:t>改建</w:t>
      </w:r>
      <w:r>
        <w:rPr>
          <w:rFonts w:hint="eastAsia" w:hAnsi="宋体"/>
          <w:color w:val="auto"/>
          <w:sz w:val="24"/>
        </w:rPr>
        <w:t>项目周边概况图</w:t>
      </w:r>
    </w:p>
    <w:p w14:paraId="21DCFE43">
      <w:pPr>
        <w:spacing w:line="336" w:lineRule="auto"/>
        <w:ind w:firstLine="480" w:firstLineChars="200"/>
        <w:rPr>
          <w:rFonts w:hint="eastAsia" w:hAnsi="宋体"/>
          <w:color w:val="auto"/>
          <w:sz w:val="24"/>
          <w:lang w:eastAsia="zh-CN"/>
        </w:rPr>
      </w:pPr>
    </w:p>
    <w:p w14:paraId="3F2C7FB1">
      <w:pPr>
        <w:adjustRightInd w:val="0"/>
        <w:snapToGrid w:val="0"/>
        <w:spacing w:line="336" w:lineRule="auto"/>
        <w:rPr>
          <w:color w:val="auto"/>
          <w:sz w:val="24"/>
        </w:rPr>
      </w:pPr>
    </w:p>
    <w:p w14:paraId="46842026">
      <w:pPr>
        <w:adjustRightInd w:val="0"/>
        <w:snapToGrid w:val="0"/>
        <w:spacing w:line="336" w:lineRule="auto"/>
        <w:ind w:firstLine="480" w:firstLineChars="200"/>
        <w:rPr>
          <w:color w:val="auto"/>
          <w:sz w:val="24"/>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B40D361">
      <w:pPr>
        <w:pStyle w:val="25"/>
        <w:bidi w:val="0"/>
        <w:rPr>
          <w:color w:val="auto"/>
        </w:rPr>
      </w:pPr>
    </w:p>
    <w:p w14:paraId="5211F7F6">
      <w:pPr>
        <w:pStyle w:val="29"/>
        <w:spacing w:before="0" w:beforeAutospacing="0" w:after="0" w:afterAutospacing="0"/>
        <w:jc w:val="center"/>
        <w:outlineLvl w:val="0"/>
        <w:rPr>
          <w:rFonts w:ascii="Times New Roman" w:hAnsi="Times New Roman"/>
          <w:b/>
          <w:snapToGrid w:val="0"/>
          <w:color w:val="auto"/>
          <w:sz w:val="30"/>
          <w:szCs w:val="30"/>
        </w:rPr>
      </w:pPr>
      <w:bookmarkStart w:id="2" w:name="_Toc28317"/>
      <w:r>
        <w:rPr>
          <w:rFonts w:ascii="Times New Roman"/>
          <w:b/>
          <w:snapToGrid w:val="0"/>
          <w:color w:val="auto"/>
          <w:sz w:val="30"/>
          <w:szCs w:val="30"/>
        </w:rPr>
        <w:t>一、建设项目基本情况</w:t>
      </w:r>
      <w:bookmarkEnd w:id="2"/>
    </w:p>
    <w:tbl>
      <w:tblPr>
        <w:tblStyle w:val="33"/>
        <w:tblW w:w="88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8"/>
        <w:gridCol w:w="1187"/>
        <w:gridCol w:w="2574"/>
        <w:gridCol w:w="1549"/>
        <w:gridCol w:w="3130"/>
      </w:tblGrid>
      <w:tr w14:paraId="3BF8B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1635" w:type="dxa"/>
            <w:gridSpan w:val="2"/>
            <w:tcMar>
              <w:top w:w="16" w:type="dxa"/>
              <w:left w:w="16" w:type="dxa"/>
              <w:right w:w="16" w:type="dxa"/>
            </w:tcMar>
            <w:vAlign w:val="center"/>
          </w:tcPr>
          <w:p w14:paraId="41C6813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建设项目名称</w:t>
            </w:r>
          </w:p>
        </w:tc>
        <w:tc>
          <w:tcPr>
            <w:tcW w:w="7253" w:type="dxa"/>
            <w:gridSpan w:val="3"/>
            <w:vAlign w:val="center"/>
          </w:tcPr>
          <w:p w14:paraId="74BE80FA">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淮安零碳能源环保科技有限公司飞灰暂存库建设项目</w:t>
            </w:r>
          </w:p>
        </w:tc>
      </w:tr>
      <w:tr w14:paraId="2E597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1635" w:type="dxa"/>
            <w:gridSpan w:val="2"/>
            <w:tcMar>
              <w:top w:w="16" w:type="dxa"/>
              <w:left w:w="16" w:type="dxa"/>
              <w:right w:w="16" w:type="dxa"/>
            </w:tcMar>
            <w:vAlign w:val="center"/>
          </w:tcPr>
          <w:p w14:paraId="68A1B277">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7253" w:type="dxa"/>
            <w:gridSpan w:val="3"/>
            <w:vAlign w:val="center"/>
          </w:tcPr>
          <w:p w14:paraId="1AA9621D">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2511-320826-07-02-715399</w:t>
            </w:r>
          </w:p>
        </w:tc>
      </w:tr>
      <w:tr w14:paraId="2C70F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635" w:type="dxa"/>
            <w:gridSpan w:val="2"/>
            <w:tcMar>
              <w:top w:w="16" w:type="dxa"/>
              <w:left w:w="16" w:type="dxa"/>
              <w:right w:w="16" w:type="dxa"/>
            </w:tcMar>
            <w:vAlign w:val="center"/>
          </w:tcPr>
          <w:p w14:paraId="7279F50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2574" w:type="dxa"/>
            <w:vAlign w:val="center"/>
          </w:tcPr>
          <w:p w14:paraId="35BBD573">
            <w:pPr>
              <w:adjustRightInd w:val="0"/>
              <w:snapToGrid w:val="0"/>
              <w:jc w:val="center"/>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宋庆国</w:t>
            </w:r>
          </w:p>
        </w:tc>
        <w:tc>
          <w:tcPr>
            <w:tcW w:w="1549" w:type="dxa"/>
            <w:vAlign w:val="center"/>
          </w:tcPr>
          <w:p w14:paraId="30B3939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联系方式</w:t>
            </w:r>
          </w:p>
        </w:tc>
        <w:tc>
          <w:tcPr>
            <w:tcW w:w="3130" w:type="dxa"/>
            <w:vAlign w:val="center"/>
          </w:tcPr>
          <w:p w14:paraId="4C0F01F7">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15152319696</w:t>
            </w:r>
          </w:p>
        </w:tc>
      </w:tr>
      <w:tr w14:paraId="5BB46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8" w:hRule="atLeast"/>
          <w:jc w:val="center"/>
        </w:trPr>
        <w:tc>
          <w:tcPr>
            <w:tcW w:w="1635" w:type="dxa"/>
            <w:gridSpan w:val="2"/>
            <w:tcMar>
              <w:top w:w="16" w:type="dxa"/>
              <w:left w:w="16" w:type="dxa"/>
              <w:right w:w="16" w:type="dxa"/>
            </w:tcMar>
            <w:vAlign w:val="center"/>
          </w:tcPr>
          <w:p w14:paraId="0CC9F07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7253" w:type="dxa"/>
            <w:gridSpan w:val="3"/>
            <w:vAlign w:val="center"/>
          </w:tcPr>
          <w:p w14:paraId="5B98E0A4">
            <w:pPr>
              <w:keepNext w:val="0"/>
              <w:keepLines w:val="0"/>
              <w:widowControl/>
              <w:suppressLineNumbers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u w:val="single"/>
              </w:rPr>
              <w:t>江苏省</w:t>
            </w:r>
            <w:r>
              <w:rPr>
                <w:rFonts w:hint="default" w:ascii="Times New Roman" w:hAnsi="Times New Roman" w:cs="Times New Roman"/>
                <w:color w:val="auto"/>
                <w:sz w:val="24"/>
              </w:rPr>
              <w:t>（自治区）</w:t>
            </w:r>
            <w:r>
              <w:rPr>
                <w:rFonts w:hint="eastAsia" w:cs="Times New Roman"/>
                <w:color w:val="auto"/>
                <w:sz w:val="24"/>
                <w:u w:val="single"/>
                <w:lang w:eastAsia="zh-CN"/>
              </w:rPr>
              <w:t>淮安</w:t>
            </w:r>
            <w:r>
              <w:rPr>
                <w:rFonts w:hint="eastAsia" w:cs="Times New Roman"/>
                <w:color w:val="auto"/>
                <w:sz w:val="24"/>
                <w:lang w:eastAsia="zh-CN"/>
              </w:rPr>
              <w:t>市</w:t>
            </w:r>
            <w:r>
              <w:rPr>
                <w:rFonts w:hint="default" w:ascii="Times New Roman" w:hAnsi="Times New Roman" w:cs="Times New Roman"/>
                <w:color w:val="auto"/>
                <w:sz w:val="24"/>
                <w:u w:val="single"/>
              </w:rPr>
              <w:t>涟水县</w:t>
            </w:r>
            <w:r>
              <w:rPr>
                <w:rFonts w:hint="default" w:ascii="Times New Roman" w:hAnsi="Times New Roman" w:cs="Times New Roman"/>
                <w:color w:val="auto"/>
                <w:sz w:val="24"/>
              </w:rPr>
              <w:t>（区）</w:t>
            </w:r>
            <w:r>
              <w:rPr>
                <w:rFonts w:hint="default" w:ascii="Times New Roman" w:hAnsi="Times New Roman" w:cs="Times New Roman"/>
                <w:color w:val="auto"/>
                <w:sz w:val="24"/>
                <w:u w:val="single"/>
              </w:rPr>
              <w:t>/</w:t>
            </w:r>
            <w:r>
              <w:rPr>
                <w:rFonts w:hint="default" w:ascii="Times New Roman" w:hAnsi="Times New Roman" w:cs="Times New Roman"/>
                <w:color w:val="auto"/>
                <w:sz w:val="24"/>
              </w:rPr>
              <w:t>（街道</w:t>
            </w:r>
            <w:r>
              <w:rPr>
                <w:rFonts w:hint="default" w:cs="Times New Roman"/>
                <w:color w:val="auto"/>
                <w:sz w:val="24"/>
                <w:u w:val="single"/>
                <w:lang w:eastAsia="zh-CN"/>
              </w:rPr>
              <w:t>）</w:t>
            </w:r>
            <w:r>
              <w:rPr>
                <w:rFonts w:hint="eastAsia" w:eastAsia="宋体" w:cs="Times New Roman"/>
                <w:color w:val="auto"/>
                <w:sz w:val="24"/>
                <w:u w:val="single"/>
                <w:lang w:val="en-US" w:eastAsia="zh-CN"/>
              </w:rPr>
              <w:t>涟水县大东镇马棚农场</w:t>
            </w:r>
          </w:p>
        </w:tc>
      </w:tr>
      <w:tr w14:paraId="50EFE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1635" w:type="dxa"/>
            <w:gridSpan w:val="2"/>
            <w:tcMar>
              <w:top w:w="16" w:type="dxa"/>
              <w:left w:w="16" w:type="dxa"/>
              <w:right w:w="16" w:type="dxa"/>
            </w:tcMar>
            <w:vAlign w:val="center"/>
          </w:tcPr>
          <w:p w14:paraId="22D2EE8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7253" w:type="dxa"/>
            <w:gridSpan w:val="3"/>
            <w:vAlign w:val="center"/>
          </w:tcPr>
          <w:p w14:paraId="06D8A4FE">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119</w:t>
            </w:r>
            <w:r>
              <w:rPr>
                <w:rFonts w:hint="default" w:ascii="Times New Roman" w:hAnsi="Times New Roman" w:cs="Times New Roman"/>
                <w:color w:val="auto"/>
                <w:sz w:val="24"/>
              </w:rPr>
              <w:t>度</w:t>
            </w:r>
            <w:r>
              <w:rPr>
                <w:rFonts w:hint="eastAsia" w:cs="Times New Roman"/>
                <w:color w:val="auto"/>
                <w:sz w:val="24"/>
                <w:u w:val="single"/>
                <w:lang w:val="en-US" w:eastAsia="zh-CN"/>
              </w:rPr>
              <w:t>24</w:t>
            </w:r>
            <w:r>
              <w:rPr>
                <w:rFonts w:hint="default" w:ascii="Times New Roman" w:hAnsi="Times New Roman" w:cs="Times New Roman"/>
                <w:color w:val="auto"/>
                <w:sz w:val="24"/>
              </w:rPr>
              <w:t>分</w:t>
            </w:r>
            <w:r>
              <w:rPr>
                <w:rFonts w:hint="eastAsia" w:cs="Times New Roman"/>
                <w:color w:val="auto"/>
                <w:sz w:val="24"/>
                <w:u w:val="single"/>
                <w:lang w:val="en-US" w:eastAsia="zh-CN"/>
              </w:rPr>
              <w:t>1.843</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33</w:t>
            </w:r>
            <w:r>
              <w:rPr>
                <w:rFonts w:hint="default" w:ascii="Times New Roman" w:hAnsi="Times New Roman" w:cs="Times New Roman"/>
                <w:color w:val="auto"/>
                <w:sz w:val="24"/>
              </w:rPr>
              <w:t>度</w:t>
            </w:r>
            <w:r>
              <w:rPr>
                <w:rFonts w:hint="eastAsia" w:cs="Times New Roman"/>
                <w:color w:val="auto"/>
                <w:sz w:val="24"/>
                <w:u w:val="single"/>
                <w:lang w:val="en-US" w:eastAsia="zh-CN"/>
              </w:rPr>
              <w:t>53</w:t>
            </w:r>
            <w:r>
              <w:rPr>
                <w:rFonts w:hint="default" w:ascii="Times New Roman" w:hAnsi="Times New Roman" w:cs="Times New Roman"/>
                <w:color w:val="auto"/>
                <w:sz w:val="24"/>
              </w:rPr>
              <w:t>分</w:t>
            </w:r>
            <w:r>
              <w:rPr>
                <w:rFonts w:hint="eastAsia" w:cs="Times New Roman"/>
                <w:color w:val="auto"/>
                <w:sz w:val="24"/>
                <w:u w:val="single"/>
                <w:lang w:val="en-US" w:eastAsia="zh-CN"/>
              </w:rPr>
              <w:t>2.596</w:t>
            </w:r>
            <w:r>
              <w:rPr>
                <w:rFonts w:hint="default" w:ascii="Times New Roman" w:hAnsi="Times New Roman" w:cs="Times New Roman"/>
                <w:color w:val="auto"/>
                <w:sz w:val="24"/>
              </w:rPr>
              <w:t>秒）</w:t>
            </w:r>
          </w:p>
        </w:tc>
      </w:tr>
      <w:tr w14:paraId="100B9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1635" w:type="dxa"/>
            <w:gridSpan w:val="2"/>
            <w:tcMar>
              <w:top w:w="16" w:type="dxa"/>
              <w:left w:w="16" w:type="dxa"/>
              <w:right w:w="16" w:type="dxa"/>
            </w:tcMar>
            <w:vAlign w:val="center"/>
          </w:tcPr>
          <w:p w14:paraId="54405C0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国民经济</w:t>
            </w:r>
          </w:p>
          <w:p w14:paraId="34CEB3A9">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tc>
        <w:tc>
          <w:tcPr>
            <w:tcW w:w="2574" w:type="dxa"/>
            <w:vAlign w:val="center"/>
          </w:tcPr>
          <w:p w14:paraId="10ED5B40">
            <w:pPr>
              <w:tabs>
                <w:tab w:val="left" w:pos="1800"/>
              </w:tabs>
              <w:adjustRightInd w:val="0"/>
              <w:snapToGrid w:val="0"/>
              <w:jc w:val="center"/>
              <w:rPr>
                <w:rFonts w:hint="default" w:ascii="Times New Roman" w:hAnsi="Times New Roman" w:cs="Times New Roman"/>
                <w:color w:val="auto"/>
                <w:sz w:val="24"/>
              </w:rPr>
            </w:pPr>
            <w:r>
              <w:rPr>
                <w:rFonts w:hint="eastAsia" w:ascii="Times New Roman" w:hAnsi="Times New Roman" w:eastAsia="方正仿宋_GBK"/>
                <w:color w:val="auto"/>
                <w:sz w:val="24"/>
                <w:lang w:val="en-US" w:eastAsia="zh-CN"/>
              </w:rPr>
              <w:t>G5949</w:t>
            </w:r>
            <w:r>
              <w:rPr>
                <w:rFonts w:hint="eastAsia" w:ascii="Times New Roman" w:hAnsi="Times New Roman" w:eastAsia="宋体" w:cs="Times New Roman"/>
                <w:color w:val="auto"/>
                <w:sz w:val="24"/>
                <w:lang w:val="en-US" w:eastAsia="zh-CN"/>
              </w:rPr>
              <w:t>其他危险品仓储</w:t>
            </w:r>
          </w:p>
        </w:tc>
        <w:tc>
          <w:tcPr>
            <w:tcW w:w="1549" w:type="dxa"/>
            <w:vAlign w:val="center"/>
          </w:tcPr>
          <w:p w14:paraId="723BD3DB">
            <w:pPr>
              <w:adjustRightInd w:val="0"/>
              <w:snapToGrid w:val="0"/>
              <w:jc w:val="center"/>
              <w:rPr>
                <w:rFonts w:hint="default" w:ascii="Times New Roman" w:hAnsi="Times New Roman" w:cs="Times New Roman"/>
                <w:b/>
                <w:bCs/>
                <w:color w:val="auto"/>
                <w:sz w:val="24"/>
              </w:rPr>
            </w:pPr>
            <w:bookmarkStart w:id="3" w:name="_Hlk49843745"/>
            <w:r>
              <w:rPr>
                <w:rFonts w:hint="default" w:ascii="Times New Roman" w:hAnsi="Times New Roman" w:cs="Times New Roman"/>
                <w:b/>
                <w:bCs/>
                <w:color w:val="auto"/>
                <w:sz w:val="24"/>
              </w:rPr>
              <w:t>建设项目</w:t>
            </w:r>
          </w:p>
          <w:p w14:paraId="37E7A65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bookmarkEnd w:id="3"/>
          </w:p>
        </w:tc>
        <w:tc>
          <w:tcPr>
            <w:tcW w:w="3130" w:type="dxa"/>
            <w:vAlign w:val="center"/>
          </w:tcPr>
          <w:p w14:paraId="4BE21716">
            <w:pPr>
              <w:adjustRightInd w:val="0"/>
              <w:snapToGrid w:val="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五十三、装卸搬运和仓储业59</w:t>
            </w:r>
            <w:r>
              <w:rPr>
                <w:rFonts w:hint="eastAsia" w:cs="Times New Roman"/>
                <w:color w:val="auto"/>
                <w:sz w:val="24"/>
                <w:lang w:val="en-US" w:eastAsia="zh-CN"/>
              </w:rPr>
              <w:t xml:space="preserve"> </w:t>
            </w:r>
            <w:r>
              <w:rPr>
                <w:rFonts w:hint="eastAsia" w:ascii="Times New Roman" w:hAnsi="Times New Roman" w:cs="Times New Roman"/>
                <w:color w:val="auto"/>
                <w:sz w:val="24"/>
              </w:rPr>
              <w:t>149.危险品仓储594</w:t>
            </w:r>
          </w:p>
        </w:tc>
      </w:tr>
      <w:tr w14:paraId="7C8FD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20" w:hRule="atLeast"/>
          <w:jc w:val="center"/>
        </w:trPr>
        <w:tc>
          <w:tcPr>
            <w:tcW w:w="1635" w:type="dxa"/>
            <w:gridSpan w:val="2"/>
            <w:tcMar>
              <w:top w:w="16" w:type="dxa"/>
              <w:left w:w="16" w:type="dxa"/>
              <w:right w:w="16" w:type="dxa"/>
            </w:tcMar>
            <w:vAlign w:val="center"/>
          </w:tcPr>
          <w:p w14:paraId="564064E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2574" w:type="dxa"/>
            <w:vAlign w:val="center"/>
          </w:tcPr>
          <w:p w14:paraId="79A05B2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14:paraId="093B7FBD">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改建</w:t>
            </w:r>
          </w:p>
          <w:p w14:paraId="066A0D17">
            <w:pPr>
              <w:adjustRightInd w:val="0"/>
              <w:snapToGrid w:val="0"/>
              <w:jc w:val="left"/>
              <w:rPr>
                <w:rFonts w:hint="eastAsia" w:ascii="Times New Roman" w:hAnsi="Times New Roman" w:eastAsia="宋体" w:cs="Times New Roman"/>
                <w:color w:val="auto"/>
                <w:sz w:val="24"/>
                <w:lang w:eastAsia="zh-CN"/>
              </w:rPr>
            </w:pPr>
            <w:r>
              <w:rPr>
                <w:rFonts w:hint="eastAsia" w:cs="Times New Roman"/>
                <w:color w:val="auto"/>
                <w:sz w:val="24"/>
                <w:lang w:eastAsia="zh-CN"/>
              </w:rPr>
              <w:t>□扩建</w:t>
            </w:r>
          </w:p>
          <w:p w14:paraId="46AEDAF7">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549" w:type="dxa"/>
            <w:vAlign w:val="center"/>
          </w:tcPr>
          <w:p w14:paraId="23419F2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w:t>
            </w:r>
          </w:p>
          <w:p w14:paraId="16DD007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申报情形</w:t>
            </w:r>
          </w:p>
        </w:tc>
        <w:tc>
          <w:tcPr>
            <w:tcW w:w="3130" w:type="dxa"/>
            <w:vAlign w:val="center"/>
          </w:tcPr>
          <w:p w14:paraId="0C0D5D54">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☑首次申报项目</w:t>
            </w:r>
          </w:p>
          <w:p w14:paraId="6ECCBB1C">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2BF9B52F">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0179C67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62D62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6935B6A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项目审批（核准/备案）部门</w:t>
            </w:r>
          </w:p>
          <w:p w14:paraId="4ADC92E1">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2574" w:type="dxa"/>
            <w:vAlign w:val="center"/>
          </w:tcPr>
          <w:p w14:paraId="5D5A280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涟水县工业和信息化局</w:t>
            </w:r>
          </w:p>
        </w:tc>
        <w:tc>
          <w:tcPr>
            <w:tcW w:w="1549" w:type="dxa"/>
            <w:vAlign w:val="center"/>
          </w:tcPr>
          <w:p w14:paraId="469B5B9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项目审批（核准/备案）文号</w:t>
            </w:r>
          </w:p>
          <w:p w14:paraId="10D2F7A7">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3130" w:type="dxa"/>
            <w:vAlign w:val="center"/>
          </w:tcPr>
          <w:p w14:paraId="2714F372">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涟工信备</w:t>
            </w:r>
            <w:r>
              <w:rPr>
                <w:rFonts w:hint="eastAsia" w:cs="Times New Roman"/>
                <w:color w:val="auto"/>
                <w:sz w:val="24"/>
                <w:lang w:val="en-US" w:eastAsia="zh-CN"/>
              </w:rPr>
              <w:t>〔2025〕31号</w:t>
            </w:r>
          </w:p>
        </w:tc>
      </w:tr>
      <w:tr w14:paraId="2BD17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352B4DE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w:t>
            </w:r>
          </w:p>
          <w:p w14:paraId="3134802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2574" w:type="dxa"/>
            <w:vAlign w:val="center"/>
          </w:tcPr>
          <w:p w14:paraId="20EB8CB3">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w:t>
            </w:r>
          </w:p>
        </w:tc>
        <w:tc>
          <w:tcPr>
            <w:tcW w:w="1549" w:type="dxa"/>
            <w:tcMar>
              <w:top w:w="16" w:type="dxa"/>
              <w:left w:w="16" w:type="dxa"/>
              <w:right w:w="16" w:type="dxa"/>
            </w:tcMar>
            <w:vAlign w:val="center"/>
          </w:tcPr>
          <w:p w14:paraId="257C7D4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w:t>
            </w:r>
          </w:p>
          <w:p w14:paraId="3F0978E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3130" w:type="dxa"/>
            <w:vAlign w:val="center"/>
          </w:tcPr>
          <w:p w14:paraId="35A08836">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w:t>
            </w:r>
          </w:p>
        </w:tc>
      </w:tr>
      <w:tr w14:paraId="31B99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3027E48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2574" w:type="dxa"/>
            <w:vAlign w:val="center"/>
          </w:tcPr>
          <w:p w14:paraId="6567758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100%</w:t>
            </w:r>
          </w:p>
        </w:tc>
        <w:tc>
          <w:tcPr>
            <w:tcW w:w="1549" w:type="dxa"/>
            <w:tcMar>
              <w:top w:w="16" w:type="dxa"/>
              <w:left w:w="16" w:type="dxa"/>
              <w:right w:w="16" w:type="dxa"/>
            </w:tcMar>
            <w:vAlign w:val="center"/>
          </w:tcPr>
          <w:p w14:paraId="4EDA3A9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施工工期</w:t>
            </w:r>
          </w:p>
        </w:tc>
        <w:tc>
          <w:tcPr>
            <w:tcW w:w="3130" w:type="dxa"/>
            <w:vAlign w:val="center"/>
          </w:tcPr>
          <w:p w14:paraId="62AA600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default" w:ascii="Times New Roman" w:hAnsi="Times New Roman" w:cs="Times New Roman"/>
                <w:color w:val="auto"/>
                <w:sz w:val="24"/>
              </w:rPr>
              <w:t>个月</w:t>
            </w:r>
          </w:p>
        </w:tc>
      </w:tr>
      <w:tr w14:paraId="03C6D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77D6ABEB">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2574" w:type="dxa"/>
            <w:vAlign w:val="center"/>
          </w:tcPr>
          <w:p w14:paraId="10648C62">
            <w:pPr>
              <w:adjustRightInd w:val="0"/>
              <w:snapToGrid w:val="0"/>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否</w:t>
            </w:r>
          </w:p>
          <w:p w14:paraId="5232205C">
            <w:pPr>
              <w:adjustRightInd w:val="0"/>
              <w:snapToGrid w:val="0"/>
              <w:jc w:val="left"/>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c>
          <w:tcPr>
            <w:tcW w:w="1549" w:type="dxa"/>
            <w:tcMar>
              <w:top w:w="16" w:type="dxa"/>
              <w:left w:w="16" w:type="dxa"/>
              <w:right w:w="16" w:type="dxa"/>
            </w:tcMar>
            <w:vAlign w:val="center"/>
          </w:tcPr>
          <w:p w14:paraId="1B53503F">
            <w:pPr>
              <w:adjustRightInd w:val="0"/>
              <w:snapToGrid w:val="0"/>
              <w:jc w:val="center"/>
              <w:rPr>
                <w:rFonts w:hint="default" w:ascii="Times New Roman" w:hAnsi="Times New Roman" w:cs="Times New Roman"/>
                <w:b/>
                <w:bCs/>
                <w:color w:val="auto"/>
                <w:spacing w:val="-6"/>
                <w:sz w:val="24"/>
              </w:rPr>
            </w:pPr>
            <w:r>
              <w:rPr>
                <w:rFonts w:hint="default" w:ascii="Times New Roman" w:hAnsi="Times New Roman" w:cs="Times New Roman"/>
                <w:b/>
                <w:bCs/>
                <w:color w:val="auto"/>
                <w:spacing w:val="-6"/>
                <w:sz w:val="24"/>
              </w:rPr>
              <w:t>用地（用海）</w:t>
            </w:r>
          </w:p>
          <w:p w14:paraId="545294C4">
            <w:pPr>
              <w:adjustRightInd w:val="0"/>
              <w:snapToGrid w:val="0"/>
              <w:jc w:val="center"/>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pacing w:val="-6"/>
                <w:sz w:val="24"/>
              </w:rPr>
              <w:t>面积（m</w:t>
            </w:r>
            <w:r>
              <w:rPr>
                <w:rFonts w:hint="default" w:ascii="Times New Roman" w:hAnsi="Times New Roman" w:cs="Times New Roman"/>
                <w:b/>
                <w:bCs/>
                <w:color w:val="auto"/>
                <w:spacing w:val="-6"/>
                <w:sz w:val="24"/>
                <w:vertAlign w:val="superscript"/>
              </w:rPr>
              <w:t>2</w:t>
            </w:r>
            <w:r>
              <w:rPr>
                <w:rFonts w:hint="default" w:ascii="Times New Roman" w:hAnsi="Times New Roman" w:cs="Times New Roman"/>
                <w:b/>
                <w:bCs/>
                <w:color w:val="auto"/>
                <w:spacing w:val="-6"/>
                <w:sz w:val="24"/>
              </w:rPr>
              <w:t>）</w:t>
            </w:r>
          </w:p>
        </w:tc>
        <w:tc>
          <w:tcPr>
            <w:tcW w:w="3130" w:type="dxa"/>
            <w:vAlign w:val="center"/>
          </w:tcPr>
          <w:p w14:paraId="37D6AE1C">
            <w:pPr>
              <w:widowControl/>
              <w:adjustRightInd/>
              <w:snapToGrid/>
              <w:jc w:val="center"/>
              <w:rPr>
                <w:rFonts w:hint="default" w:ascii="Times New Roman" w:hAnsi="Times New Roman" w:eastAsia="宋体" w:cs="Times New Roman"/>
                <w:color w:val="auto"/>
                <w:sz w:val="24"/>
                <w:lang w:val="en-US" w:eastAsia="zh-CN"/>
              </w:rPr>
            </w:pPr>
            <w:r>
              <w:rPr>
                <w:rFonts w:hint="eastAsia"/>
                <w:color w:val="auto"/>
                <w:sz w:val="24"/>
                <w:szCs w:val="24"/>
                <w:lang w:val="en-US" w:eastAsia="zh-CN"/>
              </w:rPr>
              <w:t>180</w:t>
            </w:r>
          </w:p>
        </w:tc>
      </w:tr>
      <w:tr w14:paraId="0CCAE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vAlign w:val="center"/>
          </w:tcPr>
          <w:p w14:paraId="0F31797C">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w:t>
            </w:r>
          </w:p>
          <w:p w14:paraId="349FE319">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设置情况</w:t>
            </w:r>
          </w:p>
        </w:tc>
        <w:tc>
          <w:tcPr>
            <w:tcW w:w="7253" w:type="dxa"/>
            <w:gridSpan w:val="3"/>
            <w:vAlign w:val="center"/>
          </w:tcPr>
          <w:p w14:paraId="4E66F20C">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33CCB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1635" w:type="dxa"/>
            <w:gridSpan w:val="2"/>
            <w:vAlign w:val="center"/>
          </w:tcPr>
          <w:p w14:paraId="59E94223">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7253" w:type="dxa"/>
            <w:gridSpan w:val="3"/>
            <w:vAlign w:val="center"/>
          </w:tcPr>
          <w:p w14:paraId="7B48C1D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eastAsia="宋体"/>
                <w:color w:val="auto"/>
                <w:lang w:val="en-US" w:eastAsia="zh-CN"/>
              </w:rPr>
            </w:pPr>
            <w:r>
              <w:rPr>
                <w:rFonts w:hint="eastAsia" w:ascii="Times New Roman" w:hAnsi="Times New Roman" w:eastAsia="宋体" w:cs="Times New Roman"/>
                <w:color w:val="auto"/>
                <w:sz w:val="24"/>
                <w:szCs w:val="24"/>
                <w:lang w:val="en-US" w:eastAsia="zh-CN"/>
              </w:rPr>
              <w:t>规划文件名称：《涟水县再生资源利用产业园（大东）开发建设规划》（2013-2030）</w:t>
            </w:r>
          </w:p>
        </w:tc>
      </w:tr>
      <w:tr w14:paraId="67B94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635" w:type="dxa"/>
            <w:gridSpan w:val="2"/>
            <w:vAlign w:val="center"/>
          </w:tcPr>
          <w:p w14:paraId="13A7814B">
            <w:pPr>
              <w:autoSpaceDE w:val="0"/>
              <w:autoSpaceDN w:val="0"/>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规划环境影响评价情况</w:t>
            </w:r>
          </w:p>
        </w:tc>
        <w:tc>
          <w:tcPr>
            <w:tcW w:w="7253" w:type="dxa"/>
            <w:gridSpan w:val="3"/>
            <w:vAlign w:val="center"/>
          </w:tcPr>
          <w:p w14:paraId="4DC5DD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cs="Times New Roman"/>
                <w:color w:val="auto"/>
                <w:sz w:val="24"/>
                <w:szCs w:val="24"/>
                <w:lang w:val="en-US" w:eastAsia="zh-CN"/>
              </w:rPr>
            </w:pPr>
          </w:p>
          <w:p w14:paraId="7FC21F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无</w:t>
            </w:r>
          </w:p>
          <w:p w14:paraId="385393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cs="Times New Roman"/>
                <w:color w:val="auto"/>
                <w:sz w:val="24"/>
                <w:szCs w:val="24"/>
                <w:lang w:val="en-US" w:eastAsia="zh-CN"/>
              </w:rPr>
            </w:pPr>
          </w:p>
        </w:tc>
      </w:tr>
      <w:tr w14:paraId="16C66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448" w:type="dxa"/>
            <w:vAlign w:val="center"/>
          </w:tcPr>
          <w:p w14:paraId="77D1F60D">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8440" w:type="dxa"/>
            <w:gridSpan w:val="4"/>
          </w:tcPr>
          <w:p w14:paraId="707AD191">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与《涟水县再生资源利用产业园（大东）开发建设规划》（2021-2030）中相关内容相符性分析如下：</w:t>
            </w:r>
          </w:p>
          <w:p w14:paraId="2F029AEE">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bCs/>
                <w:color w:val="auto"/>
                <w:sz w:val="24"/>
                <w:szCs w:val="24"/>
                <w:lang w:val="en-US" w:eastAsia="zh-CN"/>
              </w:rPr>
              <w:t>规划范围：</w:t>
            </w:r>
            <w:r>
              <w:rPr>
                <w:rFonts w:hint="default" w:ascii="Times New Roman" w:hAnsi="Times New Roman" w:cs="Times New Roman"/>
                <w:b w:val="0"/>
                <w:bCs w:val="0"/>
                <w:color w:val="auto"/>
                <w:sz w:val="24"/>
                <w:szCs w:val="24"/>
                <w:lang w:val="en-US" w:eastAsia="zh-CN"/>
              </w:rPr>
              <w:t>涟水县再生资源利用产业园总体规划面积为33.88公顷。</w:t>
            </w:r>
          </w:p>
          <w:p w14:paraId="31EADC71">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涟水县再生资源利用产业园位于大东镇场北村，园区规划四至范围是北侧至胡集大沟，西侧至三斗渠，东至老四支五斗渠（不包括基本农田），南至涟水县生活垃圾卫生填埋场南侧边界。</w:t>
            </w:r>
          </w:p>
          <w:p w14:paraId="39EE9E76">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bCs/>
                <w:color w:val="auto"/>
                <w:sz w:val="24"/>
                <w:szCs w:val="24"/>
                <w:lang w:val="en-US" w:eastAsia="zh-CN"/>
              </w:rPr>
              <w:t>规划期限：</w:t>
            </w:r>
            <w:r>
              <w:rPr>
                <w:rFonts w:hint="default" w:ascii="Times New Roman" w:hAnsi="Times New Roman" w:cs="Times New Roman"/>
                <w:b w:val="0"/>
                <w:bCs w:val="0"/>
                <w:color w:val="auto"/>
                <w:sz w:val="24"/>
                <w:szCs w:val="24"/>
                <w:lang w:val="en-US" w:eastAsia="zh-CN"/>
              </w:rPr>
              <w:t>2021年—2030年。</w:t>
            </w:r>
          </w:p>
          <w:p w14:paraId="3A45BB3C">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产业规划</w:t>
            </w:r>
          </w:p>
          <w:p w14:paraId="675F0C9D">
            <w:pPr>
              <w:pStyle w:val="150"/>
              <w:keepNext w:val="0"/>
              <w:keepLines w:val="0"/>
              <w:suppressLineNumbers w:val="0"/>
              <w:adjustRightInd/>
              <w:snapToGrid/>
              <w:spacing w:before="0" w:beforeAutospacing="0" w:after="0" w:afterAutospacing="0" w:line="36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功能定位：通过涟水县再生资源利用产业园的规划建设，加快废物，特别是危险废物的资源化利用，保障工业经济的可持续发展，改善区域环境质量，保障居民身心健康。</w:t>
            </w:r>
          </w:p>
          <w:p w14:paraId="32652E0C">
            <w:pPr>
              <w:pStyle w:val="150"/>
              <w:keepNext w:val="0"/>
              <w:keepLines w:val="0"/>
              <w:suppressLineNumbers w:val="0"/>
              <w:adjustRightInd/>
              <w:snapToGrid/>
              <w:spacing w:before="0" w:beforeAutospacing="0" w:after="0" w:afterAutospacing="0" w:line="36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产业定位：涟水县再生资源处置中心，淮安市危险废物填埋再生利用技术服务基地，江苏省再生资源产业示范园区。</w:t>
            </w:r>
          </w:p>
          <w:p w14:paraId="1A6F9071">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土地利用规划</w:t>
            </w:r>
          </w:p>
          <w:p w14:paraId="7A3BBF63">
            <w:pPr>
              <w:pStyle w:val="150"/>
              <w:keepNext w:val="0"/>
              <w:keepLines w:val="0"/>
              <w:suppressLineNumbers w:val="0"/>
              <w:adjustRightInd/>
              <w:snapToGrid/>
              <w:spacing w:before="0" w:beforeAutospacing="0" w:after="0" w:afterAutospacing="0" w:line="36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规划区总用地33.88公顷，其中二类工业用地面积4.6公顷，三类工业用地18.36公顷，道路用地1.35公顷，防护绿地1.24公顷。</w:t>
            </w:r>
          </w:p>
          <w:p w14:paraId="3962C71A">
            <w:pPr>
              <w:pStyle w:val="4"/>
              <w:keepNext w:val="0"/>
              <w:keepLines w:val="0"/>
              <w:pageBreakBefore w:val="0"/>
              <w:widowControl w:val="0"/>
              <w:suppressLineNumbers w:val="0"/>
              <w:tabs>
                <w:tab w:val="left" w:pos="1049"/>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-1与《涟水县再生资源利用产业园（大东）开发建设</w:t>
            </w:r>
            <w:r>
              <w:rPr>
                <w:rFonts w:hint="default" w:ascii="Times New Roman" w:hAnsi="Times New Roman" w:cs="Times New Roman"/>
                <w:color w:val="auto"/>
                <w:sz w:val="24"/>
                <w:szCs w:val="24"/>
                <w:lang w:eastAsia="zh-CN"/>
              </w:rPr>
              <w:t>规划</w:t>
            </w:r>
            <w:r>
              <w:rPr>
                <w:rFonts w:hint="default" w:ascii="Times New Roman" w:hAnsi="Times New Roman" w:eastAsia="宋体" w:cs="Times New Roman"/>
                <w:color w:val="auto"/>
                <w:sz w:val="24"/>
                <w:szCs w:val="24"/>
              </w:rPr>
              <w:t>（2021-2030）》相符性分析</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3402"/>
              <w:gridCol w:w="3410"/>
              <w:gridCol w:w="926"/>
            </w:tblGrid>
            <w:tr w14:paraId="03FA2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85" w:type="pct"/>
                  <w:tcBorders>
                    <w:top w:val="single" w:color="auto" w:sz="12" w:space="0"/>
                    <w:bottom w:val="single" w:color="auto" w:sz="12" w:space="0"/>
                  </w:tcBorders>
                  <w:vAlign w:val="center"/>
                </w:tcPr>
                <w:p w14:paraId="46ACA5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序号</w:t>
                  </w:r>
                </w:p>
              </w:tc>
              <w:tc>
                <w:tcPr>
                  <w:tcW w:w="2028" w:type="pct"/>
                  <w:tcBorders>
                    <w:top w:val="single" w:color="auto" w:sz="12" w:space="0"/>
                    <w:bottom w:val="single" w:color="auto" w:sz="12" w:space="0"/>
                  </w:tcBorders>
                  <w:vAlign w:val="center"/>
                </w:tcPr>
                <w:p w14:paraId="7E9F84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要求</w:t>
                  </w:r>
                </w:p>
              </w:tc>
              <w:tc>
                <w:tcPr>
                  <w:tcW w:w="2033" w:type="pct"/>
                  <w:tcBorders>
                    <w:top w:val="single" w:color="auto" w:sz="12" w:space="0"/>
                    <w:bottom w:val="single" w:color="auto" w:sz="12" w:space="0"/>
                  </w:tcBorders>
                  <w:vAlign w:val="center"/>
                </w:tcPr>
                <w:p w14:paraId="5AF5EF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本项目情况</w:t>
                  </w:r>
                </w:p>
              </w:tc>
              <w:tc>
                <w:tcPr>
                  <w:tcW w:w="552" w:type="pct"/>
                  <w:tcBorders>
                    <w:top w:val="single" w:color="auto" w:sz="12" w:space="0"/>
                    <w:bottom w:val="single" w:color="auto" w:sz="12" w:space="0"/>
                  </w:tcBorders>
                  <w:vAlign w:val="center"/>
                </w:tcPr>
                <w:p w14:paraId="6E516E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相符性</w:t>
                  </w:r>
                </w:p>
              </w:tc>
            </w:tr>
            <w:tr w14:paraId="1F6A5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5" w:type="pct"/>
                  <w:tcBorders>
                    <w:top w:val="single" w:color="auto" w:sz="12" w:space="0"/>
                  </w:tcBorders>
                  <w:vAlign w:val="center"/>
                </w:tcPr>
                <w:p w14:paraId="581729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2028" w:type="pct"/>
                  <w:tcBorders>
                    <w:top w:val="single" w:color="auto" w:sz="12" w:space="0"/>
                  </w:tcBorders>
                  <w:vAlign w:val="center"/>
                </w:tcPr>
                <w:p w14:paraId="0CA6EF9E">
                  <w:pPr>
                    <w:pStyle w:val="2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规划范围：北侧至胡集大沟，西侧至三斗渠，东至老四支五斗渠（不包括基本农田），南至涟水县生活垃圾卫生填埋场最南侧边界。总面积33.88公顷。</w:t>
                  </w:r>
                </w:p>
              </w:tc>
              <w:tc>
                <w:tcPr>
                  <w:tcW w:w="2033" w:type="pct"/>
                  <w:tcBorders>
                    <w:top w:val="single" w:color="auto" w:sz="12" w:space="0"/>
                  </w:tcBorders>
                  <w:vAlign w:val="center"/>
                </w:tcPr>
                <w:p w14:paraId="28829D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本项目位于涟水县再生资源利用产业园（大东）内。</w:t>
                  </w:r>
                </w:p>
              </w:tc>
              <w:tc>
                <w:tcPr>
                  <w:tcW w:w="552" w:type="pct"/>
                  <w:tcBorders>
                    <w:top w:val="single" w:color="auto" w:sz="12" w:space="0"/>
                  </w:tcBorders>
                  <w:vAlign w:val="center"/>
                </w:tcPr>
                <w:p w14:paraId="470624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符合</w:t>
                  </w:r>
                </w:p>
              </w:tc>
            </w:tr>
            <w:tr w14:paraId="39A7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5" w:type="pct"/>
                  <w:vAlign w:val="center"/>
                </w:tcPr>
                <w:p w14:paraId="13A9D8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2028" w:type="pct"/>
                  <w:vAlign w:val="center"/>
                </w:tcPr>
                <w:p w14:paraId="3B90C50C">
                  <w:pPr>
                    <w:pStyle w:val="2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园区禁入项目的清单：环境治理业禁止引进与产业定位不相符的企业，禁止引进直接向水体排放污染物的企业，禁止引进处置含放射性废物、爆炸性废物、含多氯联苯废物、医疗废物的病理性残余物等危险废物项目</w:t>
                  </w:r>
                </w:p>
              </w:tc>
              <w:tc>
                <w:tcPr>
                  <w:tcW w:w="2033" w:type="pct"/>
                  <w:vAlign w:val="center"/>
                </w:tcPr>
                <w:p w14:paraId="57AB49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本项目不属于禁入项目清单。</w:t>
                  </w:r>
                </w:p>
              </w:tc>
              <w:tc>
                <w:tcPr>
                  <w:tcW w:w="552" w:type="pct"/>
                  <w:vAlign w:val="center"/>
                </w:tcPr>
                <w:p w14:paraId="0176BD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符合</w:t>
                  </w:r>
                </w:p>
              </w:tc>
            </w:tr>
          </w:tbl>
          <w:p w14:paraId="2212A82D">
            <w:pPr>
              <w:pStyle w:val="47"/>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Style w:val="41"/>
                <w:rFonts w:hint="default" w:ascii="Times New Roman" w:hAnsi="Times New Roman" w:eastAsia="宋体" w:cs="Times New Roman"/>
                <w:color w:val="auto"/>
                <w:kern w:val="0"/>
                <w:sz w:val="24"/>
                <w:lang w:eastAsia="zh-CN"/>
              </w:rPr>
            </w:pPr>
          </w:p>
        </w:tc>
      </w:tr>
    </w:tbl>
    <w:p w14:paraId="04BBCCE1">
      <w:pPr>
        <w:autoSpaceDE w:val="0"/>
        <w:autoSpaceDN w:val="0"/>
        <w:adjustRightInd w:val="0"/>
        <w:snapToGrid w:val="0"/>
        <w:jc w:val="center"/>
        <w:rPr>
          <w:b/>
          <w:bCs/>
          <w:color w:val="auto"/>
          <w:kern w:val="0"/>
          <w:sz w:val="24"/>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4"/>
        <w:gridCol w:w="8554"/>
      </w:tblGrid>
      <w:tr w14:paraId="1D7F6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334" w:type="dxa"/>
            <w:vAlign w:val="center"/>
          </w:tcPr>
          <w:p w14:paraId="4DDEAF4D">
            <w:pPr>
              <w:autoSpaceDE w:val="0"/>
              <w:autoSpaceDN w:val="0"/>
              <w:adjustRightInd w:val="0"/>
              <w:snapToGrid w:val="0"/>
              <w:jc w:val="center"/>
              <w:rPr>
                <w:b/>
                <w:bCs/>
                <w:color w:val="auto"/>
                <w:kern w:val="0"/>
                <w:sz w:val="24"/>
              </w:rPr>
            </w:pPr>
            <w:r>
              <w:rPr>
                <w:rFonts w:hAnsi="宋体"/>
                <w:b/>
                <w:bCs/>
                <w:color w:val="auto"/>
                <w:kern w:val="0"/>
                <w:sz w:val="24"/>
              </w:rPr>
              <w:t>其他符合性分析</w:t>
            </w:r>
          </w:p>
        </w:tc>
        <w:tc>
          <w:tcPr>
            <w:tcW w:w="8554" w:type="dxa"/>
            <w:vAlign w:val="center"/>
          </w:tcPr>
          <w:p w14:paraId="484FCAB5">
            <w:pPr>
              <w:tabs>
                <w:tab w:val="left" w:pos="720"/>
              </w:tabs>
              <w:adjustRightInd w:val="0"/>
              <w:snapToGrid w:val="0"/>
              <w:spacing w:line="360" w:lineRule="auto"/>
              <w:ind w:firstLine="482" w:firstLineChars="200"/>
              <w:rPr>
                <w:b/>
                <w:color w:val="auto"/>
                <w:sz w:val="24"/>
              </w:rPr>
            </w:pPr>
            <w:r>
              <w:rPr>
                <w:b/>
                <w:color w:val="auto"/>
                <w:sz w:val="24"/>
              </w:rPr>
              <w:t>一、产业政策相符性</w:t>
            </w:r>
          </w:p>
          <w:p w14:paraId="06CF545E">
            <w:pPr>
              <w:tabs>
                <w:tab w:val="left" w:pos="720"/>
              </w:tabs>
              <w:adjustRightInd w:val="0"/>
              <w:snapToGrid w:val="0"/>
              <w:spacing w:line="360" w:lineRule="auto"/>
              <w:ind w:firstLine="480" w:firstLineChars="200"/>
              <w:rPr>
                <w:color w:val="auto"/>
                <w:sz w:val="24"/>
              </w:rPr>
            </w:pPr>
            <w:r>
              <w:rPr>
                <w:color w:val="auto"/>
                <w:sz w:val="24"/>
              </w:rPr>
              <w:t>本项目主要为</w:t>
            </w:r>
            <w:r>
              <w:rPr>
                <w:rFonts w:hint="eastAsia" w:cs="Times New Roman"/>
                <w:color w:val="auto"/>
                <w:sz w:val="24"/>
                <w:lang w:val="en-US" w:eastAsia="zh-CN"/>
              </w:rPr>
              <w:t>飞灰暂存库建设项目</w:t>
            </w:r>
            <w:r>
              <w:rPr>
                <w:color w:val="auto"/>
                <w:sz w:val="24"/>
              </w:rPr>
              <w:t>，对照《产业结构调整指导目录（20</w:t>
            </w:r>
            <w:r>
              <w:rPr>
                <w:rFonts w:hint="eastAsia"/>
                <w:color w:val="auto"/>
                <w:sz w:val="24"/>
              </w:rPr>
              <w:t>24</w:t>
            </w:r>
            <w:r>
              <w:rPr>
                <w:color w:val="auto"/>
                <w:sz w:val="24"/>
              </w:rPr>
              <w:t>年本）》，不属于其中的限制类和淘汰类项目，为允许类项目。</w:t>
            </w:r>
          </w:p>
          <w:p w14:paraId="38A8EB56">
            <w:pPr>
              <w:tabs>
                <w:tab w:val="left" w:pos="720"/>
              </w:tabs>
              <w:adjustRightInd w:val="0"/>
              <w:snapToGrid w:val="0"/>
              <w:spacing w:line="360" w:lineRule="auto"/>
              <w:ind w:firstLine="480" w:firstLineChars="200"/>
              <w:rPr>
                <w:color w:val="auto"/>
                <w:kern w:val="0"/>
                <w:sz w:val="24"/>
              </w:rPr>
            </w:pPr>
            <w:r>
              <w:rPr>
                <w:color w:val="auto"/>
                <w:kern w:val="0"/>
                <w:sz w:val="24"/>
              </w:rPr>
              <w:t>对照《江苏省产业结构调整限制、淘汰和禁止目录》（苏办发</w:t>
            </w:r>
            <w:r>
              <w:rPr>
                <w:rFonts w:hint="eastAsia"/>
                <w:color w:val="auto"/>
                <w:kern w:val="0"/>
                <w:sz w:val="24"/>
                <w:lang w:eastAsia="zh-CN"/>
              </w:rPr>
              <w:t>〔2018〕32号</w:t>
            </w:r>
            <w:r>
              <w:rPr>
                <w:color w:val="auto"/>
                <w:kern w:val="0"/>
                <w:sz w:val="24"/>
              </w:rPr>
              <w:t>），本项目不属于限制类、淘汰类。</w:t>
            </w:r>
          </w:p>
          <w:p w14:paraId="0635DEE4">
            <w:pPr>
              <w:tabs>
                <w:tab w:val="left" w:pos="720"/>
              </w:tabs>
              <w:adjustRightInd w:val="0"/>
              <w:snapToGrid w:val="0"/>
              <w:spacing w:line="360" w:lineRule="auto"/>
              <w:ind w:firstLine="480" w:firstLineChars="200"/>
              <w:rPr>
                <w:rFonts w:ascii="Times New Roman" w:hAnsi="Times New Roman" w:eastAsia="宋体" w:cs="Times New Roman"/>
                <w:color w:val="auto"/>
                <w:kern w:val="0"/>
                <w:sz w:val="24"/>
              </w:rPr>
            </w:pPr>
            <w:r>
              <w:rPr>
                <w:color w:val="auto"/>
                <w:kern w:val="0"/>
                <w:sz w:val="24"/>
              </w:rPr>
              <w:t>故本次</w:t>
            </w:r>
            <w:r>
              <w:rPr>
                <w:rFonts w:hint="eastAsia" w:cs="Times New Roman"/>
                <w:color w:val="auto"/>
                <w:sz w:val="24"/>
                <w:lang w:val="en-US" w:eastAsia="zh-CN"/>
              </w:rPr>
              <w:t>飞灰暂存库建设项目</w:t>
            </w:r>
            <w:r>
              <w:rPr>
                <w:color w:val="auto"/>
                <w:kern w:val="0"/>
                <w:sz w:val="24"/>
              </w:rPr>
              <w:t>符合国家及地</w:t>
            </w:r>
            <w:r>
              <w:rPr>
                <w:rFonts w:ascii="Times New Roman" w:hAnsi="Times New Roman" w:eastAsia="宋体" w:cs="Times New Roman"/>
                <w:color w:val="auto"/>
                <w:kern w:val="0"/>
                <w:sz w:val="24"/>
              </w:rPr>
              <w:t>方的产业政策，该项目202</w:t>
            </w:r>
            <w:r>
              <w:rPr>
                <w:rFonts w:hint="eastAsia" w:ascii="Times New Roman" w:hAnsi="Times New Roman" w:eastAsia="宋体" w:cs="Times New Roman"/>
                <w:color w:val="auto"/>
                <w:kern w:val="0"/>
                <w:sz w:val="24"/>
                <w:lang w:val="en-US" w:eastAsia="zh-CN"/>
              </w:rPr>
              <w:t>5</w:t>
            </w:r>
            <w:r>
              <w:rPr>
                <w:rFonts w:ascii="Times New Roman" w:hAnsi="Times New Roman" w:eastAsia="宋体" w:cs="Times New Roman"/>
                <w:color w:val="auto"/>
                <w:kern w:val="0"/>
                <w:sz w:val="24"/>
              </w:rPr>
              <w:t>年</w:t>
            </w:r>
            <w:r>
              <w:rPr>
                <w:rFonts w:hint="eastAsia" w:ascii="Times New Roman" w:hAnsi="Times New Roman" w:eastAsia="宋体" w:cs="Times New Roman"/>
                <w:color w:val="auto"/>
                <w:kern w:val="0"/>
                <w:sz w:val="24"/>
                <w:lang w:val="en-US" w:eastAsia="zh-CN"/>
              </w:rPr>
              <w:t>11</w:t>
            </w:r>
            <w:r>
              <w:rPr>
                <w:rFonts w:ascii="Times New Roman" w:hAnsi="Times New Roman" w:eastAsia="宋体" w:cs="Times New Roman"/>
                <w:color w:val="auto"/>
                <w:kern w:val="0"/>
                <w:sz w:val="24"/>
              </w:rPr>
              <w:t>月</w:t>
            </w:r>
            <w:r>
              <w:rPr>
                <w:rFonts w:hint="eastAsia" w:ascii="Times New Roman" w:hAnsi="Times New Roman" w:eastAsia="宋体" w:cs="Times New Roman"/>
                <w:color w:val="auto"/>
                <w:kern w:val="0"/>
                <w:sz w:val="24"/>
                <w:lang w:val="en-US" w:eastAsia="zh-CN"/>
              </w:rPr>
              <w:t>24</w:t>
            </w:r>
            <w:r>
              <w:rPr>
                <w:rFonts w:ascii="Times New Roman" w:hAnsi="Times New Roman" w:eastAsia="宋体" w:cs="Times New Roman"/>
                <w:color w:val="auto"/>
                <w:kern w:val="0"/>
                <w:sz w:val="24"/>
              </w:rPr>
              <w:t>日由</w:t>
            </w:r>
            <w:r>
              <w:rPr>
                <w:rFonts w:hint="eastAsia" w:ascii="Times New Roman" w:hAnsi="Times New Roman" w:eastAsia="宋体" w:cs="Times New Roman"/>
                <w:color w:val="auto"/>
                <w:kern w:val="0"/>
                <w:sz w:val="24"/>
                <w:lang w:eastAsia="zh-CN"/>
              </w:rPr>
              <w:t>涟水县工业和信息化局</w:t>
            </w:r>
            <w:r>
              <w:rPr>
                <w:rFonts w:ascii="Times New Roman" w:hAnsi="Times New Roman" w:eastAsia="宋体" w:cs="Times New Roman"/>
                <w:color w:val="auto"/>
                <w:kern w:val="0"/>
                <w:sz w:val="24"/>
              </w:rPr>
              <w:t>备案，备案证号：</w:t>
            </w:r>
            <w:r>
              <w:rPr>
                <w:rFonts w:hint="eastAsia" w:ascii="Times New Roman" w:hAnsi="Times New Roman" w:eastAsia="宋体" w:cs="Times New Roman"/>
                <w:color w:val="auto"/>
                <w:kern w:val="0"/>
                <w:sz w:val="24"/>
                <w:lang w:val="en-US" w:eastAsia="zh-CN"/>
              </w:rPr>
              <w:t>涟工信备</w:t>
            </w:r>
            <w:r>
              <w:rPr>
                <w:rFonts w:hint="eastAsia" w:cs="Times New Roman"/>
                <w:color w:val="auto"/>
                <w:kern w:val="0"/>
                <w:sz w:val="24"/>
                <w:lang w:val="en-US" w:eastAsia="zh-CN"/>
              </w:rPr>
              <w:t>〔2025〕31号</w:t>
            </w:r>
            <w:r>
              <w:rPr>
                <w:rFonts w:ascii="Times New Roman" w:hAnsi="Times New Roman" w:eastAsia="宋体" w:cs="Times New Roman"/>
                <w:color w:val="auto"/>
                <w:kern w:val="0"/>
                <w:sz w:val="24"/>
              </w:rPr>
              <w:t>，项目代码：</w:t>
            </w:r>
            <w:r>
              <w:rPr>
                <w:rFonts w:hint="eastAsia" w:ascii="Times New Roman" w:hAnsi="Times New Roman" w:eastAsia="宋体" w:cs="Times New Roman"/>
                <w:color w:val="auto"/>
                <w:kern w:val="0"/>
                <w:sz w:val="24"/>
                <w:lang w:val="en-US" w:eastAsia="zh-CN"/>
              </w:rPr>
              <w:t>2511-320826-07-02-715399</w:t>
            </w:r>
            <w:r>
              <w:rPr>
                <w:rFonts w:ascii="Times New Roman" w:hAnsi="Times New Roman" w:eastAsia="宋体" w:cs="Times New Roman"/>
                <w:color w:val="auto"/>
                <w:kern w:val="0"/>
                <w:sz w:val="24"/>
              </w:rPr>
              <w:t>。</w:t>
            </w:r>
          </w:p>
          <w:p w14:paraId="3E97ECDA">
            <w:pPr>
              <w:tabs>
                <w:tab w:val="left" w:pos="720"/>
              </w:tabs>
              <w:adjustRightInd w:val="0"/>
              <w:snapToGrid w:val="0"/>
              <w:spacing w:line="360" w:lineRule="auto"/>
              <w:ind w:firstLine="482" w:firstLineChars="200"/>
              <w:rPr>
                <w:b/>
                <w:color w:val="auto"/>
                <w:sz w:val="24"/>
              </w:rPr>
            </w:pPr>
            <w:r>
              <w:rPr>
                <w:b/>
                <w:color w:val="auto"/>
                <w:sz w:val="24"/>
              </w:rPr>
              <w:t>二、选址、规划相符性分析</w:t>
            </w:r>
          </w:p>
          <w:p w14:paraId="240F6F8B">
            <w:pPr>
              <w:tabs>
                <w:tab w:val="left" w:pos="720"/>
              </w:tabs>
              <w:adjustRightInd w:val="0"/>
              <w:snapToGrid w:val="0"/>
              <w:spacing w:line="360" w:lineRule="auto"/>
              <w:ind w:firstLine="480" w:firstLineChars="200"/>
              <w:rPr>
                <w:color w:val="auto"/>
                <w:kern w:val="0"/>
                <w:sz w:val="24"/>
              </w:rPr>
            </w:pPr>
            <w:r>
              <w:rPr>
                <w:color w:val="auto"/>
                <w:kern w:val="0"/>
                <w:sz w:val="24"/>
              </w:rPr>
              <w:t>本项目位于</w:t>
            </w:r>
            <w:r>
              <w:rPr>
                <w:rFonts w:hint="eastAsia"/>
                <w:color w:val="auto"/>
                <w:kern w:val="0"/>
                <w:sz w:val="24"/>
                <w:lang w:val="en-US" w:eastAsia="zh-CN"/>
              </w:rPr>
              <w:t>江苏省淮安市涟水县大东镇马棚农场</w:t>
            </w:r>
            <w:r>
              <w:rPr>
                <w:color w:val="auto"/>
                <w:kern w:val="0"/>
                <w:sz w:val="24"/>
              </w:rPr>
              <w:t>，对照国家</w:t>
            </w:r>
            <w:r>
              <w:rPr>
                <w:rFonts w:hint="eastAsia"/>
                <w:color w:val="auto"/>
                <w:kern w:val="0"/>
                <w:sz w:val="24"/>
              </w:rPr>
              <w:t>《自然资源要素支撑产业高质量发展指导目录</w:t>
            </w:r>
            <w:r>
              <w:rPr>
                <w:rFonts w:hint="eastAsia"/>
                <w:color w:val="auto"/>
                <w:kern w:val="0"/>
                <w:sz w:val="24"/>
                <w:lang w:eastAsia="zh-CN"/>
              </w:rPr>
              <w:t>（</w:t>
            </w:r>
            <w:r>
              <w:rPr>
                <w:rFonts w:hint="eastAsia"/>
                <w:color w:val="auto"/>
                <w:kern w:val="0"/>
                <w:sz w:val="24"/>
              </w:rPr>
              <w:t>2024年本</w:t>
            </w:r>
            <w:r>
              <w:rPr>
                <w:rFonts w:hint="eastAsia"/>
                <w:color w:val="auto"/>
                <w:kern w:val="0"/>
                <w:sz w:val="24"/>
                <w:lang w:eastAsia="zh-CN"/>
              </w:rPr>
              <w:t>）</w:t>
            </w:r>
            <w:r>
              <w:rPr>
                <w:color w:val="auto"/>
                <w:kern w:val="0"/>
                <w:sz w:val="24"/>
              </w:rPr>
              <w:t>及《江苏省限制用地项目目录（2013年本）》和《江苏省禁止用地项目目录（2013年本）</w:t>
            </w:r>
            <w:r>
              <w:rPr>
                <w:rFonts w:hint="eastAsia"/>
                <w:color w:val="auto"/>
                <w:kern w:val="0"/>
                <w:sz w:val="24"/>
                <w:lang w:eastAsia="zh-CN"/>
              </w:rPr>
              <w:t>》等</w:t>
            </w:r>
            <w:r>
              <w:rPr>
                <w:color w:val="auto"/>
                <w:kern w:val="0"/>
                <w:sz w:val="24"/>
              </w:rPr>
              <w:t>相关名录，本项目不属于其规定的限制用地和禁止用地项目范畴，因此，该项目建设选址合理。</w:t>
            </w:r>
          </w:p>
          <w:p w14:paraId="05335753">
            <w:pPr>
              <w:tabs>
                <w:tab w:val="left" w:pos="720"/>
              </w:tabs>
              <w:adjustRightInd w:val="0"/>
              <w:snapToGrid w:val="0"/>
              <w:spacing w:line="360" w:lineRule="auto"/>
              <w:ind w:firstLine="480" w:firstLineChars="200"/>
              <w:rPr>
                <w:color w:val="auto"/>
                <w:kern w:val="0"/>
                <w:sz w:val="24"/>
              </w:rPr>
            </w:pPr>
            <w:r>
              <w:rPr>
                <w:color w:val="auto"/>
                <w:kern w:val="0"/>
                <w:sz w:val="24"/>
              </w:rPr>
              <w:t>综上，本项目符合相关规划要求。</w:t>
            </w:r>
          </w:p>
          <w:p w14:paraId="5851D0B7">
            <w:pPr>
              <w:adjustRightInd w:val="0"/>
              <w:snapToGrid w:val="0"/>
              <w:spacing w:line="360" w:lineRule="auto"/>
              <w:ind w:firstLine="482" w:firstLineChars="200"/>
              <w:rPr>
                <w:rFonts w:ascii="Times New Roman" w:cs="Times New Roman" w:hAnsiTheme="minorEastAsia" w:eastAsiaTheme="minorEastAsia"/>
                <w:b/>
                <w:color w:val="auto"/>
                <w:sz w:val="24"/>
              </w:rPr>
            </w:pPr>
            <w:r>
              <w:rPr>
                <w:rFonts w:ascii="Times New Roman" w:cs="Times New Roman" w:hAnsiTheme="minorEastAsia" w:eastAsiaTheme="minorEastAsia"/>
                <w:b/>
                <w:color w:val="auto"/>
                <w:sz w:val="24"/>
              </w:rPr>
              <w:t>三、“三线一单”相符性分析</w:t>
            </w:r>
          </w:p>
          <w:p w14:paraId="1F86A189">
            <w:pPr>
              <w:adjustRightInd w:val="0"/>
              <w:snapToGrid w:val="0"/>
              <w:spacing w:line="360" w:lineRule="auto"/>
              <w:ind w:firstLine="482" w:firstLineChars="200"/>
              <w:rPr>
                <w:rFonts w:hAnsiTheme="minorEastAsia" w:eastAsiaTheme="minorEastAsia"/>
                <w:b/>
                <w:color w:val="auto"/>
                <w:sz w:val="24"/>
              </w:rPr>
            </w:pPr>
            <w:r>
              <w:rPr>
                <w:rFonts w:hAnsiTheme="minorEastAsia" w:eastAsiaTheme="minorEastAsia"/>
                <w:b/>
                <w:color w:val="auto"/>
                <w:sz w:val="24"/>
              </w:rPr>
              <w:t>（1）与生态红线相符性</w:t>
            </w:r>
          </w:p>
          <w:p w14:paraId="53F50FD0">
            <w:pPr>
              <w:adjustRightInd w:val="0"/>
              <w:snapToGrid w:val="0"/>
              <w:spacing w:line="360" w:lineRule="auto"/>
              <w:ind w:firstLine="480" w:firstLineChars="200"/>
              <w:rPr>
                <w:rFonts w:hint="eastAsia"/>
                <w:color w:val="auto"/>
                <w:sz w:val="24"/>
              </w:rPr>
            </w:pPr>
            <w:r>
              <w:rPr>
                <w:color w:val="auto"/>
                <w:sz w:val="24"/>
              </w:rPr>
              <w:t>①</w:t>
            </w:r>
            <w:r>
              <w:rPr>
                <w:rFonts w:hint="eastAsia"/>
                <w:color w:val="auto"/>
                <w:sz w:val="24"/>
              </w:rPr>
              <w:t>与生态红线相符性分析</w:t>
            </w:r>
          </w:p>
          <w:p w14:paraId="6BEC3ABD">
            <w:pPr>
              <w:adjustRightInd w:val="0"/>
              <w:snapToGrid w:val="0"/>
              <w:spacing w:line="360" w:lineRule="auto"/>
              <w:ind w:firstLine="480" w:firstLineChars="200"/>
              <w:rPr>
                <w:color w:val="auto"/>
                <w:sz w:val="24"/>
              </w:rPr>
            </w:pPr>
            <w:r>
              <w:rPr>
                <w:color w:val="auto"/>
                <w:sz w:val="24"/>
              </w:rPr>
              <w:t>本项目位于</w:t>
            </w:r>
            <w:r>
              <w:rPr>
                <w:rFonts w:hint="eastAsia"/>
                <w:color w:val="auto"/>
                <w:kern w:val="0"/>
                <w:sz w:val="24"/>
                <w:lang w:val="en-US" w:eastAsia="zh-CN"/>
              </w:rPr>
              <w:t>江苏省淮安市涟水县大东镇马棚农场</w:t>
            </w:r>
            <w:r>
              <w:rPr>
                <w:color w:val="auto"/>
                <w:sz w:val="24"/>
              </w:rPr>
              <w:t>，对照《省政府关于印发江苏省生态空间管控区域规划的通知》（苏政发〔2020〕1号）和《省政府关于印发江苏省国家级生态保护红线规划》（苏政发〔2018〕74号），本项目距离</w:t>
            </w:r>
            <w:r>
              <w:rPr>
                <w:rFonts w:hint="eastAsia"/>
                <w:color w:val="auto"/>
                <w:sz w:val="24"/>
                <w:lang w:eastAsia="zh-CN"/>
              </w:rPr>
              <w:t>废黄河（涟水县）重要湿地</w:t>
            </w:r>
            <w:r>
              <w:rPr>
                <w:color w:val="auto"/>
                <w:sz w:val="24"/>
              </w:rPr>
              <w:t>约</w:t>
            </w:r>
            <w:r>
              <w:rPr>
                <w:rFonts w:hint="eastAsia"/>
                <w:color w:val="auto"/>
                <w:sz w:val="24"/>
                <w:lang w:val="en-US" w:eastAsia="zh-CN"/>
              </w:rPr>
              <w:t>18</w:t>
            </w:r>
            <w:r>
              <w:rPr>
                <w:rFonts w:hint="eastAsia" w:cs="Times New Roman"/>
                <w:color w:val="auto"/>
                <w:sz w:val="24"/>
                <w:lang w:val="en-US" w:eastAsia="zh-CN"/>
              </w:rPr>
              <w:t>550</w:t>
            </w:r>
            <w:r>
              <w:rPr>
                <w:rFonts w:ascii="Times New Roman" w:hAnsi="Times New Roman" w:eastAsia="宋体" w:cs="Times New Roman"/>
                <w:color w:val="auto"/>
                <w:sz w:val="24"/>
              </w:rPr>
              <w:t>m</w:t>
            </w:r>
            <w:r>
              <w:rPr>
                <w:rFonts w:hint="eastAsia" w:cs="Times New Roman"/>
                <w:color w:val="auto"/>
                <w:sz w:val="24"/>
                <w:lang w:eastAsia="zh-CN"/>
              </w:rPr>
              <w:t>，</w:t>
            </w:r>
            <w:r>
              <w:rPr>
                <w:color w:val="auto"/>
                <w:sz w:val="24"/>
              </w:rPr>
              <w:t>不在生态空间管控区域内，详见表1-2。因此与《省政府关于印发江苏省生态空间管控区域规划的通知》（苏政发〔2020〕1号）和《省政府关于印发江苏省国家级生态保护红线规划》（苏政发〔2018〕74号）相符。详见表1-</w:t>
            </w:r>
            <w:r>
              <w:rPr>
                <w:rFonts w:hint="eastAsia"/>
                <w:color w:val="auto"/>
                <w:sz w:val="24"/>
                <w:lang w:val="en-US" w:eastAsia="zh-CN"/>
              </w:rPr>
              <w:t>3</w:t>
            </w:r>
            <w:r>
              <w:rPr>
                <w:color w:val="auto"/>
                <w:sz w:val="24"/>
              </w:rPr>
              <w:t>。</w:t>
            </w:r>
          </w:p>
          <w:p w14:paraId="763AEAAD">
            <w:pPr>
              <w:keepNext/>
              <w:adjustRightInd w:val="0"/>
              <w:snapToGrid w:val="0"/>
              <w:jc w:val="center"/>
              <w:rPr>
                <w:b/>
                <w:color w:val="auto"/>
                <w:sz w:val="24"/>
              </w:rPr>
            </w:pPr>
            <w:r>
              <w:rPr>
                <w:b/>
                <w:color w:val="auto"/>
                <w:sz w:val="24"/>
              </w:rPr>
              <w:t>表1-</w:t>
            </w:r>
            <w:r>
              <w:rPr>
                <w:rFonts w:hint="eastAsia"/>
                <w:b/>
                <w:color w:val="auto"/>
                <w:sz w:val="24"/>
                <w:lang w:val="en-US" w:eastAsia="zh-CN"/>
              </w:rPr>
              <w:t>3</w:t>
            </w:r>
            <w:r>
              <w:rPr>
                <w:b/>
                <w:color w:val="auto"/>
                <w:sz w:val="24"/>
              </w:rPr>
              <w:t xml:space="preserve">  项目地附近红线生态区域情况表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7"/>
              <w:gridCol w:w="604"/>
              <w:gridCol w:w="1074"/>
              <w:gridCol w:w="1939"/>
              <w:gridCol w:w="1016"/>
              <w:gridCol w:w="975"/>
              <w:gridCol w:w="599"/>
              <w:gridCol w:w="1301"/>
            </w:tblGrid>
            <w:tr w14:paraId="2A912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496" w:type="pct"/>
                  <w:vMerge w:val="restart"/>
                  <w:vAlign w:val="center"/>
                </w:tcPr>
                <w:p w14:paraId="6D3EF52A">
                  <w:pPr>
                    <w:adjustRightInd w:val="0"/>
                    <w:snapToGrid w:val="0"/>
                    <w:spacing w:line="280" w:lineRule="exact"/>
                    <w:jc w:val="center"/>
                    <w:rPr>
                      <w:b/>
                      <w:bCs/>
                      <w:color w:val="auto"/>
                      <w:szCs w:val="21"/>
                    </w:rPr>
                  </w:pPr>
                  <w:r>
                    <w:rPr>
                      <w:b/>
                      <w:bCs/>
                      <w:color w:val="auto"/>
                      <w:szCs w:val="21"/>
                    </w:rPr>
                    <w:t>红线区域</w:t>
                  </w:r>
                </w:p>
                <w:p w14:paraId="056398C4">
                  <w:pPr>
                    <w:adjustRightInd w:val="0"/>
                    <w:snapToGrid w:val="0"/>
                    <w:spacing w:line="280" w:lineRule="exact"/>
                    <w:jc w:val="center"/>
                    <w:rPr>
                      <w:b/>
                      <w:bCs/>
                      <w:color w:val="auto"/>
                      <w:szCs w:val="21"/>
                    </w:rPr>
                  </w:pPr>
                  <w:r>
                    <w:rPr>
                      <w:b/>
                      <w:bCs/>
                      <w:color w:val="auto"/>
                      <w:szCs w:val="21"/>
                    </w:rPr>
                    <w:t>名称</w:t>
                  </w:r>
                </w:p>
              </w:tc>
              <w:tc>
                <w:tcPr>
                  <w:tcW w:w="362" w:type="pct"/>
                  <w:vMerge w:val="restart"/>
                  <w:vAlign w:val="center"/>
                </w:tcPr>
                <w:p w14:paraId="122B58D2">
                  <w:pPr>
                    <w:adjustRightInd w:val="0"/>
                    <w:snapToGrid w:val="0"/>
                    <w:spacing w:line="280" w:lineRule="exact"/>
                    <w:jc w:val="center"/>
                    <w:rPr>
                      <w:b/>
                      <w:bCs/>
                      <w:color w:val="auto"/>
                      <w:szCs w:val="21"/>
                    </w:rPr>
                  </w:pPr>
                  <w:r>
                    <w:rPr>
                      <w:b/>
                      <w:bCs/>
                      <w:color w:val="auto"/>
                      <w:szCs w:val="21"/>
                    </w:rPr>
                    <w:t>主导生态</w:t>
                  </w:r>
                </w:p>
                <w:p w14:paraId="6CCEED5B">
                  <w:pPr>
                    <w:adjustRightInd w:val="0"/>
                    <w:snapToGrid w:val="0"/>
                    <w:spacing w:line="280" w:lineRule="exact"/>
                    <w:jc w:val="center"/>
                    <w:rPr>
                      <w:b/>
                      <w:bCs/>
                      <w:color w:val="auto"/>
                      <w:szCs w:val="21"/>
                    </w:rPr>
                  </w:pPr>
                  <w:r>
                    <w:rPr>
                      <w:b/>
                      <w:bCs/>
                      <w:color w:val="auto"/>
                      <w:szCs w:val="21"/>
                    </w:rPr>
                    <w:t>功能</w:t>
                  </w:r>
                </w:p>
              </w:tc>
              <w:tc>
                <w:tcPr>
                  <w:tcW w:w="1807" w:type="pct"/>
                  <w:gridSpan w:val="2"/>
                  <w:vAlign w:val="center"/>
                </w:tcPr>
                <w:p w14:paraId="1E05F8FB">
                  <w:pPr>
                    <w:adjustRightInd w:val="0"/>
                    <w:snapToGrid w:val="0"/>
                    <w:spacing w:line="280" w:lineRule="exact"/>
                    <w:jc w:val="center"/>
                    <w:rPr>
                      <w:b/>
                      <w:bCs/>
                      <w:color w:val="auto"/>
                      <w:szCs w:val="21"/>
                    </w:rPr>
                  </w:pPr>
                  <w:r>
                    <w:rPr>
                      <w:b/>
                      <w:bCs/>
                      <w:color w:val="auto"/>
                      <w:szCs w:val="21"/>
                    </w:rPr>
                    <w:t>红线区域范围</w:t>
                  </w:r>
                </w:p>
              </w:tc>
              <w:tc>
                <w:tcPr>
                  <w:tcW w:w="1553" w:type="pct"/>
                  <w:gridSpan w:val="3"/>
                  <w:vAlign w:val="center"/>
                </w:tcPr>
                <w:p w14:paraId="5E8D777B">
                  <w:pPr>
                    <w:adjustRightInd w:val="0"/>
                    <w:snapToGrid w:val="0"/>
                    <w:spacing w:line="280" w:lineRule="exact"/>
                    <w:jc w:val="center"/>
                    <w:rPr>
                      <w:b/>
                      <w:bCs/>
                      <w:color w:val="auto"/>
                      <w:szCs w:val="21"/>
                    </w:rPr>
                  </w:pPr>
                  <w:r>
                    <w:rPr>
                      <w:b/>
                      <w:bCs/>
                      <w:color w:val="auto"/>
                      <w:szCs w:val="21"/>
                    </w:rPr>
                    <w:t>面积（平方公里）</w:t>
                  </w:r>
                </w:p>
              </w:tc>
              <w:tc>
                <w:tcPr>
                  <w:tcW w:w="780" w:type="pct"/>
                  <w:vMerge w:val="restart"/>
                  <w:vAlign w:val="center"/>
                </w:tcPr>
                <w:p w14:paraId="10E7D5F9">
                  <w:pPr>
                    <w:adjustRightInd w:val="0"/>
                    <w:snapToGrid w:val="0"/>
                    <w:spacing w:line="280" w:lineRule="exact"/>
                    <w:jc w:val="center"/>
                    <w:rPr>
                      <w:rFonts w:hint="eastAsia" w:eastAsia="宋体"/>
                      <w:b/>
                      <w:bCs/>
                      <w:color w:val="auto"/>
                      <w:szCs w:val="21"/>
                      <w:lang w:eastAsia="zh-CN"/>
                    </w:rPr>
                  </w:pPr>
                  <w:r>
                    <w:rPr>
                      <w:rFonts w:hint="eastAsia"/>
                      <w:b/>
                      <w:bCs/>
                      <w:color w:val="auto"/>
                      <w:szCs w:val="21"/>
                      <w:lang w:eastAsia="zh-CN"/>
                    </w:rPr>
                    <w:t>距本项目距离</w:t>
                  </w:r>
                </w:p>
              </w:tc>
            </w:tr>
            <w:tr w14:paraId="0F423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96" w:type="pct"/>
                  <w:vMerge w:val="continue"/>
                  <w:vAlign w:val="center"/>
                </w:tcPr>
                <w:p w14:paraId="68B2419F">
                  <w:pPr>
                    <w:adjustRightInd w:val="0"/>
                    <w:snapToGrid w:val="0"/>
                    <w:spacing w:line="280" w:lineRule="exact"/>
                    <w:jc w:val="center"/>
                    <w:rPr>
                      <w:b/>
                      <w:bCs/>
                      <w:color w:val="auto"/>
                      <w:szCs w:val="21"/>
                    </w:rPr>
                  </w:pPr>
                </w:p>
              </w:tc>
              <w:tc>
                <w:tcPr>
                  <w:tcW w:w="362" w:type="pct"/>
                  <w:vMerge w:val="continue"/>
                  <w:vAlign w:val="center"/>
                </w:tcPr>
                <w:p w14:paraId="1174B56E">
                  <w:pPr>
                    <w:adjustRightInd w:val="0"/>
                    <w:snapToGrid w:val="0"/>
                    <w:spacing w:line="280" w:lineRule="exact"/>
                    <w:jc w:val="center"/>
                    <w:rPr>
                      <w:b/>
                      <w:bCs/>
                      <w:color w:val="auto"/>
                      <w:szCs w:val="21"/>
                    </w:rPr>
                  </w:pPr>
                </w:p>
              </w:tc>
              <w:tc>
                <w:tcPr>
                  <w:tcW w:w="644" w:type="pct"/>
                  <w:vAlign w:val="center"/>
                </w:tcPr>
                <w:p w14:paraId="1838D849">
                  <w:pPr>
                    <w:adjustRightInd w:val="0"/>
                    <w:snapToGrid w:val="0"/>
                    <w:spacing w:line="280" w:lineRule="exact"/>
                    <w:jc w:val="center"/>
                    <w:rPr>
                      <w:b/>
                      <w:bCs/>
                      <w:color w:val="auto"/>
                      <w:szCs w:val="21"/>
                    </w:rPr>
                  </w:pPr>
                  <w:r>
                    <w:rPr>
                      <w:b/>
                      <w:bCs/>
                      <w:color w:val="auto"/>
                      <w:szCs w:val="21"/>
                    </w:rPr>
                    <w:t>国家生态保护红线范围</w:t>
                  </w:r>
                </w:p>
              </w:tc>
              <w:tc>
                <w:tcPr>
                  <w:tcW w:w="1163" w:type="pct"/>
                  <w:vAlign w:val="center"/>
                </w:tcPr>
                <w:p w14:paraId="342E7F6E">
                  <w:pPr>
                    <w:adjustRightInd w:val="0"/>
                    <w:snapToGrid w:val="0"/>
                    <w:spacing w:line="280" w:lineRule="exact"/>
                    <w:jc w:val="center"/>
                    <w:rPr>
                      <w:b/>
                      <w:bCs/>
                      <w:color w:val="auto"/>
                      <w:szCs w:val="21"/>
                    </w:rPr>
                  </w:pPr>
                  <w:r>
                    <w:rPr>
                      <w:b/>
                      <w:bCs/>
                      <w:color w:val="auto"/>
                      <w:szCs w:val="21"/>
                    </w:rPr>
                    <w:t>生态空间管控区域范围</w:t>
                  </w:r>
                </w:p>
              </w:tc>
              <w:tc>
                <w:tcPr>
                  <w:tcW w:w="609" w:type="pct"/>
                  <w:vAlign w:val="center"/>
                </w:tcPr>
                <w:p w14:paraId="7FF2C8D5">
                  <w:pPr>
                    <w:adjustRightInd w:val="0"/>
                    <w:snapToGrid w:val="0"/>
                    <w:spacing w:line="280" w:lineRule="exact"/>
                    <w:jc w:val="center"/>
                    <w:rPr>
                      <w:b/>
                      <w:bCs/>
                      <w:color w:val="auto"/>
                      <w:szCs w:val="21"/>
                    </w:rPr>
                  </w:pPr>
                  <w:r>
                    <w:rPr>
                      <w:b/>
                      <w:bCs/>
                      <w:color w:val="auto"/>
                      <w:szCs w:val="21"/>
                    </w:rPr>
                    <w:t>国家生态保护红线范围</w:t>
                  </w:r>
                </w:p>
              </w:tc>
              <w:tc>
                <w:tcPr>
                  <w:tcW w:w="584" w:type="pct"/>
                  <w:vAlign w:val="center"/>
                </w:tcPr>
                <w:p w14:paraId="38BBD548">
                  <w:pPr>
                    <w:adjustRightInd w:val="0"/>
                    <w:snapToGrid w:val="0"/>
                    <w:spacing w:line="280" w:lineRule="exact"/>
                    <w:jc w:val="center"/>
                    <w:rPr>
                      <w:b/>
                      <w:bCs/>
                      <w:color w:val="auto"/>
                      <w:szCs w:val="21"/>
                    </w:rPr>
                  </w:pPr>
                  <w:r>
                    <w:rPr>
                      <w:b/>
                      <w:bCs/>
                      <w:color w:val="auto"/>
                      <w:szCs w:val="21"/>
                    </w:rPr>
                    <w:t>生态空间管控区域范围</w:t>
                  </w:r>
                </w:p>
              </w:tc>
              <w:tc>
                <w:tcPr>
                  <w:tcW w:w="359" w:type="pct"/>
                  <w:vAlign w:val="center"/>
                </w:tcPr>
                <w:p w14:paraId="03817DBC">
                  <w:pPr>
                    <w:adjustRightInd w:val="0"/>
                    <w:snapToGrid w:val="0"/>
                    <w:spacing w:line="280" w:lineRule="exact"/>
                    <w:jc w:val="center"/>
                    <w:rPr>
                      <w:b/>
                      <w:bCs/>
                      <w:color w:val="auto"/>
                      <w:szCs w:val="21"/>
                    </w:rPr>
                  </w:pPr>
                  <w:r>
                    <w:rPr>
                      <w:b/>
                      <w:bCs/>
                      <w:color w:val="auto"/>
                      <w:szCs w:val="21"/>
                    </w:rPr>
                    <w:t>总面积</w:t>
                  </w:r>
                </w:p>
              </w:tc>
              <w:tc>
                <w:tcPr>
                  <w:tcW w:w="780" w:type="pct"/>
                  <w:vMerge w:val="continue"/>
                  <w:vAlign w:val="center"/>
                </w:tcPr>
                <w:p w14:paraId="68A4A795">
                  <w:pPr>
                    <w:adjustRightInd w:val="0"/>
                    <w:snapToGrid w:val="0"/>
                    <w:spacing w:line="280" w:lineRule="exact"/>
                    <w:jc w:val="center"/>
                    <w:rPr>
                      <w:rFonts w:hint="eastAsia" w:eastAsia="宋体"/>
                      <w:b/>
                      <w:bCs/>
                      <w:color w:val="auto"/>
                      <w:szCs w:val="21"/>
                      <w:lang w:eastAsia="zh-CN"/>
                    </w:rPr>
                  </w:pPr>
                </w:p>
              </w:tc>
            </w:tr>
            <w:tr w14:paraId="126BF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96" w:type="pct"/>
                  <w:vAlign w:val="center"/>
                </w:tcPr>
                <w:p w14:paraId="28834088">
                  <w:pPr>
                    <w:adjustRightInd w:val="0"/>
                    <w:snapToGrid w:val="0"/>
                    <w:spacing w:line="280" w:lineRule="exact"/>
                    <w:jc w:val="center"/>
                    <w:rPr>
                      <w:rFonts w:hint="eastAsia" w:eastAsia="宋体"/>
                      <w:color w:val="auto"/>
                      <w:szCs w:val="21"/>
                      <w:lang w:eastAsia="zh-CN"/>
                    </w:rPr>
                  </w:pPr>
                  <w:r>
                    <w:rPr>
                      <w:rFonts w:hint="eastAsia"/>
                      <w:color w:val="auto"/>
                      <w:szCs w:val="21"/>
                      <w:lang w:eastAsia="zh-CN"/>
                    </w:rPr>
                    <w:t>废黄河（涟水县）重要湿地</w:t>
                  </w:r>
                </w:p>
              </w:tc>
              <w:tc>
                <w:tcPr>
                  <w:tcW w:w="362" w:type="pct"/>
                  <w:vAlign w:val="center"/>
                </w:tcPr>
                <w:p w14:paraId="470C70B5">
                  <w:pPr>
                    <w:adjustRightInd w:val="0"/>
                    <w:snapToGrid w:val="0"/>
                    <w:spacing w:line="280" w:lineRule="exact"/>
                    <w:jc w:val="center"/>
                    <w:rPr>
                      <w:rFonts w:hint="eastAsia" w:eastAsia="宋体"/>
                      <w:color w:val="auto"/>
                      <w:szCs w:val="21"/>
                      <w:lang w:eastAsia="zh-CN"/>
                    </w:rPr>
                  </w:pPr>
                  <w:r>
                    <w:rPr>
                      <w:rFonts w:hint="eastAsia"/>
                      <w:color w:val="auto"/>
                      <w:szCs w:val="21"/>
                    </w:rPr>
                    <w:t>湿地</w:t>
                  </w:r>
                  <w:r>
                    <w:rPr>
                      <w:rFonts w:hint="eastAsia"/>
                      <w:color w:val="auto"/>
                      <w:szCs w:val="21"/>
                      <w:lang w:eastAsia="zh-CN"/>
                    </w:rPr>
                    <w:t>生态</w:t>
                  </w:r>
                  <w:r>
                    <w:rPr>
                      <w:color w:val="auto"/>
                      <w:szCs w:val="21"/>
                    </w:rPr>
                    <w:t>保护</w:t>
                  </w:r>
                  <w:r>
                    <w:rPr>
                      <w:rFonts w:hint="eastAsia"/>
                      <w:color w:val="auto"/>
                      <w:szCs w:val="21"/>
                      <w:lang w:eastAsia="zh-CN"/>
                    </w:rPr>
                    <w:t>系统</w:t>
                  </w:r>
                </w:p>
              </w:tc>
              <w:tc>
                <w:tcPr>
                  <w:tcW w:w="644" w:type="pct"/>
                  <w:vAlign w:val="center"/>
                </w:tcPr>
                <w:p w14:paraId="1335266B">
                  <w:pPr>
                    <w:adjustRightInd w:val="0"/>
                    <w:snapToGrid w:val="0"/>
                    <w:spacing w:line="280" w:lineRule="exact"/>
                    <w:jc w:val="center"/>
                    <w:rPr>
                      <w:color w:val="auto"/>
                      <w:szCs w:val="21"/>
                    </w:rPr>
                  </w:pPr>
                  <w:r>
                    <w:rPr>
                      <w:color w:val="auto"/>
                      <w:szCs w:val="21"/>
                    </w:rPr>
                    <w:t>/</w:t>
                  </w:r>
                </w:p>
              </w:tc>
              <w:tc>
                <w:tcPr>
                  <w:tcW w:w="1163" w:type="pct"/>
                  <w:vAlign w:val="center"/>
                </w:tcPr>
                <w:p w14:paraId="726091F6">
                  <w:pPr>
                    <w:adjustRightInd w:val="0"/>
                    <w:snapToGrid w:val="0"/>
                    <w:spacing w:line="280" w:lineRule="exact"/>
                    <w:jc w:val="center"/>
                    <w:rPr>
                      <w:color w:val="auto"/>
                      <w:szCs w:val="21"/>
                    </w:rPr>
                  </w:pPr>
                  <w:r>
                    <w:rPr>
                      <w:rFonts w:hint="eastAsia"/>
                      <w:color w:val="auto"/>
                      <w:szCs w:val="21"/>
                      <w:lang w:eastAsia="zh-CN"/>
                    </w:rPr>
                    <w:t>涟水县</w:t>
                  </w:r>
                  <w:r>
                    <w:rPr>
                      <w:rFonts w:hint="eastAsia"/>
                      <w:color w:val="auto"/>
                      <w:szCs w:val="21"/>
                    </w:rPr>
                    <w:t>境内全长78公里</w:t>
                  </w:r>
                  <w:r>
                    <w:rPr>
                      <w:rFonts w:hint="eastAsia"/>
                      <w:color w:val="auto"/>
                      <w:szCs w:val="21"/>
                      <w:lang w:eastAsia="zh-CN"/>
                    </w:rPr>
                    <w:t>，</w:t>
                  </w:r>
                  <w:r>
                    <w:rPr>
                      <w:rFonts w:hint="eastAsia"/>
                      <w:color w:val="auto"/>
                      <w:szCs w:val="21"/>
                    </w:rPr>
                    <w:t>入口保滩镇殷家渡，出口石湖镇张滩，废黄河北岸保滩镇周庄村至石湖镇张滩村</w:t>
                  </w:r>
                </w:p>
              </w:tc>
              <w:tc>
                <w:tcPr>
                  <w:tcW w:w="609" w:type="pct"/>
                  <w:vAlign w:val="center"/>
                </w:tcPr>
                <w:p w14:paraId="556856D5">
                  <w:pPr>
                    <w:adjustRightInd w:val="0"/>
                    <w:snapToGrid w:val="0"/>
                    <w:spacing w:line="280" w:lineRule="exact"/>
                    <w:jc w:val="center"/>
                    <w:rPr>
                      <w:rFonts w:hint="eastAsia" w:eastAsia="宋体"/>
                      <w:color w:val="auto"/>
                      <w:szCs w:val="21"/>
                      <w:lang w:val="en-US" w:eastAsia="zh-CN"/>
                    </w:rPr>
                  </w:pPr>
                  <w:r>
                    <w:rPr>
                      <w:rFonts w:hint="eastAsia"/>
                      <w:color w:val="auto"/>
                      <w:szCs w:val="21"/>
                      <w:lang w:val="en-US" w:eastAsia="zh-CN"/>
                    </w:rPr>
                    <w:t>/</w:t>
                  </w:r>
                </w:p>
              </w:tc>
              <w:tc>
                <w:tcPr>
                  <w:tcW w:w="584" w:type="pct"/>
                  <w:vAlign w:val="center"/>
                </w:tcPr>
                <w:p w14:paraId="243D8E7A">
                  <w:pPr>
                    <w:adjustRightInd w:val="0"/>
                    <w:snapToGrid w:val="0"/>
                    <w:spacing w:line="280" w:lineRule="exact"/>
                    <w:jc w:val="center"/>
                    <w:rPr>
                      <w:rFonts w:hint="default" w:eastAsia="宋体"/>
                      <w:color w:val="auto"/>
                      <w:szCs w:val="21"/>
                      <w:lang w:val="en-US" w:eastAsia="zh-CN"/>
                    </w:rPr>
                  </w:pPr>
                  <w:r>
                    <w:rPr>
                      <w:rFonts w:hint="eastAsia"/>
                      <w:color w:val="auto"/>
                      <w:szCs w:val="21"/>
                      <w:lang w:val="en-US" w:eastAsia="zh-CN"/>
                    </w:rPr>
                    <w:t>10.78</w:t>
                  </w:r>
                </w:p>
              </w:tc>
              <w:tc>
                <w:tcPr>
                  <w:tcW w:w="359" w:type="pct"/>
                  <w:vAlign w:val="center"/>
                </w:tcPr>
                <w:p w14:paraId="3553549E">
                  <w:pPr>
                    <w:adjustRightInd w:val="0"/>
                    <w:snapToGrid w:val="0"/>
                    <w:spacing w:line="280" w:lineRule="exact"/>
                    <w:jc w:val="center"/>
                    <w:rPr>
                      <w:rFonts w:hint="default" w:eastAsia="宋体"/>
                      <w:color w:val="auto"/>
                      <w:szCs w:val="21"/>
                      <w:lang w:val="en-US" w:eastAsia="zh-CN"/>
                    </w:rPr>
                  </w:pPr>
                  <w:r>
                    <w:rPr>
                      <w:rFonts w:hint="eastAsia"/>
                      <w:color w:val="auto"/>
                      <w:szCs w:val="21"/>
                      <w:lang w:val="en-US" w:eastAsia="zh-CN"/>
                    </w:rPr>
                    <w:t>10.78</w:t>
                  </w:r>
                </w:p>
              </w:tc>
              <w:tc>
                <w:tcPr>
                  <w:tcW w:w="780" w:type="pct"/>
                  <w:vAlign w:val="center"/>
                </w:tcPr>
                <w:p w14:paraId="529B2551">
                  <w:pPr>
                    <w:adjustRightInd w:val="0"/>
                    <w:snapToGrid w:val="0"/>
                    <w:spacing w:line="280" w:lineRule="exact"/>
                    <w:jc w:val="center"/>
                    <w:rPr>
                      <w:rFonts w:hint="default" w:eastAsia="宋体"/>
                      <w:color w:val="auto"/>
                      <w:szCs w:val="21"/>
                      <w:lang w:val="en-US" w:eastAsia="zh-CN"/>
                    </w:rPr>
                  </w:pPr>
                  <w:r>
                    <w:rPr>
                      <w:rFonts w:hint="eastAsia"/>
                      <w:color w:val="auto"/>
                      <w:szCs w:val="21"/>
                      <w:lang w:eastAsia="zh-CN"/>
                    </w:rPr>
                    <w:t>西南，约</w:t>
                  </w:r>
                  <w:r>
                    <w:rPr>
                      <w:rFonts w:hint="eastAsia"/>
                      <w:color w:val="auto"/>
                      <w:szCs w:val="21"/>
                      <w:lang w:val="en-US" w:eastAsia="zh-CN"/>
                    </w:rPr>
                    <w:t>18.55km</w:t>
                  </w:r>
                </w:p>
              </w:tc>
            </w:tr>
          </w:tbl>
          <w:p w14:paraId="72AE448F">
            <w:pPr>
              <w:adjustRightInd w:val="0"/>
              <w:snapToGrid w:val="0"/>
              <w:spacing w:before="120" w:beforeLines="50" w:line="360" w:lineRule="auto"/>
              <w:ind w:firstLine="480" w:firstLineChars="200"/>
              <w:rPr>
                <w:rFonts w:hint="default" w:eastAsia="宋体"/>
                <w:color w:val="auto"/>
                <w:sz w:val="24"/>
                <w:lang w:val="en-US" w:eastAsia="zh-CN"/>
              </w:rPr>
            </w:pPr>
            <w:r>
              <w:rPr>
                <w:color w:val="auto"/>
                <w:sz w:val="24"/>
              </w:rPr>
              <w:t>由表1-</w:t>
            </w:r>
            <w:r>
              <w:rPr>
                <w:rFonts w:hint="eastAsia"/>
                <w:color w:val="auto"/>
                <w:sz w:val="24"/>
                <w:lang w:val="en-US" w:eastAsia="zh-CN"/>
              </w:rPr>
              <w:t>3</w:t>
            </w:r>
            <w:r>
              <w:rPr>
                <w:color w:val="auto"/>
                <w:sz w:val="24"/>
              </w:rPr>
              <w:t>可知，本项目不在生态空间管控区域范围内，不会导致辖区内生态空间管控区域生态服务功能下降。因此，本项目的建设与《省政府关于印发江苏省国家级生态保护红线规划的通知》（苏政发</w:t>
            </w:r>
            <w:r>
              <w:rPr>
                <w:rFonts w:hint="eastAsia"/>
                <w:color w:val="auto"/>
                <w:sz w:val="24"/>
                <w:lang w:eastAsia="zh-CN"/>
              </w:rPr>
              <w:t>〔2018〕74号</w:t>
            </w:r>
            <w:r>
              <w:rPr>
                <w:color w:val="auto"/>
                <w:sz w:val="24"/>
              </w:rPr>
              <w:t>文）和《江苏省人民政府关于印发江苏省生态空间管控区域规划的通知》（苏政发〔2020〕1号）相符。本项目与江苏省生态空间管控区域位置关系见附图</w:t>
            </w:r>
            <w:r>
              <w:rPr>
                <w:rFonts w:hint="eastAsia"/>
                <w:color w:val="auto"/>
                <w:sz w:val="24"/>
                <w:lang w:val="en-US" w:eastAsia="zh-CN"/>
              </w:rPr>
              <w:t>3。</w:t>
            </w:r>
          </w:p>
          <w:p w14:paraId="4BA6C3C6">
            <w:pPr>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②与省、市</w:t>
            </w:r>
            <w:r>
              <w:rPr>
                <w:rFonts w:hint="eastAsia" w:hAnsiTheme="minorEastAsia" w:eastAsiaTheme="minorEastAsia"/>
                <w:bCs/>
                <w:color w:val="auto"/>
                <w:sz w:val="24"/>
              </w:rPr>
              <w:t>“</w:t>
            </w:r>
            <w:r>
              <w:rPr>
                <w:rFonts w:hAnsiTheme="minorEastAsia" w:eastAsiaTheme="minorEastAsia"/>
                <w:bCs/>
                <w:color w:val="auto"/>
                <w:sz w:val="24"/>
              </w:rPr>
              <w:t>三线一单</w:t>
            </w:r>
            <w:r>
              <w:rPr>
                <w:rFonts w:hint="eastAsia" w:hAnsiTheme="minorEastAsia" w:eastAsiaTheme="minorEastAsia"/>
                <w:bCs/>
                <w:color w:val="auto"/>
                <w:sz w:val="24"/>
              </w:rPr>
              <w:t>”</w:t>
            </w:r>
            <w:r>
              <w:rPr>
                <w:rFonts w:hAnsiTheme="minorEastAsia" w:eastAsiaTheme="minorEastAsia"/>
                <w:bCs/>
                <w:color w:val="auto"/>
                <w:sz w:val="24"/>
              </w:rPr>
              <w:t>生态环境分区管控方案相符性分析</w:t>
            </w:r>
          </w:p>
          <w:p w14:paraId="6F84D6DC">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a.与江苏省《关于印发江苏省“三线一单”生态环境分区管控方案的通知》（苏政发〔2020〕49号）及《江苏省2023年度生态环境分区管控动态更新成果公告》相符性分析</w:t>
            </w:r>
          </w:p>
          <w:p w14:paraId="28E83BB9">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本项目与江苏省《关于印发江苏省“三线一单”生态环境分区管控方案的通知》（苏政发〔2020〕49号）及《江苏省2023年度生态环境分区管控动态更新成果公告》相符性分析见表1-</w:t>
            </w:r>
            <w:r>
              <w:rPr>
                <w:rFonts w:hint="eastAsia" w:hAnsiTheme="minorEastAsia" w:eastAsiaTheme="minorEastAsia"/>
                <w:bCs/>
                <w:color w:val="auto"/>
                <w:sz w:val="24"/>
                <w:lang w:val="en-US" w:eastAsia="zh-CN"/>
              </w:rPr>
              <w:t>4</w:t>
            </w:r>
            <w:r>
              <w:rPr>
                <w:rFonts w:hint="eastAsia" w:hAnsiTheme="minorEastAsia" w:eastAsiaTheme="minorEastAsia"/>
                <w:bCs/>
                <w:color w:val="auto"/>
                <w:sz w:val="24"/>
              </w:rPr>
              <w:t>。本项目位于</w:t>
            </w:r>
            <w:r>
              <w:rPr>
                <w:rFonts w:hint="eastAsia"/>
                <w:color w:val="auto"/>
                <w:kern w:val="0"/>
                <w:sz w:val="24"/>
                <w:lang w:val="en-US" w:eastAsia="zh-CN"/>
              </w:rPr>
              <w:t>江苏省淮安市涟水县大东镇马棚农场</w:t>
            </w:r>
            <w:r>
              <w:rPr>
                <w:rFonts w:hint="eastAsia" w:hAnsiTheme="minorEastAsia" w:eastAsiaTheme="minorEastAsia"/>
                <w:bCs/>
                <w:color w:val="auto"/>
                <w:sz w:val="24"/>
              </w:rPr>
              <w:t>。</w:t>
            </w:r>
          </w:p>
          <w:p w14:paraId="69394C5D">
            <w:pPr>
              <w:keepNext/>
              <w:adjustRightInd w:val="0"/>
              <w:snapToGrid w:val="0"/>
              <w:jc w:val="center"/>
              <w:rPr>
                <w:b/>
                <w:color w:val="auto"/>
                <w:sz w:val="24"/>
              </w:rPr>
            </w:pPr>
            <w:r>
              <w:rPr>
                <w:b/>
                <w:color w:val="auto"/>
                <w:sz w:val="24"/>
              </w:rPr>
              <w:t>表1-</w:t>
            </w:r>
            <w:r>
              <w:rPr>
                <w:rFonts w:hint="eastAsia"/>
                <w:b/>
                <w:color w:val="auto"/>
                <w:sz w:val="24"/>
                <w:lang w:val="en-US" w:eastAsia="zh-CN"/>
              </w:rPr>
              <w:t>4</w:t>
            </w:r>
            <w:r>
              <w:rPr>
                <w:rFonts w:hint="eastAsia"/>
                <w:b/>
                <w:color w:val="auto"/>
                <w:sz w:val="24"/>
              </w:rPr>
              <w:t xml:space="preserve"> </w:t>
            </w:r>
            <w:r>
              <w:rPr>
                <w:b/>
                <w:color w:val="auto"/>
                <w:sz w:val="24"/>
              </w:rPr>
              <w:t xml:space="preserve"> </w:t>
            </w:r>
            <w:r>
              <w:rPr>
                <w:rFonts w:hint="eastAsia"/>
                <w:b/>
                <w:color w:val="auto"/>
                <w:sz w:val="24"/>
                <w:lang w:eastAsia="zh-CN"/>
              </w:rPr>
              <w:t>改建</w:t>
            </w:r>
            <w:r>
              <w:rPr>
                <w:b/>
                <w:color w:val="auto"/>
                <w:sz w:val="24"/>
              </w:rPr>
              <w:t>项目与《江苏省“三线一单”生态环境分区管控方案》</w:t>
            </w:r>
          </w:p>
          <w:p w14:paraId="08E622CE">
            <w:pPr>
              <w:keepNext/>
              <w:adjustRightInd w:val="0"/>
              <w:snapToGrid w:val="0"/>
              <w:jc w:val="center"/>
              <w:rPr>
                <w:b/>
                <w:color w:val="auto"/>
                <w:sz w:val="24"/>
              </w:rPr>
            </w:pPr>
            <w:r>
              <w:rPr>
                <w:b/>
                <w:color w:val="auto"/>
                <w:sz w:val="24"/>
              </w:rPr>
              <w:t>相符性分析</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4470"/>
              <w:gridCol w:w="2071"/>
              <w:gridCol w:w="543"/>
            </w:tblGrid>
            <w:tr w14:paraId="6736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44" w:type="dxa"/>
                  <w:tcBorders>
                    <w:top w:val="single" w:color="auto" w:sz="12" w:space="0"/>
                    <w:left w:val="nil"/>
                  </w:tcBorders>
                  <w:vAlign w:val="center"/>
                </w:tcPr>
                <w:p w14:paraId="6C37F64C">
                  <w:pPr>
                    <w:jc w:val="center"/>
                    <w:rPr>
                      <w:b/>
                      <w:color w:val="auto"/>
                      <w:szCs w:val="21"/>
                    </w:rPr>
                  </w:pPr>
                  <w:r>
                    <w:rPr>
                      <w:b/>
                      <w:color w:val="auto"/>
                      <w:szCs w:val="21"/>
                    </w:rPr>
                    <w:t>管控类别</w:t>
                  </w:r>
                </w:p>
              </w:tc>
              <w:tc>
                <w:tcPr>
                  <w:tcW w:w="4470" w:type="dxa"/>
                  <w:tcBorders>
                    <w:top w:val="single" w:color="auto" w:sz="12" w:space="0"/>
                  </w:tcBorders>
                  <w:vAlign w:val="center"/>
                </w:tcPr>
                <w:p w14:paraId="2AE5A7CA">
                  <w:pPr>
                    <w:jc w:val="center"/>
                    <w:rPr>
                      <w:b/>
                      <w:color w:val="auto"/>
                      <w:szCs w:val="21"/>
                    </w:rPr>
                  </w:pPr>
                  <w:r>
                    <w:rPr>
                      <w:b/>
                      <w:color w:val="auto"/>
                      <w:szCs w:val="21"/>
                    </w:rPr>
                    <w:t>管控要求</w:t>
                  </w:r>
                </w:p>
              </w:tc>
              <w:tc>
                <w:tcPr>
                  <w:tcW w:w="2071" w:type="dxa"/>
                  <w:vMerge w:val="restart"/>
                  <w:tcBorders>
                    <w:top w:val="single" w:color="auto" w:sz="12" w:space="0"/>
                  </w:tcBorders>
                  <w:vAlign w:val="center"/>
                </w:tcPr>
                <w:p w14:paraId="420E5631">
                  <w:pPr>
                    <w:jc w:val="center"/>
                    <w:rPr>
                      <w:b/>
                      <w:color w:val="auto"/>
                      <w:szCs w:val="21"/>
                    </w:rPr>
                  </w:pPr>
                  <w:r>
                    <w:rPr>
                      <w:rFonts w:hint="eastAsia"/>
                      <w:b/>
                      <w:color w:val="auto"/>
                      <w:szCs w:val="21"/>
                      <w:lang w:eastAsia="zh-CN"/>
                    </w:rPr>
                    <w:t>改建</w:t>
                  </w:r>
                  <w:r>
                    <w:rPr>
                      <w:b/>
                      <w:color w:val="auto"/>
                      <w:szCs w:val="21"/>
                    </w:rPr>
                    <w:t>项目建设情况</w:t>
                  </w:r>
                </w:p>
              </w:tc>
              <w:tc>
                <w:tcPr>
                  <w:tcW w:w="543" w:type="dxa"/>
                  <w:vMerge w:val="restart"/>
                  <w:tcBorders>
                    <w:top w:val="single" w:color="auto" w:sz="12" w:space="0"/>
                    <w:right w:val="nil"/>
                  </w:tcBorders>
                  <w:vAlign w:val="center"/>
                </w:tcPr>
                <w:p w14:paraId="243AE096">
                  <w:pPr>
                    <w:jc w:val="center"/>
                    <w:rPr>
                      <w:b/>
                      <w:color w:val="auto"/>
                      <w:szCs w:val="21"/>
                    </w:rPr>
                  </w:pPr>
                  <w:r>
                    <w:rPr>
                      <w:b/>
                      <w:color w:val="auto"/>
                      <w:szCs w:val="21"/>
                    </w:rPr>
                    <w:t>相符性分析</w:t>
                  </w:r>
                </w:p>
              </w:tc>
            </w:tr>
            <w:tr w14:paraId="50F1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4" w:type="dxa"/>
                  <w:gridSpan w:val="2"/>
                  <w:tcBorders>
                    <w:left w:val="nil"/>
                  </w:tcBorders>
                  <w:vAlign w:val="center"/>
                </w:tcPr>
                <w:p w14:paraId="5C620E8F">
                  <w:pPr>
                    <w:jc w:val="center"/>
                    <w:rPr>
                      <w:b/>
                      <w:color w:val="auto"/>
                      <w:szCs w:val="21"/>
                    </w:rPr>
                  </w:pPr>
                  <w:r>
                    <w:rPr>
                      <w:b/>
                      <w:color w:val="auto"/>
                      <w:szCs w:val="21"/>
                    </w:rPr>
                    <w:t>三、淮河流域</w:t>
                  </w:r>
                </w:p>
              </w:tc>
              <w:tc>
                <w:tcPr>
                  <w:tcW w:w="2071" w:type="dxa"/>
                  <w:vMerge w:val="continue"/>
                  <w:vAlign w:val="center"/>
                </w:tcPr>
                <w:p w14:paraId="6D25575D">
                  <w:pPr>
                    <w:jc w:val="center"/>
                    <w:rPr>
                      <w:b/>
                      <w:color w:val="auto"/>
                      <w:szCs w:val="21"/>
                    </w:rPr>
                  </w:pPr>
                </w:p>
              </w:tc>
              <w:tc>
                <w:tcPr>
                  <w:tcW w:w="543" w:type="dxa"/>
                  <w:vMerge w:val="continue"/>
                  <w:tcBorders>
                    <w:right w:val="nil"/>
                  </w:tcBorders>
                  <w:vAlign w:val="center"/>
                </w:tcPr>
                <w:p w14:paraId="77A13C73">
                  <w:pPr>
                    <w:jc w:val="center"/>
                    <w:rPr>
                      <w:b/>
                      <w:color w:val="auto"/>
                      <w:szCs w:val="21"/>
                    </w:rPr>
                  </w:pPr>
                </w:p>
              </w:tc>
            </w:tr>
            <w:tr w14:paraId="5195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22F1420">
                  <w:pPr>
                    <w:jc w:val="center"/>
                    <w:rPr>
                      <w:color w:val="auto"/>
                      <w:sz w:val="22"/>
                      <w:szCs w:val="22"/>
                    </w:rPr>
                  </w:pPr>
                  <w:r>
                    <w:rPr>
                      <w:color w:val="auto"/>
                      <w:sz w:val="22"/>
                      <w:szCs w:val="22"/>
                    </w:rPr>
                    <w:t>空间布局约束</w:t>
                  </w:r>
                </w:p>
              </w:tc>
              <w:tc>
                <w:tcPr>
                  <w:tcW w:w="4470" w:type="dxa"/>
                  <w:vAlign w:val="center"/>
                </w:tcPr>
                <w:p w14:paraId="1E0AE7E0">
                  <w:pPr>
                    <w:jc w:val="center"/>
                    <w:rPr>
                      <w:color w:val="auto"/>
                      <w:sz w:val="22"/>
                      <w:szCs w:val="22"/>
                    </w:rPr>
                  </w:pPr>
                  <w:r>
                    <w:rPr>
                      <w:rFonts w:hint="eastAsia"/>
                      <w:color w:val="auto"/>
                      <w:sz w:val="22"/>
                      <w:szCs w:val="22"/>
                      <w:lang w:eastAsia="zh-CN"/>
                    </w:rPr>
                    <w:t>1.</w:t>
                  </w:r>
                  <w:r>
                    <w:rPr>
                      <w:color w:val="auto"/>
                      <w:sz w:val="22"/>
                      <w:szCs w:val="22"/>
                    </w:rPr>
                    <w:t>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 w:val="22"/>
                      <w:szCs w:val="22"/>
                      <w:lang w:eastAsia="zh-CN"/>
                    </w:rPr>
                    <w:t>压延</w:t>
                  </w:r>
                  <w:r>
                    <w:rPr>
                      <w:color w:val="auto"/>
                      <w:sz w:val="22"/>
                      <w:szCs w:val="22"/>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2071" w:type="dxa"/>
                  <w:vAlign w:val="center"/>
                </w:tcPr>
                <w:p w14:paraId="6920767B">
                  <w:pPr>
                    <w:jc w:val="center"/>
                    <w:rPr>
                      <w:color w:val="auto"/>
                      <w:sz w:val="22"/>
                      <w:szCs w:val="22"/>
                    </w:rPr>
                  </w:pPr>
                  <w:r>
                    <w:rPr>
                      <w:rFonts w:hint="eastAsia"/>
                      <w:color w:val="auto"/>
                      <w:sz w:val="22"/>
                      <w:szCs w:val="22"/>
                      <w:lang w:eastAsia="zh-CN"/>
                    </w:rPr>
                    <w:t>本</w:t>
                  </w:r>
                  <w:r>
                    <w:rPr>
                      <w:color w:val="auto"/>
                      <w:sz w:val="22"/>
                      <w:szCs w:val="22"/>
                    </w:rPr>
                    <w:t>项目属于</w:t>
                  </w:r>
                  <w:r>
                    <w:rPr>
                      <w:rFonts w:hint="eastAsia" w:ascii="Times New Roman" w:hAnsi="Times New Roman" w:eastAsia="宋体" w:cs="Times New Roman"/>
                      <w:color w:val="auto"/>
                      <w:sz w:val="22"/>
                      <w:szCs w:val="22"/>
                      <w:lang w:val="en-US" w:eastAsia="zh-CN"/>
                    </w:rPr>
                    <w:t>装卸搬运和仓储业</w:t>
                  </w:r>
                  <w:r>
                    <w:rPr>
                      <w:rFonts w:ascii="Times New Roman" w:hAnsi="Times New Roman" w:eastAsia="宋体" w:cs="Times New Roman"/>
                      <w:color w:val="auto"/>
                      <w:sz w:val="22"/>
                      <w:szCs w:val="22"/>
                    </w:rPr>
                    <w:t>，不</w:t>
                  </w:r>
                  <w:r>
                    <w:rPr>
                      <w:color w:val="auto"/>
                      <w:sz w:val="22"/>
                      <w:szCs w:val="22"/>
                    </w:rPr>
                    <w:t>属于制革、化工、印染、电镀、酿造等污染严重的小型企业。本项目不位于通榆河一级保护区、二级保护区内。</w:t>
                  </w:r>
                </w:p>
              </w:tc>
              <w:tc>
                <w:tcPr>
                  <w:tcW w:w="543" w:type="dxa"/>
                  <w:tcBorders>
                    <w:right w:val="nil"/>
                  </w:tcBorders>
                  <w:vAlign w:val="center"/>
                </w:tcPr>
                <w:p w14:paraId="75F6C24C">
                  <w:pPr>
                    <w:jc w:val="center"/>
                    <w:rPr>
                      <w:color w:val="auto"/>
                      <w:sz w:val="22"/>
                      <w:szCs w:val="22"/>
                    </w:rPr>
                  </w:pPr>
                  <w:r>
                    <w:rPr>
                      <w:color w:val="auto"/>
                      <w:sz w:val="22"/>
                      <w:szCs w:val="22"/>
                    </w:rPr>
                    <w:t>符合</w:t>
                  </w:r>
                </w:p>
              </w:tc>
            </w:tr>
            <w:tr w14:paraId="426A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5108710">
                  <w:pPr>
                    <w:jc w:val="center"/>
                    <w:rPr>
                      <w:color w:val="auto"/>
                      <w:sz w:val="22"/>
                      <w:szCs w:val="22"/>
                    </w:rPr>
                  </w:pPr>
                  <w:r>
                    <w:rPr>
                      <w:color w:val="auto"/>
                      <w:sz w:val="22"/>
                      <w:szCs w:val="22"/>
                    </w:rPr>
                    <w:t>污染物排放管控</w:t>
                  </w:r>
                </w:p>
              </w:tc>
              <w:tc>
                <w:tcPr>
                  <w:tcW w:w="4470" w:type="dxa"/>
                  <w:vAlign w:val="center"/>
                </w:tcPr>
                <w:p w14:paraId="199AC5BB">
                  <w:pPr>
                    <w:jc w:val="center"/>
                    <w:rPr>
                      <w:color w:val="auto"/>
                      <w:sz w:val="22"/>
                      <w:szCs w:val="22"/>
                    </w:rPr>
                  </w:pPr>
                  <w:r>
                    <w:rPr>
                      <w:color w:val="auto"/>
                      <w:sz w:val="22"/>
                      <w:szCs w:val="22"/>
                    </w:rPr>
                    <w:t>按照《</w:t>
                  </w:r>
                  <w:r>
                    <w:rPr>
                      <w:rFonts w:hint="eastAsia"/>
                      <w:color w:val="auto"/>
                      <w:sz w:val="22"/>
                      <w:szCs w:val="22"/>
                      <w:lang w:eastAsia="zh-CN"/>
                    </w:rPr>
                    <w:t>淮河流域水污染防治暂行条例</w:t>
                  </w:r>
                  <w:r>
                    <w:rPr>
                      <w:color w:val="auto"/>
                      <w:sz w:val="22"/>
                      <w:szCs w:val="22"/>
                    </w:rPr>
                    <w:t>》实施排污总量控制制度。</w:t>
                  </w:r>
                </w:p>
              </w:tc>
              <w:tc>
                <w:tcPr>
                  <w:tcW w:w="2071" w:type="dxa"/>
                  <w:vAlign w:val="center"/>
                </w:tcPr>
                <w:p w14:paraId="52F36321">
                  <w:pPr>
                    <w:jc w:val="center"/>
                    <w:rPr>
                      <w:color w:val="auto"/>
                      <w:sz w:val="22"/>
                      <w:szCs w:val="22"/>
                    </w:rPr>
                  </w:pPr>
                  <w:r>
                    <w:rPr>
                      <w:rFonts w:hint="eastAsia"/>
                      <w:color w:val="auto"/>
                      <w:sz w:val="22"/>
                      <w:szCs w:val="22"/>
                      <w:lang w:eastAsia="zh-CN"/>
                    </w:rPr>
                    <w:t>本</w:t>
                  </w:r>
                  <w:r>
                    <w:rPr>
                      <w:color w:val="auto"/>
                      <w:sz w:val="22"/>
                      <w:szCs w:val="22"/>
                    </w:rPr>
                    <w:t>项目按照相关规定实施总量控制。</w:t>
                  </w:r>
                </w:p>
              </w:tc>
              <w:tc>
                <w:tcPr>
                  <w:tcW w:w="543" w:type="dxa"/>
                  <w:tcBorders>
                    <w:right w:val="nil"/>
                  </w:tcBorders>
                  <w:vAlign w:val="center"/>
                </w:tcPr>
                <w:p w14:paraId="1679EF90">
                  <w:pPr>
                    <w:jc w:val="center"/>
                    <w:rPr>
                      <w:color w:val="auto"/>
                      <w:sz w:val="22"/>
                      <w:szCs w:val="22"/>
                    </w:rPr>
                  </w:pPr>
                  <w:r>
                    <w:rPr>
                      <w:color w:val="auto"/>
                      <w:sz w:val="22"/>
                      <w:szCs w:val="22"/>
                    </w:rPr>
                    <w:t>符合</w:t>
                  </w:r>
                </w:p>
              </w:tc>
            </w:tr>
            <w:tr w14:paraId="774B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E6762FE">
                  <w:pPr>
                    <w:jc w:val="center"/>
                    <w:rPr>
                      <w:color w:val="auto"/>
                      <w:sz w:val="22"/>
                      <w:szCs w:val="22"/>
                    </w:rPr>
                  </w:pPr>
                  <w:r>
                    <w:rPr>
                      <w:color w:val="auto"/>
                      <w:sz w:val="22"/>
                      <w:szCs w:val="22"/>
                    </w:rPr>
                    <w:t>环境风险防控</w:t>
                  </w:r>
                </w:p>
              </w:tc>
              <w:tc>
                <w:tcPr>
                  <w:tcW w:w="4470" w:type="dxa"/>
                  <w:vAlign w:val="center"/>
                </w:tcPr>
                <w:p w14:paraId="31C4A3A8">
                  <w:pPr>
                    <w:jc w:val="center"/>
                    <w:rPr>
                      <w:color w:val="auto"/>
                      <w:sz w:val="22"/>
                      <w:szCs w:val="22"/>
                    </w:rPr>
                  </w:pPr>
                  <w:r>
                    <w:rPr>
                      <w:color w:val="auto"/>
                      <w:sz w:val="22"/>
                      <w:szCs w:val="22"/>
                    </w:rPr>
                    <w:t>禁止运输剧毒化学品以及国家规定禁止通过内河运输的其他危险化学品的船舶进入通榆河及主要供水河道。</w:t>
                  </w:r>
                </w:p>
              </w:tc>
              <w:tc>
                <w:tcPr>
                  <w:tcW w:w="2071" w:type="dxa"/>
                  <w:vAlign w:val="center"/>
                </w:tcPr>
                <w:p w14:paraId="3A4CCCD3">
                  <w:pPr>
                    <w:jc w:val="center"/>
                    <w:rPr>
                      <w:color w:val="auto"/>
                      <w:sz w:val="22"/>
                      <w:szCs w:val="22"/>
                    </w:rPr>
                  </w:pPr>
                  <w:r>
                    <w:rPr>
                      <w:rFonts w:hint="eastAsia"/>
                      <w:color w:val="auto"/>
                      <w:sz w:val="22"/>
                      <w:szCs w:val="22"/>
                      <w:lang w:eastAsia="zh-CN"/>
                    </w:rPr>
                    <w:t>本</w:t>
                  </w:r>
                  <w:r>
                    <w:rPr>
                      <w:color w:val="auto"/>
                      <w:sz w:val="22"/>
                      <w:szCs w:val="22"/>
                    </w:rPr>
                    <w:t>项目不涉及剧毒化学品和其他危险化学品</w:t>
                  </w:r>
                  <w:r>
                    <w:rPr>
                      <w:rFonts w:hint="eastAsia"/>
                      <w:color w:val="auto"/>
                      <w:sz w:val="22"/>
                      <w:szCs w:val="22"/>
                      <w:lang w:eastAsia="zh-CN"/>
                    </w:rPr>
                    <w:t>水运</w:t>
                  </w:r>
                  <w:r>
                    <w:rPr>
                      <w:color w:val="auto"/>
                      <w:sz w:val="22"/>
                      <w:szCs w:val="22"/>
                    </w:rPr>
                    <w:t>，运输均为陆运。</w:t>
                  </w:r>
                </w:p>
              </w:tc>
              <w:tc>
                <w:tcPr>
                  <w:tcW w:w="543" w:type="dxa"/>
                  <w:tcBorders>
                    <w:right w:val="nil"/>
                  </w:tcBorders>
                  <w:vAlign w:val="center"/>
                </w:tcPr>
                <w:p w14:paraId="319E4716">
                  <w:pPr>
                    <w:jc w:val="center"/>
                    <w:rPr>
                      <w:color w:val="auto"/>
                      <w:sz w:val="22"/>
                      <w:szCs w:val="22"/>
                    </w:rPr>
                  </w:pPr>
                  <w:r>
                    <w:rPr>
                      <w:color w:val="auto"/>
                      <w:sz w:val="22"/>
                      <w:szCs w:val="22"/>
                    </w:rPr>
                    <w:t>符合</w:t>
                  </w:r>
                </w:p>
              </w:tc>
            </w:tr>
            <w:tr w14:paraId="21E6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28CE477B">
                  <w:pPr>
                    <w:jc w:val="center"/>
                    <w:rPr>
                      <w:color w:val="auto"/>
                      <w:sz w:val="22"/>
                      <w:szCs w:val="22"/>
                    </w:rPr>
                  </w:pPr>
                  <w:r>
                    <w:rPr>
                      <w:color w:val="auto"/>
                      <w:sz w:val="22"/>
                      <w:szCs w:val="22"/>
                    </w:rPr>
                    <w:t>资源利用效率要求</w:t>
                  </w:r>
                </w:p>
              </w:tc>
              <w:tc>
                <w:tcPr>
                  <w:tcW w:w="4470" w:type="dxa"/>
                  <w:vAlign w:val="center"/>
                </w:tcPr>
                <w:p w14:paraId="6EF19386">
                  <w:pPr>
                    <w:jc w:val="center"/>
                    <w:rPr>
                      <w:color w:val="auto"/>
                      <w:sz w:val="22"/>
                      <w:szCs w:val="22"/>
                    </w:rPr>
                  </w:pPr>
                  <w:r>
                    <w:rPr>
                      <w:color w:val="auto"/>
                      <w:sz w:val="22"/>
                      <w:szCs w:val="22"/>
                    </w:rPr>
                    <w:t>限制缺水地区发</w:t>
                  </w:r>
                  <w:r>
                    <w:rPr>
                      <w:rFonts w:hint="eastAsia"/>
                      <w:color w:val="auto"/>
                      <w:sz w:val="22"/>
                      <w:szCs w:val="22"/>
                    </w:rPr>
                    <w:t>展</w:t>
                  </w:r>
                  <w:r>
                    <w:rPr>
                      <w:color w:val="auto"/>
                      <w:sz w:val="22"/>
                      <w:szCs w:val="22"/>
                    </w:rPr>
                    <w:t>耗水型产业，调整缺水地区的产业结构，严格控制高耗水、高耗能和重污染的建设项目。</w:t>
                  </w:r>
                </w:p>
              </w:tc>
              <w:tc>
                <w:tcPr>
                  <w:tcW w:w="2071" w:type="dxa"/>
                  <w:vAlign w:val="center"/>
                </w:tcPr>
                <w:p w14:paraId="145D11F6">
                  <w:pPr>
                    <w:jc w:val="center"/>
                    <w:rPr>
                      <w:color w:val="auto"/>
                      <w:sz w:val="22"/>
                      <w:szCs w:val="22"/>
                    </w:rPr>
                  </w:pPr>
                  <w:r>
                    <w:rPr>
                      <w:rFonts w:hint="eastAsia"/>
                      <w:color w:val="auto"/>
                      <w:sz w:val="22"/>
                      <w:szCs w:val="22"/>
                      <w:lang w:eastAsia="zh-CN"/>
                    </w:rPr>
                    <w:t>本项目</w:t>
                  </w:r>
                  <w:r>
                    <w:rPr>
                      <w:color w:val="auto"/>
                      <w:sz w:val="22"/>
                      <w:szCs w:val="22"/>
                    </w:rPr>
                    <w:t>不属于高耗水、高耗能和重污染的建设项目。</w:t>
                  </w:r>
                </w:p>
              </w:tc>
              <w:tc>
                <w:tcPr>
                  <w:tcW w:w="543" w:type="dxa"/>
                  <w:tcBorders>
                    <w:right w:val="nil"/>
                  </w:tcBorders>
                  <w:vAlign w:val="center"/>
                </w:tcPr>
                <w:p w14:paraId="6FE24503">
                  <w:pPr>
                    <w:jc w:val="center"/>
                    <w:rPr>
                      <w:color w:val="auto"/>
                      <w:sz w:val="22"/>
                      <w:szCs w:val="22"/>
                    </w:rPr>
                  </w:pPr>
                  <w:r>
                    <w:rPr>
                      <w:color w:val="auto"/>
                      <w:sz w:val="22"/>
                      <w:szCs w:val="22"/>
                    </w:rPr>
                    <w:t>符合</w:t>
                  </w:r>
                </w:p>
              </w:tc>
            </w:tr>
          </w:tbl>
          <w:p w14:paraId="7818B9E9">
            <w:pPr>
              <w:adjustRightInd w:val="0"/>
              <w:snapToGrid w:val="0"/>
              <w:spacing w:before="120" w:beforeLines="50" w:line="360" w:lineRule="auto"/>
              <w:ind w:firstLine="480" w:firstLineChars="200"/>
              <w:rPr>
                <w:rFonts w:hint="eastAsia"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改建</w:t>
            </w:r>
            <w:r>
              <w:rPr>
                <w:rFonts w:hAnsiTheme="minorEastAsia" w:eastAsiaTheme="minorEastAsia"/>
                <w:color w:val="auto"/>
                <w:sz w:val="24"/>
              </w:rPr>
              <w:t>项目与《</w:t>
            </w:r>
            <w:r>
              <w:rPr>
                <w:rFonts w:hAnsiTheme="minorEastAsia" w:eastAsiaTheme="minorEastAsia"/>
                <w:bCs/>
                <w:color w:val="auto"/>
                <w:sz w:val="24"/>
              </w:rPr>
              <w:t>江苏省</w:t>
            </w:r>
            <w:r>
              <w:rPr>
                <w:rFonts w:eastAsiaTheme="minorEastAsia"/>
                <w:bCs/>
                <w:color w:val="auto"/>
                <w:sz w:val="24"/>
              </w:rPr>
              <w:t>“</w:t>
            </w:r>
            <w:r>
              <w:rPr>
                <w:rFonts w:hAnsiTheme="minorEastAsia" w:eastAsiaTheme="minorEastAsia"/>
                <w:bCs/>
                <w:color w:val="auto"/>
                <w:sz w:val="24"/>
              </w:rPr>
              <w:t>三线一单</w:t>
            </w:r>
            <w:r>
              <w:rPr>
                <w:rFonts w:eastAsiaTheme="minorEastAsia"/>
                <w:bCs/>
                <w:color w:val="auto"/>
                <w:sz w:val="24"/>
              </w:rPr>
              <w:t>”</w:t>
            </w:r>
            <w:r>
              <w:rPr>
                <w:rFonts w:hAnsiTheme="minorEastAsia" w:eastAsiaTheme="minorEastAsia"/>
                <w:bCs/>
                <w:color w:val="auto"/>
                <w:sz w:val="24"/>
              </w:rPr>
              <w:t>生态环境分区管控方案</w:t>
            </w:r>
            <w:r>
              <w:rPr>
                <w:rFonts w:hAnsiTheme="minorEastAsia" w:eastAsiaTheme="minorEastAsia"/>
                <w:color w:val="auto"/>
                <w:sz w:val="24"/>
              </w:rPr>
              <w:t>》是相符的。</w:t>
            </w:r>
            <w:r>
              <w:rPr>
                <w:rFonts w:hint="eastAsia" w:hAnsiTheme="minorEastAsia" w:eastAsiaTheme="minorEastAsia"/>
                <w:color w:val="auto"/>
                <w:sz w:val="24"/>
              </w:rPr>
              <w:t>江苏省生态环境分区管控综合查询报告书见附件</w:t>
            </w:r>
            <w:r>
              <w:rPr>
                <w:rFonts w:hint="eastAsia" w:hAnsiTheme="minorEastAsia" w:eastAsiaTheme="minorEastAsia"/>
                <w:color w:val="auto"/>
                <w:sz w:val="24"/>
                <w:lang w:val="en-US" w:eastAsia="zh-CN"/>
              </w:rPr>
              <w:t>14。</w:t>
            </w:r>
          </w:p>
          <w:p w14:paraId="51774B07">
            <w:pPr>
              <w:adjustRightInd w:val="0"/>
              <w:snapToGrid w:val="0"/>
              <w:spacing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b.与《市政府关于印发淮安市“三线一单”生态环境分区管控方案的通知》（淮政发〔2020〕16号）相符性分析</w:t>
            </w:r>
          </w:p>
          <w:p w14:paraId="3C6851CB">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根据《市政府关于印发淮安市“三线一单”生态环境分区管控方案的通知》（淮政发〔2020〕16号）附件2，</w:t>
            </w:r>
            <w:r>
              <w:rPr>
                <w:rFonts w:hint="eastAsia" w:hAnsiTheme="minorEastAsia" w:eastAsiaTheme="minorEastAsia"/>
                <w:color w:val="auto"/>
                <w:sz w:val="24"/>
                <w:lang w:eastAsia="zh-CN"/>
              </w:rPr>
              <w:t>涉及的</w:t>
            </w:r>
            <w:r>
              <w:rPr>
                <w:rFonts w:hint="eastAsia" w:hAnsiTheme="minorEastAsia" w:eastAsiaTheme="minorEastAsia"/>
                <w:color w:val="auto"/>
                <w:sz w:val="24"/>
              </w:rPr>
              <w:t>涟水县环境管控单元名录见表1-</w:t>
            </w:r>
            <w:r>
              <w:rPr>
                <w:rFonts w:hint="eastAsia" w:hAnsiTheme="minorEastAsia" w:eastAsiaTheme="minorEastAsia"/>
                <w:color w:val="auto"/>
                <w:sz w:val="24"/>
                <w:lang w:val="en-US" w:eastAsia="zh-CN"/>
              </w:rPr>
              <w:t>5</w:t>
            </w:r>
            <w:r>
              <w:rPr>
                <w:rFonts w:hint="eastAsia" w:hAnsiTheme="minorEastAsia" w:eastAsiaTheme="minorEastAsia"/>
                <w:color w:val="auto"/>
                <w:sz w:val="24"/>
              </w:rPr>
              <w:t>。</w:t>
            </w:r>
          </w:p>
          <w:p w14:paraId="04F5B45F">
            <w:pPr>
              <w:keepNext/>
              <w:adjustRightInd w:val="0"/>
              <w:snapToGrid w:val="0"/>
              <w:jc w:val="center"/>
              <w:rPr>
                <w:b/>
                <w:color w:val="auto"/>
              </w:rPr>
            </w:pPr>
            <w:r>
              <w:rPr>
                <w:b/>
                <w:color w:val="auto"/>
                <w:sz w:val="24"/>
                <w:szCs w:val="32"/>
              </w:rPr>
              <w:t>表1-</w:t>
            </w:r>
            <w:r>
              <w:rPr>
                <w:rFonts w:hint="eastAsia"/>
                <w:b/>
                <w:color w:val="auto"/>
                <w:sz w:val="24"/>
                <w:szCs w:val="32"/>
                <w:lang w:val="en-US" w:eastAsia="zh-CN"/>
              </w:rPr>
              <w:t>5</w:t>
            </w:r>
            <w:r>
              <w:rPr>
                <w:b/>
                <w:color w:val="auto"/>
                <w:sz w:val="24"/>
                <w:szCs w:val="32"/>
              </w:rPr>
              <w:t xml:space="preserve">  淮安市环境管控单元名录表（涟水县）</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5"/>
              <w:gridCol w:w="577"/>
              <w:gridCol w:w="1515"/>
              <w:gridCol w:w="4206"/>
              <w:gridCol w:w="1485"/>
            </w:tblGrid>
            <w:tr w14:paraId="04EED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bottom w:val="single" w:color="auto" w:sz="12" w:space="0"/>
                  </w:tcBorders>
                  <w:vAlign w:val="center"/>
                </w:tcPr>
                <w:p w14:paraId="7CFB2F10">
                  <w:pPr>
                    <w:keepNext/>
                    <w:adjustRightInd w:val="0"/>
                    <w:snapToGrid w:val="0"/>
                    <w:jc w:val="center"/>
                    <w:rPr>
                      <w:b/>
                      <w:color w:val="auto"/>
                    </w:rPr>
                  </w:pPr>
                  <w:r>
                    <w:rPr>
                      <w:b/>
                      <w:color w:val="auto"/>
                    </w:rPr>
                    <w:t>行政区</w:t>
                  </w:r>
                </w:p>
              </w:tc>
              <w:tc>
                <w:tcPr>
                  <w:tcW w:w="346" w:type="pct"/>
                  <w:tcBorders>
                    <w:top w:val="single" w:color="auto" w:sz="12" w:space="0"/>
                    <w:bottom w:val="single" w:color="auto" w:sz="12" w:space="0"/>
                  </w:tcBorders>
                  <w:vAlign w:val="center"/>
                </w:tcPr>
                <w:p w14:paraId="15F87197">
                  <w:pPr>
                    <w:keepNext/>
                    <w:adjustRightInd w:val="0"/>
                    <w:snapToGrid w:val="0"/>
                    <w:jc w:val="center"/>
                    <w:rPr>
                      <w:b/>
                      <w:color w:val="auto"/>
                    </w:rPr>
                  </w:pPr>
                  <w:r>
                    <w:rPr>
                      <w:b/>
                      <w:color w:val="auto"/>
                    </w:rPr>
                    <w:t>单元总数</w:t>
                  </w:r>
                </w:p>
              </w:tc>
              <w:tc>
                <w:tcPr>
                  <w:tcW w:w="908" w:type="pct"/>
                  <w:tcBorders>
                    <w:top w:val="single" w:color="auto" w:sz="12" w:space="0"/>
                    <w:bottom w:val="single" w:color="auto" w:sz="12" w:space="0"/>
                  </w:tcBorders>
                  <w:vAlign w:val="center"/>
                </w:tcPr>
                <w:p w14:paraId="53D04D75">
                  <w:pPr>
                    <w:keepNext/>
                    <w:adjustRightInd w:val="0"/>
                    <w:snapToGrid w:val="0"/>
                    <w:jc w:val="center"/>
                    <w:rPr>
                      <w:b/>
                      <w:color w:val="auto"/>
                    </w:rPr>
                  </w:pPr>
                  <w:r>
                    <w:rPr>
                      <w:b/>
                      <w:color w:val="auto"/>
                    </w:rPr>
                    <w:t>优先保护单元</w:t>
                  </w:r>
                </w:p>
                <w:p w14:paraId="3714F5F6">
                  <w:pPr>
                    <w:keepNext/>
                    <w:adjustRightInd w:val="0"/>
                    <w:snapToGrid w:val="0"/>
                    <w:jc w:val="center"/>
                    <w:rPr>
                      <w:b/>
                      <w:color w:val="auto"/>
                    </w:rPr>
                  </w:pPr>
                  <w:r>
                    <w:rPr>
                      <w:b/>
                      <w:color w:val="auto"/>
                    </w:rPr>
                    <w:t>（生态保护红线、生态空间管控区域）</w:t>
                  </w:r>
                </w:p>
              </w:tc>
              <w:tc>
                <w:tcPr>
                  <w:tcW w:w="2521" w:type="pct"/>
                  <w:tcBorders>
                    <w:top w:val="single" w:color="auto" w:sz="12" w:space="0"/>
                    <w:bottom w:val="single" w:color="auto" w:sz="12" w:space="0"/>
                  </w:tcBorders>
                  <w:vAlign w:val="center"/>
                </w:tcPr>
                <w:p w14:paraId="597AFE9F">
                  <w:pPr>
                    <w:keepNext/>
                    <w:adjustRightInd w:val="0"/>
                    <w:snapToGrid w:val="0"/>
                    <w:jc w:val="center"/>
                    <w:rPr>
                      <w:b/>
                      <w:color w:val="auto"/>
                    </w:rPr>
                  </w:pPr>
                  <w:r>
                    <w:rPr>
                      <w:b/>
                      <w:color w:val="auto"/>
                    </w:rPr>
                    <w:t>重点管控单元（产业园区、中心城区）</w:t>
                  </w:r>
                </w:p>
              </w:tc>
              <w:tc>
                <w:tcPr>
                  <w:tcW w:w="890" w:type="pct"/>
                  <w:tcBorders>
                    <w:top w:val="single" w:color="auto" w:sz="12" w:space="0"/>
                    <w:bottom w:val="single" w:color="auto" w:sz="12" w:space="0"/>
                    <w:right w:val="nil"/>
                  </w:tcBorders>
                  <w:vAlign w:val="center"/>
                </w:tcPr>
                <w:p w14:paraId="403CFA9B">
                  <w:pPr>
                    <w:keepNext/>
                    <w:adjustRightInd w:val="0"/>
                    <w:snapToGrid w:val="0"/>
                    <w:jc w:val="center"/>
                    <w:rPr>
                      <w:b/>
                      <w:color w:val="auto"/>
                    </w:rPr>
                  </w:pPr>
                  <w:r>
                    <w:rPr>
                      <w:b/>
                      <w:color w:val="auto"/>
                    </w:rPr>
                    <w:t>一般管控</w:t>
                  </w:r>
                </w:p>
                <w:p w14:paraId="5C0F6D14">
                  <w:pPr>
                    <w:keepNext/>
                    <w:adjustRightInd w:val="0"/>
                    <w:snapToGrid w:val="0"/>
                    <w:jc w:val="center"/>
                    <w:rPr>
                      <w:b/>
                      <w:color w:val="auto"/>
                    </w:rPr>
                  </w:pPr>
                  <w:r>
                    <w:rPr>
                      <w:b/>
                      <w:color w:val="auto"/>
                    </w:rPr>
                    <w:t>单元*</w:t>
                  </w:r>
                </w:p>
              </w:tc>
            </w:tr>
            <w:tr w14:paraId="3499F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tcBorders>
                  <w:vAlign w:val="center"/>
                </w:tcPr>
                <w:p w14:paraId="542FE31B">
                  <w:pPr>
                    <w:jc w:val="center"/>
                    <w:rPr>
                      <w:color w:val="auto"/>
                      <w:sz w:val="22"/>
                      <w:szCs w:val="22"/>
                    </w:rPr>
                  </w:pPr>
                  <w:r>
                    <w:rPr>
                      <w:color w:val="auto"/>
                      <w:sz w:val="22"/>
                      <w:szCs w:val="22"/>
                    </w:rPr>
                    <w:t>涟水县</w:t>
                  </w:r>
                </w:p>
              </w:tc>
              <w:tc>
                <w:tcPr>
                  <w:tcW w:w="346" w:type="pct"/>
                  <w:tcBorders>
                    <w:top w:val="single" w:color="auto" w:sz="12" w:space="0"/>
                  </w:tcBorders>
                  <w:vAlign w:val="center"/>
                </w:tcPr>
                <w:p w14:paraId="722AD156">
                  <w:pPr>
                    <w:jc w:val="center"/>
                    <w:rPr>
                      <w:color w:val="auto"/>
                      <w:sz w:val="22"/>
                      <w:szCs w:val="22"/>
                    </w:rPr>
                  </w:pPr>
                  <w:r>
                    <w:rPr>
                      <w:color w:val="auto"/>
                      <w:sz w:val="22"/>
                      <w:szCs w:val="22"/>
                    </w:rPr>
                    <w:t>58</w:t>
                  </w:r>
                </w:p>
              </w:tc>
              <w:tc>
                <w:tcPr>
                  <w:tcW w:w="908" w:type="pct"/>
                  <w:tcBorders>
                    <w:top w:val="single" w:color="auto" w:sz="12" w:space="0"/>
                  </w:tcBorders>
                  <w:vAlign w:val="center"/>
                </w:tcPr>
                <w:p w14:paraId="28837732">
                  <w:pPr>
                    <w:jc w:val="center"/>
                    <w:rPr>
                      <w:color w:val="auto"/>
                      <w:sz w:val="22"/>
                      <w:szCs w:val="22"/>
                    </w:rPr>
                  </w:pPr>
                  <w:r>
                    <w:rPr>
                      <w:color w:val="auto"/>
                      <w:sz w:val="22"/>
                      <w:szCs w:val="22"/>
                    </w:rPr>
                    <w:t>3个</w:t>
                  </w:r>
                </w:p>
                <w:p w14:paraId="3D2704BE">
                  <w:pPr>
                    <w:jc w:val="center"/>
                    <w:rPr>
                      <w:color w:val="auto"/>
                      <w:sz w:val="22"/>
                      <w:szCs w:val="22"/>
                    </w:rPr>
                  </w:pPr>
                  <w:r>
                    <w:rPr>
                      <w:color w:val="auto"/>
                      <w:sz w:val="22"/>
                      <w:szCs w:val="22"/>
                    </w:rPr>
                    <w:t>古黄河（涟水）饮用水水源保护区、江苏涟水涟漪湖黄嘴白鹭省级自然保护区、废黄河（涟水县）重要湿地</w:t>
                  </w:r>
                </w:p>
              </w:tc>
              <w:tc>
                <w:tcPr>
                  <w:tcW w:w="2521" w:type="pct"/>
                  <w:tcBorders>
                    <w:top w:val="single" w:color="auto" w:sz="12" w:space="0"/>
                  </w:tcBorders>
                  <w:vAlign w:val="center"/>
                </w:tcPr>
                <w:p w14:paraId="1A884F44">
                  <w:pPr>
                    <w:jc w:val="center"/>
                    <w:rPr>
                      <w:color w:val="auto"/>
                      <w:sz w:val="22"/>
                      <w:szCs w:val="22"/>
                    </w:rPr>
                  </w:pPr>
                  <w:r>
                    <w:rPr>
                      <w:color w:val="auto"/>
                      <w:sz w:val="22"/>
                      <w:szCs w:val="22"/>
                    </w:rPr>
                    <w:t>36个</w:t>
                  </w:r>
                </w:p>
                <w:p w14:paraId="7A97A56F">
                  <w:pPr>
                    <w:jc w:val="center"/>
                    <w:rPr>
                      <w:color w:val="auto"/>
                      <w:sz w:val="22"/>
                      <w:szCs w:val="22"/>
                    </w:rPr>
                  </w:pPr>
                  <w:r>
                    <w:rPr>
                      <w:color w:val="auto"/>
                      <w:sz w:val="22"/>
                      <w:szCs w:val="22"/>
                    </w:rPr>
                    <w:t>江苏涟水经济开发区、淮安</w:t>
                  </w:r>
                  <w:r>
                    <w:rPr>
                      <w:rFonts w:hint="eastAsia"/>
                      <w:color w:val="auto"/>
                      <w:sz w:val="22"/>
                      <w:szCs w:val="22"/>
                      <w:lang w:eastAsia="zh-CN"/>
                    </w:rPr>
                    <w:t>（</w:t>
                  </w:r>
                  <w:r>
                    <w:rPr>
                      <w:color w:val="auto"/>
                      <w:sz w:val="22"/>
                      <w:szCs w:val="22"/>
                    </w:rPr>
                    <w:t>薛行）循环经济产业园、凌庄新型金属材料工业集中区、淮安</w:t>
                  </w:r>
                  <w:r>
                    <w:rPr>
                      <w:rFonts w:hint="eastAsia"/>
                      <w:color w:val="auto"/>
                      <w:sz w:val="22"/>
                      <w:szCs w:val="22"/>
                      <w:lang w:eastAsia="zh-CN"/>
                    </w:rPr>
                    <w:t>（</w:t>
                  </w:r>
                  <w:r>
                    <w:rPr>
                      <w:color w:val="auto"/>
                      <w:sz w:val="22"/>
                      <w:szCs w:val="22"/>
                    </w:rPr>
                    <w:t>涟水</w:t>
                  </w:r>
                  <w:r>
                    <w:rPr>
                      <w:rFonts w:hint="eastAsia"/>
                      <w:color w:val="auto"/>
                      <w:sz w:val="22"/>
                      <w:szCs w:val="22"/>
                      <w:lang w:eastAsia="zh-CN"/>
                    </w:rPr>
                    <w:t>）</w:t>
                  </w:r>
                  <w:r>
                    <w:rPr>
                      <w:color w:val="auto"/>
                      <w:sz w:val="22"/>
                      <w:szCs w:val="22"/>
                    </w:rPr>
                    <w:t>空港产业园、涟城街道工业集中区、红窑镇工业集中区、粱岔镇工业集中区、涟城街道</w:t>
                  </w:r>
                  <w:r>
                    <w:rPr>
                      <w:rFonts w:hint="eastAsia"/>
                      <w:color w:val="auto"/>
                      <w:sz w:val="22"/>
                      <w:szCs w:val="22"/>
                      <w:lang w:eastAsia="zh-CN"/>
                    </w:rPr>
                    <w:t>（</w:t>
                  </w:r>
                  <w:r>
                    <w:rPr>
                      <w:color w:val="auto"/>
                      <w:sz w:val="22"/>
                      <w:szCs w:val="22"/>
                    </w:rPr>
                    <w:t>徐集</w:t>
                  </w:r>
                  <w:r>
                    <w:rPr>
                      <w:rFonts w:hint="eastAsia"/>
                      <w:color w:val="auto"/>
                      <w:sz w:val="22"/>
                      <w:szCs w:val="22"/>
                      <w:lang w:eastAsia="zh-CN"/>
                    </w:rPr>
                    <w:t>）</w:t>
                  </w:r>
                  <w:r>
                    <w:rPr>
                      <w:color w:val="auto"/>
                      <w:sz w:val="22"/>
                      <w:szCs w:val="22"/>
                    </w:rPr>
                    <w:t>工业集中区、东胡集镇扶贫产业园、东胡集镇</w:t>
                  </w:r>
                  <w:r>
                    <w:rPr>
                      <w:rFonts w:hint="eastAsia"/>
                      <w:color w:val="auto"/>
                      <w:sz w:val="22"/>
                      <w:szCs w:val="22"/>
                      <w:lang w:eastAsia="zh-CN"/>
                    </w:rPr>
                    <w:t>（</w:t>
                  </w:r>
                  <w:r>
                    <w:rPr>
                      <w:color w:val="auto"/>
                      <w:sz w:val="22"/>
                      <w:szCs w:val="22"/>
                    </w:rPr>
                    <w:t>嵇码</w:t>
                  </w:r>
                  <w:r>
                    <w:rPr>
                      <w:rFonts w:hint="eastAsia"/>
                      <w:color w:val="auto"/>
                      <w:sz w:val="22"/>
                      <w:szCs w:val="22"/>
                      <w:lang w:eastAsia="zh-CN"/>
                    </w:rPr>
                    <w:t>）</w:t>
                  </w:r>
                  <w:r>
                    <w:rPr>
                      <w:color w:val="auto"/>
                      <w:sz w:val="22"/>
                      <w:szCs w:val="22"/>
                    </w:rPr>
                    <w:t>工业集中区、陈师街道工业集中区、大东镇工业集中区、岔庙镇工业集中区、黄营镇工业集中区、黄营镇</w:t>
                  </w:r>
                  <w:r>
                    <w:rPr>
                      <w:rFonts w:hint="eastAsia"/>
                      <w:color w:val="auto"/>
                      <w:sz w:val="22"/>
                      <w:szCs w:val="22"/>
                      <w:lang w:eastAsia="zh-CN"/>
                    </w:rPr>
                    <w:t>（</w:t>
                  </w:r>
                  <w:r>
                    <w:rPr>
                      <w:color w:val="auto"/>
                      <w:sz w:val="22"/>
                      <w:szCs w:val="22"/>
                    </w:rPr>
                    <w:t>北集</w:t>
                  </w:r>
                  <w:r>
                    <w:rPr>
                      <w:rFonts w:hint="eastAsia"/>
                      <w:color w:val="auto"/>
                      <w:sz w:val="22"/>
                      <w:szCs w:val="22"/>
                      <w:lang w:eastAsia="zh-CN"/>
                    </w:rPr>
                    <w:t>）</w:t>
                  </w:r>
                  <w:r>
                    <w:rPr>
                      <w:color w:val="auto"/>
                      <w:sz w:val="22"/>
                      <w:szCs w:val="22"/>
                    </w:rPr>
                    <w:t>工业集中区、南集镇工业集中区、朱码街道工业集中区、朱码街道民营经济产</w:t>
                  </w:r>
                  <w:r>
                    <w:rPr>
                      <w:rFonts w:hint="eastAsia"/>
                      <w:color w:val="auto"/>
                      <w:sz w:val="22"/>
                      <w:szCs w:val="22"/>
                      <w:lang w:eastAsia="zh-CN"/>
                    </w:rPr>
                    <w:t>业区</w:t>
                  </w:r>
                  <w:r>
                    <w:rPr>
                      <w:color w:val="auto"/>
                      <w:sz w:val="22"/>
                      <w:szCs w:val="22"/>
                    </w:rPr>
                    <w:t>、朱码街道双河工业区、朱码街道河网工业区、成集镇工业集中区、红窑镇</w:t>
                  </w:r>
                  <w:r>
                    <w:rPr>
                      <w:rFonts w:hint="eastAsia"/>
                      <w:color w:val="auto"/>
                      <w:sz w:val="22"/>
                      <w:szCs w:val="22"/>
                      <w:lang w:eastAsia="zh-CN"/>
                    </w:rPr>
                    <w:t>（</w:t>
                  </w:r>
                  <w:r>
                    <w:rPr>
                      <w:color w:val="auto"/>
                      <w:sz w:val="22"/>
                      <w:szCs w:val="22"/>
                    </w:rPr>
                    <w:t>义兴</w:t>
                  </w:r>
                  <w:r>
                    <w:rPr>
                      <w:rFonts w:hint="eastAsia"/>
                      <w:color w:val="auto"/>
                      <w:sz w:val="22"/>
                      <w:szCs w:val="22"/>
                      <w:lang w:eastAsia="zh-CN"/>
                    </w:rPr>
                    <w:t>）</w:t>
                  </w:r>
                  <w:r>
                    <w:rPr>
                      <w:color w:val="auto"/>
                      <w:sz w:val="22"/>
                      <w:szCs w:val="22"/>
                    </w:rPr>
                    <w:t>工业集中区、高沟镇</w:t>
                  </w:r>
                  <w:r>
                    <w:rPr>
                      <w:rFonts w:hint="eastAsia"/>
                      <w:color w:val="auto"/>
                      <w:sz w:val="22"/>
                      <w:szCs w:val="22"/>
                      <w:lang w:eastAsia="zh-CN"/>
                    </w:rPr>
                    <w:t>（</w:t>
                  </w:r>
                  <w:r>
                    <w:rPr>
                      <w:color w:val="auto"/>
                      <w:sz w:val="22"/>
                      <w:szCs w:val="22"/>
                    </w:rPr>
                    <w:t>灰墩</w:t>
                  </w:r>
                  <w:r>
                    <w:rPr>
                      <w:rFonts w:hint="eastAsia"/>
                      <w:color w:val="auto"/>
                      <w:sz w:val="22"/>
                      <w:szCs w:val="22"/>
                      <w:lang w:eastAsia="zh-CN"/>
                    </w:rPr>
                    <w:t>）</w:t>
                  </w:r>
                  <w:r>
                    <w:rPr>
                      <w:color w:val="auto"/>
                      <w:sz w:val="22"/>
                      <w:szCs w:val="22"/>
                    </w:rPr>
                    <w:t>工业集中区、高沟镇（前进</w:t>
                  </w:r>
                  <w:r>
                    <w:rPr>
                      <w:rFonts w:hint="eastAsia"/>
                      <w:color w:val="auto"/>
                      <w:sz w:val="22"/>
                      <w:szCs w:val="22"/>
                      <w:lang w:eastAsia="zh-CN"/>
                    </w:rPr>
                    <w:t>）</w:t>
                  </w:r>
                  <w:r>
                    <w:rPr>
                      <w:color w:val="auto"/>
                      <w:sz w:val="22"/>
                      <w:szCs w:val="22"/>
                    </w:rPr>
                    <w:t>工业集中区、唐集镇工业集中区、高沟镇工业集中区、高沟镇</w:t>
                  </w:r>
                  <w:r>
                    <w:rPr>
                      <w:rFonts w:hint="eastAsia"/>
                      <w:color w:val="auto"/>
                      <w:sz w:val="22"/>
                      <w:szCs w:val="22"/>
                      <w:lang w:eastAsia="zh-CN"/>
                    </w:rPr>
                    <w:t>（</w:t>
                  </w:r>
                  <w:r>
                    <w:rPr>
                      <w:color w:val="auto"/>
                      <w:sz w:val="22"/>
                      <w:szCs w:val="22"/>
                    </w:rPr>
                    <w:t>高杨</w:t>
                  </w:r>
                  <w:r>
                    <w:rPr>
                      <w:rFonts w:hint="eastAsia"/>
                      <w:color w:val="auto"/>
                      <w:sz w:val="22"/>
                      <w:szCs w:val="22"/>
                      <w:lang w:eastAsia="zh-CN"/>
                    </w:rPr>
                    <w:t>）</w:t>
                  </w:r>
                  <w:r>
                    <w:rPr>
                      <w:color w:val="auto"/>
                      <w:sz w:val="22"/>
                      <w:szCs w:val="22"/>
                    </w:rPr>
                    <w:t>集中区、食品产业园、五港镇工业集中区、五港</w:t>
                  </w:r>
                  <w:r>
                    <w:rPr>
                      <w:rFonts w:hint="eastAsia"/>
                      <w:color w:val="auto"/>
                      <w:sz w:val="22"/>
                      <w:szCs w:val="22"/>
                    </w:rPr>
                    <w:t>镇</w:t>
                  </w:r>
                  <w:r>
                    <w:rPr>
                      <w:color w:val="auto"/>
                      <w:sz w:val="22"/>
                      <w:szCs w:val="22"/>
                    </w:rPr>
                    <w:t>工业集中区拓展区</w:t>
                  </w:r>
                  <w:r>
                    <w:rPr>
                      <w:rFonts w:hint="eastAsia"/>
                      <w:color w:val="auto"/>
                      <w:sz w:val="22"/>
                      <w:szCs w:val="22"/>
                      <w:lang w:eastAsia="zh-CN"/>
                    </w:rPr>
                    <w:t>（</w:t>
                  </w:r>
                  <w:r>
                    <w:rPr>
                      <w:color w:val="auto"/>
                      <w:sz w:val="22"/>
                      <w:szCs w:val="22"/>
                    </w:rPr>
                    <w:t>再生纸产业</w:t>
                  </w:r>
                  <w:r>
                    <w:rPr>
                      <w:rFonts w:hint="eastAsia"/>
                      <w:color w:val="auto"/>
                      <w:sz w:val="22"/>
                      <w:szCs w:val="22"/>
                    </w:rPr>
                    <w:t>园</w:t>
                  </w:r>
                  <w:r>
                    <w:rPr>
                      <w:rFonts w:hint="eastAsia"/>
                      <w:color w:val="auto"/>
                      <w:sz w:val="22"/>
                      <w:szCs w:val="22"/>
                      <w:lang w:eastAsia="zh-CN"/>
                    </w:rPr>
                    <w:t>）</w:t>
                  </w:r>
                  <w:r>
                    <w:rPr>
                      <w:color w:val="auto"/>
                      <w:sz w:val="22"/>
                      <w:szCs w:val="22"/>
                    </w:rPr>
                    <w:t>、石湖镇瓦房工业集中区、石湖镇外口工业集中区、石湖镇东兴</w:t>
                  </w:r>
                  <w:r>
                    <w:rPr>
                      <w:rFonts w:hint="eastAsia"/>
                      <w:color w:val="auto"/>
                      <w:sz w:val="22"/>
                      <w:szCs w:val="22"/>
                      <w:lang w:eastAsia="zh-CN"/>
                    </w:rPr>
                    <w:t>工业</w:t>
                  </w:r>
                  <w:r>
                    <w:rPr>
                      <w:color w:val="auto"/>
                      <w:sz w:val="22"/>
                      <w:szCs w:val="22"/>
                    </w:rPr>
                    <w:t>集中区、保滩街道（周集</w:t>
                  </w:r>
                  <w:r>
                    <w:rPr>
                      <w:rFonts w:hint="eastAsia"/>
                      <w:color w:val="auto"/>
                      <w:sz w:val="22"/>
                      <w:szCs w:val="22"/>
                      <w:lang w:eastAsia="zh-CN"/>
                    </w:rPr>
                    <w:t>）</w:t>
                  </w:r>
                  <w:r>
                    <w:rPr>
                      <w:color w:val="auto"/>
                      <w:sz w:val="22"/>
                      <w:szCs w:val="22"/>
                    </w:rPr>
                    <w:t>工业集中区、保滩街道（十堡</w:t>
                  </w:r>
                  <w:r>
                    <w:rPr>
                      <w:rFonts w:hint="eastAsia"/>
                      <w:color w:val="auto"/>
                      <w:sz w:val="22"/>
                      <w:szCs w:val="22"/>
                      <w:lang w:eastAsia="zh-CN"/>
                    </w:rPr>
                    <w:t>）</w:t>
                  </w:r>
                  <w:r>
                    <w:rPr>
                      <w:color w:val="auto"/>
                      <w:sz w:val="22"/>
                      <w:szCs w:val="22"/>
                    </w:rPr>
                    <w:t>工业集中区、淮安（薛行）循环经济产业园西区</w:t>
                  </w:r>
                </w:p>
              </w:tc>
              <w:tc>
                <w:tcPr>
                  <w:tcW w:w="890" w:type="pct"/>
                  <w:tcBorders>
                    <w:top w:val="single" w:color="auto" w:sz="12" w:space="0"/>
                    <w:bottom w:val="single" w:color="auto" w:sz="12" w:space="0"/>
                    <w:right w:val="nil"/>
                  </w:tcBorders>
                  <w:vAlign w:val="center"/>
                </w:tcPr>
                <w:p w14:paraId="5F224AC8">
                  <w:pPr>
                    <w:jc w:val="center"/>
                    <w:rPr>
                      <w:color w:val="auto"/>
                      <w:sz w:val="22"/>
                      <w:szCs w:val="22"/>
                    </w:rPr>
                  </w:pPr>
                  <w:r>
                    <w:rPr>
                      <w:color w:val="auto"/>
                      <w:sz w:val="22"/>
                      <w:szCs w:val="22"/>
                    </w:rPr>
                    <w:t>19个</w:t>
                  </w:r>
                </w:p>
                <w:p w14:paraId="1F70E35E">
                  <w:pPr>
                    <w:jc w:val="center"/>
                    <w:rPr>
                      <w:color w:val="auto"/>
                      <w:sz w:val="22"/>
                      <w:szCs w:val="22"/>
                    </w:rPr>
                  </w:pPr>
                  <w:r>
                    <w:rPr>
                      <w:color w:val="auto"/>
                      <w:sz w:val="22"/>
                      <w:szCs w:val="22"/>
                    </w:rPr>
                    <w:t>保滩街道、徐集乡</w:t>
                  </w:r>
                  <w:r>
                    <w:rPr>
                      <w:rFonts w:hint="eastAsia"/>
                      <w:color w:val="auto"/>
                      <w:sz w:val="22"/>
                      <w:szCs w:val="22"/>
                      <w:lang w:eastAsia="zh-CN"/>
                    </w:rPr>
                    <w:t>（</w:t>
                  </w:r>
                  <w:r>
                    <w:rPr>
                      <w:color w:val="auto"/>
                      <w:sz w:val="22"/>
                      <w:szCs w:val="22"/>
                    </w:rPr>
                    <w:t>涟城街道</w:t>
                  </w:r>
                  <w:r>
                    <w:rPr>
                      <w:rFonts w:hint="eastAsia"/>
                      <w:color w:val="auto"/>
                      <w:sz w:val="22"/>
                      <w:szCs w:val="22"/>
                      <w:lang w:eastAsia="zh-CN"/>
                    </w:rPr>
                    <w:t>）</w:t>
                  </w:r>
                  <w:r>
                    <w:rPr>
                      <w:color w:val="auto"/>
                      <w:sz w:val="22"/>
                      <w:szCs w:val="22"/>
                    </w:rPr>
                    <w:t>、黄营镇、涟城街道、高沟镇、唐集镇、</w:t>
                  </w:r>
                  <w:r>
                    <w:rPr>
                      <w:b/>
                      <w:bCs/>
                      <w:color w:val="auto"/>
                      <w:sz w:val="22"/>
                      <w:szCs w:val="22"/>
                    </w:rPr>
                    <w:t>大东镇</w:t>
                  </w:r>
                  <w:r>
                    <w:rPr>
                      <w:color w:val="auto"/>
                      <w:sz w:val="22"/>
                      <w:szCs w:val="22"/>
                    </w:rPr>
                    <w:t>、五港镇、梁岔镇、朱码街道、岔庙镇、东胡集镇、南集镇、义兴镇</w:t>
                  </w:r>
                  <w:r>
                    <w:rPr>
                      <w:rFonts w:hint="eastAsia"/>
                      <w:color w:val="auto"/>
                      <w:sz w:val="22"/>
                      <w:szCs w:val="22"/>
                      <w:lang w:eastAsia="zh-CN"/>
                    </w:rPr>
                    <w:t>（</w:t>
                  </w:r>
                  <w:r>
                    <w:rPr>
                      <w:color w:val="auto"/>
                      <w:sz w:val="22"/>
                      <w:szCs w:val="22"/>
                    </w:rPr>
                    <w:t>红窑镇</w:t>
                  </w:r>
                  <w:r>
                    <w:rPr>
                      <w:rFonts w:hint="eastAsia"/>
                      <w:color w:val="auto"/>
                      <w:sz w:val="22"/>
                      <w:szCs w:val="22"/>
                      <w:lang w:eastAsia="zh-CN"/>
                    </w:rPr>
                    <w:t>）</w:t>
                  </w:r>
                  <w:r>
                    <w:rPr>
                      <w:color w:val="auto"/>
                      <w:sz w:val="22"/>
                      <w:szCs w:val="22"/>
                    </w:rPr>
                    <w:t>、成集镇、红窑镇、陈师街道、前进镇</w:t>
                  </w:r>
                  <w:r>
                    <w:rPr>
                      <w:rFonts w:hint="eastAsia"/>
                      <w:color w:val="auto"/>
                      <w:sz w:val="22"/>
                      <w:szCs w:val="22"/>
                      <w:lang w:eastAsia="zh-CN"/>
                    </w:rPr>
                    <w:t>（</w:t>
                  </w:r>
                  <w:r>
                    <w:rPr>
                      <w:color w:val="auto"/>
                      <w:sz w:val="22"/>
                      <w:szCs w:val="22"/>
                    </w:rPr>
                    <w:t>高沟镇</w:t>
                  </w:r>
                  <w:r>
                    <w:rPr>
                      <w:rFonts w:hint="eastAsia"/>
                      <w:color w:val="auto"/>
                      <w:sz w:val="22"/>
                      <w:szCs w:val="22"/>
                      <w:lang w:eastAsia="zh-CN"/>
                    </w:rPr>
                    <w:t>）</w:t>
                  </w:r>
                  <w:r>
                    <w:rPr>
                      <w:color w:val="auto"/>
                      <w:sz w:val="22"/>
                      <w:szCs w:val="22"/>
                    </w:rPr>
                    <w:t>、石湖镇</w:t>
                  </w:r>
                </w:p>
              </w:tc>
            </w:tr>
          </w:tbl>
          <w:p w14:paraId="0F80D146">
            <w:pPr>
              <w:autoSpaceDE w:val="0"/>
              <w:autoSpaceDN w:val="0"/>
              <w:adjustRightInd w:val="0"/>
              <w:snapToGrid w:val="0"/>
              <w:spacing w:line="500" w:lineRule="exact"/>
              <w:ind w:firstLine="480" w:firstLineChars="200"/>
              <w:outlineLvl w:val="3"/>
              <w:rPr>
                <w:rFonts w:ascii="宋体" w:eastAsia="仿宋_GB2312" w:cs="宋体"/>
                <w:b/>
                <w:color w:val="auto"/>
                <w:sz w:val="24"/>
              </w:rPr>
            </w:pPr>
            <w:r>
              <w:rPr>
                <w:bCs/>
                <w:color w:val="auto"/>
                <w:sz w:val="24"/>
              </w:rPr>
              <w:t>本项目位于</w:t>
            </w:r>
            <w:r>
              <w:rPr>
                <w:rFonts w:hint="eastAsia"/>
                <w:color w:val="auto"/>
                <w:kern w:val="0"/>
                <w:sz w:val="24"/>
                <w:lang w:val="en-US" w:eastAsia="zh-CN"/>
              </w:rPr>
              <w:t>江苏省淮安市涟水县大东镇马棚农场</w:t>
            </w:r>
            <w:r>
              <w:rPr>
                <w:bCs/>
                <w:color w:val="auto"/>
                <w:sz w:val="24"/>
              </w:rPr>
              <w:t>，属于淮安市环境管控单元名录中的</w:t>
            </w:r>
            <w:r>
              <w:rPr>
                <w:rFonts w:hint="eastAsia"/>
                <w:bCs/>
                <w:color w:val="auto"/>
                <w:sz w:val="24"/>
                <w:lang w:eastAsia="zh-CN"/>
              </w:rPr>
              <w:t>一般</w:t>
            </w:r>
            <w:r>
              <w:rPr>
                <w:bCs/>
                <w:color w:val="auto"/>
                <w:sz w:val="24"/>
              </w:rPr>
              <w:t>管控单元。</w:t>
            </w:r>
            <w:r>
              <w:rPr>
                <w:rFonts w:hint="eastAsia"/>
                <w:bCs/>
                <w:color w:val="auto"/>
                <w:sz w:val="24"/>
              </w:rPr>
              <w:t>对照</w:t>
            </w:r>
            <w:r>
              <w:rPr>
                <w:bCs/>
                <w:color w:val="auto"/>
                <w:sz w:val="24"/>
              </w:rPr>
              <w:t>《市政府关于印发淮安市</w:t>
            </w:r>
            <w:r>
              <w:rPr>
                <w:rFonts w:hint="eastAsia"/>
                <w:bCs/>
                <w:color w:val="auto"/>
                <w:sz w:val="24"/>
              </w:rPr>
              <w:t>“</w:t>
            </w:r>
            <w:r>
              <w:rPr>
                <w:bCs/>
                <w:color w:val="auto"/>
                <w:sz w:val="24"/>
              </w:rPr>
              <w:t>三线一单</w:t>
            </w:r>
            <w:r>
              <w:rPr>
                <w:rFonts w:hint="eastAsia"/>
                <w:bCs/>
                <w:color w:val="auto"/>
                <w:sz w:val="24"/>
              </w:rPr>
              <w:t>”</w:t>
            </w:r>
            <w:r>
              <w:rPr>
                <w:bCs/>
                <w:color w:val="auto"/>
                <w:sz w:val="24"/>
              </w:rPr>
              <w:t>生态环境分区管控方案的通知》（淮政发〔2020〕16号）</w:t>
            </w:r>
            <w:r>
              <w:rPr>
                <w:rFonts w:hint="eastAsia"/>
                <w:bCs/>
                <w:color w:val="auto"/>
                <w:sz w:val="24"/>
              </w:rPr>
              <w:t>、</w:t>
            </w:r>
            <w:r>
              <w:rPr>
                <w:bCs/>
                <w:color w:val="auto"/>
                <w:sz w:val="24"/>
              </w:rPr>
              <w:t>《市政府办公室关于对淮安市“三线一单”生态环境分区管控方案内容修改的通知》（淮政办函〔2022〕5号）和《淮安市生态环境分区管控动态更新成果》（</w:t>
            </w:r>
            <w:r>
              <w:rPr>
                <w:rFonts w:hint="eastAsia"/>
                <w:bCs/>
                <w:color w:val="auto"/>
                <w:sz w:val="24"/>
              </w:rPr>
              <w:t>2023版</w:t>
            </w:r>
            <w:r>
              <w:rPr>
                <w:bCs/>
                <w:color w:val="auto"/>
                <w:sz w:val="24"/>
              </w:rPr>
              <w:t>）相符性分析见表1-</w:t>
            </w:r>
            <w:r>
              <w:rPr>
                <w:rFonts w:hint="eastAsia"/>
                <w:bCs/>
                <w:color w:val="auto"/>
                <w:sz w:val="24"/>
                <w:lang w:val="en-US" w:eastAsia="zh-CN"/>
              </w:rPr>
              <w:t>6</w:t>
            </w:r>
            <w:r>
              <w:rPr>
                <w:bCs/>
                <w:color w:val="auto"/>
                <w:sz w:val="24"/>
              </w:rPr>
              <w:t>。</w:t>
            </w:r>
            <w:r>
              <w:rPr>
                <w:rFonts w:hint="eastAsia" w:ascii="宋体" w:hAnsi="宋体" w:cs="宋体"/>
                <w:bCs/>
                <w:color w:val="auto"/>
                <w:sz w:val="24"/>
              </w:rPr>
              <w:t>本项目与《淮安市“三线一单”生态环境分区管控方案》中“淮安市环境管控单元图”位置关系见附图</w:t>
            </w:r>
            <w:r>
              <w:rPr>
                <w:rFonts w:hint="default" w:ascii="Times New Roman" w:hAnsi="Times New Roman" w:cs="Times New Roman"/>
                <w:bCs/>
                <w:color w:val="auto"/>
                <w:sz w:val="24"/>
                <w:lang w:val="en-US" w:eastAsia="zh-CN"/>
              </w:rPr>
              <w:t>3</w:t>
            </w:r>
            <w:r>
              <w:rPr>
                <w:rFonts w:hint="eastAsia" w:ascii="宋体" w:hAnsi="宋体" w:cs="宋体"/>
                <w:bCs/>
                <w:color w:val="auto"/>
                <w:sz w:val="24"/>
              </w:rPr>
              <w:t>。</w:t>
            </w:r>
          </w:p>
          <w:p w14:paraId="31BE77E1">
            <w:pPr>
              <w:adjustRightInd w:val="0"/>
              <w:snapToGrid w:val="0"/>
              <w:spacing w:before="120" w:beforeLines="50"/>
              <w:jc w:val="center"/>
              <w:rPr>
                <w:rFonts w:eastAsiaTheme="minorEastAsia"/>
                <w:b/>
                <w:bCs/>
                <w:color w:val="auto"/>
                <w:sz w:val="22"/>
              </w:rPr>
            </w:pPr>
            <w:r>
              <w:rPr>
                <w:rFonts w:hAnsiTheme="minorEastAsia" w:eastAsiaTheme="minorEastAsia"/>
                <w:b/>
                <w:bCs/>
                <w:color w:val="auto"/>
                <w:sz w:val="22"/>
              </w:rPr>
              <w:t>表</w:t>
            </w:r>
            <w:r>
              <w:rPr>
                <w:rFonts w:eastAsiaTheme="minorEastAsia"/>
                <w:b/>
                <w:bCs/>
                <w:color w:val="auto"/>
                <w:sz w:val="22"/>
              </w:rPr>
              <w:t>1-</w:t>
            </w:r>
            <w:r>
              <w:rPr>
                <w:rFonts w:hint="eastAsia" w:eastAsiaTheme="minorEastAsia"/>
                <w:b/>
                <w:bCs/>
                <w:color w:val="auto"/>
                <w:sz w:val="22"/>
                <w:lang w:val="en-US" w:eastAsia="zh-CN"/>
              </w:rPr>
              <w:t>6</w:t>
            </w:r>
            <w:r>
              <w:rPr>
                <w:rFonts w:hint="eastAsia" w:eastAsiaTheme="minorEastAsia"/>
                <w:b/>
                <w:bCs/>
                <w:color w:val="auto"/>
                <w:sz w:val="22"/>
              </w:rPr>
              <w:t xml:space="preserve"> </w:t>
            </w:r>
            <w:r>
              <w:rPr>
                <w:rFonts w:eastAsiaTheme="minorEastAsia"/>
                <w:b/>
                <w:bCs/>
                <w:color w:val="auto"/>
                <w:sz w:val="22"/>
              </w:rPr>
              <w:t xml:space="preserve"> </w:t>
            </w:r>
            <w:r>
              <w:rPr>
                <w:rFonts w:hint="eastAsia" w:hAnsiTheme="minorEastAsia" w:eastAsiaTheme="minorEastAsia"/>
                <w:b/>
                <w:color w:val="auto"/>
                <w:sz w:val="22"/>
                <w:lang w:eastAsia="zh-CN"/>
              </w:rPr>
              <w:t>改建</w:t>
            </w:r>
            <w:r>
              <w:rPr>
                <w:rFonts w:hint="eastAsia" w:ascii="Times New Roman" w:cs="Times New Roman" w:hAnsiTheme="minorEastAsia" w:eastAsiaTheme="minorEastAsia"/>
                <w:b/>
                <w:color w:val="auto"/>
                <w:sz w:val="22"/>
                <w:lang w:eastAsia="zh-CN"/>
              </w:rPr>
              <w:t>项目</w:t>
            </w:r>
            <w:r>
              <w:rPr>
                <w:rFonts w:hint="eastAsia" w:ascii="Times New Roman" w:cs="Times New Roman" w:hAnsiTheme="minorEastAsia" w:eastAsiaTheme="minorEastAsia"/>
                <w:b/>
                <w:color w:val="auto"/>
                <w:sz w:val="22"/>
                <w:lang w:val="en-US" w:eastAsia="zh-CN"/>
              </w:rPr>
              <w:t>与《</w:t>
            </w:r>
            <w:r>
              <w:rPr>
                <w:rFonts w:hint="eastAsia" w:ascii="Times New Roman" w:hAnsi="Times New Roman" w:eastAsia="宋体" w:cs="Times New Roman"/>
                <w:b/>
                <w:bCs/>
                <w:color w:val="auto"/>
                <w:sz w:val="22"/>
                <w:szCs w:val="22"/>
                <w:lang w:val="en-US" w:eastAsia="zh-CN"/>
              </w:rPr>
              <w:t>淮安市生态环境分区管控动态更新成果》（2023年版）</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2"/>
              <w:gridCol w:w="672"/>
              <w:gridCol w:w="3388"/>
              <w:gridCol w:w="2791"/>
              <w:gridCol w:w="942"/>
            </w:tblGrid>
            <w:tr w14:paraId="11EDE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2"/>
                  <w:tcBorders>
                    <w:tl2br w:val="nil"/>
                    <w:tr2bl w:val="nil"/>
                  </w:tcBorders>
                  <w:noWrap w:val="0"/>
                  <w:vAlign w:val="center"/>
                </w:tcPr>
                <w:p w14:paraId="3B07E7FE">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类型</w:t>
                  </w:r>
                </w:p>
              </w:tc>
              <w:tc>
                <w:tcPr>
                  <w:tcW w:w="2031" w:type="pct"/>
                  <w:tcBorders>
                    <w:tl2br w:val="nil"/>
                    <w:tr2bl w:val="nil"/>
                  </w:tcBorders>
                  <w:noWrap w:val="0"/>
                  <w:vAlign w:val="center"/>
                </w:tcPr>
                <w:p w14:paraId="7A9FC8AF">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一般管控要求</w:t>
                  </w:r>
                </w:p>
              </w:tc>
              <w:tc>
                <w:tcPr>
                  <w:tcW w:w="1673" w:type="pct"/>
                  <w:tcBorders>
                    <w:tl2br w:val="nil"/>
                    <w:tr2bl w:val="nil"/>
                  </w:tcBorders>
                  <w:noWrap w:val="0"/>
                  <w:vAlign w:val="center"/>
                </w:tcPr>
                <w:p w14:paraId="53D1301A">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建设项目情况</w:t>
                  </w:r>
                </w:p>
              </w:tc>
              <w:tc>
                <w:tcPr>
                  <w:tcW w:w="565" w:type="pct"/>
                  <w:tcBorders>
                    <w:tl2br w:val="nil"/>
                    <w:tr2bl w:val="nil"/>
                  </w:tcBorders>
                  <w:noWrap w:val="0"/>
                  <w:vAlign w:val="center"/>
                </w:tcPr>
                <w:p w14:paraId="35D58283">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相符性分析</w:t>
                  </w:r>
                </w:p>
              </w:tc>
            </w:tr>
            <w:tr w14:paraId="4C1FA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2"/>
                  <w:tcBorders>
                    <w:tl2br w:val="nil"/>
                    <w:tr2bl w:val="nil"/>
                  </w:tcBorders>
                  <w:noWrap w:val="0"/>
                  <w:vAlign w:val="center"/>
                </w:tcPr>
                <w:p w14:paraId="618A4B71">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基本原则</w:t>
                  </w:r>
                </w:p>
              </w:tc>
              <w:tc>
                <w:tcPr>
                  <w:tcW w:w="2031" w:type="pct"/>
                  <w:tcBorders>
                    <w:tl2br w:val="nil"/>
                    <w:tr2bl w:val="nil"/>
                  </w:tcBorders>
                  <w:noWrap w:val="0"/>
                  <w:vAlign w:val="center"/>
                </w:tcPr>
                <w:p w14:paraId="53660D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bCs/>
                      <w:caps w:val="0"/>
                      <w:smallCaps w:val="0"/>
                      <w:color w:val="auto"/>
                      <w:kern w:val="0"/>
                      <w:sz w:val="18"/>
                      <w:szCs w:val="18"/>
                      <w:lang w:val="en-US" w:eastAsia="zh-CN"/>
                    </w:rPr>
                    <w:t>1.</w:t>
                  </w:r>
                  <w:r>
                    <w:rPr>
                      <w:rFonts w:hint="default" w:ascii="Times New Roman" w:hAnsi="Times New Roman" w:eastAsia="宋体" w:cs="Times New Roman"/>
                      <w:bCs/>
                      <w:caps w:val="0"/>
                      <w:smallCaps w:val="0"/>
                      <w:color w:val="auto"/>
                      <w:kern w:val="0"/>
                      <w:sz w:val="18"/>
                      <w:szCs w:val="18"/>
                      <w:lang w:val="en-US" w:eastAsia="zh-CN"/>
                    </w:rPr>
                    <w:t>依法依规，严守底线。2、立足实际，因地制宜。3、严格准入，提升效能。</w:t>
                  </w:r>
                </w:p>
              </w:tc>
              <w:tc>
                <w:tcPr>
                  <w:tcW w:w="1673" w:type="pct"/>
                  <w:tcBorders>
                    <w:tl2br w:val="nil"/>
                    <w:tr2bl w:val="nil"/>
                  </w:tcBorders>
                  <w:noWrap w:val="0"/>
                  <w:vAlign w:val="center"/>
                </w:tcPr>
                <w:p w14:paraId="0303E0E7">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bCs/>
                      <w:caps w:val="0"/>
                      <w:smallCaps w:val="0"/>
                      <w:color w:val="auto"/>
                      <w:kern w:val="0"/>
                      <w:sz w:val="18"/>
                      <w:szCs w:val="18"/>
                      <w:lang w:val="en-US" w:eastAsia="zh-CN" w:bidi="ar-SA"/>
                    </w:rPr>
                  </w:pPr>
                  <w:r>
                    <w:rPr>
                      <w:rFonts w:hint="default" w:ascii="Times New Roman" w:hAnsi="Times New Roman" w:eastAsia="宋体" w:cs="Times New Roman"/>
                      <w:bCs/>
                      <w:caps w:val="0"/>
                      <w:smallCaps w:val="0"/>
                      <w:color w:val="auto"/>
                      <w:kern w:val="0"/>
                      <w:sz w:val="18"/>
                      <w:szCs w:val="18"/>
                      <w:lang w:val="en-US" w:eastAsia="zh-CN" w:bidi="ar-SA"/>
                    </w:rPr>
                    <w:t>本项目为</w:t>
                  </w:r>
                  <w:r>
                    <w:rPr>
                      <w:rFonts w:hint="eastAsia" w:cs="Times New Roman"/>
                      <w:bCs/>
                      <w:caps w:val="0"/>
                      <w:smallCaps w:val="0"/>
                      <w:color w:val="auto"/>
                      <w:kern w:val="0"/>
                      <w:sz w:val="18"/>
                      <w:szCs w:val="18"/>
                      <w:lang w:val="en-US" w:eastAsia="zh-CN" w:bidi="ar-SA"/>
                    </w:rPr>
                    <w:t>飞灰暂存库建设项目</w:t>
                  </w:r>
                  <w:r>
                    <w:rPr>
                      <w:rFonts w:hint="default" w:ascii="Times New Roman" w:hAnsi="Times New Roman" w:eastAsia="宋体" w:cs="Times New Roman"/>
                      <w:bCs/>
                      <w:caps w:val="0"/>
                      <w:smallCaps w:val="0"/>
                      <w:color w:val="auto"/>
                      <w:kern w:val="0"/>
                      <w:sz w:val="18"/>
                      <w:szCs w:val="18"/>
                      <w:lang w:val="en-US" w:eastAsia="zh-CN" w:bidi="ar-SA"/>
                    </w:rPr>
                    <w:t>，属于</w:t>
                  </w:r>
                  <w:r>
                    <w:rPr>
                      <w:rFonts w:hint="eastAsia" w:ascii="Times New Roman" w:hAnsi="Times New Roman" w:cs="Times New Roman"/>
                      <w:b w:val="0"/>
                      <w:bCs/>
                      <w:color w:val="auto"/>
                      <w:lang w:val="en-US" w:eastAsia="zh-CN"/>
                    </w:rPr>
                    <w:t>G5949其他危险品仓储</w:t>
                  </w:r>
                  <w:r>
                    <w:rPr>
                      <w:rFonts w:hint="default" w:ascii="Times New Roman" w:hAnsi="Times New Roman" w:eastAsia="宋体" w:cs="Times New Roman"/>
                      <w:bCs/>
                      <w:caps w:val="0"/>
                      <w:smallCaps w:val="0"/>
                      <w:color w:val="auto"/>
                      <w:kern w:val="0"/>
                      <w:sz w:val="18"/>
                      <w:szCs w:val="18"/>
                      <w:lang w:val="en-US" w:eastAsia="zh-CN" w:bidi="ar-SA"/>
                    </w:rPr>
                    <w:t>，不属于限制、禁止发展项目</w:t>
                  </w:r>
                </w:p>
              </w:tc>
              <w:tc>
                <w:tcPr>
                  <w:tcW w:w="565" w:type="pct"/>
                  <w:tcBorders>
                    <w:tl2br w:val="nil"/>
                    <w:tr2bl w:val="nil"/>
                  </w:tcBorders>
                  <w:noWrap w:val="0"/>
                  <w:vAlign w:val="center"/>
                </w:tcPr>
                <w:p w14:paraId="7F6AC475">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43889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tcBorders>
                    <w:tl2br w:val="nil"/>
                    <w:tr2bl w:val="nil"/>
                  </w:tcBorders>
                  <w:noWrap w:val="0"/>
                  <w:vAlign w:val="center"/>
                </w:tcPr>
                <w:p w14:paraId="0AB61740">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总体目标</w:t>
                  </w:r>
                </w:p>
              </w:tc>
              <w:tc>
                <w:tcPr>
                  <w:tcW w:w="402" w:type="pct"/>
                  <w:tcBorders>
                    <w:tl2br w:val="nil"/>
                    <w:tr2bl w:val="nil"/>
                  </w:tcBorders>
                  <w:noWrap w:val="0"/>
                  <w:vAlign w:val="center"/>
                </w:tcPr>
                <w:p w14:paraId="73349346">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生态保护红线</w:t>
                  </w:r>
                </w:p>
              </w:tc>
              <w:tc>
                <w:tcPr>
                  <w:tcW w:w="2031" w:type="pct"/>
                  <w:tcBorders>
                    <w:tl2br w:val="nil"/>
                    <w:tr2bl w:val="nil"/>
                  </w:tcBorders>
                  <w:noWrap w:val="0"/>
                  <w:vAlign w:val="center"/>
                </w:tcPr>
                <w:p w14:paraId="155878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全市生态空间保护区域总面积2036.8907平方公里，占全市国土面积的20.31%。其中，生态保护红线面积1411.1018平方公里，占全市国土面积的14.07%，生态空间管控区域面积625.7889平方公里，占全市国土面积的6.24%。</w:t>
                  </w:r>
                </w:p>
              </w:tc>
              <w:tc>
                <w:tcPr>
                  <w:tcW w:w="1673" w:type="pct"/>
                  <w:tcBorders>
                    <w:tl2br w:val="nil"/>
                    <w:tr2bl w:val="nil"/>
                  </w:tcBorders>
                  <w:noWrap w:val="0"/>
                  <w:vAlign w:val="center"/>
                </w:tcPr>
                <w:p w14:paraId="3556A739">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bCs/>
                      <w:caps w:val="0"/>
                      <w:smallCaps w:val="0"/>
                      <w:color w:val="auto"/>
                      <w:kern w:val="0"/>
                      <w:sz w:val="18"/>
                      <w:szCs w:val="18"/>
                      <w:lang w:val="en-US" w:eastAsia="zh-CN" w:bidi="ar-SA"/>
                    </w:rPr>
                  </w:pPr>
                  <w:r>
                    <w:rPr>
                      <w:rFonts w:hint="default" w:ascii="Times New Roman" w:hAnsi="Times New Roman" w:eastAsia="宋体" w:cs="Times New Roman"/>
                      <w:bCs/>
                      <w:caps w:val="0"/>
                      <w:smallCaps w:val="0"/>
                      <w:color w:val="auto"/>
                      <w:kern w:val="0"/>
                      <w:sz w:val="18"/>
                      <w:szCs w:val="18"/>
                      <w:lang w:val="en-US" w:eastAsia="zh-CN" w:bidi="ar-SA"/>
                    </w:rPr>
                    <w:t>本项目距离最近的生态保护红线与生态管控空间</w:t>
                  </w:r>
                  <w:r>
                    <w:rPr>
                      <w:rFonts w:hint="eastAsia" w:cs="Times New Roman"/>
                      <w:bCs/>
                      <w:caps w:val="0"/>
                      <w:smallCaps w:val="0"/>
                      <w:color w:val="auto"/>
                      <w:kern w:val="0"/>
                      <w:sz w:val="18"/>
                      <w:szCs w:val="18"/>
                      <w:lang w:val="en-US" w:eastAsia="zh-CN" w:bidi="ar-SA"/>
                    </w:rPr>
                    <w:t>为</w:t>
                  </w:r>
                  <w:r>
                    <w:rPr>
                      <w:rFonts w:hint="eastAsia"/>
                      <w:color w:val="auto"/>
                      <w:szCs w:val="21"/>
                      <w:lang w:eastAsia="zh-CN"/>
                    </w:rPr>
                    <w:t>废黄河（涟水县）重要湿地</w:t>
                  </w:r>
                  <w:r>
                    <w:rPr>
                      <w:rFonts w:hint="default" w:ascii="Times New Roman" w:hAnsi="Times New Roman" w:eastAsia="宋体" w:cs="Times New Roman"/>
                      <w:bCs/>
                      <w:caps w:val="0"/>
                      <w:smallCaps w:val="0"/>
                      <w:color w:val="auto"/>
                      <w:kern w:val="0"/>
                      <w:sz w:val="18"/>
                      <w:szCs w:val="18"/>
                      <w:lang w:val="en-US" w:eastAsia="zh-CN" w:bidi="ar-SA"/>
                    </w:rPr>
                    <w:t>，距离边界</w:t>
                  </w:r>
                  <w:r>
                    <w:rPr>
                      <w:rFonts w:hint="eastAsia" w:cs="Times New Roman"/>
                      <w:bCs/>
                      <w:caps w:val="0"/>
                      <w:smallCaps w:val="0"/>
                      <w:color w:val="auto"/>
                      <w:kern w:val="0"/>
                      <w:sz w:val="18"/>
                      <w:szCs w:val="18"/>
                      <w:lang w:val="en-US" w:eastAsia="zh-CN" w:bidi="ar-SA"/>
                    </w:rPr>
                    <w:t>18.55</w:t>
                  </w:r>
                  <w:r>
                    <w:rPr>
                      <w:rFonts w:hint="default" w:ascii="Times New Roman" w:hAnsi="Times New Roman" w:eastAsia="宋体" w:cs="Times New Roman"/>
                      <w:bCs/>
                      <w:caps w:val="0"/>
                      <w:smallCaps w:val="0"/>
                      <w:color w:val="auto"/>
                      <w:kern w:val="0"/>
                      <w:sz w:val="18"/>
                      <w:szCs w:val="18"/>
                      <w:lang w:val="en-US" w:eastAsia="zh-CN" w:bidi="ar-SA"/>
                    </w:rPr>
                    <w:t>km，不在生态红线范围内</w:t>
                  </w:r>
                </w:p>
              </w:tc>
              <w:tc>
                <w:tcPr>
                  <w:tcW w:w="565" w:type="pct"/>
                  <w:tcBorders>
                    <w:tl2br w:val="nil"/>
                    <w:tr2bl w:val="nil"/>
                  </w:tcBorders>
                  <w:noWrap w:val="0"/>
                  <w:vAlign w:val="center"/>
                </w:tcPr>
                <w:p w14:paraId="2A9EBF3B">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35ABD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4FDD5127">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0A0D36C0">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环境质量底线</w:t>
                  </w:r>
                </w:p>
              </w:tc>
              <w:tc>
                <w:tcPr>
                  <w:tcW w:w="2031" w:type="pct"/>
                  <w:tcBorders>
                    <w:tl2br w:val="nil"/>
                    <w:tr2bl w:val="nil"/>
                  </w:tcBorders>
                  <w:noWrap w:val="0"/>
                  <w:vAlign w:val="center"/>
                </w:tcPr>
                <w:p w14:paraId="3DBA4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城市空气质量优良天数比率达81%左右，城市PM2.5年均浓度达32微克/立方米左右，臭氧污染得到有效控制，协同推进减污降碳的工作体系基本建立。57个地表水国省考断面年度水质均值达到或优于川类水质比例稳定达到省定要求。土壤和声环境质量保持稳定，受污染耕地安全利用率达到93%以上。</w:t>
                  </w:r>
                </w:p>
              </w:tc>
              <w:tc>
                <w:tcPr>
                  <w:tcW w:w="1673" w:type="pct"/>
                  <w:tcBorders>
                    <w:tl2br w:val="nil"/>
                    <w:tr2bl w:val="nil"/>
                  </w:tcBorders>
                  <w:noWrap w:val="0"/>
                  <w:vAlign w:val="center"/>
                </w:tcPr>
                <w:p w14:paraId="69FB7ED1">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根</w:t>
                  </w:r>
                  <w:r>
                    <w:rPr>
                      <w:rFonts w:hint="default" w:ascii="Times New Roman" w:hAnsi="Times New Roman" w:eastAsia="宋体" w:cs="Times New Roman"/>
                      <w:bCs/>
                      <w:caps w:val="0"/>
                      <w:smallCaps w:val="0"/>
                      <w:color w:val="auto"/>
                      <w:kern w:val="0"/>
                      <w:sz w:val="18"/>
                      <w:szCs w:val="18"/>
                      <w:lang w:val="en-US" w:eastAsia="zh-CN" w:bidi="ar-SA"/>
                    </w:rPr>
                    <w:t>据《</w:t>
                  </w:r>
                  <w:r>
                    <w:rPr>
                      <w:rFonts w:hint="eastAsia" w:ascii="Times New Roman" w:hAnsi="Times New Roman" w:eastAsia="宋体" w:cs="Times New Roman"/>
                      <w:bCs/>
                      <w:caps w:val="0"/>
                      <w:smallCaps w:val="0"/>
                      <w:color w:val="auto"/>
                      <w:kern w:val="0"/>
                      <w:sz w:val="18"/>
                      <w:szCs w:val="18"/>
                      <w:lang w:val="en-US" w:eastAsia="zh-CN" w:bidi="ar-SA"/>
                    </w:rPr>
                    <w:t>涟水县</w:t>
                  </w:r>
                  <w:r>
                    <w:rPr>
                      <w:rFonts w:hint="default" w:ascii="Times New Roman" w:hAnsi="Times New Roman" w:eastAsia="宋体" w:cs="Times New Roman"/>
                      <w:bCs/>
                      <w:caps w:val="0"/>
                      <w:smallCaps w:val="0"/>
                      <w:color w:val="auto"/>
                      <w:kern w:val="0"/>
                      <w:sz w:val="18"/>
                      <w:szCs w:val="18"/>
                      <w:lang w:val="en-US" w:eastAsia="zh-CN" w:bidi="ar-SA"/>
                    </w:rPr>
                    <w:t>202</w:t>
                  </w:r>
                  <w:r>
                    <w:rPr>
                      <w:rFonts w:hint="eastAsia" w:ascii="Times New Roman" w:hAnsi="Times New Roman" w:eastAsia="宋体" w:cs="Times New Roman"/>
                      <w:bCs/>
                      <w:caps w:val="0"/>
                      <w:smallCaps w:val="0"/>
                      <w:color w:val="auto"/>
                      <w:kern w:val="0"/>
                      <w:sz w:val="18"/>
                      <w:szCs w:val="18"/>
                      <w:lang w:val="en-US" w:eastAsia="zh-CN" w:bidi="ar-SA"/>
                    </w:rPr>
                    <w:t>4年度环境质量公告</w:t>
                  </w:r>
                  <w:r>
                    <w:rPr>
                      <w:rFonts w:hint="default" w:ascii="Times New Roman" w:hAnsi="Times New Roman" w:eastAsia="宋体" w:cs="Times New Roman"/>
                      <w:bCs/>
                      <w:caps w:val="0"/>
                      <w:smallCaps w:val="0"/>
                      <w:color w:val="auto"/>
                      <w:kern w:val="0"/>
                      <w:sz w:val="18"/>
                      <w:szCs w:val="18"/>
                      <w:lang w:val="en-US" w:eastAsia="zh-CN" w:bidi="ar-SA"/>
                    </w:rPr>
                    <w:t>》，</w:t>
                  </w:r>
                  <w:r>
                    <w:rPr>
                      <w:rFonts w:hint="eastAsia" w:cs="Times New Roman"/>
                      <w:bCs/>
                      <w:caps w:val="0"/>
                      <w:smallCaps w:val="0"/>
                      <w:color w:val="auto"/>
                      <w:kern w:val="0"/>
                      <w:sz w:val="18"/>
                      <w:szCs w:val="18"/>
                      <w:lang w:val="en-US" w:eastAsia="zh-CN" w:bidi="ar-SA"/>
                    </w:rPr>
                    <w:t>2</w:t>
                  </w:r>
                  <w:r>
                    <w:rPr>
                      <w:rFonts w:hint="eastAsia" w:cs="Times New Roman"/>
                      <w:color w:val="auto"/>
                      <w:sz w:val="18"/>
                      <w:szCs w:val="18"/>
                      <w:lang w:val="en-US" w:eastAsia="zh-CN"/>
                    </w:rPr>
                    <w:t>024年</w:t>
                  </w:r>
                  <w:r>
                    <w:rPr>
                      <w:rFonts w:hint="eastAsia" w:cs="Times New Roman"/>
                      <w:color w:val="auto"/>
                      <w:sz w:val="18"/>
                      <w:szCs w:val="18"/>
                      <w:lang w:eastAsia="zh-CN"/>
                    </w:rPr>
                    <w:t>全</w:t>
                  </w:r>
                  <w:r>
                    <w:rPr>
                      <w:rFonts w:hint="eastAsia" w:cs="Times New Roman"/>
                      <w:color w:val="auto"/>
                      <w:sz w:val="18"/>
                      <w:szCs w:val="18"/>
                      <w:lang w:val="en-US" w:eastAsia="zh-CN"/>
                    </w:rPr>
                    <w:t>县</w:t>
                  </w:r>
                  <w:r>
                    <w:rPr>
                      <w:rFonts w:hint="eastAsia" w:cs="Times New Roman"/>
                      <w:color w:val="auto"/>
                      <w:sz w:val="18"/>
                      <w:szCs w:val="18"/>
                      <w:lang w:eastAsia="zh-CN"/>
                    </w:rPr>
                    <w:t>细颗粒物（PM</w:t>
                  </w:r>
                  <w:r>
                    <w:rPr>
                      <w:rFonts w:hint="eastAsia" w:cs="Times New Roman"/>
                      <w:color w:val="auto"/>
                      <w:sz w:val="18"/>
                      <w:szCs w:val="18"/>
                      <w:vertAlign w:val="subscript"/>
                      <w:lang w:eastAsia="zh-CN"/>
                    </w:rPr>
                    <w:t>2.5）</w:t>
                  </w:r>
                  <w:r>
                    <w:rPr>
                      <w:rFonts w:hint="eastAsia" w:cs="Times New Roman"/>
                      <w:color w:val="auto"/>
                      <w:sz w:val="18"/>
                      <w:szCs w:val="18"/>
                      <w:lang w:eastAsia="zh-CN"/>
                    </w:rPr>
                    <w:t>可吸入颗粒物（PM</w:t>
                  </w:r>
                  <w:r>
                    <w:rPr>
                      <w:rFonts w:hint="eastAsia" w:cs="Times New Roman"/>
                      <w:color w:val="auto"/>
                      <w:sz w:val="18"/>
                      <w:szCs w:val="18"/>
                      <w:vertAlign w:val="subscript"/>
                      <w:lang w:eastAsia="zh-CN"/>
                    </w:rPr>
                    <w:t>10</w:t>
                  </w:r>
                  <w:r>
                    <w:rPr>
                      <w:rFonts w:hint="eastAsia" w:cs="Times New Roman"/>
                      <w:color w:val="auto"/>
                      <w:sz w:val="18"/>
                      <w:szCs w:val="18"/>
                      <w:lang w:eastAsia="zh-CN"/>
                    </w:rPr>
                    <w:t>）、二氧化硫（SO</w:t>
                  </w:r>
                  <w:r>
                    <w:rPr>
                      <w:rFonts w:hint="eastAsia" w:cs="Times New Roman"/>
                      <w:color w:val="auto"/>
                      <w:sz w:val="18"/>
                      <w:szCs w:val="18"/>
                      <w:vertAlign w:val="subscript"/>
                      <w:lang w:eastAsia="zh-CN"/>
                    </w:rPr>
                    <w:t>2</w:t>
                  </w:r>
                  <w:r>
                    <w:rPr>
                      <w:rFonts w:hint="eastAsia" w:cs="Times New Roman"/>
                      <w:color w:val="auto"/>
                      <w:sz w:val="18"/>
                      <w:szCs w:val="18"/>
                      <w:lang w:eastAsia="zh-CN"/>
                    </w:rPr>
                    <w:t>）、二氧化氮（NO</w:t>
                  </w:r>
                  <w:r>
                    <w:rPr>
                      <w:rFonts w:hint="eastAsia" w:cs="Times New Roman"/>
                      <w:color w:val="auto"/>
                      <w:sz w:val="18"/>
                      <w:szCs w:val="18"/>
                      <w:vertAlign w:val="subscript"/>
                      <w:lang w:eastAsia="zh-CN"/>
                    </w:rPr>
                    <w:t>2</w:t>
                  </w:r>
                  <w:r>
                    <w:rPr>
                      <w:rFonts w:hint="eastAsia" w:cs="Times New Roman"/>
                      <w:color w:val="auto"/>
                      <w:sz w:val="18"/>
                      <w:szCs w:val="18"/>
                      <w:lang w:eastAsia="zh-CN"/>
                    </w:rPr>
                    <w:t>）、一氧化碳（CO）和臭氧（O</w:t>
                  </w:r>
                  <w:r>
                    <w:rPr>
                      <w:rFonts w:hint="eastAsia" w:cs="Times New Roman"/>
                      <w:color w:val="auto"/>
                      <w:sz w:val="18"/>
                      <w:szCs w:val="18"/>
                      <w:vertAlign w:val="subscript"/>
                      <w:lang w:eastAsia="zh-CN"/>
                    </w:rPr>
                    <w:t>3</w:t>
                  </w:r>
                  <w:r>
                    <w:rPr>
                      <w:rFonts w:hint="eastAsia" w:cs="Times New Roman"/>
                      <w:color w:val="auto"/>
                      <w:sz w:val="18"/>
                      <w:szCs w:val="18"/>
                      <w:lang w:eastAsia="zh-CN"/>
                    </w:rPr>
                    <w:t>）浓度年均浓度分别为3</w:t>
                  </w:r>
                  <w:r>
                    <w:rPr>
                      <w:rFonts w:hint="eastAsia" w:cs="Times New Roman"/>
                      <w:color w:val="auto"/>
                      <w:sz w:val="18"/>
                      <w:szCs w:val="18"/>
                      <w:lang w:val="en-US" w:eastAsia="zh-CN"/>
                    </w:rPr>
                    <w:t>4.8</w:t>
                  </w:r>
                  <w:r>
                    <w:rPr>
                      <w:rFonts w:hint="eastAsia" w:cs="Times New Roman"/>
                      <w:color w:val="auto"/>
                      <w:sz w:val="18"/>
                      <w:szCs w:val="18"/>
                      <w:lang w:eastAsia="zh-CN"/>
                    </w:rPr>
                    <w:t>微克/立方米、5</w:t>
                  </w:r>
                  <w:r>
                    <w:rPr>
                      <w:rFonts w:hint="eastAsia" w:cs="Times New Roman"/>
                      <w:color w:val="auto"/>
                      <w:sz w:val="18"/>
                      <w:szCs w:val="18"/>
                      <w:lang w:val="en-US" w:eastAsia="zh-CN"/>
                    </w:rPr>
                    <w:t>8</w:t>
                  </w:r>
                  <w:r>
                    <w:rPr>
                      <w:rFonts w:hint="eastAsia" w:cs="Times New Roman"/>
                      <w:color w:val="auto"/>
                      <w:sz w:val="18"/>
                      <w:szCs w:val="18"/>
                      <w:lang w:eastAsia="zh-CN"/>
                    </w:rPr>
                    <w:t>微克/立方米、</w:t>
                  </w:r>
                  <w:r>
                    <w:rPr>
                      <w:rFonts w:hint="eastAsia" w:cs="Times New Roman"/>
                      <w:color w:val="auto"/>
                      <w:sz w:val="18"/>
                      <w:szCs w:val="18"/>
                      <w:lang w:val="en-US" w:eastAsia="zh-CN"/>
                    </w:rPr>
                    <w:t>18</w:t>
                  </w:r>
                  <w:r>
                    <w:rPr>
                      <w:rFonts w:hint="eastAsia" w:cs="Times New Roman"/>
                      <w:color w:val="auto"/>
                      <w:sz w:val="18"/>
                      <w:szCs w:val="18"/>
                      <w:lang w:eastAsia="zh-CN"/>
                    </w:rPr>
                    <w:t>微克/立方米、25微克/立方米、0.</w:t>
                  </w:r>
                  <w:r>
                    <w:rPr>
                      <w:rFonts w:hint="eastAsia" w:cs="Times New Roman"/>
                      <w:color w:val="auto"/>
                      <w:sz w:val="18"/>
                      <w:szCs w:val="18"/>
                      <w:lang w:val="en-US" w:eastAsia="zh-CN"/>
                    </w:rPr>
                    <w:t>7</w:t>
                  </w:r>
                  <w:r>
                    <w:rPr>
                      <w:rFonts w:hint="eastAsia" w:cs="Times New Roman"/>
                      <w:color w:val="auto"/>
                      <w:sz w:val="18"/>
                      <w:szCs w:val="18"/>
                      <w:lang w:eastAsia="zh-CN"/>
                    </w:rPr>
                    <w:t>毫克/立方米、1</w:t>
                  </w:r>
                  <w:r>
                    <w:rPr>
                      <w:rFonts w:hint="eastAsia" w:cs="Times New Roman"/>
                      <w:color w:val="auto"/>
                      <w:sz w:val="18"/>
                      <w:szCs w:val="18"/>
                      <w:lang w:val="en-US" w:eastAsia="zh-CN"/>
                    </w:rPr>
                    <w:t>05</w:t>
                  </w:r>
                  <w:r>
                    <w:rPr>
                      <w:rFonts w:hint="eastAsia" w:cs="Times New Roman"/>
                      <w:color w:val="auto"/>
                      <w:sz w:val="18"/>
                      <w:szCs w:val="18"/>
                      <w:lang w:eastAsia="zh-CN"/>
                    </w:rPr>
                    <w:t>微克/立方米。PM</w:t>
                  </w:r>
                  <w:r>
                    <w:rPr>
                      <w:rFonts w:hint="eastAsia" w:cs="Times New Roman"/>
                      <w:color w:val="auto"/>
                      <w:sz w:val="18"/>
                      <w:szCs w:val="18"/>
                      <w:vertAlign w:val="subscript"/>
                      <w:lang w:eastAsia="zh-CN"/>
                    </w:rPr>
                    <w:t>10</w:t>
                  </w:r>
                  <w:r>
                    <w:rPr>
                      <w:rFonts w:hint="eastAsia" w:cs="Times New Roman"/>
                      <w:color w:val="auto"/>
                      <w:sz w:val="18"/>
                      <w:szCs w:val="18"/>
                      <w:lang w:eastAsia="zh-CN"/>
                    </w:rPr>
                    <w:t>、SO</w:t>
                  </w:r>
                  <w:r>
                    <w:rPr>
                      <w:rFonts w:hint="eastAsia" w:cs="Times New Roman"/>
                      <w:color w:val="auto"/>
                      <w:sz w:val="18"/>
                      <w:szCs w:val="18"/>
                      <w:vertAlign w:val="subscript"/>
                      <w:lang w:eastAsia="zh-CN"/>
                    </w:rPr>
                    <w:t>2</w:t>
                  </w:r>
                  <w:r>
                    <w:rPr>
                      <w:rFonts w:hint="eastAsia" w:cs="Times New Roman"/>
                      <w:color w:val="auto"/>
                      <w:sz w:val="18"/>
                      <w:szCs w:val="18"/>
                      <w:lang w:eastAsia="zh-CN"/>
                    </w:rPr>
                    <w:t>、CO、O</w:t>
                  </w:r>
                  <w:r>
                    <w:rPr>
                      <w:rFonts w:hint="eastAsia" w:cs="Times New Roman"/>
                      <w:color w:val="auto"/>
                      <w:sz w:val="18"/>
                      <w:szCs w:val="18"/>
                      <w:vertAlign w:val="subscript"/>
                      <w:lang w:eastAsia="zh-CN"/>
                    </w:rPr>
                    <w:t>3</w:t>
                  </w:r>
                  <w:r>
                    <w:rPr>
                      <w:rFonts w:hint="eastAsia" w:cs="Times New Roman"/>
                      <w:color w:val="auto"/>
                      <w:sz w:val="18"/>
                      <w:szCs w:val="18"/>
                      <w:lang w:eastAsia="zh-CN"/>
                    </w:rPr>
                    <w:t>降幅分别为6.9%、12.5%、10%、3.8%。</w:t>
                  </w:r>
                  <w:r>
                    <w:rPr>
                      <w:rFonts w:hint="default" w:ascii="Times New Roman" w:hAnsi="Times New Roman" w:cs="Times New Roman"/>
                      <w:color w:val="auto"/>
                      <w:sz w:val="18"/>
                      <w:szCs w:val="18"/>
                    </w:rPr>
                    <w:t>可吸入颗粒物（PM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）、二氧化硫（SO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）、二氧化氮（NO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）、一氧化碳（CO）和臭氧（O</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）浓度均达到国家二级标准限值</w:t>
                  </w:r>
                  <w:r>
                    <w:rPr>
                      <w:rFonts w:hint="default" w:ascii="Times New Roman" w:hAnsi="Times New Roman" w:cs="Times New Roman"/>
                      <w:color w:val="auto"/>
                      <w:sz w:val="24"/>
                    </w:rPr>
                    <w:t>，</w:t>
                  </w:r>
                  <w:r>
                    <w:rPr>
                      <w:rFonts w:hint="default" w:ascii="Times New Roman" w:hAnsi="Times New Roman" w:cs="Times New Roman"/>
                      <w:color w:val="auto"/>
                      <w:sz w:val="18"/>
                      <w:szCs w:val="18"/>
                    </w:rPr>
                    <w:t>202</w:t>
                  </w:r>
                  <w:r>
                    <w:rPr>
                      <w:rFonts w:hint="eastAsia" w:cs="Times New Roman"/>
                      <w:color w:val="auto"/>
                      <w:sz w:val="18"/>
                      <w:szCs w:val="18"/>
                      <w:lang w:val="en-US" w:eastAsia="zh-CN"/>
                    </w:rPr>
                    <w:t>4</w:t>
                  </w:r>
                  <w:r>
                    <w:rPr>
                      <w:rFonts w:hint="default" w:ascii="Times New Roman" w:hAnsi="Times New Roman" w:cs="Times New Roman"/>
                      <w:color w:val="auto"/>
                      <w:sz w:val="18"/>
                      <w:szCs w:val="18"/>
                    </w:rPr>
                    <w:t>年</w:t>
                  </w:r>
                  <w:r>
                    <w:rPr>
                      <w:rFonts w:hint="eastAsia" w:cs="Times New Roman"/>
                      <w:color w:val="auto"/>
                      <w:sz w:val="18"/>
                      <w:szCs w:val="18"/>
                      <w:lang w:val="en-US" w:eastAsia="zh-CN"/>
                    </w:rPr>
                    <w:t>涟水县</w:t>
                  </w:r>
                  <w:r>
                    <w:rPr>
                      <w:rFonts w:hint="default" w:ascii="Times New Roman" w:hAnsi="Times New Roman" w:cs="Times New Roman"/>
                      <w:color w:val="auto"/>
                      <w:sz w:val="18"/>
                      <w:szCs w:val="18"/>
                    </w:rPr>
                    <w:t>环境空气质量为达标区</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公兴河水质符合</w:t>
                  </w:r>
                  <w:r>
                    <w:rPr>
                      <w:rFonts w:hint="default" w:ascii="Times New Roman" w:hAnsi="Times New Roman" w:eastAsia="宋体" w:cs="Times New Roman"/>
                      <w:color w:val="auto"/>
                      <w:sz w:val="18"/>
                      <w:szCs w:val="18"/>
                    </w:rPr>
                    <w:t>《地表水环境质量标准》（GB3838-2002）</w:t>
                  </w:r>
                  <w:r>
                    <w:rPr>
                      <w:rFonts w:hint="default" w:ascii="Times New Roman" w:hAnsi="Times New Roman" w:eastAsia="宋体" w:cs="Times New Roman"/>
                      <w:color w:val="auto"/>
                      <w:sz w:val="18"/>
                      <w:szCs w:val="18"/>
                      <w:lang w:val="en-US" w:eastAsia="zh-CN"/>
                    </w:rPr>
                    <w:t>Ⅳ</w:t>
                  </w:r>
                  <w:r>
                    <w:rPr>
                      <w:rFonts w:hint="default" w:ascii="Times New Roman" w:hAnsi="Times New Roman" w:eastAsia="宋体" w:cs="Times New Roman"/>
                      <w:color w:val="auto"/>
                      <w:sz w:val="18"/>
                      <w:szCs w:val="18"/>
                    </w:rPr>
                    <w:t>类水质标准，水质状况为良好。建设项目所在区域噪声环境质量达标。</w:t>
                  </w:r>
                </w:p>
              </w:tc>
              <w:tc>
                <w:tcPr>
                  <w:tcW w:w="565" w:type="pct"/>
                  <w:tcBorders>
                    <w:tl2br w:val="nil"/>
                    <w:tr2bl w:val="nil"/>
                  </w:tcBorders>
                  <w:noWrap w:val="0"/>
                  <w:vAlign w:val="center"/>
                </w:tcPr>
                <w:p w14:paraId="725B521B">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08BC8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0B66127D">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6DF218A2">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资源利用上线</w:t>
                  </w:r>
                </w:p>
              </w:tc>
              <w:tc>
                <w:tcPr>
                  <w:tcW w:w="2031" w:type="pct"/>
                  <w:tcBorders>
                    <w:tl2br w:val="nil"/>
                    <w:tr2bl w:val="nil"/>
                  </w:tcBorders>
                  <w:noWrap w:val="0"/>
                  <w:vAlign w:val="center"/>
                </w:tcPr>
                <w:p w14:paraId="0D812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全市用水总量不超过33亿立方米，耕地保有量不少于697.3500万亩，永久基本农田保护面积不低于596.0050万亩</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含易地代保任务3.0000万亩</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，煤炭消费总量下降5%左右，煤炭占能源消费总量的比重下降至50%左右，非化石能源消费比重达到18%左右。</w:t>
                  </w:r>
                </w:p>
              </w:tc>
              <w:tc>
                <w:tcPr>
                  <w:tcW w:w="1673" w:type="pct"/>
                  <w:tcBorders>
                    <w:tl2br w:val="nil"/>
                    <w:tr2bl w:val="nil"/>
                  </w:tcBorders>
                  <w:noWrap w:val="0"/>
                  <w:vAlign w:val="center"/>
                </w:tcPr>
                <w:p w14:paraId="4EA8C92D">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项目位</w:t>
                  </w:r>
                  <w:r>
                    <w:rPr>
                      <w:rFonts w:hint="default" w:ascii="Times New Roman" w:hAnsi="Times New Roman" w:eastAsia="宋体" w:cs="Times New Roman"/>
                      <w:color w:val="auto"/>
                      <w:sz w:val="18"/>
                      <w:szCs w:val="18"/>
                      <w:lang w:val="en-US" w:eastAsia="zh-CN"/>
                    </w:rPr>
                    <w:t>于</w:t>
                  </w:r>
                  <w:r>
                    <w:rPr>
                      <w:rFonts w:hint="eastAsia" w:ascii="Times New Roman" w:hAnsi="Times New Roman" w:eastAsia="宋体" w:cs="Times New Roman"/>
                      <w:color w:val="auto"/>
                      <w:sz w:val="18"/>
                      <w:szCs w:val="18"/>
                      <w:lang w:val="en-US" w:eastAsia="zh-CN"/>
                    </w:rPr>
                    <w:t>江苏省淮安市涟水县大东镇马棚农场</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vertAlign w:val="baseline"/>
                      <w:lang w:val="en-US" w:eastAsia="zh-CN"/>
                    </w:rPr>
                    <w:t>用地性质为工业用地，不占用基本农田，不使用煤炭资源</w:t>
                  </w:r>
                </w:p>
              </w:tc>
              <w:tc>
                <w:tcPr>
                  <w:tcW w:w="565" w:type="pct"/>
                  <w:tcBorders>
                    <w:tl2br w:val="nil"/>
                    <w:tr2bl w:val="nil"/>
                  </w:tcBorders>
                  <w:noWrap w:val="0"/>
                  <w:vAlign w:val="center"/>
                </w:tcPr>
                <w:p w14:paraId="6EB98A7A">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394D7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2"/>
                  <w:tcBorders>
                    <w:tl2br w:val="nil"/>
                    <w:tr2bl w:val="nil"/>
                  </w:tcBorders>
                  <w:noWrap w:val="0"/>
                  <w:vAlign w:val="center"/>
                </w:tcPr>
                <w:p w14:paraId="4EA270A9">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环境管控单元</w:t>
                  </w:r>
                </w:p>
              </w:tc>
              <w:tc>
                <w:tcPr>
                  <w:tcW w:w="2031" w:type="pct"/>
                  <w:tcBorders>
                    <w:tl2br w:val="nil"/>
                    <w:tr2bl w:val="nil"/>
                  </w:tcBorders>
                  <w:noWrap w:val="0"/>
                  <w:vAlign w:val="center"/>
                </w:tcPr>
                <w:p w14:paraId="5243C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优先保护单元：97个；重点管控单元：147个；一般管控单元：91个</w:t>
                  </w:r>
                </w:p>
              </w:tc>
              <w:tc>
                <w:tcPr>
                  <w:tcW w:w="1673" w:type="pct"/>
                  <w:tcBorders>
                    <w:tl2br w:val="nil"/>
                    <w:tr2bl w:val="nil"/>
                  </w:tcBorders>
                  <w:noWrap w:val="0"/>
                  <w:vAlign w:val="center"/>
                </w:tcPr>
                <w:p w14:paraId="10CCE3E8">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项目位于</w:t>
                  </w:r>
                  <w:r>
                    <w:rPr>
                      <w:rFonts w:hint="eastAsia" w:ascii="Times New Roman" w:hAnsi="Times New Roman" w:eastAsia="宋体" w:cs="Times New Roman"/>
                      <w:color w:val="auto"/>
                      <w:sz w:val="18"/>
                      <w:szCs w:val="18"/>
                      <w:lang w:val="en-US" w:eastAsia="zh-CN"/>
                    </w:rPr>
                    <w:t>江苏省淮安市涟水县大东镇马棚农场</w:t>
                  </w:r>
                  <w:r>
                    <w:rPr>
                      <w:rFonts w:hint="default" w:ascii="Times New Roman" w:hAnsi="Times New Roman" w:eastAsia="宋体" w:cs="Times New Roman"/>
                      <w:color w:val="auto"/>
                      <w:sz w:val="18"/>
                      <w:szCs w:val="18"/>
                      <w:vertAlign w:val="baseline"/>
                      <w:lang w:val="en-US" w:eastAsia="zh-CN"/>
                    </w:rPr>
                    <w:t>，属于</w:t>
                  </w:r>
                  <w:r>
                    <w:rPr>
                      <w:rFonts w:hint="eastAsia" w:cs="Times New Roman"/>
                      <w:color w:val="auto"/>
                      <w:sz w:val="18"/>
                      <w:szCs w:val="18"/>
                      <w:vertAlign w:val="baseline"/>
                      <w:lang w:val="en-US" w:eastAsia="zh-CN"/>
                    </w:rPr>
                    <w:t>大东镇</w:t>
                  </w:r>
                  <w:r>
                    <w:rPr>
                      <w:rFonts w:hint="default" w:ascii="Times New Roman" w:hAnsi="Times New Roman" w:eastAsia="宋体" w:cs="Times New Roman"/>
                      <w:color w:val="auto"/>
                      <w:sz w:val="18"/>
                      <w:szCs w:val="18"/>
                      <w:vertAlign w:val="baseline"/>
                      <w:lang w:val="en-US" w:eastAsia="zh-CN"/>
                    </w:rPr>
                    <w:t>，属于一般管控单元</w:t>
                  </w:r>
                </w:p>
              </w:tc>
              <w:tc>
                <w:tcPr>
                  <w:tcW w:w="565" w:type="pct"/>
                  <w:tcBorders>
                    <w:tl2br w:val="nil"/>
                    <w:tr2bl w:val="nil"/>
                  </w:tcBorders>
                  <w:noWrap w:val="0"/>
                  <w:vAlign w:val="center"/>
                </w:tcPr>
                <w:p w14:paraId="24152551">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5C7BC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tcBorders>
                    <w:tl2br w:val="nil"/>
                    <w:tr2bl w:val="nil"/>
                  </w:tcBorders>
                  <w:noWrap w:val="0"/>
                  <w:vAlign w:val="center"/>
                </w:tcPr>
                <w:p w14:paraId="1C6F04F8">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更新内容</w:t>
                  </w:r>
                </w:p>
              </w:tc>
              <w:tc>
                <w:tcPr>
                  <w:tcW w:w="402" w:type="pct"/>
                  <w:tcBorders>
                    <w:tl2br w:val="nil"/>
                    <w:tr2bl w:val="nil"/>
                  </w:tcBorders>
                  <w:noWrap w:val="0"/>
                  <w:vAlign w:val="center"/>
                </w:tcPr>
                <w:p w14:paraId="7C196752">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淮安 市生 态环 境管 控总 体要 求</w:t>
                  </w:r>
                </w:p>
              </w:tc>
              <w:tc>
                <w:tcPr>
                  <w:tcW w:w="2031" w:type="pct"/>
                  <w:tcBorders>
                    <w:tl2br w:val="nil"/>
                    <w:tr2bl w:val="nil"/>
                  </w:tcBorders>
                  <w:noWrap w:val="0"/>
                  <w:vAlign w:val="center"/>
                </w:tcPr>
                <w:p w14:paraId="7C881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删除《中共淮安市委 淮安市人民政府关于全面加强生态环境保护坚决打好污染防治攻坚战的实施意见》</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淮发〔2018〕33号</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等过期文件及相关要求。新增中共江苏省委 江苏省人民政府关于《深入打好污染防治攻坚战的实施意见》（2022年1月24日）等最新文件及相关要求。</w:t>
                  </w:r>
                </w:p>
              </w:tc>
              <w:tc>
                <w:tcPr>
                  <w:tcW w:w="1673" w:type="pct"/>
                  <w:tcBorders>
                    <w:tl2br w:val="nil"/>
                    <w:tr2bl w:val="nil"/>
                  </w:tcBorders>
                  <w:noWrap w:val="0"/>
                  <w:vAlign w:val="center"/>
                </w:tcPr>
                <w:p w14:paraId="3E5179F2">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对照《关于深入打好污染防治攻坚战的实施意见》（2022年1月</w:t>
                  </w:r>
                  <w:r>
                    <w:rPr>
                      <w:rFonts w:hint="default" w:ascii="Times New Roman" w:hAnsi="Times New Roman" w:eastAsia="宋体" w:cs="Times New Roman"/>
                      <w:color w:val="auto"/>
                      <w:sz w:val="18"/>
                      <w:szCs w:val="18"/>
                      <w:lang w:eastAsia="zh-CN"/>
                    </w:rPr>
                    <w:t>24日</w:t>
                  </w:r>
                  <w:r>
                    <w:rPr>
                      <w:rFonts w:hint="default" w:ascii="Times New Roman" w:hAnsi="Times New Roman" w:eastAsia="宋体" w:cs="Times New Roman"/>
                      <w:color w:val="auto"/>
                      <w:sz w:val="18"/>
                      <w:szCs w:val="18"/>
                    </w:rPr>
                    <w:t>），本项目不属于高耗水、高耗能项目；符合“三线一单”要求。</w:t>
                  </w:r>
                </w:p>
              </w:tc>
              <w:tc>
                <w:tcPr>
                  <w:tcW w:w="565" w:type="pct"/>
                  <w:tcBorders>
                    <w:tl2br w:val="nil"/>
                    <w:tr2bl w:val="nil"/>
                  </w:tcBorders>
                  <w:noWrap w:val="0"/>
                  <w:vAlign w:val="center"/>
                </w:tcPr>
                <w:p w14:paraId="71C256D6">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r>
            <w:tr w14:paraId="387A5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22C7A346">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36EAB7CE">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空间 布局 约束</w:t>
                  </w:r>
                </w:p>
              </w:tc>
              <w:tc>
                <w:tcPr>
                  <w:tcW w:w="2031" w:type="pct"/>
                  <w:tcBorders>
                    <w:tl2br w:val="nil"/>
                    <w:tr2bl w:val="nil"/>
                  </w:tcBorders>
                  <w:noWrap w:val="0"/>
                  <w:vAlign w:val="center"/>
                </w:tcPr>
                <w:p w14:paraId="495A8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根据中共江苏省委 江苏省人民政府关于《深入打好污染防治攻坚战的实施意见》（2022年1月24日）、《淮安市深入打好净土保卫战实施方案》</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淮污防攻坚指办</w:t>
                  </w:r>
                  <w:r>
                    <w:rPr>
                      <w:rFonts w:hint="eastAsia" w:cs="Times New Roman"/>
                      <w:bCs/>
                      <w:caps w:val="0"/>
                      <w:smallCaps w:val="0"/>
                      <w:color w:val="auto"/>
                      <w:kern w:val="0"/>
                      <w:sz w:val="18"/>
                      <w:szCs w:val="18"/>
                      <w:lang w:val="en-US" w:eastAsia="zh-CN"/>
                    </w:rPr>
                    <w:t>〔2023〕17号）</w:t>
                  </w:r>
                  <w:r>
                    <w:rPr>
                      <w:rFonts w:hint="default" w:ascii="Times New Roman" w:hAnsi="Times New Roman" w:eastAsia="宋体" w:cs="Times New Roman"/>
                      <w:bCs/>
                      <w:caps w:val="0"/>
                      <w:smallCaps w:val="0"/>
                      <w:color w:val="auto"/>
                      <w:kern w:val="0"/>
                      <w:sz w:val="18"/>
                      <w:szCs w:val="18"/>
                      <w:lang w:val="en-US" w:eastAsia="zh-CN"/>
                    </w:rPr>
                    <w:t>、《淮安市生态碧水三年行动方案》淮政发〔2022〕12号</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、《淮安市国土空间 总体规划</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2021</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2035年</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》《大运河淮安段核心监控区国土空间管控细则》</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淮政规</w:t>
                  </w:r>
                  <w:r>
                    <w:rPr>
                      <w:rFonts w:hint="eastAsia" w:cs="Times New Roman"/>
                      <w:bCs/>
                      <w:caps w:val="0"/>
                      <w:smallCaps w:val="0"/>
                      <w:color w:val="auto"/>
                      <w:kern w:val="0"/>
                      <w:sz w:val="18"/>
                      <w:szCs w:val="18"/>
                      <w:lang w:val="en-US" w:eastAsia="zh-CN"/>
                    </w:rPr>
                    <w:t>〔2022〕8号）</w:t>
                  </w:r>
                  <w:r>
                    <w:rPr>
                      <w:rFonts w:hint="default" w:ascii="Times New Roman" w:hAnsi="Times New Roman" w:eastAsia="宋体" w:cs="Times New Roman"/>
                      <w:bCs/>
                      <w:caps w:val="0"/>
                      <w:smallCaps w:val="0"/>
                      <w:color w:val="auto"/>
                      <w:kern w:val="0"/>
                      <w:sz w:val="18"/>
                      <w:szCs w:val="18"/>
                      <w:lang w:val="en-US" w:eastAsia="zh-CN"/>
                    </w:rPr>
                    <w:t>等文件进行调整。</w:t>
                  </w:r>
                </w:p>
              </w:tc>
              <w:tc>
                <w:tcPr>
                  <w:tcW w:w="1673" w:type="pct"/>
                  <w:tcBorders>
                    <w:tl2br w:val="nil"/>
                    <w:tr2bl w:val="nil"/>
                  </w:tcBorders>
                  <w:noWrap w:val="0"/>
                  <w:vAlign w:val="center"/>
                </w:tcPr>
                <w:p w14:paraId="35B9E8CE">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对照《淮安市深入打好净土保卫战实施方案》</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淮污防攻坚指办</w:t>
                  </w:r>
                  <w:r>
                    <w:rPr>
                      <w:rFonts w:hint="eastAsia" w:cs="Times New Roman"/>
                      <w:color w:val="auto"/>
                      <w:sz w:val="18"/>
                      <w:szCs w:val="18"/>
                      <w:lang w:eastAsia="zh-CN"/>
                    </w:rPr>
                    <w:t>〔2023〕17号）</w:t>
                  </w:r>
                  <w:r>
                    <w:rPr>
                      <w:rFonts w:hint="default" w:ascii="Times New Roman" w:hAnsi="Times New Roman" w:eastAsia="宋体" w:cs="Times New Roman"/>
                      <w:color w:val="auto"/>
                      <w:sz w:val="18"/>
                      <w:szCs w:val="18"/>
                    </w:rPr>
                    <w:t>，项目位于</w:t>
                  </w:r>
                  <w:r>
                    <w:rPr>
                      <w:rFonts w:hint="eastAsia" w:ascii="Times New Roman" w:hAnsi="Times New Roman" w:eastAsia="宋体" w:cs="Times New Roman"/>
                      <w:color w:val="auto"/>
                      <w:sz w:val="18"/>
                      <w:szCs w:val="18"/>
                      <w:lang w:val="en-US" w:eastAsia="zh-CN"/>
                    </w:rPr>
                    <w:t>江苏省淮安市涟水县大东镇马棚农场</w:t>
                  </w:r>
                  <w:r>
                    <w:rPr>
                      <w:rFonts w:hint="default" w:ascii="Times New Roman" w:hAnsi="Times New Roman" w:eastAsia="宋体" w:cs="Times New Roman"/>
                      <w:color w:val="auto"/>
                      <w:sz w:val="18"/>
                      <w:szCs w:val="18"/>
                    </w:rPr>
                    <w:t>，周边为企业</w:t>
                  </w:r>
                  <w:r>
                    <w:rPr>
                      <w:rFonts w:hint="default" w:ascii="Times New Roman" w:hAnsi="Times New Roman" w:eastAsia="宋体" w:cs="Times New Roman"/>
                      <w:color w:val="auto"/>
                      <w:sz w:val="18"/>
                      <w:szCs w:val="18"/>
                      <w:lang w:val="en-US" w:eastAsia="zh-CN"/>
                    </w:rPr>
                    <w:t>与道路</w:t>
                  </w:r>
                  <w:r>
                    <w:rPr>
                      <w:rFonts w:hint="default" w:ascii="Times New Roman" w:hAnsi="Times New Roman" w:eastAsia="宋体" w:cs="Times New Roman"/>
                      <w:color w:val="auto"/>
                      <w:sz w:val="18"/>
                      <w:szCs w:val="18"/>
                    </w:rPr>
                    <w:t>，项目未使用国家明令淘汰或者禁止使用的回收利用技术、工艺，符合相关产业政策。根据《202</w:t>
                  </w:r>
                  <w:r>
                    <w:rPr>
                      <w:rFonts w:hint="eastAsia" w:cs="Times New Roman"/>
                      <w:color w:val="auto"/>
                      <w:sz w:val="18"/>
                      <w:szCs w:val="18"/>
                      <w:lang w:val="en-US" w:eastAsia="zh-CN"/>
                    </w:rPr>
                    <w:t>4</w:t>
                  </w:r>
                  <w:r>
                    <w:rPr>
                      <w:rFonts w:hint="default" w:ascii="Times New Roman" w:hAnsi="Times New Roman" w:eastAsia="宋体" w:cs="Times New Roman"/>
                      <w:color w:val="auto"/>
                      <w:sz w:val="18"/>
                      <w:szCs w:val="18"/>
                    </w:rPr>
                    <w:t>年淮安市生态环境状况公报》，202</w:t>
                  </w:r>
                  <w:r>
                    <w:rPr>
                      <w:rFonts w:hint="eastAsia" w:cs="Times New Roman"/>
                      <w:color w:val="auto"/>
                      <w:sz w:val="18"/>
                      <w:szCs w:val="18"/>
                      <w:lang w:val="en-US" w:eastAsia="zh-CN"/>
                    </w:rPr>
                    <w:t>4</w:t>
                  </w:r>
                  <w:r>
                    <w:rPr>
                      <w:rFonts w:hint="default" w:ascii="Times New Roman" w:hAnsi="Times New Roman" w:eastAsia="宋体" w:cs="Times New Roman"/>
                      <w:color w:val="auto"/>
                      <w:sz w:val="18"/>
                      <w:szCs w:val="18"/>
                    </w:rPr>
                    <w:t>年</w:t>
                  </w:r>
                  <w:r>
                    <w:rPr>
                      <w:rFonts w:hint="default" w:ascii="Times New Roman" w:hAnsi="Times New Roman" w:eastAsia="宋体" w:cs="Times New Roman"/>
                      <w:color w:val="auto"/>
                      <w:sz w:val="18"/>
                      <w:szCs w:val="18"/>
                      <w:lang w:val="en-US" w:eastAsia="zh-CN"/>
                    </w:rPr>
                    <w:t>公兴河</w:t>
                  </w:r>
                  <w:r>
                    <w:rPr>
                      <w:rFonts w:hint="default" w:ascii="Times New Roman" w:hAnsi="Times New Roman" w:eastAsia="宋体" w:cs="Times New Roman"/>
                      <w:color w:val="auto"/>
                      <w:sz w:val="18"/>
                      <w:szCs w:val="18"/>
                    </w:rPr>
                    <w:t>水质符合《地表水环境质量标准》（GB3838-2002）Ⅳ类水质标准。对照市政府关于印发《大运河淮安段核心监控区国土空间管控细则的通知》（淮政规〔2022〕8号），项目位于大运河东</w:t>
                  </w:r>
                  <w:r>
                    <w:rPr>
                      <w:rFonts w:hint="default" w:ascii="Times New Roman" w:hAnsi="Times New Roman" w:eastAsia="宋体" w:cs="Times New Roman"/>
                      <w:color w:val="auto"/>
                      <w:sz w:val="18"/>
                      <w:szCs w:val="18"/>
                      <w:lang w:val="en-US" w:eastAsia="zh-CN"/>
                    </w:rPr>
                    <w:t>北</w:t>
                  </w:r>
                  <w:r>
                    <w:rPr>
                      <w:rFonts w:hint="default" w:ascii="Times New Roman" w:hAnsi="Times New Roman" w:eastAsia="宋体" w:cs="Times New Roman"/>
                      <w:color w:val="auto"/>
                      <w:sz w:val="18"/>
                      <w:szCs w:val="18"/>
                    </w:rPr>
                    <w:t>侧</w:t>
                  </w:r>
                  <w:r>
                    <w:rPr>
                      <w:rFonts w:hint="eastAsia" w:cs="Times New Roman"/>
                      <w:color w:val="auto"/>
                      <w:sz w:val="18"/>
                      <w:szCs w:val="18"/>
                      <w:lang w:val="en-US" w:eastAsia="zh-CN"/>
                    </w:rPr>
                    <w:t>54</w:t>
                  </w:r>
                  <w:r>
                    <w:rPr>
                      <w:rFonts w:hint="default" w:ascii="Times New Roman" w:hAnsi="Times New Roman" w:eastAsia="宋体" w:cs="Times New Roman"/>
                      <w:color w:val="auto"/>
                      <w:sz w:val="18"/>
                      <w:szCs w:val="18"/>
                    </w:rPr>
                    <w:t>km左右，不在核心监控区、滨河生态空间范围内。</w:t>
                  </w:r>
                </w:p>
              </w:tc>
              <w:tc>
                <w:tcPr>
                  <w:tcW w:w="565" w:type="pct"/>
                  <w:tcBorders>
                    <w:tl2br w:val="nil"/>
                    <w:tr2bl w:val="nil"/>
                  </w:tcBorders>
                  <w:noWrap w:val="0"/>
                  <w:vAlign w:val="center"/>
                </w:tcPr>
                <w:p w14:paraId="21F6AD1F">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3DD26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4CE2E4B5">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15D98A85">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污染 物排 放管 控</w:t>
                  </w:r>
                </w:p>
              </w:tc>
              <w:tc>
                <w:tcPr>
                  <w:tcW w:w="2031" w:type="pct"/>
                  <w:tcBorders>
                    <w:tl2br w:val="nil"/>
                    <w:tr2bl w:val="nil"/>
                  </w:tcBorders>
                  <w:noWrap w:val="0"/>
                  <w:vAlign w:val="center"/>
                </w:tcPr>
                <w:p w14:paraId="351B8C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根据《江苏省“十四五”节能减排综合实施方案》</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苏政传发</w:t>
                  </w:r>
                  <w:r>
                    <w:rPr>
                      <w:rFonts w:hint="eastAsia" w:cs="Times New Roman"/>
                      <w:bCs/>
                      <w:caps w:val="0"/>
                      <w:smallCaps w:val="0"/>
                      <w:color w:val="auto"/>
                      <w:kern w:val="0"/>
                      <w:sz w:val="18"/>
                      <w:szCs w:val="18"/>
                      <w:lang w:val="en-US" w:eastAsia="zh-CN"/>
                    </w:rPr>
                    <w:t>〔2022〕224号）</w:t>
                  </w:r>
                  <w:r>
                    <w:rPr>
                      <w:rFonts w:hint="default" w:ascii="Times New Roman" w:hAnsi="Times New Roman" w:eastAsia="宋体" w:cs="Times New Roman"/>
                      <w:bCs/>
                      <w:caps w:val="0"/>
                      <w:smallCaps w:val="0"/>
                      <w:color w:val="auto"/>
                      <w:kern w:val="0"/>
                      <w:sz w:val="18"/>
                      <w:szCs w:val="18"/>
                      <w:lang w:val="en-US" w:eastAsia="zh-CN"/>
                    </w:rPr>
                    <w:t>文件进行调整。</w:t>
                  </w:r>
                </w:p>
              </w:tc>
              <w:tc>
                <w:tcPr>
                  <w:tcW w:w="1673" w:type="pct"/>
                  <w:tcBorders>
                    <w:tl2br w:val="nil"/>
                    <w:tr2bl w:val="nil"/>
                  </w:tcBorders>
                  <w:noWrap w:val="0"/>
                  <w:vAlign w:val="center"/>
                </w:tcPr>
                <w:p w14:paraId="35335E2A">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本项目无需新增总量</w:t>
                  </w:r>
                </w:p>
              </w:tc>
              <w:tc>
                <w:tcPr>
                  <w:tcW w:w="565" w:type="pct"/>
                  <w:tcBorders>
                    <w:tl2br w:val="nil"/>
                    <w:tr2bl w:val="nil"/>
                  </w:tcBorders>
                  <w:noWrap w:val="0"/>
                  <w:vAlign w:val="center"/>
                </w:tcPr>
                <w:p w14:paraId="1AAF67A2">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4DBC0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20A2E9ED">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008253C5">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环境 风险 防控</w:t>
                  </w:r>
                </w:p>
              </w:tc>
              <w:tc>
                <w:tcPr>
                  <w:tcW w:w="2031" w:type="pct"/>
                  <w:tcBorders>
                    <w:tl2br w:val="nil"/>
                    <w:tr2bl w:val="nil"/>
                  </w:tcBorders>
                  <w:noWrap w:val="0"/>
                  <w:vAlign w:val="center"/>
                </w:tcPr>
                <w:p w14:paraId="5469B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根据《淮安市突发环境事件应急预案》</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淮政复</w:t>
                  </w:r>
                  <w:r>
                    <w:rPr>
                      <w:rFonts w:hint="eastAsia" w:cs="Times New Roman"/>
                      <w:bCs/>
                      <w:caps w:val="0"/>
                      <w:smallCaps w:val="0"/>
                      <w:color w:val="auto"/>
                      <w:kern w:val="0"/>
                      <w:sz w:val="18"/>
                      <w:szCs w:val="18"/>
                      <w:lang w:val="en-US" w:eastAsia="zh-CN"/>
                    </w:rPr>
                    <w:t>〔2020〕67号）</w:t>
                  </w:r>
                  <w:r>
                    <w:rPr>
                      <w:rFonts w:hint="default" w:ascii="Times New Roman" w:hAnsi="Times New Roman" w:eastAsia="宋体" w:cs="Times New Roman"/>
                      <w:bCs/>
                      <w:caps w:val="0"/>
                      <w:smallCaps w:val="0"/>
                      <w:color w:val="auto"/>
                      <w:kern w:val="0"/>
                      <w:sz w:val="18"/>
                      <w:szCs w:val="18"/>
                      <w:lang w:val="en-US" w:eastAsia="zh-CN"/>
                    </w:rPr>
                    <w:t>、《淮安市集中式饮用水源突发污染事件应急预案》</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淮污防攻坚指办</w:t>
                  </w:r>
                  <w:r>
                    <w:rPr>
                      <w:rFonts w:hint="eastAsia" w:cs="Times New Roman"/>
                      <w:bCs/>
                      <w:caps w:val="0"/>
                      <w:smallCaps w:val="0"/>
                      <w:color w:val="auto"/>
                      <w:kern w:val="0"/>
                      <w:sz w:val="18"/>
                      <w:szCs w:val="18"/>
                      <w:lang w:val="en-US" w:eastAsia="zh-CN"/>
                    </w:rPr>
                    <w:t>〔2020〕58号）</w:t>
                  </w:r>
                  <w:r>
                    <w:rPr>
                      <w:rFonts w:hint="default" w:ascii="Times New Roman" w:hAnsi="Times New Roman" w:eastAsia="宋体" w:cs="Times New Roman"/>
                      <w:bCs/>
                      <w:caps w:val="0"/>
                      <w:smallCaps w:val="0"/>
                      <w:color w:val="auto"/>
                      <w:kern w:val="0"/>
                      <w:sz w:val="18"/>
                      <w:szCs w:val="18"/>
                      <w:lang w:val="en-US" w:eastAsia="zh-CN"/>
                    </w:rPr>
                    <w:t>、《淮安市辐射事故应急预案》《淮安市重污染天气应急预案》</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淮政复</w:t>
                  </w:r>
                  <w:r>
                    <w:rPr>
                      <w:rFonts w:hint="eastAsia" w:cs="Times New Roman"/>
                      <w:bCs/>
                      <w:caps w:val="0"/>
                      <w:smallCaps w:val="0"/>
                      <w:color w:val="auto"/>
                      <w:kern w:val="0"/>
                      <w:sz w:val="18"/>
                      <w:szCs w:val="18"/>
                      <w:lang w:val="en-US" w:eastAsia="zh-CN"/>
                    </w:rPr>
                    <w:t>〔2021〕24号）</w:t>
                  </w:r>
                  <w:r>
                    <w:rPr>
                      <w:rFonts w:hint="default" w:ascii="Times New Roman" w:hAnsi="Times New Roman" w:eastAsia="宋体" w:cs="Times New Roman"/>
                      <w:bCs/>
                      <w:caps w:val="0"/>
                      <w:smallCaps w:val="0"/>
                      <w:color w:val="auto"/>
                      <w:kern w:val="0"/>
                      <w:sz w:val="18"/>
                      <w:szCs w:val="18"/>
                      <w:lang w:val="en-US" w:eastAsia="zh-CN"/>
                    </w:rPr>
                    <w:t>、《中共江苏省委 江苏省人民政府关于深入打好污染防治攻坚战的实施意见》</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2022年1月24日</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等文件进行调整。</w:t>
                  </w:r>
                </w:p>
              </w:tc>
              <w:tc>
                <w:tcPr>
                  <w:tcW w:w="1673" w:type="pct"/>
                  <w:vMerge w:val="restart"/>
                  <w:tcBorders>
                    <w:tl2br w:val="nil"/>
                    <w:tr2bl w:val="nil"/>
                  </w:tcBorders>
                  <w:noWrap w:val="0"/>
                  <w:vAlign w:val="center"/>
                </w:tcPr>
                <w:p w14:paraId="2EC5DBF4">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企业</w:t>
                  </w:r>
                  <w:r>
                    <w:rPr>
                      <w:rFonts w:hint="default" w:ascii="Times New Roman" w:hAnsi="Times New Roman" w:eastAsia="宋体" w:cs="Times New Roman"/>
                      <w:color w:val="auto"/>
                      <w:sz w:val="18"/>
                      <w:szCs w:val="18"/>
                      <w:lang w:val="en-US" w:eastAsia="zh-CN"/>
                    </w:rPr>
                    <w:t>将</w:t>
                  </w:r>
                  <w:r>
                    <w:rPr>
                      <w:rFonts w:hint="default" w:ascii="Times New Roman" w:hAnsi="Times New Roman" w:eastAsia="宋体" w:cs="Times New Roman"/>
                      <w:color w:val="auto"/>
                      <w:sz w:val="18"/>
                      <w:szCs w:val="18"/>
                    </w:rPr>
                    <w:t>根据规定编制环境应急预案并备案，定时安排预案演练，熟练应急物资的使用。对照《淮安市深入打好净土保卫战实施方案》</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淮污防攻坚指办</w:t>
                  </w:r>
                  <w:r>
                    <w:rPr>
                      <w:rFonts w:hint="eastAsia" w:cs="Times New Roman"/>
                      <w:color w:val="auto"/>
                      <w:sz w:val="18"/>
                      <w:szCs w:val="18"/>
                      <w:lang w:eastAsia="zh-CN"/>
                    </w:rPr>
                    <w:t>〔2023〕17号）</w:t>
                  </w:r>
                  <w:r>
                    <w:rPr>
                      <w:rFonts w:hint="default" w:ascii="Times New Roman" w:hAnsi="Times New Roman" w:eastAsia="宋体" w:cs="Times New Roman"/>
                      <w:color w:val="auto"/>
                      <w:sz w:val="18"/>
                      <w:szCs w:val="18"/>
                    </w:rPr>
                    <w:t>，项目位于</w:t>
                  </w:r>
                  <w:r>
                    <w:rPr>
                      <w:rFonts w:hint="default" w:ascii="Times New Roman" w:hAnsi="Times New Roman" w:eastAsia="宋体" w:cs="Times New Roman"/>
                      <w:color w:val="auto"/>
                      <w:sz w:val="18"/>
                      <w:szCs w:val="18"/>
                      <w:lang w:val="en-US" w:eastAsia="zh-CN"/>
                    </w:rPr>
                    <w:t>涟水县</w:t>
                  </w:r>
                  <w:r>
                    <w:rPr>
                      <w:rFonts w:hint="eastAsia" w:cs="Times New Roman"/>
                      <w:color w:val="auto"/>
                      <w:sz w:val="18"/>
                      <w:szCs w:val="18"/>
                      <w:lang w:val="en-US" w:eastAsia="zh-CN"/>
                    </w:rPr>
                    <w:t>大东镇</w:t>
                  </w:r>
                  <w:r>
                    <w:rPr>
                      <w:rFonts w:hint="default" w:ascii="Times New Roman" w:hAnsi="Times New Roman" w:eastAsia="宋体" w:cs="Times New Roman"/>
                      <w:color w:val="auto"/>
                      <w:sz w:val="18"/>
                      <w:szCs w:val="18"/>
                    </w:rPr>
                    <w:t>内，周边为企业</w:t>
                  </w:r>
                  <w:r>
                    <w:rPr>
                      <w:rFonts w:hint="default" w:ascii="Times New Roman" w:hAnsi="Times New Roman" w:eastAsia="宋体" w:cs="Times New Roman"/>
                      <w:color w:val="auto"/>
                      <w:sz w:val="18"/>
                      <w:szCs w:val="18"/>
                      <w:lang w:val="en-US" w:eastAsia="zh-CN"/>
                    </w:rPr>
                    <w:t>与道路</w:t>
                  </w:r>
                  <w:r>
                    <w:rPr>
                      <w:rFonts w:hint="default" w:ascii="Times New Roman" w:hAnsi="Times New Roman" w:eastAsia="宋体" w:cs="Times New Roman"/>
                      <w:color w:val="auto"/>
                      <w:sz w:val="18"/>
                      <w:szCs w:val="18"/>
                    </w:rPr>
                    <w:t>，项目未使用国家明令淘汰或者禁止使用的回收利用技术、工艺，符合相关产业政策。</w:t>
                  </w:r>
                </w:p>
              </w:tc>
              <w:tc>
                <w:tcPr>
                  <w:tcW w:w="565" w:type="pct"/>
                  <w:tcBorders>
                    <w:tl2br w:val="nil"/>
                    <w:tr2bl w:val="nil"/>
                  </w:tcBorders>
                  <w:noWrap w:val="0"/>
                  <w:vAlign w:val="center"/>
                </w:tcPr>
                <w:p w14:paraId="108FAB39">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r w14:paraId="5E68B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tcBorders>
                    <w:tl2br w:val="nil"/>
                    <w:tr2bl w:val="nil"/>
                  </w:tcBorders>
                  <w:noWrap w:val="0"/>
                  <w:vAlign w:val="center"/>
                </w:tcPr>
                <w:p w14:paraId="44485525">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402" w:type="pct"/>
                  <w:tcBorders>
                    <w:tl2br w:val="nil"/>
                    <w:tr2bl w:val="nil"/>
                  </w:tcBorders>
                  <w:noWrap w:val="0"/>
                  <w:vAlign w:val="center"/>
                </w:tcPr>
                <w:p w14:paraId="0FD23363">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资源 利用 效率 要求</w:t>
                  </w:r>
                </w:p>
              </w:tc>
              <w:tc>
                <w:tcPr>
                  <w:tcW w:w="2031" w:type="pct"/>
                  <w:tcBorders>
                    <w:tl2br w:val="nil"/>
                    <w:tr2bl w:val="nil"/>
                  </w:tcBorders>
                  <w:noWrap w:val="0"/>
                  <w:vAlign w:val="center"/>
                </w:tcPr>
                <w:p w14:paraId="5E89B2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bCs/>
                      <w:caps w:val="0"/>
                      <w:smallCaps w:val="0"/>
                      <w:color w:val="auto"/>
                      <w:kern w:val="0"/>
                      <w:sz w:val="18"/>
                      <w:szCs w:val="18"/>
                      <w:lang w:val="en-US" w:eastAsia="zh-CN"/>
                    </w:rPr>
                    <w:t>根据《江苏省水利厅 江苏省发改委关于印发十四五”用水总量和强度控制目标的通知》</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苏水节</w:t>
                  </w:r>
                  <w:r>
                    <w:rPr>
                      <w:rFonts w:hint="eastAsia" w:cs="Times New Roman"/>
                      <w:bCs/>
                      <w:caps w:val="0"/>
                      <w:smallCaps w:val="0"/>
                      <w:color w:val="auto"/>
                      <w:kern w:val="0"/>
                      <w:sz w:val="18"/>
                      <w:szCs w:val="18"/>
                      <w:lang w:val="en-US" w:eastAsia="zh-CN"/>
                    </w:rPr>
                    <w:t>〔2022〕6号）</w:t>
                  </w:r>
                  <w:r>
                    <w:rPr>
                      <w:rFonts w:hint="default" w:ascii="Times New Roman" w:hAnsi="Times New Roman" w:eastAsia="宋体" w:cs="Times New Roman"/>
                      <w:bCs/>
                      <w:caps w:val="0"/>
                      <w:smallCaps w:val="0"/>
                      <w:color w:val="auto"/>
                      <w:kern w:val="0"/>
                      <w:sz w:val="18"/>
                      <w:szCs w:val="18"/>
                      <w:lang w:val="en-US" w:eastAsia="zh-CN"/>
                    </w:rPr>
                    <w:t>、《市水利局 市发展和改革委员会关于下达“十四五”用水总量和强度控制目标的通知》</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淮水资</w:t>
                  </w:r>
                  <w:r>
                    <w:rPr>
                      <w:rFonts w:hint="eastAsia" w:cs="Times New Roman"/>
                      <w:bCs/>
                      <w:caps w:val="0"/>
                      <w:smallCaps w:val="0"/>
                      <w:color w:val="auto"/>
                      <w:kern w:val="0"/>
                      <w:sz w:val="18"/>
                      <w:szCs w:val="18"/>
                      <w:lang w:val="en-US" w:eastAsia="zh-CN"/>
                    </w:rPr>
                    <w:t>〔2022〕4号）</w:t>
                  </w:r>
                  <w:r>
                    <w:rPr>
                      <w:rFonts w:hint="default" w:ascii="Times New Roman" w:hAnsi="Times New Roman" w:eastAsia="宋体" w:cs="Times New Roman"/>
                      <w:bCs/>
                      <w:caps w:val="0"/>
                      <w:smallCaps w:val="0"/>
                      <w:color w:val="auto"/>
                      <w:kern w:val="0"/>
                      <w:sz w:val="18"/>
                      <w:szCs w:val="18"/>
                      <w:lang w:val="en-US" w:eastAsia="zh-CN"/>
                    </w:rPr>
                    <w:t>、《淮安市国土空间总体规划</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2021</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2035年</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》《中共江苏省委 江苏省人民政府关于深入打好污染防治攻坚战的实施意见》</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2022年1月24日</w:t>
                  </w:r>
                  <w:r>
                    <w:rPr>
                      <w:rFonts w:hint="eastAsia" w:cs="Times New Roman"/>
                      <w:bCs/>
                      <w:caps w:val="0"/>
                      <w:smallCaps w:val="0"/>
                      <w:color w:val="auto"/>
                      <w:kern w:val="0"/>
                      <w:sz w:val="18"/>
                      <w:szCs w:val="18"/>
                      <w:lang w:val="en-US" w:eastAsia="zh-CN"/>
                    </w:rPr>
                    <w:t>）</w:t>
                  </w:r>
                  <w:r>
                    <w:rPr>
                      <w:rFonts w:hint="default" w:ascii="Times New Roman" w:hAnsi="Times New Roman" w:eastAsia="宋体" w:cs="Times New Roman"/>
                      <w:bCs/>
                      <w:caps w:val="0"/>
                      <w:smallCaps w:val="0"/>
                      <w:color w:val="auto"/>
                      <w:kern w:val="0"/>
                      <w:sz w:val="18"/>
                      <w:szCs w:val="18"/>
                      <w:lang w:val="en-US" w:eastAsia="zh-CN"/>
                    </w:rPr>
                    <w:t>等文件进行调整。</w:t>
                  </w:r>
                </w:p>
              </w:tc>
              <w:tc>
                <w:tcPr>
                  <w:tcW w:w="1673" w:type="pct"/>
                  <w:vMerge w:val="continue"/>
                  <w:tcBorders>
                    <w:tl2br w:val="nil"/>
                    <w:tr2bl w:val="nil"/>
                  </w:tcBorders>
                  <w:noWrap w:val="0"/>
                  <w:vAlign w:val="center"/>
                </w:tcPr>
                <w:p w14:paraId="7821F8CC">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p>
              </w:tc>
              <w:tc>
                <w:tcPr>
                  <w:tcW w:w="565" w:type="pct"/>
                  <w:tcBorders>
                    <w:tl2br w:val="nil"/>
                    <w:tr2bl w:val="nil"/>
                  </w:tcBorders>
                  <w:noWrap w:val="0"/>
                  <w:vAlign w:val="center"/>
                </w:tcPr>
                <w:p w14:paraId="58BC6EE7">
                  <w:pPr>
                    <w:pStyle w:val="12"/>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符合</w:t>
                  </w:r>
                </w:p>
              </w:tc>
            </w:tr>
          </w:tbl>
          <w:p w14:paraId="1E7ED7C7">
            <w:pPr>
              <w:keepNext w:val="0"/>
              <w:keepLines w:val="0"/>
              <w:pageBreakBefore w:val="0"/>
              <w:widowControl w:val="0"/>
              <w:kinsoku/>
              <w:wordWrap/>
              <w:overflowPunct/>
              <w:topLinePunct w:val="0"/>
              <w:autoSpaceDE/>
              <w:autoSpaceDN/>
              <w:bidi w:val="0"/>
              <w:adjustRightInd w:val="0"/>
              <w:snapToGrid w:val="0"/>
              <w:spacing w:before="240" w:beforeLines="100" w:line="360" w:lineRule="auto"/>
              <w:ind w:firstLine="480" w:firstLineChars="200"/>
              <w:textAlignment w:val="auto"/>
              <w:rPr>
                <w:rFonts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改建</w:t>
            </w:r>
            <w:r>
              <w:rPr>
                <w:rFonts w:hAnsiTheme="minorEastAsia" w:eastAsiaTheme="minorEastAsia"/>
                <w:color w:val="auto"/>
                <w:sz w:val="24"/>
              </w:rPr>
              <w:t>项目与</w:t>
            </w:r>
            <w:r>
              <w:rPr>
                <w:rFonts w:hint="eastAsia" w:hAnsiTheme="minorEastAsia" w:eastAsiaTheme="minorEastAsia"/>
                <w:color w:val="auto"/>
                <w:sz w:val="24"/>
                <w:lang w:val="en-US" w:eastAsia="zh-CN"/>
              </w:rPr>
              <w:t>《淮安市生态环境分区管控动态更新成果》（2023年版）</w:t>
            </w:r>
            <w:r>
              <w:rPr>
                <w:rFonts w:hAnsiTheme="minorEastAsia" w:eastAsiaTheme="minorEastAsia"/>
                <w:color w:val="auto"/>
                <w:sz w:val="24"/>
              </w:rPr>
              <w:t>是相符的。</w:t>
            </w:r>
          </w:p>
          <w:p w14:paraId="0A028173">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hAnsiTheme="minorEastAsia" w:eastAsiaTheme="minorEastAsia"/>
                <w:b/>
                <w:color w:val="auto"/>
                <w:sz w:val="24"/>
              </w:rPr>
            </w:pPr>
            <w:r>
              <w:rPr>
                <w:rFonts w:hAnsiTheme="minorEastAsia" w:eastAsiaTheme="minorEastAsia"/>
                <w:b/>
                <w:color w:val="auto"/>
                <w:sz w:val="24"/>
              </w:rPr>
              <w:t>（2）</w:t>
            </w:r>
            <w:r>
              <w:rPr>
                <w:rFonts w:hint="eastAsia" w:hAnsiTheme="minorEastAsia" w:eastAsiaTheme="minorEastAsia"/>
                <w:b/>
                <w:color w:val="auto"/>
                <w:sz w:val="24"/>
              </w:rPr>
              <w:t>与</w:t>
            </w:r>
            <w:r>
              <w:rPr>
                <w:rFonts w:hAnsiTheme="minorEastAsia" w:eastAsiaTheme="minorEastAsia"/>
                <w:b/>
                <w:color w:val="auto"/>
                <w:sz w:val="24"/>
              </w:rPr>
              <w:t>环境质量底线</w:t>
            </w:r>
            <w:r>
              <w:rPr>
                <w:rFonts w:hint="eastAsia" w:hAnsiTheme="minorEastAsia" w:eastAsiaTheme="minorEastAsia"/>
                <w:b/>
                <w:color w:val="auto"/>
                <w:sz w:val="24"/>
              </w:rPr>
              <w:t>相符性</w:t>
            </w:r>
          </w:p>
          <w:p w14:paraId="70B874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cs="Times New Roman" w:hAnsiTheme="minorEastAsia" w:eastAsiaTheme="minorEastAsia"/>
                <w:color w:val="auto"/>
                <w:sz w:val="24"/>
              </w:rPr>
            </w:pPr>
            <w:r>
              <w:rPr>
                <w:rFonts w:hAnsiTheme="minorEastAsia" w:eastAsiaTheme="minorEastAsia"/>
                <w:color w:val="auto"/>
                <w:sz w:val="24"/>
              </w:rPr>
              <w:t>①环境空气：</w:t>
            </w: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大东镇</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2318474D">
            <w:pPr>
              <w:bidi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cs="Times New Roman" w:hAnsiTheme="minorEastAsia" w:eastAsiaTheme="minorEastAsia"/>
                <w:color w:val="auto"/>
                <w:sz w:val="24"/>
              </w:rPr>
              <w:t>②地表水环境：</w:t>
            </w:r>
            <w:r>
              <w:rPr>
                <w:rFonts w:hint="default" w:ascii="Times New Roman" w:hAnsi="Times New Roman" w:eastAsia="宋体" w:cs="Times New Roman"/>
                <w:bCs/>
                <w:color w:val="auto"/>
                <w:sz w:val="24"/>
                <w:szCs w:val="24"/>
              </w:rPr>
              <w:t>根据</w:t>
            </w:r>
            <w:r>
              <w:rPr>
                <w:rFonts w:hint="default" w:ascii="Times New Roman" w:hAnsi="Times New Roman" w:eastAsia="宋体" w:cs="Times New Roman"/>
                <w:bCs/>
                <w:color w:val="auto"/>
                <w:sz w:val="24"/>
                <w:szCs w:val="24"/>
                <w:lang w:eastAsia="zh-CN"/>
              </w:rPr>
              <w:t>《涟水县2024年度环境质量公告》</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废黄河、</w:t>
            </w:r>
            <w:r>
              <w:rPr>
                <w:rFonts w:hint="default" w:ascii="Times New Roman" w:hAnsi="Times New Roman" w:eastAsia="宋体" w:cs="Times New Roman"/>
                <w:bCs/>
                <w:color w:val="auto"/>
                <w:sz w:val="24"/>
                <w:szCs w:val="24"/>
              </w:rPr>
              <w:t>唐响河、南六塘河</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盐河</w:t>
            </w:r>
            <w:r>
              <w:rPr>
                <w:rFonts w:hint="default" w:ascii="Times New Roman" w:hAnsi="Times New Roman" w:eastAsia="宋体" w:cs="Times New Roman"/>
                <w:bCs/>
                <w:color w:val="auto"/>
                <w:sz w:val="24"/>
                <w:szCs w:val="24"/>
              </w:rPr>
              <w:t>水质年均值达到《地表水环境质量标准》（GB 3838—2002）中Ⅲ类水标准</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公兴河</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一帆河</w:t>
            </w:r>
            <w:r>
              <w:rPr>
                <w:rFonts w:hint="default" w:ascii="Times New Roman" w:hAnsi="Times New Roman" w:eastAsia="宋体" w:cs="Times New Roman"/>
                <w:bCs/>
                <w:color w:val="auto"/>
                <w:sz w:val="24"/>
                <w:szCs w:val="24"/>
              </w:rPr>
              <w:t>水质年均值达到《地表水环境质量标准》（GB 3838—2002）中Ⅳ类水标准。</w:t>
            </w:r>
            <w:r>
              <w:rPr>
                <w:rFonts w:hint="default" w:ascii="Times New Roman" w:hAnsi="Times New Roman" w:eastAsia="宋体" w:cs="Times New Roman"/>
                <w:bCs/>
                <w:color w:val="auto"/>
                <w:sz w:val="24"/>
                <w:szCs w:val="24"/>
                <w:lang w:val="en-US" w:eastAsia="zh-CN"/>
              </w:rPr>
              <w:t>涟水县内</w:t>
            </w:r>
            <w:r>
              <w:rPr>
                <w:rFonts w:hint="default" w:ascii="Times New Roman" w:hAnsi="Times New Roman" w:eastAsia="宋体" w:cs="Times New Roman"/>
                <w:bCs/>
                <w:color w:val="auto"/>
                <w:sz w:val="24"/>
                <w:szCs w:val="24"/>
              </w:rPr>
              <w:t>水环境质量总体</w:t>
            </w:r>
            <w:r>
              <w:rPr>
                <w:rFonts w:hint="default" w:ascii="Times New Roman" w:hAnsi="Times New Roman" w:eastAsia="宋体" w:cs="Times New Roman"/>
                <w:bCs/>
                <w:color w:val="auto"/>
                <w:sz w:val="24"/>
                <w:szCs w:val="24"/>
                <w:lang w:val="en-US" w:eastAsia="zh-CN"/>
              </w:rPr>
              <w:t>保持稳定</w:t>
            </w:r>
            <w:r>
              <w:rPr>
                <w:rFonts w:hint="default" w:ascii="Times New Roman" w:hAnsi="Times New Roman" w:eastAsia="宋体" w:cs="Times New Roman"/>
                <w:bCs/>
                <w:color w:val="auto"/>
                <w:sz w:val="24"/>
                <w:szCs w:val="24"/>
              </w:rPr>
              <w:t>，主要河流</w:t>
            </w:r>
            <w:r>
              <w:rPr>
                <w:rFonts w:hint="default" w:ascii="Times New Roman" w:hAnsi="Times New Roman" w:eastAsia="宋体" w:cs="Times New Roman"/>
                <w:bCs/>
                <w:color w:val="auto"/>
                <w:sz w:val="24"/>
                <w:szCs w:val="24"/>
                <w:lang w:val="en-US" w:eastAsia="zh-CN"/>
              </w:rPr>
              <w:t>断面整体</w:t>
            </w:r>
            <w:r>
              <w:rPr>
                <w:rFonts w:hint="default" w:ascii="Times New Roman" w:hAnsi="Times New Roman" w:eastAsia="宋体" w:cs="Times New Roman"/>
                <w:bCs/>
                <w:color w:val="auto"/>
                <w:sz w:val="24"/>
                <w:szCs w:val="24"/>
              </w:rPr>
              <w:t>水质状况</w:t>
            </w:r>
            <w:r>
              <w:rPr>
                <w:rFonts w:hint="default" w:ascii="Times New Roman" w:hAnsi="Times New Roman" w:eastAsia="宋体" w:cs="Times New Roman"/>
                <w:bCs/>
                <w:color w:val="auto"/>
                <w:sz w:val="24"/>
                <w:szCs w:val="24"/>
                <w:lang w:val="en-US" w:eastAsia="zh-CN"/>
              </w:rPr>
              <w:t>良好</w:t>
            </w:r>
            <w:r>
              <w:rPr>
                <w:rFonts w:hint="default" w:ascii="Times New Roman" w:hAnsi="Times New Roman" w:eastAsia="宋体" w:cs="Times New Roman"/>
                <w:bCs/>
                <w:color w:val="auto"/>
                <w:sz w:val="24"/>
                <w:szCs w:val="24"/>
                <w:lang w:eastAsia="zh-CN"/>
              </w:rPr>
              <w:t>。</w:t>
            </w:r>
          </w:p>
          <w:p w14:paraId="00F761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hAnsiTheme="minorEastAsia" w:eastAsiaTheme="minorEastAsia"/>
                <w:color w:val="auto"/>
                <w:sz w:val="24"/>
              </w:rPr>
              <w:t>③声环境：</w:t>
            </w:r>
            <w:r>
              <w:rPr>
                <w:rFonts w:hint="default" w:ascii="Times New Roman" w:hAnsi="Times New Roman" w:eastAsia="宋体"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p>
          <w:p w14:paraId="5D805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综上，</w:t>
            </w: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项目营运期各类污染物采取相应污染防治措施后，对周围环境影响均较小，不会降低当地环境质量，符合环境质量底线标准。</w:t>
            </w:r>
          </w:p>
          <w:p w14:paraId="395661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Theme="minorEastAsia" w:eastAsiaTheme="minorEastAsia"/>
                <w:color w:val="auto"/>
                <w:sz w:val="24"/>
              </w:rPr>
            </w:pPr>
            <w:r>
              <w:rPr>
                <w:rFonts w:hint="eastAsia" w:hAnsiTheme="minorEastAsia" w:eastAsiaTheme="minorEastAsia"/>
                <w:color w:val="auto"/>
                <w:sz w:val="24"/>
              </w:rPr>
              <w:t>因此</w:t>
            </w:r>
            <w:r>
              <w:rPr>
                <w:rFonts w:hint="eastAsia" w:hAnsiTheme="minorEastAsia" w:eastAsiaTheme="minorEastAsia"/>
                <w:color w:val="auto"/>
                <w:sz w:val="24"/>
                <w:lang w:eastAsia="zh-CN"/>
              </w:rPr>
              <w:t>改建</w:t>
            </w:r>
            <w:r>
              <w:rPr>
                <w:rFonts w:hint="eastAsia" w:hAnsiTheme="minorEastAsia" w:eastAsiaTheme="minorEastAsia"/>
                <w:color w:val="auto"/>
                <w:sz w:val="24"/>
              </w:rPr>
              <w:t>项目的建设符合环境质量底线要求。</w:t>
            </w:r>
          </w:p>
          <w:p w14:paraId="5E41E59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eastAsiaTheme="minorEastAsia"/>
                <w:b/>
                <w:color w:val="auto"/>
                <w:sz w:val="24"/>
              </w:rPr>
            </w:pPr>
            <w:r>
              <w:rPr>
                <w:rFonts w:eastAsiaTheme="minorEastAsia"/>
                <w:b/>
                <w:color w:val="auto"/>
                <w:sz w:val="24"/>
              </w:rPr>
              <w:t>（3）</w:t>
            </w:r>
            <w:r>
              <w:rPr>
                <w:rFonts w:hint="eastAsia" w:eastAsiaTheme="minorEastAsia"/>
                <w:b/>
                <w:color w:val="auto"/>
                <w:sz w:val="24"/>
              </w:rPr>
              <w:t>与</w:t>
            </w:r>
            <w:r>
              <w:rPr>
                <w:rFonts w:eastAsiaTheme="minorEastAsia"/>
                <w:b/>
                <w:color w:val="auto"/>
                <w:sz w:val="24"/>
              </w:rPr>
              <w:t>资源利用上线</w:t>
            </w:r>
            <w:r>
              <w:rPr>
                <w:rFonts w:hint="eastAsia" w:eastAsiaTheme="minorEastAsia"/>
                <w:b/>
                <w:color w:val="auto"/>
                <w:sz w:val="24"/>
              </w:rPr>
              <w:t>相符性</w:t>
            </w:r>
          </w:p>
          <w:p w14:paraId="76444D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根据《关于加强资源环境生态红线管控的指导意见》（发改环资</w:t>
            </w:r>
            <w:r>
              <w:rPr>
                <w:rFonts w:hint="eastAsia"/>
                <w:color w:val="auto"/>
                <w:sz w:val="24"/>
                <w:lang w:eastAsia="zh-CN"/>
              </w:rPr>
              <w:t>〔2016〕1162号</w:t>
            </w:r>
            <w:r>
              <w:rPr>
                <w:color w:val="auto"/>
                <w:sz w:val="24"/>
              </w:rPr>
              <w:t>），建设项目与资源利用上线的相符性分析见表1-</w:t>
            </w:r>
            <w:r>
              <w:rPr>
                <w:rFonts w:hint="eastAsia"/>
                <w:color w:val="auto"/>
                <w:sz w:val="24"/>
                <w:lang w:val="en-US" w:eastAsia="zh-CN"/>
              </w:rPr>
              <w:t>7</w:t>
            </w:r>
            <w:r>
              <w:rPr>
                <w:color w:val="auto"/>
                <w:sz w:val="24"/>
              </w:rPr>
              <w:t>。</w:t>
            </w:r>
          </w:p>
          <w:p w14:paraId="0C3A53CD">
            <w:pPr>
              <w:adjustRightInd w:val="0"/>
              <w:snapToGrid w:val="0"/>
              <w:jc w:val="center"/>
              <w:rPr>
                <w:rFonts w:hint="eastAsia" w:eastAsiaTheme="minorEastAsia"/>
                <w:b/>
                <w:bCs/>
                <w:color w:val="auto"/>
                <w:sz w:val="24"/>
                <w:lang w:val="en-US" w:eastAsia="zh-CN"/>
              </w:rPr>
            </w:pPr>
            <w:r>
              <w:rPr>
                <w:rFonts w:hint="eastAsia" w:eastAsiaTheme="minorEastAsia"/>
                <w:b/>
                <w:bCs/>
                <w:color w:val="auto"/>
                <w:sz w:val="24"/>
                <w:lang w:val="en-US" w:eastAsia="zh-CN"/>
              </w:rPr>
              <w:t>表1-7  改建项目所涉及生态空间管控区域</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68"/>
              <w:gridCol w:w="1269"/>
              <w:gridCol w:w="5065"/>
              <w:gridCol w:w="1236"/>
            </w:tblGrid>
            <w:tr w14:paraId="66441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bottom w:val="single" w:color="auto" w:sz="12" w:space="0"/>
                  </w:tcBorders>
                  <w:vAlign w:val="center"/>
                </w:tcPr>
                <w:p w14:paraId="096887B4">
                  <w:pPr>
                    <w:jc w:val="center"/>
                    <w:rPr>
                      <w:b/>
                      <w:color w:val="auto"/>
                      <w:szCs w:val="21"/>
                    </w:rPr>
                  </w:pPr>
                  <w:r>
                    <w:rPr>
                      <w:b/>
                      <w:color w:val="auto"/>
                      <w:szCs w:val="21"/>
                    </w:rPr>
                    <w:t>序号</w:t>
                  </w:r>
                </w:p>
              </w:tc>
              <w:tc>
                <w:tcPr>
                  <w:tcW w:w="761" w:type="pct"/>
                  <w:tcBorders>
                    <w:top w:val="single" w:color="auto" w:sz="12" w:space="0"/>
                    <w:bottom w:val="single" w:color="auto" w:sz="12" w:space="0"/>
                  </w:tcBorders>
                  <w:vAlign w:val="center"/>
                </w:tcPr>
                <w:p w14:paraId="07FD7A2B">
                  <w:pPr>
                    <w:jc w:val="center"/>
                    <w:rPr>
                      <w:b/>
                      <w:color w:val="auto"/>
                      <w:szCs w:val="21"/>
                    </w:rPr>
                  </w:pPr>
                  <w:r>
                    <w:rPr>
                      <w:b/>
                      <w:color w:val="auto"/>
                      <w:szCs w:val="21"/>
                    </w:rPr>
                    <w:t>内容</w:t>
                  </w:r>
                </w:p>
              </w:tc>
              <w:tc>
                <w:tcPr>
                  <w:tcW w:w="3037" w:type="pct"/>
                  <w:tcBorders>
                    <w:top w:val="single" w:color="auto" w:sz="12" w:space="0"/>
                    <w:bottom w:val="single" w:color="auto" w:sz="12" w:space="0"/>
                  </w:tcBorders>
                  <w:vAlign w:val="center"/>
                </w:tcPr>
                <w:p w14:paraId="5ACBB5C5">
                  <w:pPr>
                    <w:jc w:val="center"/>
                    <w:rPr>
                      <w:b/>
                      <w:color w:val="auto"/>
                      <w:szCs w:val="21"/>
                    </w:rPr>
                  </w:pPr>
                  <w:r>
                    <w:rPr>
                      <w:b/>
                      <w:color w:val="auto"/>
                      <w:szCs w:val="21"/>
                    </w:rPr>
                    <w:t>与资源利用上线的相符性</w:t>
                  </w:r>
                </w:p>
              </w:tc>
              <w:tc>
                <w:tcPr>
                  <w:tcW w:w="741" w:type="pct"/>
                  <w:tcBorders>
                    <w:top w:val="single" w:color="auto" w:sz="12" w:space="0"/>
                    <w:bottom w:val="single" w:color="auto" w:sz="12" w:space="0"/>
                  </w:tcBorders>
                  <w:vAlign w:val="center"/>
                </w:tcPr>
                <w:p w14:paraId="625EF694">
                  <w:pPr>
                    <w:jc w:val="center"/>
                    <w:rPr>
                      <w:b/>
                      <w:color w:val="auto"/>
                      <w:szCs w:val="21"/>
                    </w:rPr>
                  </w:pPr>
                  <w:r>
                    <w:rPr>
                      <w:b/>
                      <w:color w:val="auto"/>
                      <w:szCs w:val="21"/>
                    </w:rPr>
                    <w:t>是否符合</w:t>
                  </w:r>
                </w:p>
              </w:tc>
            </w:tr>
            <w:tr w14:paraId="78B60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tcBorders>
                  <w:vAlign w:val="center"/>
                </w:tcPr>
                <w:p w14:paraId="13AD38B5">
                  <w:pPr>
                    <w:jc w:val="center"/>
                    <w:rPr>
                      <w:color w:val="auto"/>
                      <w:szCs w:val="21"/>
                    </w:rPr>
                  </w:pPr>
                  <w:r>
                    <w:rPr>
                      <w:color w:val="auto"/>
                      <w:szCs w:val="21"/>
                    </w:rPr>
                    <w:t>1</w:t>
                  </w:r>
                </w:p>
              </w:tc>
              <w:tc>
                <w:tcPr>
                  <w:tcW w:w="761" w:type="pct"/>
                  <w:tcBorders>
                    <w:top w:val="single" w:color="auto" w:sz="12" w:space="0"/>
                  </w:tcBorders>
                  <w:vAlign w:val="center"/>
                </w:tcPr>
                <w:p w14:paraId="009C422C">
                  <w:pPr>
                    <w:jc w:val="center"/>
                    <w:rPr>
                      <w:color w:val="auto"/>
                      <w:szCs w:val="21"/>
                    </w:rPr>
                  </w:pPr>
                  <w:r>
                    <w:rPr>
                      <w:color w:val="auto"/>
                      <w:szCs w:val="21"/>
                    </w:rPr>
                    <w:t>能源消耗</w:t>
                  </w:r>
                </w:p>
              </w:tc>
              <w:tc>
                <w:tcPr>
                  <w:tcW w:w="3037" w:type="pct"/>
                  <w:tcBorders>
                    <w:top w:val="single" w:color="auto" w:sz="12" w:space="0"/>
                  </w:tcBorders>
                  <w:vAlign w:val="center"/>
                </w:tcPr>
                <w:p w14:paraId="69273C61">
                  <w:pPr>
                    <w:jc w:val="center"/>
                    <w:rPr>
                      <w:color w:val="auto"/>
                      <w:szCs w:val="21"/>
                    </w:rPr>
                  </w:pPr>
                  <w:r>
                    <w:rPr>
                      <w:color w:val="auto"/>
                      <w:szCs w:val="21"/>
                    </w:rPr>
                    <w:t>本项目不使用煤炭；不属于压缩产能、过剩产能，“两高”行业；用电所在地便可满足</w:t>
                  </w:r>
                </w:p>
              </w:tc>
              <w:tc>
                <w:tcPr>
                  <w:tcW w:w="741" w:type="pct"/>
                  <w:tcBorders>
                    <w:top w:val="single" w:color="auto" w:sz="12" w:space="0"/>
                  </w:tcBorders>
                  <w:vAlign w:val="center"/>
                </w:tcPr>
                <w:p w14:paraId="1A52AD2C">
                  <w:pPr>
                    <w:jc w:val="center"/>
                    <w:rPr>
                      <w:color w:val="auto"/>
                      <w:szCs w:val="21"/>
                    </w:rPr>
                  </w:pPr>
                  <w:r>
                    <w:rPr>
                      <w:color w:val="auto"/>
                      <w:szCs w:val="21"/>
                    </w:rPr>
                    <w:t>符合</w:t>
                  </w:r>
                </w:p>
              </w:tc>
            </w:tr>
            <w:tr w14:paraId="43482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Align w:val="center"/>
                </w:tcPr>
                <w:p w14:paraId="16003E75">
                  <w:pPr>
                    <w:jc w:val="center"/>
                    <w:rPr>
                      <w:color w:val="auto"/>
                      <w:szCs w:val="21"/>
                    </w:rPr>
                  </w:pPr>
                  <w:r>
                    <w:rPr>
                      <w:color w:val="auto"/>
                      <w:szCs w:val="21"/>
                    </w:rPr>
                    <w:t>2</w:t>
                  </w:r>
                </w:p>
              </w:tc>
              <w:tc>
                <w:tcPr>
                  <w:tcW w:w="761" w:type="pct"/>
                  <w:vAlign w:val="center"/>
                </w:tcPr>
                <w:p w14:paraId="1DD2A84A">
                  <w:pPr>
                    <w:jc w:val="center"/>
                    <w:rPr>
                      <w:color w:val="auto"/>
                      <w:szCs w:val="21"/>
                    </w:rPr>
                  </w:pPr>
                  <w:r>
                    <w:rPr>
                      <w:color w:val="auto"/>
                      <w:szCs w:val="21"/>
                    </w:rPr>
                    <w:t>水资源消耗</w:t>
                  </w:r>
                </w:p>
              </w:tc>
              <w:tc>
                <w:tcPr>
                  <w:tcW w:w="3037" w:type="pct"/>
                  <w:vAlign w:val="center"/>
                </w:tcPr>
                <w:p w14:paraId="27BCA19E">
                  <w:pPr>
                    <w:jc w:val="center"/>
                    <w:rPr>
                      <w:color w:val="auto"/>
                      <w:szCs w:val="21"/>
                    </w:rPr>
                  </w:pPr>
                  <w:r>
                    <w:rPr>
                      <w:color w:val="auto"/>
                      <w:szCs w:val="21"/>
                    </w:rPr>
                    <w:t>本项目所在地不属于严重缺水地区；区域供水管网可以满足项目用水；本项目不涉及地下水开采。</w:t>
                  </w:r>
                </w:p>
              </w:tc>
              <w:tc>
                <w:tcPr>
                  <w:tcW w:w="741" w:type="pct"/>
                  <w:vAlign w:val="center"/>
                </w:tcPr>
                <w:p w14:paraId="36B61A5C">
                  <w:pPr>
                    <w:jc w:val="center"/>
                    <w:rPr>
                      <w:color w:val="auto"/>
                      <w:szCs w:val="21"/>
                    </w:rPr>
                  </w:pPr>
                  <w:r>
                    <w:rPr>
                      <w:color w:val="auto"/>
                      <w:szCs w:val="21"/>
                    </w:rPr>
                    <w:t>符合</w:t>
                  </w:r>
                </w:p>
              </w:tc>
            </w:tr>
            <w:tr w14:paraId="25CF8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Align w:val="center"/>
                </w:tcPr>
                <w:p w14:paraId="04ED0178">
                  <w:pPr>
                    <w:jc w:val="center"/>
                    <w:rPr>
                      <w:color w:val="auto"/>
                      <w:szCs w:val="21"/>
                    </w:rPr>
                  </w:pPr>
                  <w:r>
                    <w:rPr>
                      <w:color w:val="auto"/>
                      <w:szCs w:val="21"/>
                    </w:rPr>
                    <w:t>3</w:t>
                  </w:r>
                </w:p>
              </w:tc>
              <w:tc>
                <w:tcPr>
                  <w:tcW w:w="761" w:type="pct"/>
                  <w:vAlign w:val="center"/>
                </w:tcPr>
                <w:p w14:paraId="43B9DE94">
                  <w:pPr>
                    <w:jc w:val="center"/>
                    <w:rPr>
                      <w:color w:val="auto"/>
                      <w:szCs w:val="21"/>
                    </w:rPr>
                  </w:pPr>
                  <w:r>
                    <w:rPr>
                      <w:color w:val="auto"/>
                      <w:szCs w:val="21"/>
                    </w:rPr>
                    <w:t>土地资源</w:t>
                  </w:r>
                </w:p>
              </w:tc>
              <w:tc>
                <w:tcPr>
                  <w:tcW w:w="3037" w:type="pct"/>
                  <w:vAlign w:val="center"/>
                </w:tcPr>
                <w:p w14:paraId="713D71F2">
                  <w:pPr>
                    <w:jc w:val="center"/>
                    <w:rPr>
                      <w:color w:val="auto"/>
                      <w:szCs w:val="21"/>
                    </w:rPr>
                  </w:pPr>
                  <w:r>
                    <w:rPr>
                      <w:color w:val="auto"/>
                      <w:szCs w:val="21"/>
                    </w:rPr>
                    <w:t>本项目选址位于</w:t>
                  </w:r>
                  <w:r>
                    <w:rPr>
                      <w:rFonts w:hint="eastAsia"/>
                      <w:color w:val="auto"/>
                      <w:szCs w:val="21"/>
                      <w:lang w:val="en-US" w:eastAsia="zh-CN"/>
                    </w:rPr>
                    <w:t>江苏省淮安市涟水县大东镇马棚农场</w:t>
                  </w:r>
                  <w:r>
                    <w:rPr>
                      <w:color w:val="auto"/>
                      <w:szCs w:val="21"/>
                    </w:rPr>
                    <w:t>，用地类型为工业用地。</w:t>
                  </w:r>
                </w:p>
              </w:tc>
              <w:tc>
                <w:tcPr>
                  <w:tcW w:w="741" w:type="pct"/>
                  <w:vAlign w:val="center"/>
                </w:tcPr>
                <w:p w14:paraId="62A89F71">
                  <w:pPr>
                    <w:jc w:val="center"/>
                    <w:rPr>
                      <w:color w:val="auto"/>
                      <w:szCs w:val="21"/>
                    </w:rPr>
                  </w:pPr>
                  <w:r>
                    <w:rPr>
                      <w:color w:val="auto"/>
                      <w:szCs w:val="21"/>
                    </w:rPr>
                    <w:t>符合</w:t>
                  </w:r>
                </w:p>
              </w:tc>
            </w:tr>
          </w:tbl>
          <w:p w14:paraId="0A08EDE3">
            <w:pPr>
              <w:adjustRightInd w:val="0"/>
              <w:snapToGrid w:val="0"/>
              <w:spacing w:line="360" w:lineRule="auto"/>
              <w:ind w:firstLine="480" w:firstLineChars="200"/>
              <w:rPr>
                <w:color w:val="auto"/>
                <w:sz w:val="24"/>
              </w:rPr>
            </w:pPr>
            <w:r>
              <w:rPr>
                <w:color w:val="auto"/>
                <w:sz w:val="24"/>
              </w:rPr>
              <w:t>由上表可见，</w:t>
            </w:r>
            <w:r>
              <w:rPr>
                <w:rFonts w:hint="eastAsia"/>
                <w:color w:val="auto"/>
                <w:sz w:val="24"/>
                <w:lang w:eastAsia="zh-CN"/>
              </w:rPr>
              <w:t>改建</w:t>
            </w:r>
            <w:r>
              <w:rPr>
                <w:color w:val="auto"/>
                <w:sz w:val="24"/>
              </w:rPr>
              <w:t>项目与资源利用上线相容。</w:t>
            </w:r>
          </w:p>
          <w:p w14:paraId="43BB7DD7">
            <w:pPr>
              <w:adjustRightInd w:val="0"/>
              <w:snapToGrid w:val="0"/>
              <w:spacing w:before="120" w:beforeLines="50" w:line="360" w:lineRule="auto"/>
              <w:ind w:firstLine="482" w:firstLineChars="200"/>
              <w:rPr>
                <w:rFonts w:eastAsiaTheme="minorEastAsia"/>
                <w:b/>
                <w:color w:val="auto"/>
                <w:sz w:val="24"/>
              </w:rPr>
            </w:pPr>
            <w:r>
              <w:rPr>
                <w:rFonts w:eastAsiaTheme="minorEastAsia"/>
                <w:b/>
                <w:color w:val="auto"/>
                <w:sz w:val="24"/>
              </w:rPr>
              <w:t>（4）环境准入负面清单</w:t>
            </w:r>
          </w:p>
          <w:p w14:paraId="1A47A627">
            <w:pPr>
              <w:tabs>
                <w:tab w:val="left" w:pos="1095"/>
              </w:tabs>
              <w:adjustRightInd w:val="0"/>
              <w:snapToGrid w:val="0"/>
              <w:spacing w:line="360" w:lineRule="auto"/>
              <w:ind w:firstLine="480" w:firstLineChars="200"/>
              <w:rPr>
                <w:rFonts w:hint="default" w:ascii="Times New Roman" w:hAnsi="宋体" w:eastAsia="宋体" w:cs="Times New Roman"/>
                <w:color w:val="auto"/>
                <w:sz w:val="24"/>
              </w:rPr>
            </w:pPr>
            <w:r>
              <w:rPr>
                <w:rFonts w:hint="default" w:ascii="Times New Roman" w:hAnsi="宋体" w:eastAsia="宋体" w:cs="Times New Roman"/>
                <w:color w:val="auto"/>
                <w:sz w:val="24"/>
              </w:rPr>
              <w:t>与国家及地方产业政策和《市场准入负面清单（2025年版）》相符性对照分析见表1-</w:t>
            </w:r>
            <w:r>
              <w:rPr>
                <w:rFonts w:hint="eastAsia" w:ascii="Times New Roman" w:hAnsi="宋体" w:eastAsia="宋体" w:cs="Times New Roman"/>
                <w:color w:val="auto"/>
                <w:sz w:val="24"/>
                <w:lang w:val="en-US" w:eastAsia="zh-CN"/>
              </w:rPr>
              <w:t>8</w:t>
            </w:r>
            <w:r>
              <w:rPr>
                <w:rFonts w:hint="default" w:ascii="Times New Roman" w:hAnsi="宋体" w:eastAsia="宋体" w:cs="Times New Roman"/>
                <w:color w:val="auto"/>
                <w:sz w:val="24"/>
              </w:rPr>
              <w:t>。</w:t>
            </w:r>
          </w:p>
          <w:p w14:paraId="5CB2BC7E">
            <w:pPr>
              <w:tabs>
                <w:tab w:val="left" w:pos="1095"/>
              </w:tabs>
              <w:adjustRightInd w:val="0"/>
              <w:snapToGrid w:val="0"/>
              <w:spacing w:line="360" w:lineRule="auto"/>
              <w:ind w:firstLine="482" w:firstLineChars="200"/>
              <w:jc w:val="center"/>
              <w:rPr>
                <w:rFonts w:hint="default" w:ascii="Times New Roman" w:hAnsi="宋体" w:eastAsia="宋体" w:cs="Times New Roman"/>
                <w:b/>
                <w:bCs/>
                <w:color w:val="auto"/>
                <w:sz w:val="24"/>
              </w:rPr>
            </w:pPr>
            <w:r>
              <w:rPr>
                <w:rFonts w:hint="default" w:ascii="Times New Roman" w:hAnsi="宋体" w:eastAsia="宋体" w:cs="Times New Roman"/>
                <w:b/>
                <w:bCs/>
                <w:color w:val="auto"/>
                <w:sz w:val="24"/>
              </w:rPr>
              <w:t>表1-</w:t>
            </w:r>
            <w:r>
              <w:rPr>
                <w:rFonts w:hint="eastAsia" w:ascii="Times New Roman" w:hAnsi="宋体" w:eastAsia="宋体" w:cs="Times New Roman"/>
                <w:b/>
                <w:bCs/>
                <w:color w:val="auto"/>
                <w:sz w:val="24"/>
                <w:lang w:val="en-US" w:eastAsia="zh-CN"/>
              </w:rPr>
              <w:t>8</w:t>
            </w:r>
            <w:r>
              <w:rPr>
                <w:rFonts w:hint="default" w:ascii="Times New Roman" w:hAnsi="宋体" w:eastAsia="宋体" w:cs="Times New Roman"/>
                <w:b/>
                <w:bCs/>
                <w:color w:val="auto"/>
                <w:sz w:val="24"/>
              </w:rPr>
              <w:t xml:space="preserve"> 国家及地方产业政策和《市场准入负面清单（2025年版）》相符性分析</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6"/>
              <w:gridCol w:w="3280"/>
              <w:gridCol w:w="970"/>
            </w:tblGrid>
            <w:tr w14:paraId="567F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34905BC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w:t>
                  </w:r>
                </w:p>
              </w:tc>
              <w:tc>
                <w:tcPr>
                  <w:tcW w:w="1970" w:type="pct"/>
                  <w:noWrap w:val="0"/>
                  <w:vAlign w:val="center"/>
                </w:tcPr>
                <w:p w14:paraId="51FE3C4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c>
                <w:tcPr>
                  <w:tcW w:w="582" w:type="pct"/>
                  <w:noWrap w:val="0"/>
                  <w:vAlign w:val="center"/>
                </w:tcPr>
                <w:p w14:paraId="0ABBD8C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6A43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7CB3ABA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《产业结构调整指导目录（2024年本）》</w:t>
                  </w:r>
                </w:p>
              </w:tc>
              <w:tc>
                <w:tcPr>
                  <w:tcW w:w="1970" w:type="pct"/>
                  <w:noWrap w:val="0"/>
                  <w:vAlign w:val="center"/>
                </w:tcPr>
                <w:p w14:paraId="1ADCE54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不属于限制类、淘汰类项目</w:t>
                  </w:r>
                </w:p>
              </w:tc>
              <w:tc>
                <w:tcPr>
                  <w:tcW w:w="582" w:type="pct"/>
                  <w:noWrap w:val="0"/>
                  <w:vAlign w:val="center"/>
                </w:tcPr>
                <w:p w14:paraId="663590D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51FF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4F4A9F40">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《自然资源要素支撑产业高质量发展指导目录</w:t>
                  </w:r>
                  <w:r>
                    <w:rPr>
                      <w:rFonts w:hint="eastAsia" w:cs="Times New Roman"/>
                      <w:color w:val="auto"/>
                      <w:szCs w:val="21"/>
                      <w:lang w:eastAsia="zh-CN"/>
                    </w:rPr>
                    <w:t>（</w:t>
                  </w:r>
                  <w:r>
                    <w:rPr>
                      <w:rFonts w:hint="default" w:ascii="Times New Roman" w:hAnsi="Times New Roman" w:eastAsia="宋体" w:cs="Times New Roman"/>
                      <w:color w:val="auto"/>
                      <w:szCs w:val="21"/>
                    </w:rPr>
                    <w:t>2024年本</w:t>
                  </w:r>
                  <w:r>
                    <w:rPr>
                      <w:rFonts w:hint="eastAsia" w:cs="Times New Roman"/>
                      <w:color w:val="auto"/>
                      <w:szCs w:val="21"/>
                      <w:lang w:eastAsia="zh-CN"/>
                    </w:rPr>
                    <w:t>）</w:t>
                  </w:r>
                  <w:r>
                    <w:rPr>
                      <w:rFonts w:hint="eastAsia" w:ascii="Times New Roman" w:hAnsi="Times New Roman" w:eastAsia="宋体" w:cs="Times New Roman"/>
                      <w:color w:val="auto"/>
                      <w:szCs w:val="21"/>
                      <w:lang w:eastAsia="zh-CN"/>
                    </w:rPr>
                    <w:t>》</w:t>
                  </w:r>
                </w:p>
              </w:tc>
              <w:tc>
                <w:tcPr>
                  <w:tcW w:w="1970" w:type="pct"/>
                  <w:noWrap w:val="0"/>
                  <w:vAlign w:val="center"/>
                </w:tcPr>
                <w:p w14:paraId="37936A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不属于限制、禁止用地项目</w:t>
                  </w:r>
                </w:p>
              </w:tc>
              <w:tc>
                <w:tcPr>
                  <w:tcW w:w="582" w:type="pct"/>
                  <w:noWrap w:val="0"/>
                  <w:vAlign w:val="center"/>
                </w:tcPr>
                <w:p w14:paraId="7273B1F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7A85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41FB25E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《江苏省限制用地项目目录（2013年本）》《江苏省禁止用地项目目录（2013年本）》</w:t>
                  </w:r>
                </w:p>
              </w:tc>
              <w:tc>
                <w:tcPr>
                  <w:tcW w:w="1970" w:type="pct"/>
                  <w:noWrap w:val="0"/>
                  <w:vAlign w:val="center"/>
                </w:tcPr>
                <w:p w14:paraId="48804DF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不属于限制、禁止用地项目</w:t>
                  </w:r>
                </w:p>
              </w:tc>
              <w:tc>
                <w:tcPr>
                  <w:tcW w:w="582" w:type="pct"/>
                  <w:noWrap w:val="0"/>
                  <w:vAlign w:val="center"/>
                </w:tcPr>
                <w:p w14:paraId="6310659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622F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282FEF7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市场准入负面清单（2025年版）</w:t>
                  </w:r>
                </w:p>
              </w:tc>
              <w:tc>
                <w:tcPr>
                  <w:tcW w:w="1970" w:type="pct"/>
                  <w:noWrap w:val="0"/>
                  <w:vAlign w:val="center"/>
                </w:tcPr>
                <w:p w14:paraId="4480767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不属于禁止准入类项目</w:t>
                  </w:r>
                </w:p>
              </w:tc>
              <w:tc>
                <w:tcPr>
                  <w:tcW w:w="582" w:type="pct"/>
                  <w:noWrap w:val="0"/>
                  <w:vAlign w:val="center"/>
                </w:tcPr>
                <w:p w14:paraId="3D74BED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2AB1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pct"/>
                  <w:noWrap w:val="0"/>
                  <w:vAlign w:val="center"/>
                </w:tcPr>
                <w:p w14:paraId="298C65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《〈长江经济带发展负面清单指南（试行，2022年版）〉江苏省实施细则》（苏长江办发〔2022〕55号）</w:t>
                  </w:r>
                </w:p>
              </w:tc>
              <w:tc>
                <w:tcPr>
                  <w:tcW w:w="1970" w:type="pct"/>
                  <w:noWrap w:val="0"/>
                  <w:vAlign w:val="center"/>
                </w:tcPr>
                <w:p w14:paraId="1C8F7AF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不属于《〈长江经济带发展负面清单指南（试行，2022年版）〉江苏省实施细则》（苏长江办发〔2022〕55号）中禁止项目</w:t>
                  </w:r>
                </w:p>
              </w:tc>
              <w:tc>
                <w:tcPr>
                  <w:tcW w:w="582" w:type="pct"/>
                  <w:noWrap w:val="0"/>
                  <w:vAlign w:val="center"/>
                </w:tcPr>
                <w:p w14:paraId="34D5F2C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51C3EE90">
            <w:pPr>
              <w:tabs>
                <w:tab w:val="left" w:pos="1095"/>
              </w:tabs>
              <w:adjustRightInd w:val="0"/>
              <w:snapToGrid w:val="0"/>
              <w:spacing w:line="360" w:lineRule="auto"/>
              <w:ind w:firstLine="480" w:firstLineChars="200"/>
              <w:rPr>
                <w:rFonts w:hint="default" w:ascii="Times New Roman" w:hAnsi="宋体" w:eastAsia="宋体" w:cs="Times New Roman"/>
                <w:color w:val="auto"/>
                <w:sz w:val="24"/>
              </w:rPr>
            </w:pPr>
            <w:r>
              <w:rPr>
                <w:rFonts w:hint="default" w:ascii="Times New Roman" w:hAnsi="宋体" w:eastAsia="宋体" w:cs="Times New Roman"/>
                <w:color w:val="auto"/>
                <w:sz w:val="24"/>
              </w:rPr>
              <w:t>综上所述，本项目符合“三线一单”要求。</w:t>
            </w:r>
          </w:p>
          <w:p w14:paraId="79AB1EC4">
            <w:pPr>
              <w:tabs>
                <w:tab w:val="left" w:pos="1095"/>
              </w:tabs>
              <w:adjustRightInd w:val="0"/>
              <w:snapToGrid w:val="0"/>
              <w:spacing w:line="360" w:lineRule="auto"/>
              <w:ind w:firstLine="480" w:firstLineChars="200"/>
              <w:rPr>
                <w:rFonts w:hint="default" w:ascii="Times New Roman" w:hAnsi="宋体" w:eastAsia="宋体" w:cs="Times New Roman"/>
                <w:color w:val="auto"/>
                <w:sz w:val="24"/>
              </w:rPr>
            </w:pPr>
            <w:r>
              <w:rPr>
                <w:rFonts w:hint="default" w:ascii="Times New Roman" w:hAnsi="宋体" w:eastAsia="宋体" w:cs="Times New Roman"/>
                <w:color w:val="auto"/>
                <w:sz w:val="24"/>
              </w:rPr>
              <w:t>综上所述，</w:t>
            </w:r>
            <w:r>
              <w:rPr>
                <w:rFonts w:hint="eastAsia" w:ascii="Times New Roman" w:hAnsi="宋体" w:eastAsia="宋体" w:cs="Times New Roman"/>
                <w:color w:val="auto"/>
                <w:sz w:val="24"/>
                <w:lang w:eastAsia="zh-CN"/>
              </w:rPr>
              <w:t>改建</w:t>
            </w:r>
            <w:r>
              <w:rPr>
                <w:rFonts w:hint="default" w:ascii="Times New Roman" w:hAnsi="宋体" w:eastAsia="宋体" w:cs="Times New Roman"/>
                <w:color w:val="auto"/>
                <w:sz w:val="24"/>
              </w:rPr>
              <w:t>项目符合当地生态保护红线要求，不降低项目周边环境质量底线，不超出当地资源利用</w:t>
            </w:r>
            <w:r>
              <w:rPr>
                <w:rFonts w:hint="default" w:ascii="Times New Roman" w:hAnsi="宋体" w:eastAsia="宋体" w:cs="Times New Roman"/>
                <w:color w:val="auto"/>
                <w:sz w:val="24"/>
                <w:lang w:eastAsia="zh-CN"/>
              </w:rPr>
              <w:t>上限</w:t>
            </w:r>
            <w:r>
              <w:rPr>
                <w:rFonts w:hint="default" w:ascii="Times New Roman" w:hAnsi="宋体" w:eastAsia="宋体" w:cs="Times New Roman"/>
                <w:color w:val="auto"/>
                <w:sz w:val="24"/>
              </w:rPr>
              <w:t>；</w:t>
            </w:r>
            <w:r>
              <w:rPr>
                <w:rFonts w:hint="eastAsia" w:ascii="Times New Roman" w:hAnsi="宋体" w:eastAsia="宋体" w:cs="Times New Roman"/>
                <w:color w:val="auto"/>
                <w:sz w:val="24"/>
                <w:lang w:eastAsia="zh-CN"/>
              </w:rPr>
              <w:t>改建</w:t>
            </w:r>
            <w:r>
              <w:rPr>
                <w:rFonts w:hint="default" w:ascii="Times New Roman" w:hAnsi="宋体" w:eastAsia="宋体" w:cs="Times New Roman"/>
                <w:color w:val="auto"/>
                <w:sz w:val="24"/>
              </w:rPr>
              <w:t>项目符合“三线一单”的要求。</w:t>
            </w:r>
          </w:p>
          <w:p w14:paraId="086DFB89">
            <w:pPr>
              <w:widowControl/>
              <w:adjustRightInd w:val="0"/>
              <w:snapToGrid w:val="0"/>
              <w:spacing w:line="360" w:lineRule="auto"/>
              <w:ind w:firstLine="482" w:firstLineChars="200"/>
              <w:rPr>
                <w:b/>
                <w:color w:val="auto"/>
                <w:sz w:val="24"/>
              </w:rPr>
            </w:pPr>
            <w:r>
              <w:rPr>
                <w:b/>
                <w:color w:val="auto"/>
                <w:sz w:val="24"/>
              </w:rPr>
              <w:t>3.</w:t>
            </w:r>
            <w:r>
              <w:rPr>
                <w:rFonts w:hAnsi="宋体"/>
                <w:b/>
                <w:color w:val="auto"/>
                <w:sz w:val="24"/>
              </w:rPr>
              <w:t>与相关环保法规、指南等相符性分析</w:t>
            </w:r>
          </w:p>
          <w:p w14:paraId="5098D6D1">
            <w:pPr>
              <w:tabs>
                <w:tab w:val="left" w:pos="1095"/>
              </w:tabs>
              <w:adjustRightInd w:val="0"/>
              <w:snapToGrid w:val="0"/>
              <w:spacing w:line="360" w:lineRule="auto"/>
              <w:ind w:firstLine="480" w:firstLineChars="200"/>
              <w:rPr>
                <w:rFonts w:hint="default" w:hAnsi="宋体" w:eastAsia="宋体"/>
                <w:b/>
                <w:bCs/>
                <w:color w:val="auto"/>
                <w:sz w:val="24"/>
                <w:lang w:val="en-US" w:eastAsia="zh-CN"/>
              </w:rPr>
            </w:pPr>
            <w:r>
              <w:rPr>
                <w:rFonts w:hAnsi="宋体"/>
                <w:color w:val="auto"/>
                <w:sz w:val="24"/>
              </w:rPr>
              <w:t>建设项目与国家、江苏省、淮安市相关环保法规、指南相符性分析，见表</w:t>
            </w:r>
            <w:r>
              <w:rPr>
                <w:color w:val="auto"/>
                <w:sz w:val="24"/>
              </w:rPr>
              <w:t>1-</w:t>
            </w:r>
            <w:r>
              <w:rPr>
                <w:rFonts w:hint="eastAsia"/>
                <w:color w:val="auto"/>
                <w:sz w:val="24"/>
                <w:lang w:val="en-US" w:eastAsia="zh-CN"/>
              </w:rPr>
              <w:t>9</w:t>
            </w:r>
          </w:p>
          <w:p w14:paraId="61E2B182">
            <w:pPr>
              <w:adjustRightInd w:val="0"/>
              <w:snapToGrid w:val="0"/>
              <w:jc w:val="center"/>
              <w:rPr>
                <w:b/>
                <w:bCs/>
                <w:color w:val="auto"/>
                <w:sz w:val="24"/>
              </w:rPr>
            </w:pPr>
            <w:r>
              <w:rPr>
                <w:rFonts w:hAnsi="宋体"/>
                <w:b/>
                <w:bCs/>
                <w:color w:val="auto"/>
                <w:sz w:val="24"/>
              </w:rPr>
              <w:t>表</w:t>
            </w:r>
            <w:r>
              <w:rPr>
                <w:b/>
                <w:bCs/>
                <w:color w:val="auto"/>
                <w:sz w:val="24"/>
              </w:rPr>
              <w:t>1-</w:t>
            </w:r>
            <w:r>
              <w:rPr>
                <w:rFonts w:hint="eastAsia"/>
                <w:b/>
                <w:bCs/>
                <w:color w:val="auto"/>
                <w:sz w:val="24"/>
                <w:lang w:val="en-US" w:eastAsia="zh-CN"/>
              </w:rPr>
              <w:t>9</w:t>
            </w:r>
            <w:r>
              <w:rPr>
                <w:rFonts w:hAnsi="宋体"/>
                <w:b/>
                <w:bCs/>
                <w:color w:val="auto"/>
                <w:sz w:val="24"/>
              </w:rPr>
              <w:t>与相关环保法规、指南等相符性分析表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783"/>
              <w:gridCol w:w="786"/>
              <w:gridCol w:w="2320"/>
              <w:gridCol w:w="2914"/>
              <w:gridCol w:w="535"/>
            </w:tblGrid>
            <w:tr w14:paraId="157400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12" w:hRule="atLeast"/>
                <w:jc w:val="center"/>
              </w:trPr>
              <w:tc>
                <w:tcPr>
                  <w:tcW w:w="1069" w:type="pct"/>
                  <w:tcBorders>
                    <w:top w:val="single" w:color="000000" w:sz="12" w:space="0"/>
                    <w:left w:val="nil"/>
                    <w:bottom w:val="single" w:color="000000" w:sz="4" w:space="0"/>
                    <w:right w:val="single" w:color="000000" w:sz="4" w:space="0"/>
                  </w:tcBorders>
                  <w:vAlign w:val="center"/>
                </w:tcPr>
                <w:p w14:paraId="000F25B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文件名称</w:t>
                  </w:r>
                </w:p>
              </w:tc>
              <w:tc>
                <w:tcPr>
                  <w:tcW w:w="1862" w:type="pct"/>
                  <w:gridSpan w:val="2"/>
                  <w:tcBorders>
                    <w:top w:val="single" w:color="000000" w:sz="12" w:space="0"/>
                    <w:left w:val="single" w:color="000000" w:sz="4" w:space="0"/>
                    <w:bottom w:val="single" w:color="000000" w:sz="4" w:space="0"/>
                    <w:right w:val="single" w:color="000000" w:sz="4" w:space="0"/>
                  </w:tcBorders>
                  <w:vAlign w:val="center"/>
                </w:tcPr>
                <w:p w14:paraId="30BF82E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747" w:type="pct"/>
                  <w:tcBorders>
                    <w:top w:val="single" w:color="000000" w:sz="12" w:space="0"/>
                    <w:left w:val="single" w:color="000000" w:sz="4" w:space="0"/>
                    <w:bottom w:val="single" w:color="000000" w:sz="4" w:space="0"/>
                    <w:right w:val="single" w:color="000000" w:sz="4" w:space="0"/>
                  </w:tcBorders>
                  <w:vAlign w:val="center"/>
                </w:tcPr>
                <w:p w14:paraId="3B11592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改建</w:t>
                  </w:r>
                  <w:r>
                    <w:rPr>
                      <w:rFonts w:hint="default" w:ascii="Times New Roman" w:hAnsi="Times New Roman" w:eastAsia="宋体" w:cs="Times New Roman"/>
                      <w:b/>
                      <w:bCs/>
                      <w:color w:val="auto"/>
                      <w:sz w:val="21"/>
                      <w:szCs w:val="21"/>
                    </w:rPr>
                    <w:t>项目情况</w:t>
                  </w:r>
                </w:p>
              </w:tc>
              <w:tc>
                <w:tcPr>
                  <w:tcW w:w="320" w:type="pct"/>
                  <w:tcBorders>
                    <w:top w:val="single" w:color="000000" w:sz="12" w:space="0"/>
                    <w:left w:val="single" w:color="000000" w:sz="4" w:space="0"/>
                    <w:bottom w:val="single" w:color="000000" w:sz="4" w:space="0"/>
                    <w:right w:val="nil"/>
                  </w:tcBorders>
                  <w:vAlign w:val="center"/>
                </w:tcPr>
                <w:p w14:paraId="1FC2814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相符性判定</w:t>
                  </w:r>
                </w:p>
              </w:tc>
            </w:tr>
            <w:tr w14:paraId="627AC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left w:val="nil"/>
                    <w:right w:val="single" w:color="000000" w:sz="4" w:space="0"/>
                  </w:tcBorders>
                  <w:vAlign w:val="center"/>
                </w:tcPr>
                <w:p w14:paraId="48B1303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《江苏省生态环境保护条例》</w:t>
                  </w:r>
                  <w:r>
                    <w:rPr>
                      <w:rFonts w:hint="eastAsia"/>
                      <w:color w:val="auto"/>
                      <w:lang w:eastAsia="zh-CN"/>
                    </w:rPr>
                    <w:t>（</w:t>
                  </w:r>
                  <w:r>
                    <w:rPr>
                      <w:rFonts w:hint="eastAsia" w:eastAsia="宋体"/>
                      <w:color w:val="auto"/>
                      <w:lang w:eastAsia="zh-CN"/>
                    </w:rPr>
                    <w:t>2024年3月27日江苏省第十四届人民代表大会常务委员会第八次会议通过</w:t>
                  </w:r>
                  <w:r>
                    <w:rPr>
                      <w:rFonts w:hint="eastAsia"/>
                      <w:color w:val="auto"/>
                      <w:lang w:eastAsia="zh-CN"/>
                    </w:rPr>
                    <w:t>）</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9AFC37E">
                  <w:pPr>
                    <w:keepNext w:val="0"/>
                    <w:keepLines w:val="0"/>
                    <w:pageBreakBefore w:val="0"/>
                    <w:kinsoku/>
                    <w:wordWrap/>
                    <w:overflowPunct/>
                    <w:topLinePunct w:val="0"/>
                    <w:autoSpaceDE/>
                    <w:autoSpaceDN/>
                    <w:bidi w:val="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第五十条本省依法实行排污许可管理制度。纳入排污许可管理的排污单位，应当依法申领排污许可证并按照排污许可证的要求排放污染物；未取得排污许可证的，不得排放污染物</w:t>
                  </w:r>
                  <w:r>
                    <w:rPr>
                      <w:rFonts w:hint="eastAsia" w:cs="Times New Roman"/>
                      <w:color w:val="auto"/>
                      <w:sz w:val="21"/>
                      <w:szCs w:val="21"/>
                      <w:lang w:eastAsia="zh-CN"/>
                    </w:rPr>
                    <w:t>。</w:t>
                  </w:r>
                </w:p>
              </w:tc>
              <w:tc>
                <w:tcPr>
                  <w:tcW w:w="1747" w:type="pct"/>
                  <w:tcBorders>
                    <w:top w:val="single" w:color="000000" w:sz="4" w:space="0"/>
                    <w:left w:val="single" w:color="000000" w:sz="4" w:space="0"/>
                    <w:bottom w:val="single" w:color="000000" w:sz="4" w:space="0"/>
                    <w:right w:val="single" w:color="000000" w:sz="4" w:space="0"/>
                  </w:tcBorders>
                  <w:vAlign w:val="center"/>
                </w:tcPr>
                <w:p w14:paraId="49638B8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项目将依法申请排污许可证并按排污许可证的要求排放污染物，未取得排污许可证不得排放污染物。</w:t>
                  </w:r>
                </w:p>
              </w:tc>
              <w:tc>
                <w:tcPr>
                  <w:tcW w:w="320" w:type="pct"/>
                  <w:vMerge w:val="restart"/>
                  <w:tcBorders>
                    <w:left w:val="single" w:color="000000" w:sz="4" w:space="0"/>
                    <w:right w:val="nil"/>
                  </w:tcBorders>
                  <w:vAlign w:val="center"/>
                </w:tcPr>
                <w:p w14:paraId="0675F21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38B0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3D59698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7EAF6AEC">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十一条本省实行排污权有偿使用和交易制度、排污总量指标储备管理制度，新建、改建、扩建建设项目的新增重点污染物排放总量指标的不足部分，可以按照国家和省有关规定通过排污权交易或者从排污总量指标储备库中取得。排污总量指标应当在排污许可证中载明。</w:t>
                  </w:r>
                </w:p>
              </w:tc>
              <w:tc>
                <w:tcPr>
                  <w:tcW w:w="1747" w:type="pct"/>
                  <w:tcBorders>
                    <w:top w:val="single" w:color="000000" w:sz="4" w:space="0"/>
                    <w:left w:val="single" w:color="000000" w:sz="4" w:space="0"/>
                    <w:bottom w:val="single" w:color="000000" w:sz="4" w:space="0"/>
                    <w:right w:val="single" w:color="000000" w:sz="4" w:space="0"/>
                  </w:tcBorders>
                  <w:vAlign w:val="center"/>
                </w:tcPr>
                <w:p w14:paraId="64EF923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项目较</w:t>
                  </w:r>
                  <w:r>
                    <w:rPr>
                      <w:rFonts w:hint="eastAsia" w:cs="Times New Roman"/>
                      <w:color w:val="auto"/>
                      <w:sz w:val="21"/>
                      <w:szCs w:val="21"/>
                      <w:lang w:eastAsia="zh-CN"/>
                    </w:rPr>
                    <w:t>现有项目不新增废气、废水，无需申请总量</w:t>
                  </w:r>
                  <w:r>
                    <w:rPr>
                      <w:rFonts w:hint="default" w:ascii="Times New Roman" w:hAnsi="Times New Roman" w:eastAsia="宋体" w:cs="Times New Roman"/>
                      <w:color w:val="auto"/>
                      <w:sz w:val="21"/>
                      <w:szCs w:val="21"/>
                    </w:rPr>
                    <w:t>；固废零排放。</w:t>
                  </w:r>
                </w:p>
              </w:tc>
              <w:tc>
                <w:tcPr>
                  <w:tcW w:w="320" w:type="pct"/>
                  <w:vMerge w:val="continue"/>
                  <w:tcBorders>
                    <w:left w:val="single" w:color="000000" w:sz="4" w:space="0"/>
                    <w:right w:val="nil"/>
                  </w:tcBorders>
                  <w:vAlign w:val="center"/>
                </w:tcPr>
                <w:p w14:paraId="0520100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CB35D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147AE50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44B1CF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第六十二条新建排放重点污染物的工业项目原则上应当进入符合规划的园区。鼓励园区外已建排放重点污染物的工业项目通过搬迁等方式进入符合规划的园区</w:t>
                  </w:r>
                </w:p>
              </w:tc>
              <w:tc>
                <w:tcPr>
                  <w:tcW w:w="1747" w:type="pct"/>
                  <w:tcBorders>
                    <w:top w:val="single" w:color="000000" w:sz="4" w:space="0"/>
                    <w:left w:val="single" w:color="000000" w:sz="4" w:space="0"/>
                    <w:bottom w:val="single" w:color="000000" w:sz="4" w:space="0"/>
                    <w:right w:val="single" w:color="000000" w:sz="4" w:space="0"/>
                  </w:tcBorders>
                  <w:vAlign w:val="center"/>
                </w:tcPr>
                <w:p w14:paraId="01D281CA">
                  <w:pPr>
                    <w:keepNext w:val="0"/>
                    <w:keepLines w:val="0"/>
                    <w:pageBreakBefore w:val="0"/>
                    <w:kinsoku/>
                    <w:wordWrap/>
                    <w:overflowPunct/>
                    <w:topLinePunct w:val="0"/>
                    <w:autoSpaceDE/>
                    <w:autoSpaceDN/>
                    <w:bidi w:val="0"/>
                    <w:jc w:val="left"/>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w:t>
                  </w:r>
                  <w:r>
                    <w:rPr>
                      <w:rFonts w:hint="eastAsia" w:cs="Times New Roman"/>
                      <w:color w:val="auto"/>
                      <w:sz w:val="21"/>
                      <w:szCs w:val="21"/>
                      <w:lang w:eastAsia="zh-CN"/>
                    </w:rPr>
                    <w:t>不涉及新增总量，也不排放重点污染物</w:t>
                  </w:r>
                  <w:r>
                    <w:rPr>
                      <w:rFonts w:hint="eastAsia"/>
                      <w:color w:val="auto"/>
                      <w:lang w:eastAsia="zh-CN"/>
                    </w:rPr>
                    <w:t>。</w:t>
                  </w:r>
                </w:p>
              </w:tc>
              <w:tc>
                <w:tcPr>
                  <w:tcW w:w="320" w:type="pct"/>
                  <w:vMerge w:val="continue"/>
                  <w:tcBorders>
                    <w:left w:val="single" w:color="000000" w:sz="4" w:space="0"/>
                    <w:right w:val="nil"/>
                  </w:tcBorders>
                  <w:vAlign w:val="center"/>
                </w:tcPr>
                <w:p w14:paraId="319157F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496AE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000000" w:sz="4" w:space="0"/>
                    <w:left w:val="nil"/>
                    <w:right w:val="single" w:color="000000" w:sz="4" w:space="0"/>
                  </w:tcBorders>
                  <w:vAlign w:val="center"/>
                </w:tcPr>
                <w:p w14:paraId="155E62D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《长江经济带发展负面清单指南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试行，2022年版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》（长江办</w:t>
                  </w:r>
                  <w:r>
                    <w:rPr>
                      <w:rFonts w:hint="eastAsia" w:cs="Times New Roman"/>
                      <w:color w:val="auto"/>
                      <w:sz w:val="21"/>
                      <w:szCs w:val="21"/>
                      <w:lang w:eastAsia="zh-CN"/>
                    </w:rPr>
                    <w:t>〔2022〕7号</w:t>
                  </w:r>
                  <w:r>
                    <w:rPr>
                      <w:rFonts w:hint="default" w:ascii="Times New Roman" w:hAnsi="Times New Roman" w:eastAsia="宋体" w:cs="Times New Roman"/>
                      <w:color w:val="auto"/>
                      <w:sz w:val="21"/>
                      <w:szCs w:val="21"/>
                    </w:rPr>
                    <w:t>）、</w:t>
                  </w:r>
                </w:p>
                <w:p w14:paraId="275818A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长江经济带发展负面清单指南（试行，2022年版）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江苏省实施细则》的通知（苏长江办发</w:t>
                  </w:r>
                  <w:r>
                    <w:rPr>
                      <w:rFonts w:hint="eastAsia" w:cs="Times New Roman"/>
                      <w:color w:val="auto"/>
                      <w:sz w:val="21"/>
                      <w:szCs w:val="21"/>
                      <w:lang w:eastAsia="zh-CN"/>
                    </w:rPr>
                    <w:t>〔2022〕55号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05CEEF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禁止建设不符合全国和省级港口布局规划以及港口总体规划的码头项目，禁止建设未纳入《长江干线过江通道布局规划》的过长江通道项目。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611461CA">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项目为</w:t>
                  </w:r>
                  <w:r>
                    <w:rPr>
                      <w:rFonts w:hint="eastAsia" w:cs="Times New Roman"/>
                      <w:color w:val="auto"/>
                      <w:sz w:val="21"/>
                      <w:szCs w:val="21"/>
                      <w:lang w:eastAsia="zh-CN"/>
                    </w:rPr>
                    <w:t>飞灰暂存库建设项目</w:t>
                  </w:r>
                  <w:r>
                    <w:rPr>
                      <w:rFonts w:hint="default" w:ascii="Times New Roman" w:hAnsi="Times New Roman" w:eastAsia="宋体" w:cs="Times New Roman"/>
                      <w:color w:val="auto"/>
                      <w:sz w:val="21"/>
                      <w:szCs w:val="21"/>
                    </w:rPr>
                    <w:t>，不涉及码头建设。</w:t>
                  </w:r>
                </w:p>
              </w:tc>
              <w:tc>
                <w:tcPr>
                  <w:tcW w:w="320" w:type="pct"/>
                  <w:vMerge w:val="restart"/>
                  <w:tcBorders>
                    <w:top w:val="single" w:color="000000" w:sz="4" w:space="0"/>
                    <w:left w:val="single" w:color="000000" w:sz="4" w:space="0"/>
                    <w:right w:val="nil"/>
                  </w:tcBorders>
                  <w:vAlign w:val="center"/>
                </w:tcPr>
                <w:p w14:paraId="65FA5C6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7FA0E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71234A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5C667D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禁止在自然保护区核心区、缓冲区的岸线和河段范围内投资建设旅游和生产经营项目。禁止在风景名胜区核心景区的岸线和河段范围内投资建设与风景名</w:t>
                  </w:r>
                  <w:r>
                    <w:rPr>
                      <w:rFonts w:hint="eastAsia" w:cs="Times New Roman"/>
                      <w:color w:val="auto"/>
                      <w:sz w:val="21"/>
                      <w:szCs w:val="21"/>
                      <w:lang w:eastAsia="zh-CN"/>
                    </w:rPr>
                    <w:t>胜区</w:t>
                  </w:r>
                  <w:r>
                    <w:rPr>
                      <w:rFonts w:hint="default" w:ascii="Times New Roman" w:hAnsi="Times New Roman" w:eastAsia="宋体" w:cs="Times New Roman"/>
                      <w:color w:val="auto"/>
                      <w:sz w:val="21"/>
                      <w:szCs w:val="21"/>
                    </w:rPr>
                    <w:t>资源保护无关的项目。</w:t>
                  </w:r>
                </w:p>
              </w:tc>
              <w:tc>
                <w:tcPr>
                  <w:tcW w:w="1747" w:type="pct"/>
                  <w:vMerge w:val="restart"/>
                  <w:tcBorders>
                    <w:top w:val="single" w:color="000000" w:sz="4" w:space="0"/>
                    <w:left w:val="single" w:color="000000" w:sz="4" w:space="0"/>
                    <w:right w:val="single" w:color="000000" w:sz="4" w:space="0"/>
                  </w:tcBorders>
                  <w:vAlign w:val="center"/>
                </w:tcPr>
                <w:p w14:paraId="6CA9FA34">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江苏省淮安市涟水县大东镇马棚农场</w:t>
                  </w:r>
                  <w:r>
                    <w:rPr>
                      <w:rFonts w:hint="default" w:ascii="Times New Roman" w:hAnsi="Times New Roman" w:eastAsia="宋体" w:cs="Times New Roman"/>
                      <w:color w:val="auto"/>
                      <w:sz w:val="21"/>
                      <w:szCs w:val="21"/>
                    </w:rPr>
                    <w:t>，用地性质为</w:t>
                  </w:r>
                  <w:r>
                    <w:rPr>
                      <w:rFonts w:hint="eastAsia" w:cs="Times New Roman"/>
                      <w:color w:val="auto"/>
                      <w:sz w:val="21"/>
                      <w:szCs w:val="21"/>
                      <w:lang w:eastAsia="zh-CN"/>
                    </w:rPr>
                    <w:t>工业用地</w:t>
                  </w:r>
                  <w:r>
                    <w:rPr>
                      <w:rFonts w:hint="default" w:ascii="Times New Roman" w:hAnsi="Times New Roman" w:eastAsia="宋体" w:cs="Times New Roman"/>
                      <w:color w:val="auto"/>
                      <w:sz w:val="21"/>
                      <w:szCs w:val="21"/>
                    </w:rPr>
                    <w:t>，不在自然保护区核心区、缓冲区、风景名胜区、饮用水源保护区、水产种质资源保护区、国家湿地公园、水产种质资源保护区内。</w:t>
                  </w:r>
                </w:p>
              </w:tc>
              <w:tc>
                <w:tcPr>
                  <w:tcW w:w="320" w:type="pct"/>
                  <w:vMerge w:val="continue"/>
                  <w:tcBorders>
                    <w:left w:val="single" w:color="000000" w:sz="4" w:space="0"/>
                    <w:right w:val="nil"/>
                  </w:tcBorders>
                  <w:vAlign w:val="center"/>
                </w:tcPr>
                <w:p w14:paraId="1EB28B4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B2501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A838A9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B70945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禁止新建、改建法律法规和相关政策明令禁止的落后产能项目。禁止新建、改建不符合国家产能置换要求的严重过剩产能行业的项目。禁止新建、改建不</w:t>
                  </w:r>
                  <w:r>
                    <w:rPr>
                      <w:rFonts w:hint="eastAsia" w:cs="Times New Roman"/>
                      <w:color w:val="auto"/>
                      <w:sz w:val="21"/>
                      <w:szCs w:val="21"/>
                      <w:lang w:eastAsia="zh-CN"/>
                    </w:rPr>
                    <w:t>符合要求</w:t>
                  </w:r>
                  <w:r>
                    <w:rPr>
                      <w:rFonts w:hint="default" w:ascii="Times New Roman" w:hAnsi="Times New Roman" w:eastAsia="宋体" w:cs="Times New Roman"/>
                      <w:color w:val="auto"/>
                      <w:sz w:val="21"/>
                      <w:szCs w:val="21"/>
                    </w:rPr>
                    <w:t>高耗能高排放项目。</w:t>
                  </w:r>
                </w:p>
              </w:tc>
              <w:tc>
                <w:tcPr>
                  <w:tcW w:w="1747" w:type="pct"/>
                  <w:vMerge w:val="continue"/>
                  <w:tcBorders>
                    <w:left w:val="single" w:color="000000" w:sz="4" w:space="0"/>
                    <w:right w:val="single" w:color="000000" w:sz="4" w:space="0"/>
                  </w:tcBorders>
                  <w:vAlign w:val="center"/>
                </w:tcPr>
                <w:p w14:paraId="4646775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5CD788C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B021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E5A354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785738D">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47" w:type="pct"/>
                  <w:vMerge w:val="continue"/>
                  <w:tcBorders>
                    <w:left w:val="single" w:color="000000" w:sz="4" w:space="0"/>
                    <w:bottom w:val="single" w:color="000000" w:sz="4" w:space="0"/>
                    <w:right w:val="single" w:color="000000" w:sz="4" w:space="0"/>
                  </w:tcBorders>
                  <w:vAlign w:val="center"/>
                </w:tcPr>
                <w:p w14:paraId="0415273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77933C9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0F49C2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70CE19D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86C9BA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7642820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江苏省淮安市涟水县大东镇马棚农场</w:t>
                  </w:r>
                  <w:r>
                    <w:rPr>
                      <w:rFonts w:hint="default" w:ascii="Times New Roman" w:hAnsi="Times New Roman" w:eastAsia="宋体" w:cs="Times New Roman"/>
                      <w:color w:val="auto"/>
                      <w:sz w:val="21"/>
                      <w:szCs w:val="21"/>
                    </w:rPr>
                    <w:t>，未利用、占用长江流域河湖岸线。</w:t>
                  </w:r>
                </w:p>
              </w:tc>
              <w:tc>
                <w:tcPr>
                  <w:tcW w:w="320" w:type="pct"/>
                  <w:vMerge w:val="continue"/>
                  <w:tcBorders>
                    <w:left w:val="single" w:color="000000" w:sz="4" w:space="0"/>
                    <w:right w:val="nil"/>
                  </w:tcBorders>
                  <w:vAlign w:val="center"/>
                </w:tcPr>
                <w:p w14:paraId="5663D53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1AD49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5AD944A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3613AFB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禁止未经许可在长江干支流及湖泊新设、改设或扩大排污口。</w:t>
                  </w:r>
                </w:p>
              </w:tc>
              <w:tc>
                <w:tcPr>
                  <w:tcW w:w="1747" w:type="pct"/>
                  <w:vMerge w:val="restart"/>
                  <w:tcBorders>
                    <w:top w:val="single" w:color="000000" w:sz="4" w:space="0"/>
                    <w:left w:val="single" w:color="000000" w:sz="4" w:space="0"/>
                    <w:right w:val="single" w:color="000000" w:sz="4" w:space="0"/>
                  </w:tcBorders>
                  <w:vAlign w:val="center"/>
                </w:tcPr>
                <w:p w14:paraId="587E77A9">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项目不在长江干支流、重要湖泊岸线一公里范围内，且不涉及化工园区和化工项目，不涉及尾矿库、冶炼渣库和磷石膏库。</w:t>
                  </w:r>
                </w:p>
              </w:tc>
              <w:tc>
                <w:tcPr>
                  <w:tcW w:w="320" w:type="pct"/>
                  <w:vMerge w:val="continue"/>
                  <w:tcBorders>
                    <w:left w:val="single" w:color="000000" w:sz="4" w:space="0"/>
                    <w:right w:val="nil"/>
                  </w:tcBorders>
                  <w:vAlign w:val="center"/>
                </w:tcPr>
                <w:p w14:paraId="130CCC4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C1953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D29A8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E713D2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禁止在“一江一口两湖七河”和332个水生生物保护区开展生产性捕捞。</w:t>
                  </w:r>
                </w:p>
              </w:tc>
              <w:tc>
                <w:tcPr>
                  <w:tcW w:w="1747" w:type="pct"/>
                  <w:vMerge w:val="continue"/>
                  <w:tcBorders>
                    <w:left w:val="single" w:color="000000" w:sz="4" w:space="0"/>
                    <w:right w:val="single" w:color="000000" w:sz="4" w:space="0"/>
                  </w:tcBorders>
                  <w:vAlign w:val="center"/>
                </w:tcPr>
                <w:p w14:paraId="05F7D0B1">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6495221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DAEC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8D6385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F9F7B4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重要湖泊岸线一公里范围内新建、改建化工园区和化工项目。禁止在长江干流岸线三公里范围内和重要支流岸线一公里范围内新建、改建、改建尾矿库、冶炼渣库和磷石膏库，以提升安全、生态环境保护水平为目的的改建除外。</w:t>
                  </w:r>
                </w:p>
              </w:tc>
              <w:tc>
                <w:tcPr>
                  <w:tcW w:w="1747" w:type="pct"/>
                  <w:vMerge w:val="continue"/>
                  <w:tcBorders>
                    <w:left w:val="single" w:color="000000" w:sz="4" w:space="0"/>
                    <w:bottom w:val="single" w:color="000000" w:sz="4" w:space="0"/>
                    <w:right w:val="single" w:color="000000" w:sz="4" w:space="0"/>
                  </w:tcBorders>
                  <w:vAlign w:val="center"/>
                </w:tcPr>
                <w:p w14:paraId="594D2C8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4AB3998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53D6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98EE97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38298B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747" w:type="pct"/>
                  <w:vMerge w:val="restart"/>
                  <w:tcBorders>
                    <w:left w:val="single" w:color="000000" w:sz="4" w:space="0"/>
                    <w:right w:val="single" w:color="000000" w:sz="4" w:space="0"/>
                  </w:tcBorders>
                  <w:vAlign w:val="center"/>
                </w:tcPr>
                <w:p w14:paraId="4785926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江苏省淮安市涟水县大东镇马棚农场</w:t>
                  </w:r>
                  <w:r>
                    <w:rPr>
                      <w:rFonts w:hint="default" w:ascii="Times New Roman" w:hAnsi="Times New Roman" w:eastAsia="宋体" w:cs="Times New Roman"/>
                      <w:color w:val="auto"/>
                      <w:sz w:val="21"/>
                      <w:szCs w:val="21"/>
                    </w:rPr>
                    <w:t>，</w:t>
                  </w:r>
                  <w:r>
                    <w:rPr>
                      <w:rFonts w:hint="eastAsia"/>
                      <w:color w:val="auto"/>
                      <w:sz w:val="21"/>
                      <w:szCs w:val="21"/>
                      <w:lang w:eastAsia="zh-CN"/>
                    </w:rPr>
                    <w:t>符合国家和地方产业政策</w:t>
                  </w:r>
                  <w:r>
                    <w:rPr>
                      <w:rFonts w:hint="default" w:ascii="Times New Roman" w:hAnsi="Times New Roman" w:eastAsia="宋体" w:cs="Times New Roman"/>
                      <w:color w:val="auto"/>
                      <w:sz w:val="21"/>
                      <w:szCs w:val="21"/>
                    </w:rPr>
                    <w:t>，且不属于所列高污染项目。</w:t>
                  </w:r>
                </w:p>
              </w:tc>
              <w:tc>
                <w:tcPr>
                  <w:tcW w:w="320" w:type="pct"/>
                  <w:vMerge w:val="continue"/>
                  <w:tcBorders>
                    <w:left w:val="single" w:color="000000" w:sz="4" w:space="0"/>
                    <w:right w:val="nil"/>
                  </w:tcBorders>
                  <w:vAlign w:val="center"/>
                </w:tcPr>
                <w:p w14:paraId="5ACB75E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DB0EA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58" w:hRule="atLeast"/>
                <w:jc w:val="center"/>
              </w:trPr>
              <w:tc>
                <w:tcPr>
                  <w:tcW w:w="1069" w:type="pct"/>
                  <w:vMerge w:val="continue"/>
                  <w:tcBorders>
                    <w:left w:val="nil"/>
                    <w:right w:val="single" w:color="000000" w:sz="4" w:space="0"/>
                  </w:tcBorders>
                  <w:vAlign w:val="center"/>
                </w:tcPr>
                <w:p w14:paraId="43EEFD8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right w:val="single" w:color="000000" w:sz="4" w:space="0"/>
                  </w:tcBorders>
                  <w:vAlign w:val="center"/>
                </w:tcPr>
                <w:p w14:paraId="637EB22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禁止在合规园区外新建、改建钢铁、石化、化工、焦化、建材、有色等高污染项目。名录按照《江苏省长江经济带发展负面清单实施细则</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试行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合规园区名录》执行。高污染项目应严格按照《环境保护综合名录》等有关要求执行。</w:t>
                  </w:r>
                </w:p>
              </w:tc>
              <w:tc>
                <w:tcPr>
                  <w:tcW w:w="1747" w:type="pct"/>
                  <w:vMerge w:val="continue"/>
                  <w:tcBorders>
                    <w:left w:val="single" w:color="000000" w:sz="4" w:space="0"/>
                    <w:right w:val="single" w:color="000000" w:sz="4" w:space="0"/>
                  </w:tcBorders>
                  <w:vAlign w:val="center"/>
                </w:tcPr>
                <w:p w14:paraId="34EA6A8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7A672DD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8E359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5EAFA7F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8B0B65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禁止新建、扩建不符合国家石化、现代煤化工等产业布局规划的项目，禁止新建独立焦化项目。</w:t>
                  </w:r>
                </w:p>
              </w:tc>
              <w:tc>
                <w:tcPr>
                  <w:tcW w:w="1747" w:type="pct"/>
                  <w:tcBorders>
                    <w:left w:val="single" w:color="000000" w:sz="4" w:space="0"/>
                    <w:bottom w:val="single" w:color="000000" w:sz="4" w:space="0"/>
                    <w:right w:val="single" w:color="000000" w:sz="4" w:space="0"/>
                  </w:tcBorders>
                  <w:vAlign w:val="center"/>
                </w:tcPr>
                <w:p w14:paraId="4021378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项目为</w:t>
                  </w:r>
                  <w:r>
                    <w:rPr>
                      <w:rFonts w:hint="eastAsia" w:cs="Times New Roman"/>
                      <w:color w:val="auto"/>
                      <w:sz w:val="21"/>
                      <w:szCs w:val="21"/>
                      <w:lang w:eastAsia="zh-CN"/>
                    </w:rPr>
                    <w:t>飞灰暂存库建设项目</w:t>
                  </w:r>
                  <w:r>
                    <w:rPr>
                      <w:rFonts w:hint="default" w:ascii="Times New Roman" w:hAnsi="Times New Roman" w:eastAsia="宋体" w:cs="Times New Roman"/>
                      <w:color w:val="auto"/>
                      <w:sz w:val="21"/>
                      <w:szCs w:val="21"/>
                    </w:rPr>
                    <w:t>，不属于国家石化、现代煤化工等产业。</w:t>
                  </w:r>
                </w:p>
              </w:tc>
              <w:tc>
                <w:tcPr>
                  <w:tcW w:w="320" w:type="pct"/>
                  <w:vMerge w:val="continue"/>
                  <w:tcBorders>
                    <w:left w:val="single" w:color="000000" w:sz="4" w:space="0"/>
                    <w:right w:val="nil"/>
                  </w:tcBorders>
                  <w:vAlign w:val="center"/>
                </w:tcPr>
                <w:p w14:paraId="439FD84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B893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6AF750E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708F59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747" w:type="pct"/>
                  <w:tcBorders>
                    <w:left w:val="single" w:color="000000" w:sz="4" w:space="0"/>
                    <w:bottom w:val="single" w:color="000000" w:sz="4" w:space="0"/>
                    <w:right w:val="single" w:color="000000" w:sz="4" w:space="0"/>
                  </w:tcBorders>
                  <w:vAlign w:val="center"/>
                </w:tcPr>
                <w:p w14:paraId="718F63C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项目不属于落后产能项目，不涉及产能置换行业，不属于高耗能高排放项目。</w:t>
                  </w:r>
                </w:p>
              </w:tc>
              <w:tc>
                <w:tcPr>
                  <w:tcW w:w="320" w:type="pct"/>
                  <w:vMerge w:val="continue"/>
                  <w:tcBorders>
                    <w:left w:val="single" w:color="000000" w:sz="4" w:space="0"/>
                    <w:right w:val="nil"/>
                  </w:tcBorders>
                  <w:vAlign w:val="center"/>
                </w:tcPr>
                <w:p w14:paraId="3B57BC8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1076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bottom w:val="single" w:color="000000" w:sz="4" w:space="0"/>
                    <w:right w:val="single" w:color="000000" w:sz="4" w:space="0"/>
                  </w:tcBorders>
                  <w:vAlign w:val="center"/>
                </w:tcPr>
                <w:p w14:paraId="4DEEABE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87104C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47" w:type="pct"/>
                  <w:tcBorders>
                    <w:left w:val="single" w:color="000000" w:sz="4" w:space="0"/>
                    <w:bottom w:val="single" w:color="000000" w:sz="4" w:space="0"/>
                    <w:right w:val="single" w:color="000000" w:sz="4" w:space="0"/>
                  </w:tcBorders>
                  <w:vAlign w:val="center"/>
                </w:tcPr>
                <w:p w14:paraId="62E071E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项目不属于国家</w:t>
                  </w:r>
                  <w:r>
                    <w:rPr>
                      <w:rFonts w:hint="eastAsia" w:cs="Times New Roman"/>
                      <w:color w:val="auto"/>
                      <w:sz w:val="21"/>
                      <w:szCs w:val="21"/>
                      <w:lang w:eastAsia="zh-CN"/>
                    </w:rPr>
                    <w:t>《产业结构调整指导目录（2024年本）》</w:t>
                  </w:r>
                  <w:r>
                    <w:rPr>
                      <w:rFonts w:hint="default" w:ascii="Times New Roman" w:hAnsi="Times New Roman" w:eastAsia="宋体" w:cs="Times New Roman"/>
                      <w:color w:val="auto"/>
                      <w:sz w:val="21"/>
                      <w:szCs w:val="21"/>
                    </w:rPr>
                    <w:t>明确的限制类、淘汰类项目，不属于法律法规和相关政策明令禁止的落后产能以及明令淘汰的安全生产落后工艺及装备项目。</w:t>
                  </w:r>
                </w:p>
              </w:tc>
              <w:tc>
                <w:tcPr>
                  <w:tcW w:w="320" w:type="pct"/>
                  <w:vMerge w:val="continue"/>
                  <w:tcBorders>
                    <w:left w:val="single" w:color="000000" w:sz="4" w:space="0"/>
                    <w:bottom w:val="single" w:color="000000" w:sz="4" w:space="0"/>
                    <w:right w:val="nil"/>
                  </w:tcBorders>
                  <w:vAlign w:val="center"/>
                </w:tcPr>
                <w:p w14:paraId="2476B6C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C5B6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auto" w:sz="4" w:space="0"/>
                    <w:left w:val="nil"/>
                    <w:bottom w:val="single" w:color="auto" w:sz="4" w:space="0"/>
                    <w:right w:val="single" w:color="auto" w:sz="4" w:space="0"/>
                  </w:tcBorders>
                  <w:vAlign w:val="center"/>
                </w:tcPr>
                <w:p w14:paraId="0CA90C7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《江苏省生态环境厅关于进一步做好建设项目环评审批工作的通知》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苏环办〔2019〕36号</w:t>
                  </w:r>
                  <w:r>
                    <w:rPr>
                      <w:rFonts w:hint="eastAsia" w:cs="Times New Roman"/>
                      <w:color w:val="auto"/>
                      <w:sz w:val="21"/>
                      <w:szCs w:val="21"/>
                      <w:lang w:eastAsia="zh-CN"/>
                    </w:rPr>
                    <w:t>）</w:t>
                  </w:r>
                </w:p>
              </w:tc>
              <w:tc>
                <w:tcPr>
                  <w:tcW w:w="471" w:type="pct"/>
                  <w:vMerge w:val="restart"/>
                  <w:tcBorders>
                    <w:top w:val="single" w:color="000000" w:sz="4" w:space="0"/>
                    <w:left w:val="single" w:color="auto" w:sz="4" w:space="0"/>
                    <w:bottom w:val="single" w:color="000000" w:sz="4" w:space="0"/>
                    <w:right w:val="single" w:color="auto" w:sz="4" w:space="0"/>
                  </w:tcBorders>
                  <w:vAlign w:val="center"/>
                </w:tcPr>
                <w:p w14:paraId="718474DE">
                  <w:pPr>
                    <w:keepNext w:val="0"/>
                    <w:keepLines w:val="0"/>
                    <w:pageBreakBefore w:val="0"/>
                    <w:tabs>
                      <w:tab w:val="left" w:pos="1418"/>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以下情形不予审批</w:t>
                  </w:r>
                </w:p>
              </w:tc>
              <w:tc>
                <w:tcPr>
                  <w:tcW w:w="1391" w:type="pct"/>
                  <w:tcBorders>
                    <w:top w:val="single" w:color="000000" w:sz="4" w:space="0"/>
                    <w:left w:val="single" w:color="auto" w:sz="4" w:space="0"/>
                    <w:bottom w:val="single" w:color="000000" w:sz="4" w:space="0"/>
                    <w:right w:val="single" w:color="000000" w:sz="4" w:space="0"/>
                  </w:tcBorders>
                  <w:vAlign w:val="center"/>
                </w:tcPr>
                <w:p w14:paraId="32099612">
                  <w:pPr>
                    <w:keepNext w:val="0"/>
                    <w:keepLines w:val="0"/>
                    <w:pageBreakBefore w:val="0"/>
                    <w:tabs>
                      <w:tab w:val="left" w:pos="1418"/>
                    </w:tabs>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建设项目类型及其选址、布局、规模等不符合环境保护法律法规和相关法定规划</w:t>
                  </w:r>
                </w:p>
              </w:tc>
              <w:tc>
                <w:tcPr>
                  <w:tcW w:w="1747" w:type="pct"/>
                  <w:tcBorders>
                    <w:top w:val="single" w:color="000000" w:sz="4" w:space="0"/>
                    <w:left w:val="single" w:color="000000" w:sz="4" w:space="0"/>
                    <w:bottom w:val="single" w:color="000000" w:sz="4" w:space="0"/>
                    <w:right w:val="single" w:color="auto" w:sz="4" w:space="0"/>
                  </w:tcBorders>
                  <w:vAlign w:val="center"/>
                </w:tcPr>
                <w:p w14:paraId="6DD84AD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经过与“三线一单”及规划相符性分析可知，建设项目类型及其选址、布局、规模等均符合环境保护法律法规和相关法定规划。</w:t>
                  </w:r>
                </w:p>
              </w:tc>
              <w:tc>
                <w:tcPr>
                  <w:tcW w:w="320" w:type="pct"/>
                  <w:vMerge w:val="restart"/>
                  <w:tcBorders>
                    <w:top w:val="single" w:color="auto" w:sz="4" w:space="0"/>
                    <w:left w:val="single" w:color="auto" w:sz="4" w:space="0"/>
                    <w:bottom w:val="single" w:color="auto" w:sz="4" w:space="0"/>
                    <w:right w:val="nil"/>
                  </w:tcBorders>
                  <w:vAlign w:val="center"/>
                </w:tcPr>
                <w:p w14:paraId="04B1FB2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445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3D3B4C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7EEAB76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58E04C6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所在区域环境质量未达到国家或者地方环境质量标准，且建设项目拟采取的措施不能满足区域环境质量改善目标管理要求</w:t>
                  </w:r>
                </w:p>
              </w:tc>
              <w:tc>
                <w:tcPr>
                  <w:tcW w:w="1747" w:type="pct"/>
                  <w:tcBorders>
                    <w:top w:val="single" w:color="000000" w:sz="4" w:space="0"/>
                    <w:left w:val="single" w:color="000000" w:sz="4" w:space="0"/>
                    <w:bottom w:val="single" w:color="000000" w:sz="4" w:space="0"/>
                    <w:right w:val="single" w:color="auto" w:sz="4" w:space="0"/>
                  </w:tcBorders>
                  <w:vAlign w:val="center"/>
                </w:tcPr>
                <w:p w14:paraId="4132746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达标区</w:t>
                  </w:r>
                </w:p>
              </w:tc>
              <w:tc>
                <w:tcPr>
                  <w:tcW w:w="320" w:type="pct"/>
                  <w:vMerge w:val="continue"/>
                  <w:tcBorders>
                    <w:top w:val="single" w:color="auto" w:sz="4" w:space="0"/>
                    <w:left w:val="single" w:color="auto" w:sz="4" w:space="0"/>
                    <w:bottom w:val="single" w:color="auto" w:sz="4" w:space="0"/>
                    <w:right w:val="nil"/>
                  </w:tcBorders>
                  <w:vAlign w:val="center"/>
                </w:tcPr>
                <w:p w14:paraId="330A41C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9BF7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CCB68C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63E0A42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3CEDDC9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建设项目采取的污染防治措施无法确保污染物排放达到国家和地方排放标准，或者未采取必要措施预防和控制生态破坏</w:t>
                  </w:r>
                </w:p>
              </w:tc>
              <w:tc>
                <w:tcPr>
                  <w:tcW w:w="1747" w:type="pct"/>
                  <w:tcBorders>
                    <w:top w:val="single" w:color="000000" w:sz="4" w:space="0"/>
                    <w:left w:val="single" w:color="000000" w:sz="4" w:space="0"/>
                    <w:bottom w:val="single" w:color="000000" w:sz="4" w:space="0"/>
                    <w:right w:val="single" w:color="auto" w:sz="4" w:space="0"/>
                  </w:tcBorders>
                  <w:vAlign w:val="center"/>
                </w:tcPr>
                <w:p w14:paraId="666EA96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w:t>
                  </w:r>
                  <w:r>
                    <w:rPr>
                      <w:rFonts w:hint="eastAsia" w:cs="Times New Roman"/>
                      <w:color w:val="auto"/>
                      <w:sz w:val="21"/>
                      <w:szCs w:val="21"/>
                      <w:lang w:eastAsia="zh-CN"/>
                    </w:rPr>
                    <w:t>目对</w:t>
                  </w:r>
                  <w:r>
                    <w:rPr>
                      <w:rFonts w:hint="default" w:ascii="Times New Roman" w:hAnsi="Times New Roman" w:eastAsia="宋体" w:cs="Times New Roman"/>
                      <w:color w:val="auto"/>
                      <w:sz w:val="21"/>
                      <w:szCs w:val="21"/>
                    </w:rPr>
                    <w:t>废气、废水和噪声采取污染防治措施，确保排放达标，固废零排放</w:t>
                  </w:r>
                  <w:r>
                    <w:rPr>
                      <w:rFonts w:hint="eastAsia" w:cs="Times New Roman"/>
                      <w:color w:val="auto"/>
                      <w:sz w:val="21"/>
                      <w:szCs w:val="21"/>
                      <w:lang w:eastAsia="zh-CN"/>
                    </w:rPr>
                    <w:t>，对</w:t>
                  </w:r>
                  <w:r>
                    <w:rPr>
                      <w:rFonts w:hint="default" w:ascii="Times New Roman" w:hAnsi="Times New Roman" w:eastAsia="宋体" w:cs="Times New Roman"/>
                      <w:color w:val="auto"/>
                      <w:sz w:val="21"/>
                      <w:szCs w:val="21"/>
                    </w:rPr>
                    <w:t>生态影响较小。</w:t>
                  </w:r>
                </w:p>
              </w:tc>
              <w:tc>
                <w:tcPr>
                  <w:tcW w:w="320" w:type="pct"/>
                  <w:vMerge w:val="continue"/>
                  <w:tcBorders>
                    <w:top w:val="single" w:color="auto" w:sz="4" w:space="0"/>
                    <w:left w:val="single" w:color="auto" w:sz="4" w:space="0"/>
                    <w:bottom w:val="single" w:color="auto" w:sz="4" w:space="0"/>
                    <w:right w:val="nil"/>
                  </w:tcBorders>
                  <w:vAlign w:val="center"/>
                </w:tcPr>
                <w:p w14:paraId="628A5EA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05C08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1691C8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4EFE444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2A6F4D7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改建、扩建和技术改造项目，未针对项目原有环境污染和生态破坏提出有效</w:t>
                  </w:r>
                  <w:r>
                    <w:rPr>
                      <w:rFonts w:hint="eastAsia" w:cs="Times New Roman"/>
                      <w:color w:val="auto"/>
                      <w:sz w:val="21"/>
                      <w:szCs w:val="21"/>
                      <w:lang w:eastAsia="zh-CN"/>
                    </w:rPr>
                    <w:t>防治</w:t>
                  </w:r>
                  <w:r>
                    <w:rPr>
                      <w:rFonts w:hint="default" w:ascii="Times New Roman" w:hAnsi="Times New Roman" w:eastAsia="宋体" w:cs="Times New Roman"/>
                      <w:color w:val="auto"/>
                      <w:sz w:val="21"/>
                      <w:szCs w:val="21"/>
                    </w:rPr>
                    <w:t>措施</w:t>
                  </w:r>
                </w:p>
              </w:tc>
              <w:tc>
                <w:tcPr>
                  <w:tcW w:w="1747" w:type="pct"/>
                  <w:tcBorders>
                    <w:top w:val="single" w:color="000000" w:sz="4" w:space="0"/>
                    <w:left w:val="single" w:color="000000" w:sz="4" w:space="0"/>
                    <w:bottom w:val="single" w:color="000000" w:sz="4" w:space="0"/>
                    <w:right w:val="single" w:color="auto" w:sz="4" w:space="0"/>
                  </w:tcBorders>
                  <w:vAlign w:val="center"/>
                </w:tcPr>
                <w:p w14:paraId="3C665CD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本项目为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目前为</w:t>
                  </w:r>
                  <w:r>
                    <w:rPr>
                      <w:rFonts w:hint="eastAsia" w:ascii="Times New Roman" w:hAnsi="Times New Roman" w:eastAsia="宋体" w:cs="Times New Roman"/>
                      <w:color w:val="auto"/>
                      <w:sz w:val="21"/>
                      <w:szCs w:val="21"/>
                      <w:lang w:val="en-US" w:eastAsia="zh-CN"/>
                    </w:rPr>
                    <w:t>空</w:t>
                  </w:r>
                  <w:r>
                    <w:rPr>
                      <w:rFonts w:hint="eastAsia" w:cs="Times New Roman"/>
                      <w:color w:val="auto"/>
                      <w:sz w:val="21"/>
                      <w:szCs w:val="21"/>
                      <w:lang w:val="en-US" w:eastAsia="zh-CN"/>
                    </w:rPr>
                    <w:t>地，未进行建设</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27493BC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D513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582FD41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000000" w:sz="4" w:space="0"/>
                  </w:tcBorders>
                  <w:vAlign w:val="center"/>
                </w:tcPr>
                <w:p w14:paraId="4D44F30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000000" w:sz="4" w:space="0"/>
                    <w:bottom w:val="single" w:color="000000" w:sz="4" w:space="0"/>
                    <w:right w:val="single" w:color="auto" w:sz="4" w:space="0"/>
                  </w:tcBorders>
                  <w:vAlign w:val="center"/>
                </w:tcPr>
                <w:p w14:paraId="79C9DF5B">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建设项目的环境影响报告书、环境影响报告表的基础资料数据明显不实，内容存在重大缺陷、遗漏，或者环境影响评价结论不明确、不合理</w:t>
                  </w:r>
                </w:p>
              </w:tc>
              <w:tc>
                <w:tcPr>
                  <w:tcW w:w="1747" w:type="pct"/>
                  <w:tcBorders>
                    <w:top w:val="single" w:color="000000" w:sz="4" w:space="0"/>
                    <w:left w:val="single" w:color="000000" w:sz="4" w:space="0"/>
                    <w:bottom w:val="single" w:color="000000" w:sz="4" w:space="0"/>
                    <w:right w:val="single" w:color="auto" w:sz="4" w:space="0"/>
                  </w:tcBorders>
                  <w:vAlign w:val="center"/>
                </w:tcPr>
                <w:p w14:paraId="152D8C1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本次评价以企业实际提供资料为前提，核实后进行报告编制，环境影响评价结论明确，经初步审查不存在重大缺陷、遗漏。</w:t>
                  </w:r>
                </w:p>
              </w:tc>
              <w:tc>
                <w:tcPr>
                  <w:tcW w:w="320" w:type="pct"/>
                  <w:vMerge w:val="continue"/>
                  <w:tcBorders>
                    <w:top w:val="single" w:color="auto" w:sz="4" w:space="0"/>
                    <w:left w:val="single" w:color="auto" w:sz="4" w:space="0"/>
                    <w:bottom w:val="single" w:color="auto" w:sz="4" w:space="0"/>
                    <w:right w:val="nil"/>
                  </w:tcBorders>
                  <w:vAlign w:val="center"/>
                </w:tcPr>
                <w:p w14:paraId="58C2742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0F540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C4D980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EA1875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47" w:type="pct"/>
                  <w:tcBorders>
                    <w:top w:val="single" w:color="000000" w:sz="4" w:space="0"/>
                    <w:left w:val="single" w:color="000000" w:sz="4" w:space="0"/>
                    <w:bottom w:val="single" w:color="000000" w:sz="4" w:space="0"/>
                    <w:right w:val="single" w:color="auto" w:sz="4" w:space="0"/>
                  </w:tcBorders>
                  <w:vAlign w:val="center"/>
                </w:tcPr>
                <w:p w14:paraId="0418452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江苏省淮安市涟水县大东镇马棚农场</w:t>
                  </w:r>
                  <w:r>
                    <w:rPr>
                      <w:rFonts w:hint="default" w:ascii="Times New Roman" w:hAnsi="Times New Roman" w:eastAsia="宋体" w:cs="Times New Roman"/>
                      <w:color w:val="auto"/>
                      <w:sz w:val="21"/>
                      <w:szCs w:val="21"/>
                    </w:rPr>
                    <w:t>，属于工业用地。</w:t>
                  </w:r>
                </w:p>
              </w:tc>
              <w:tc>
                <w:tcPr>
                  <w:tcW w:w="320" w:type="pct"/>
                  <w:vMerge w:val="continue"/>
                  <w:tcBorders>
                    <w:top w:val="single" w:color="auto" w:sz="4" w:space="0"/>
                    <w:left w:val="single" w:color="auto" w:sz="4" w:space="0"/>
                    <w:bottom w:val="single" w:color="auto" w:sz="4" w:space="0"/>
                    <w:right w:val="nil"/>
                  </w:tcBorders>
                  <w:vAlign w:val="center"/>
                </w:tcPr>
                <w:p w14:paraId="1766C0E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6507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05D451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597B2F1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47" w:type="pct"/>
                  <w:tcBorders>
                    <w:top w:val="single" w:color="000000" w:sz="4" w:space="0"/>
                    <w:left w:val="single" w:color="000000" w:sz="4" w:space="0"/>
                    <w:bottom w:val="single" w:color="000000" w:sz="4" w:space="0"/>
                    <w:right w:val="single" w:color="auto" w:sz="4" w:space="0"/>
                  </w:tcBorders>
                  <w:vAlign w:val="center"/>
                </w:tcPr>
                <w:p w14:paraId="0AD6426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w:t>
                  </w:r>
                  <w:r>
                    <w:rPr>
                      <w:rFonts w:hint="eastAsia" w:cs="Times New Roman"/>
                      <w:color w:val="auto"/>
                      <w:sz w:val="21"/>
                      <w:szCs w:val="21"/>
                      <w:lang w:eastAsia="zh-CN"/>
                    </w:rPr>
                    <w:t>无需申请总量。</w:t>
                  </w:r>
                </w:p>
              </w:tc>
              <w:tc>
                <w:tcPr>
                  <w:tcW w:w="320" w:type="pct"/>
                  <w:vMerge w:val="continue"/>
                  <w:tcBorders>
                    <w:top w:val="single" w:color="auto" w:sz="4" w:space="0"/>
                    <w:left w:val="single" w:color="auto" w:sz="4" w:space="0"/>
                    <w:bottom w:val="single" w:color="auto" w:sz="4" w:space="0"/>
                    <w:right w:val="nil"/>
                  </w:tcBorders>
                  <w:vAlign w:val="center"/>
                </w:tcPr>
                <w:p w14:paraId="03779F6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0A50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14D5F4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432C3EFB">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w:t>
                  </w:r>
                </w:p>
              </w:tc>
              <w:tc>
                <w:tcPr>
                  <w:tcW w:w="1747" w:type="pct"/>
                  <w:tcBorders>
                    <w:top w:val="single" w:color="000000" w:sz="4" w:space="0"/>
                    <w:left w:val="single" w:color="000000" w:sz="4" w:space="0"/>
                    <w:bottom w:val="single" w:color="000000" w:sz="4" w:space="0"/>
                    <w:right w:val="single" w:color="auto" w:sz="4" w:space="0"/>
                  </w:tcBorders>
                  <w:vAlign w:val="center"/>
                </w:tcPr>
                <w:p w14:paraId="32E7DA96">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达标区</w:t>
                  </w:r>
                  <w:r>
                    <w:rPr>
                      <w:rFonts w:hint="eastAsia" w:cs="Times New Roman"/>
                      <w:color w:val="auto"/>
                      <w:sz w:val="21"/>
                      <w:szCs w:val="21"/>
                      <w:lang w:val="en-US" w:eastAsia="zh-CN"/>
                    </w:rPr>
                    <w:t>。</w:t>
                  </w:r>
                </w:p>
              </w:tc>
              <w:tc>
                <w:tcPr>
                  <w:tcW w:w="320" w:type="pct"/>
                  <w:vMerge w:val="continue"/>
                  <w:tcBorders>
                    <w:top w:val="single" w:color="auto" w:sz="4" w:space="0"/>
                    <w:left w:val="single" w:color="auto" w:sz="4" w:space="0"/>
                    <w:bottom w:val="single" w:color="auto" w:sz="4" w:space="0"/>
                    <w:right w:val="nil"/>
                  </w:tcBorders>
                  <w:vAlign w:val="center"/>
                </w:tcPr>
                <w:p w14:paraId="0D803C6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7D08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43A392B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2E0D505E">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747" w:type="pct"/>
                  <w:tcBorders>
                    <w:top w:val="single" w:color="000000" w:sz="4" w:space="0"/>
                    <w:left w:val="single" w:color="000000" w:sz="4" w:space="0"/>
                    <w:bottom w:val="single" w:color="000000" w:sz="4" w:space="0"/>
                    <w:right w:val="single" w:color="auto" w:sz="4" w:space="0"/>
                  </w:tcBorders>
                  <w:vAlign w:val="center"/>
                </w:tcPr>
                <w:p w14:paraId="63E6043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w:t>
                  </w:r>
                  <w:r>
                    <w:rPr>
                      <w:rFonts w:hint="default" w:cs="Times New Roman"/>
                      <w:color w:val="auto"/>
                      <w:sz w:val="21"/>
                      <w:szCs w:val="21"/>
                      <w:lang w:eastAsia="zh-CN"/>
                    </w:rPr>
                    <w:t>于</w:t>
                  </w:r>
                  <w:r>
                    <w:rPr>
                      <w:rFonts w:hint="eastAsia" w:cs="Times New Roman"/>
                      <w:color w:val="auto"/>
                      <w:sz w:val="21"/>
                      <w:szCs w:val="21"/>
                      <w:lang w:eastAsia="zh-CN"/>
                    </w:rPr>
                    <w:t>废黄河（涟水县）重要湿地东北</w:t>
                  </w:r>
                  <w:r>
                    <w:rPr>
                      <w:rFonts w:hint="default" w:ascii="Times New Roman" w:hAnsi="Times New Roman" w:eastAsia="宋体" w:cs="Times New Roman"/>
                      <w:color w:val="auto"/>
                      <w:sz w:val="21"/>
                      <w:szCs w:val="21"/>
                    </w:rPr>
                    <w:t>侧</w:t>
                  </w:r>
                  <w:r>
                    <w:rPr>
                      <w:rFonts w:hint="eastAsia" w:cs="Times New Roman"/>
                      <w:color w:val="auto"/>
                      <w:sz w:val="21"/>
                      <w:szCs w:val="21"/>
                      <w:lang w:val="en-US" w:eastAsia="zh-CN"/>
                    </w:rPr>
                    <w:t>18.55</w:t>
                  </w:r>
                  <w:r>
                    <w:rPr>
                      <w:rFonts w:hint="default" w:ascii="Times New Roman" w:hAnsi="Times New Roman" w:eastAsia="宋体" w:cs="Times New Roman"/>
                      <w:color w:val="auto"/>
                      <w:sz w:val="21"/>
                      <w:szCs w:val="21"/>
                    </w:rPr>
                    <w:t>km左右，不在管控范围之内</w:t>
                  </w:r>
                </w:p>
              </w:tc>
              <w:tc>
                <w:tcPr>
                  <w:tcW w:w="320" w:type="pct"/>
                  <w:vMerge w:val="continue"/>
                  <w:tcBorders>
                    <w:top w:val="single" w:color="auto" w:sz="4" w:space="0"/>
                    <w:left w:val="single" w:color="auto" w:sz="4" w:space="0"/>
                    <w:bottom w:val="single" w:color="auto" w:sz="4" w:space="0"/>
                    <w:right w:val="nil"/>
                  </w:tcBorders>
                  <w:vAlign w:val="center"/>
                </w:tcPr>
                <w:p w14:paraId="4913EA6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424E0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795C595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428B60E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禁止审批无法落实危险废物利用、处置途径的项目，从严审批危险废物产生量大、本地无配套利用处置能力</w:t>
                  </w:r>
                  <w:r>
                    <w:rPr>
                      <w:rFonts w:hint="eastAsia" w:cs="Times New Roman"/>
                      <w:color w:val="auto"/>
                      <w:sz w:val="21"/>
                      <w:szCs w:val="21"/>
                      <w:lang w:eastAsia="zh-CN"/>
                    </w:rPr>
                    <w:t>且</w:t>
                  </w:r>
                  <w:r>
                    <w:rPr>
                      <w:rFonts w:hint="default" w:ascii="Times New Roman" w:hAnsi="Times New Roman" w:eastAsia="宋体" w:cs="Times New Roman"/>
                      <w:color w:val="auto"/>
                      <w:sz w:val="21"/>
                      <w:szCs w:val="21"/>
                    </w:rPr>
                    <w:t>需设区市统筹解决的项目</w:t>
                  </w:r>
                </w:p>
              </w:tc>
              <w:tc>
                <w:tcPr>
                  <w:tcW w:w="1747" w:type="pct"/>
                  <w:tcBorders>
                    <w:top w:val="single" w:color="000000" w:sz="4" w:space="0"/>
                    <w:left w:val="single" w:color="000000" w:sz="4" w:space="0"/>
                    <w:bottom w:val="single" w:color="000000" w:sz="4" w:space="0"/>
                    <w:right w:val="single" w:color="auto" w:sz="4" w:space="0"/>
                  </w:tcBorders>
                  <w:vAlign w:val="center"/>
                </w:tcPr>
                <w:p w14:paraId="53B71FC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w:t>
                  </w:r>
                  <w:r>
                    <w:rPr>
                      <w:rFonts w:hint="eastAsia" w:cs="Times New Roman"/>
                      <w:color w:val="auto"/>
                      <w:sz w:val="21"/>
                      <w:szCs w:val="21"/>
                      <w:lang w:eastAsia="zh-CN"/>
                    </w:rPr>
                    <w:t>为危险暂存库建设项目，不涉及危险废物产生</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183FEC4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3848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8D16DB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31117E35">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禁止新建、扩建不符合国家产能置换要求的严重过剩产能行业的项目</w:t>
                  </w:r>
                </w:p>
              </w:tc>
              <w:tc>
                <w:tcPr>
                  <w:tcW w:w="1747" w:type="pct"/>
                  <w:vMerge w:val="restart"/>
                  <w:tcBorders>
                    <w:top w:val="single" w:color="000000" w:sz="4" w:space="0"/>
                    <w:left w:val="single" w:color="000000" w:sz="4" w:space="0"/>
                    <w:bottom w:val="single" w:color="000000" w:sz="4" w:space="0"/>
                    <w:right w:val="single" w:color="auto" w:sz="4" w:space="0"/>
                  </w:tcBorders>
                  <w:vAlign w:val="center"/>
                </w:tcPr>
                <w:p w14:paraId="66F24E4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项目为</w:t>
                  </w:r>
                  <w:r>
                    <w:rPr>
                      <w:rFonts w:hint="eastAsia" w:cs="Times New Roman"/>
                      <w:color w:val="auto"/>
                      <w:sz w:val="21"/>
                      <w:szCs w:val="21"/>
                      <w:lang w:eastAsia="zh-CN"/>
                    </w:rPr>
                    <w:t>飞灰暂存库建设项目</w:t>
                  </w:r>
                  <w:r>
                    <w:rPr>
                      <w:rFonts w:hint="default" w:ascii="Times New Roman" w:hAnsi="Times New Roman" w:eastAsia="宋体" w:cs="Times New Roman"/>
                      <w:color w:val="auto"/>
                      <w:sz w:val="21"/>
                      <w:szCs w:val="21"/>
                    </w:rPr>
                    <w:t>，不属于法律法规和相关政策明令禁止的落后产能项目，不属于国家产能置换要求的过剩产能行业的项目。</w:t>
                  </w:r>
                </w:p>
              </w:tc>
              <w:tc>
                <w:tcPr>
                  <w:tcW w:w="320" w:type="pct"/>
                  <w:vMerge w:val="continue"/>
                  <w:tcBorders>
                    <w:top w:val="single" w:color="auto" w:sz="4" w:space="0"/>
                    <w:left w:val="single" w:color="auto" w:sz="4" w:space="0"/>
                    <w:bottom w:val="single" w:color="auto" w:sz="4" w:space="0"/>
                    <w:right w:val="nil"/>
                  </w:tcBorders>
                  <w:vAlign w:val="center"/>
                </w:tcPr>
                <w:p w14:paraId="44197A0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C0CA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44"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2EE07F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707A5F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w:t>
                  </w:r>
                </w:p>
              </w:tc>
              <w:tc>
                <w:tcPr>
                  <w:tcW w:w="1747" w:type="pct"/>
                  <w:vMerge w:val="continue"/>
                  <w:tcBorders>
                    <w:top w:val="single" w:color="000000" w:sz="4" w:space="0"/>
                    <w:left w:val="single" w:color="000000" w:sz="4" w:space="0"/>
                    <w:bottom w:val="single" w:color="000000" w:sz="4" w:space="0"/>
                    <w:right w:val="single" w:color="auto" w:sz="4" w:space="0"/>
                  </w:tcBorders>
                  <w:vAlign w:val="center"/>
                </w:tcPr>
                <w:p w14:paraId="31F1C7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320" w:type="pct"/>
                  <w:vMerge w:val="continue"/>
                  <w:tcBorders>
                    <w:top w:val="single" w:color="auto" w:sz="4" w:space="0"/>
                    <w:left w:val="single" w:color="auto" w:sz="4" w:space="0"/>
                    <w:bottom w:val="single" w:color="auto" w:sz="4" w:space="0"/>
                    <w:right w:val="nil"/>
                  </w:tcBorders>
                  <w:vAlign w:val="center"/>
                </w:tcPr>
                <w:p w14:paraId="47C9FB1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9AFC0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148FAD7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《省政府关于印发大运河江苏段核心监控区国土空间管控暂行办法的通知》（苏政发</w:t>
                  </w:r>
                  <w:r>
                    <w:rPr>
                      <w:rFonts w:hint="eastAsia" w:cs="Times New Roman"/>
                      <w:color w:val="auto"/>
                      <w:sz w:val="21"/>
                      <w:szCs w:val="21"/>
                      <w:lang w:eastAsia="zh-CN"/>
                    </w:rPr>
                    <w:t>〔2021〕20号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79B077F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在大运河江苏段核心监控区内从事各类国土空间保护与开发利用活动，应遵守本办法。</w:t>
                  </w:r>
                </w:p>
                <w:p w14:paraId="57BC461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第三条</w:t>
                  </w:r>
                  <w:r>
                    <w:rPr>
                      <w:rFonts w:hint="default" w:ascii="Times New Roman" w:hAnsi="Times New Roman" w:eastAsia="宋体" w:cs="Times New Roman"/>
                      <w:color w:val="auto"/>
                      <w:sz w:val="21"/>
                      <w:szCs w:val="21"/>
                    </w:rPr>
                    <w:t>本办法所称核心监控区，是指大运河江苏段主河道两岸各2千米的范围。滨河生态空间，是指核心监控区内，原则上除建成区（城市、建制镇）外，大运河江苏段主河道两岸各1千米的范围。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6318F03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项目位于大运河东北侧</w:t>
                  </w:r>
                  <w:r>
                    <w:rPr>
                      <w:rFonts w:hint="eastAsia" w:cs="Times New Roman"/>
                      <w:color w:val="auto"/>
                      <w:sz w:val="21"/>
                      <w:szCs w:val="21"/>
                      <w:lang w:val="en-US" w:eastAsia="zh-CN"/>
                    </w:rPr>
                    <w:t>54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56AFB86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3E42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7DF3033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《市政府关于印发大运河淮安段核心监控区国土空间管控细则的通知》（淮政规</w:t>
                  </w:r>
                  <w:r>
                    <w:rPr>
                      <w:rFonts w:hint="eastAsia" w:cs="Times New Roman"/>
                      <w:color w:val="auto"/>
                      <w:sz w:val="21"/>
                      <w:szCs w:val="21"/>
                      <w:lang w:eastAsia="zh-CN"/>
                    </w:rPr>
                    <w:t>〔2022〕8号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7B3501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在大运河淮安段核心监控区内从事各类国土空间保护与开发利用活动，应当遵守本细则。本细则所称大运河淮安段核心监控区，是指大运河淮安段、张福河两侧河道岸线临水边界线外各2千米的范围。</w:t>
                  </w:r>
                </w:p>
                <w:p w14:paraId="6729B8E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第四条</w:t>
                  </w:r>
                  <w:r>
                    <w:rPr>
                      <w:rFonts w:hint="default" w:ascii="Times New Roman" w:hAnsi="Times New Roman" w:eastAsia="宋体" w:cs="Times New Roman"/>
                      <w:color w:val="auto"/>
                      <w:sz w:val="21"/>
                      <w:szCs w:val="21"/>
                    </w:rPr>
                    <w:t>本细则所称滨河生态空间，是指核心监控区内，原则上除建成区（城市、建制镇）外，大运河淮安段、张福河两侧河道岸线临水边界线外各1千米的范围。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3E702AA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项目位于大运河东北侧</w:t>
                  </w:r>
                  <w:r>
                    <w:rPr>
                      <w:rFonts w:hint="eastAsia" w:cs="Times New Roman"/>
                      <w:color w:val="auto"/>
                      <w:sz w:val="21"/>
                      <w:szCs w:val="21"/>
                      <w:lang w:val="en-US" w:eastAsia="zh-CN"/>
                    </w:rPr>
                    <w:t>54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51B362A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1F8B6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cs="Times New Roman" w:hAnsiTheme="minorEastAsia" w:eastAsiaTheme="minorEastAsia"/>
                <w:b/>
                <w:bCs/>
                <w:color w:val="auto"/>
                <w:sz w:val="24"/>
              </w:rPr>
            </w:pPr>
            <w:r>
              <w:rPr>
                <w:rFonts w:hAnsi="宋体"/>
                <w:color w:val="auto"/>
                <w:sz w:val="24"/>
              </w:rPr>
              <w:t>对照</w:t>
            </w:r>
            <w:r>
              <w:rPr>
                <w:rFonts w:hint="default" w:hAnsi="宋体"/>
                <w:color w:val="auto"/>
                <w:sz w:val="24"/>
              </w:rPr>
              <w:t>省生态环境厅关于印发《江苏省固体废物全过程环境监管工作意见》的通知苏环办</w:t>
            </w:r>
            <w:r>
              <w:rPr>
                <w:rFonts w:hint="eastAsia" w:hAnsi="宋体"/>
                <w:color w:val="auto"/>
                <w:sz w:val="24"/>
                <w:lang w:eastAsia="zh-CN"/>
              </w:rPr>
              <w:t>〔2024〕16号</w:t>
            </w:r>
            <w:r>
              <w:rPr>
                <w:rFonts w:hint="default" w:hAnsi="宋体"/>
                <w:color w:val="auto"/>
                <w:sz w:val="24"/>
                <w:lang w:eastAsia="zh-CN"/>
              </w:rPr>
              <w:t>文</w:t>
            </w:r>
            <w:r>
              <w:rPr>
                <w:rFonts w:hint="eastAsia" w:hAnsi="宋体"/>
                <w:color w:val="auto"/>
                <w:sz w:val="24"/>
                <w:lang w:eastAsia="zh-CN"/>
              </w:rPr>
              <w:t>件的相符性分析见下表。</w:t>
            </w:r>
          </w:p>
          <w:p w14:paraId="7FA34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hAnsiTheme="minorEastAsia" w:eastAsiaTheme="minorEastAsia"/>
                <w:color w:val="auto"/>
                <w:sz w:val="24"/>
                <w:lang w:val="en-US" w:eastAsia="zh-CN"/>
              </w:rPr>
            </w:pPr>
            <w:r>
              <w:rPr>
                <w:rFonts w:ascii="Times New Roman" w:cs="Times New Roman" w:hAnsiTheme="minorEastAsia" w:eastAsiaTheme="minorEastAsia"/>
                <w:b/>
                <w:bCs/>
                <w:color w:val="auto"/>
                <w:sz w:val="24"/>
              </w:rPr>
              <w:t>表1-1</w:t>
            </w:r>
            <w:r>
              <w:rPr>
                <w:rFonts w:hint="eastAsia" w:cs="Times New Roman" w:hAnsiTheme="minorEastAsia" w:eastAsiaTheme="minorEastAsia"/>
                <w:b/>
                <w:bCs/>
                <w:color w:val="auto"/>
                <w:sz w:val="24"/>
                <w:lang w:val="en-US" w:eastAsia="zh-CN"/>
              </w:rPr>
              <w:t>0</w:t>
            </w:r>
            <w:r>
              <w:rPr>
                <w:rFonts w:hint="eastAsia" w:ascii="Times New Roman" w:cs="Times New Roman" w:hAnsiTheme="minorEastAsia" w:eastAsiaTheme="minorEastAsia"/>
                <w:b/>
                <w:bCs/>
                <w:color w:val="auto"/>
                <w:sz w:val="24"/>
                <w:lang w:val="en-US" w:eastAsia="zh-CN"/>
              </w:rPr>
              <w:t>与固体危废相关文件</w:t>
            </w:r>
            <w:r>
              <w:rPr>
                <w:rFonts w:hint="eastAsia" w:cs="Times New Roman" w:hAnsiTheme="minorEastAsia" w:eastAsiaTheme="minorEastAsia"/>
                <w:b/>
                <w:bCs/>
                <w:color w:val="auto"/>
                <w:sz w:val="24"/>
                <w:lang w:val="en-US" w:eastAsia="zh-CN"/>
              </w:rPr>
              <w:t>的</w:t>
            </w:r>
            <w:r>
              <w:rPr>
                <w:rFonts w:hint="eastAsia" w:ascii="Times New Roman" w:cs="Times New Roman" w:hAnsiTheme="minorEastAsia" w:eastAsiaTheme="minorEastAsia"/>
                <w:b/>
                <w:bCs/>
                <w:color w:val="auto"/>
                <w:sz w:val="24"/>
                <w:lang w:val="en-US" w:eastAsia="zh-CN"/>
              </w:rPr>
              <w:t>相符性</w:t>
            </w:r>
          </w:p>
          <w:tbl>
            <w:tblPr>
              <w:tblStyle w:val="136"/>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88"/>
              <w:gridCol w:w="3738"/>
              <w:gridCol w:w="2850"/>
              <w:gridCol w:w="362"/>
            </w:tblGrid>
            <w:tr w14:paraId="5875C9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126" w:type="dxa"/>
                  <w:gridSpan w:val="2"/>
                  <w:tcBorders>
                    <w:tl2br w:val="nil"/>
                    <w:tr2bl w:val="nil"/>
                  </w:tcBorders>
                  <w:vAlign w:val="center"/>
                </w:tcPr>
                <w:p w14:paraId="79281454">
                  <w:pPr>
                    <w:pStyle w:val="13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要求</w:t>
                  </w:r>
                </w:p>
              </w:tc>
              <w:tc>
                <w:tcPr>
                  <w:tcW w:w="2850" w:type="dxa"/>
                  <w:tcBorders>
                    <w:tl2br w:val="nil"/>
                    <w:tr2bl w:val="nil"/>
                  </w:tcBorders>
                  <w:vAlign w:val="center"/>
                </w:tcPr>
                <w:p w14:paraId="3F1B4755">
                  <w:pPr>
                    <w:pStyle w:val="135"/>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本项目情况</w:t>
                  </w:r>
                </w:p>
              </w:tc>
              <w:tc>
                <w:tcPr>
                  <w:tcW w:w="362" w:type="dxa"/>
                  <w:tcBorders>
                    <w:tl2br w:val="nil"/>
                    <w:tr2bl w:val="nil"/>
                  </w:tcBorders>
                  <w:vAlign w:val="center"/>
                </w:tcPr>
                <w:p w14:paraId="4D98BA58">
                  <w:pPr>
                    <w:pStyle w:val="135"/>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是否符合</w:t>
                  </w:r>
                </w:p>
              </w:tc>
            </w:tr>
            <w:tr w14:paraId="5494F4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2" w:hRule="atLeast"/>
                <w:jc w:val="center"/>
              </w:trPr>
              <w:tc>
                <w:tcPr>
                  <w:tcW w:w="1388" w:type="dxa"/>
                  <w:vMerge w:val="restart"/>
                  <w:tcBorders>
                    <w:tl2br w:val="nil"/>
                    <w:tr2bl w:val="nil"/>
                  </w:tcBorders>
                  <w:vAlign w:val="center"/>
                </w:tcPr>
                <w:p w14:paraId="06EBB675">
                  <w:pPr>
                    <w:pStyle w:val="13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省生态环境厅关于印发《江苏省固体废物全过程环境监管工作意见》的通知苏环办</w:t>
                  </w:r>
                  <w:r>
                    <w:rPr>
                      <w:rFonts w:hint="eastAsia" w:ascii="Times New Roman" w:hAnsi="Times New Roman" w:cs="Times New Roman"/>
                      <w:color w:val="auto"/>
                      <w:spacing w:val="0"/>
                      <w:position w:val="0"/>
                      <w:sz w:val="21"/>
                      <w:szCs w:val="21"/>
                      <w:lang w:eastAsia="zh-CN"/>
                    </w:rPr>
                    <w:t>〔2024〕16号</w:t>
                  </w:r>
                  <w:r>
                    <w:rPr>
                      <w:rFonts w:hint="default" w:ascii="Times New Roman" w:hAnsi="Times New Roman" w:eastAsia="宋体" w:cs="Times New Roman"/>
                      <w:color w:val="auto"/>
                      <w:spacing w:val="0"/>
                      <w:position w:val="0"/>
                      <w:sz w:val="21"/>
                      <w:szCs w:val="21"/>
                      <w:lang w:eastAsia="zh-CN"/>
                    </w:rPr>
                    <w:t>文</w:t>
                  </w:r>
                </w:p>
              </w:tc>
              <w:tc>
                <w:tcPr>
                  <w:tcW w:w="3738" w:type="dxa"/>
                  <w:tcBorders>
                    <w:tl2br w:val="nil"/>
                    <w:tr2bl w:val="nil"/>
                  </w:tcBorders>
                  <w:vAlign w:val="center"/>
                </w:tcPr>
                <w:p w14:paraId="1E484068">
                  <w:pPr>
                    <w:pStyle w:val="1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规范贮存管理要求</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根据《危险废物贮存污染控制标准》（GB18597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w:t>
                  </w:r>
                  <w:r>
                    <w:rPr>
                      <w:rFonts w:hint="eastAsia" w:ascii="Times New Roman" w:hAnsi="Times New Roman" w:cs="Times New Roman"/>
                      <w:color w:val="auto"/>
                      <w:spacing w:val="0"/>
                      <w:position w:val="0"/>
                      <w:sz w:val="21"/>
                      <w:szCs w:val="21"/>
                      <w:lang w:eastAsia="zh-CN"/>
                    </w:rPr>
                    <w:t>Ⅱ级</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eastAsia="zh-CN"/>
                    </w:rPr>
                    <w:t>Ⅲ级</w:t>
                  </w:r>
                  <w:r>
                    <w:rPr>
                      <w:rFonts w:hint="default" w:ascii="Times New Roman" w:hAnsi="Times New Roman" w:eastAsia="宋体" w:cs="Times New Roman"/>
                      <w:color w:val="auto"/>
                      <w:spacing w:val="0"/>
                      <w:position w:val="0"/>
                      <w:sz w:val="21"/>
                      <w:szCs w:val="21"/>
                    </w:rPr>
                    <w:t>危险废物贮存时间分别不得超过30天、60天、90天，最大贮存量不得超过1吨</w:t>
                  </w:r>
                </w:p>
              </w:tc>
              <w:tc>
                <w:tcPr>
                  <w:tcW w:w="2850" w:type="dxa"/>
                  <w:tcBorders>
                    <w:tl2br w:val="nil"/>
                    <w:tr2bl w:val="nil"/>
                  </w:tcBorders>
                  <w:vAlign w:val="center"/>
                </w:tcPr>
                <w:p w14:paraId="66BDFAED">
                  <w:pPr>
                    <w:pStyle w:val="1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改建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涉及新建危废仓库（飞灰暂存库），项目建成后应</w:t>
                  </w:r>
                  <w:r>
                    <w:rPr>
                      <w:rFonts w:hint="default" w:ascii="Times New Roman" w:hAnsi="Times New Roman" w:eastAsia="宋体" w:cs="Times New Roman"/>
                      <w:color w:val="auto"/>
                      <w:spacing w:val="0"/>
                      <w:position w:val="0"/>
                      <w:sz w:val="21"/>
                      <w:szCs w:val="21"/>
                      <w:lang w:val="en-US" w:eastAsia="zh-CN"/>
                    </w:rPr>
                    <w:t>按照</w:t>
                  </w:r>
                  <w:r>
                    <w:rPr>
                      <w:rFonts w:hint="default" w:ascii="Times New Roman" w:hAnsi="Times New Roman" w:eastAsia="宋体" w:cs="Times New Roman"/>
                      <w:color w:val="auto"/>
                      <w:spacing w:val="0"/>
                      <w:position w:val="0"/>
                      <w:sz w:val="21"/>
                      <w:szCs w:val="21"/>
                    </w:rPr>
                    <w:t>《危险废物贮存污染控制标准》（GB18597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val="en-US" w:eastAsia="zh-CN"/>
                    </w:rPr>
                    <w:t>落实危废贮存，过程中配套防扬散、防流失、防渗漏及其他防止污染环境的措施，并且</w:t>
                  </w:r>
                  <w:r>
                    <w:rPr>
                      <w:rFonts w:hint="default" w:ascii="Times New Roman" w:hAnsi="Times New Roman" w:eastAsia="宋体" w:cs="Times New Roman"/>
                      <w:color w:val="auto"/>
                      <w:spacing w:val="0"/>
                      <w:position w:val="0"/>
                      <w:sz w:val="21"/>
                      <w:szCs w:val="21"/>
                    </w:rPr>
                    <w:t>执行《江苏省危险废物集中收集体系建设工作方案（试行）》（苏环办〔2021〕290号）</w:t>
                  </w:r>
                  <w:r>
                    <w:rPr>
                      <w:rFonts w:hint="default" w:ascii="Times New Roman" w:hAnsi="Times New Roman" w:eastAsia="宋体" w:cs="Times New Roman"/>
                      <w:color w:val="auto"/>
                      <w:spacing w:val="0"/>
                      <w:position w:val="0"/>
                      <w:sz w:val="21"/>
                      <w:szCs w:val="21"/>
                      <w:lang w:val="en-US" w:eastAsia="zh-CN"/>
                    </w:rPr>
                    <w:t>要求，提高危废处理次数</w:t>
                  </w:r>
                </w:p>
              </w:tc>
              <w:tc>
                <w:tcPr>
                  <w:tcW w:w="362" w:type="dxa"/>
                  <w:tcBorders>
                    <w:tl2br w:val="nil"/>
                    <w:tr2bl w:val="nil"/>
                  </w:tcBorders>
                  <w:vAlign w:val="center"/>
                </w:tcPr>
                <w:p w14:paraId="51537E5E">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0A74B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1388" w:type="dxa"/>
                  <w:vMerge w:val="continue"/>
                  <w:tcBorders>
                    <w:tl2br w:val="nil"/>
                    <w:tr2bl w:val="nil"/>
                  </w:tcBorders>
                  <w:vAlign w:val="center"/>
                </w:tcPr>
                <w:p w14:paraId="2DFEF55E">
                  <w:pPr>
                    <w:pStyle w:val="13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3738" w:type="dxa"/>
                  <w:tcBorders>
                    <w:tl2br w:val="nil"/>
                    <w:tr2bl w:val="nil"/>
                  </w:tcBorders>
                  <w:vAlign w:val="center"/>
                </w:tcPr>
                <w:p w14:paraId="3AF6E363">
                  <w:pPr>
                    <w:pStyle w:val="13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强化转移过程管理。全面落实危险废物转移电子联单制度，实行省内全域扫描“二维码”转移。加强与危险货物道路运输电子运单数据共享，实现运输轨迹可溯可查。产废单位须依法核实经营单位主体资格和技术能力，并直接签订利用处置合同，违法委托的，应当与造成环境污染和生态破坏的受托方承担连带责任；经营单位须按包装物扫码签收，签收人、车辆信息等须拍照上传至系统，严禁“空转”二维码。积极推行一般工业固体废物转移电子联单制度，优先选择环境风险较大的污泥、矿渣等</w:t>
                  </w:r>
                  <w:r>
                    <w:rPr>
                      <w:rFonts w:hint="eastAsia" w:ascii="Times New Roman" w:hAnsi="Times New Roman" w:cs="Times New Roman"/>
                      <w:color w:val="auto"/>
                      <w:spacing w:val="0"/>
                      <w:position w:val="0"/>
                      <w:sz w:val="21"/>
                      <w:szCs w:val="21"/>
                      <w:lang w:eastAsia="zh-CN"/>
                    </w:rPr>
                    <w:t>固体废物</w:t>
                  </w:r>
                  <w:r>
                    <w:rPr>
                      <w:rFonts w:hint="default" w:ascii="Times New Roman" w:hAnsi="Times New Roman" w:eastAsia="宋体" w:cs="Times New Roman"/>
                      <w:color w:val="auto"/>
                      <w:spacing w:val="0"/>
                      <w:position w:val="0"/>
                      <w:sz w:val="21"/>
                      <w:szCs w:val="21"/>
                    </w:rPr>
                    <w:t>试行</w:t>
                  </w:r>
                  <w:r>
                    <w:rPr>
                      <w:rFonts w:hint="eastAsia" w:ascii="Times New Roman" w:hAnsi="Times New Roman" w:cs="Times New Roman"/>
                      <w:color w:val="auto"/>
                      <w:spacing w:val="0"/>
                      <w:position w:val="0"/>
                      <w:sz w:val="21"/>
                      <w:szCs w:val="21"/>
                      <w:lang w:eastAsia="zh-CN"/>
                    </w:rPr>
                    <w:t>。</w:t>
                  </w:r>
                </w:p>
              </w:tc>
              <w:tc>
                <w:tcPr>
                  <w:tcW w:w="2850" w:type="dxa"/>
                  <w:tcBorders>
                    <w:tl2br w:val="nil"/>
                    <w:tr2bl w:val="nil"/>
                  </w:tcBorders>
                  <w:vAlign w:val="center"/>
                </w:tcPr>
                <w:p w14:paraId="1F72201F">
                  <w:pPr>
                    <w:pStyle w:val="13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建设单位危险废物产生、经营企业在省内转移时按要求选择有资质并能利用“江苏省固体废物管理信息系统”进行信息比对的危险货物道路运输企业承运危险废物</w:t>
                  </w:r>
                </w:p>
              </w:tc>
              <w:tc>
                <w:tcPr>
                  <w:tcW w:w="362" w:type="dxa"/>
                  <w:tcBorders>
                    <w:tl2br w:val="nil"/>
                    <w:tr2bl w:val="nil"/>
                  </w:tcBorders>
                  <w:vAlign w:val="center"/>
                </w:tcPr>
                <w:p w14:paraId="518B4EE7">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bl>
          <w:p w14:paraId="4F5C3601">
            <w:pPr>
              <w:widowControl/>
              <w:adjustRightInd w:val="0"/>
              <w:snapToGrid w:val="0"/>
              <w:spacing w:line="360" w:lineRule="auto"/>
              <w:ind w:firstLine="480" w:firstLineChars="200"/>
              <w:rPr>
                <w:rFonts w:hint="eastAsia" w:cs="Times New Roman" w:hAnsiTheme="minorEastAsia" w:eastAsiaTheme="minorEastAsia"/>
                <w:color w:val="auto"/>
                <w:sz w:val="24"/>
                <w:lang w:eastAsia="zh-CN"/>
              </w:rPr>
            </w:pPr>
            <w:r>
              <w:rPr>
                <w:rFonts w:ascii="Times New Roman" w:cs="Times New Roman" w:hAnsiTheme="minorEastAsia" w:eastAsiaTheme="minorEastAsia"/>
                <w:color w:val="auto"/>
                <w:sz w:val="24"/>
              </w:rPr>
              <w:t>根据上表分析可知，</w:t>
            </w:r>
            <w:r>
              <w:rPr>
                <w:rFonts w:hint="eastAsia" w:cs="Times New Roman" w:hAnsiTheme="minorEastAsia" w:eastAsiaTheme="minorEastAsia"/>
                <w:color w:val="auto"/>
                <w:sz w:val="24"/>
                <w:lang w:eastAsia="zh-CN"/>
              </w:rPr>
              <w:t>改建</w:t>
            </w:r>
            <w:r>
              <w:rPr>
                <w:rFonts w:hint="eastAsia" w:ascii="Times New Roman" w:cs="Times New Roman" w:hAnsiTheme="minorEastAsia" w:eastAsiaTheme="minorEastAsia"/>
                <w:color w:val="auto"/>
                <w:sz w:val="24"/>
              </w:rPr>
              <w:t>项目</w:t>
            </w:r>
            <w:r>
              <w:rPr>
                <w:rFonts w:ascii="Times New Roman" w:cs="Times New Roman" w:hAnsiTheme="minorEastAsia" w:eastAsiaTheme="minorEastAsia"/>
                <w:color w:val="auto"/>
                <w:sz w:val="24"/>
              </w:rPr>
              <w:t>对照</w:t>
            </w:r>
            <w:r>
              <w:rPr>
                <w:rFonts w:hint="default" w:ascii="Times New Roman" w:cs="Times New Roman" w:hAnsiTheme="minorEastAsia" w:eastAsiaTheme="minorEastAsia"/>
                <w:color w:val="auto"/>
                <w:sz w:val="24"/>
              </w:rPr>
              <w:t>省生态环境厅关于印发《江苏省固体废物全过程环境监管工作意见》的通知苏环办</w:t>
            </w:r>
            <w:r>
              <w:rPr>
                <w:rFonts w:hint="eastAsia" w:cs="Times New Roman" w:hAnsiTheme="minorEastAsia" w:eastAsiaTheme="minorEastAsia"/>
                <w:color w:val="auto"/>
                <w:sz w:val="24"/>
                <w:lang w:eastAsia="zh-CN"/>
              </w:rPr>
              <w:t>〔2024〕16号</w:t>
            </w:r>
            <w:r>
              <w:rPr>
                <w:rFonts w:hint="default" w:ascii="Times New Roman" w:cs="Times New Roman" w:hAnsiTheme="minorEastAsia" w:eastAsiaTheme="minorEastAsia"/>
                <w:color w:val="auto"/>
                <w:sz w:val="24"/>
                <w:lang w:eastAsia="zh-CN"/>
              </w:rPr>
              <w:t>文</w:t>
            </w:r>
            <w:r>
              <w:rPr>
                <w:rFonts w:hint="eastAsia" w:ascii="Times New Roman" w:cs="Times New Roman" w:hAnsiTheme="minorEastAsia" w:eastAsiaTheme="minorEastAsia"/>
                <w:color w:val="auto"/>
                <w:sz w:val="24"/>
                <w:lang w:eastAsia="zh-CN"/>
              </w:rPr>
              <w:t>件</w:t>
            </w:r>
            <w:r>
              <w:rPr>
                <w:rFonts w:ascii="Times New Roman" w:cs="Times New Roman" w:hAnsiTheme="minorEastAsia" w:eastAsiaTheme="minorEastAsia"/>
                <w:color w:val="auto"/>
                <w:sz w:val="24"/>
              </w:rPr>
              <w:t>相关环保法规、指南中的相关要求是相符的</w:t>
            </w:r>
            <w:r>
              <w:rPr>
                <w:rFonts w:hint="eastAsia" w:cs="Times New Roman" w:hAnsiTheme="minorEastAsia" w:eastAsiaTheme="minorEastAsia"/>
                <w:color w:val="auto"/>
                <w:sz w:val="24"/>
                <w:lang w:eastAsia="zh-CN"/>
              </w:rPr>
              <w:t>。</w:t>
            </w:r>
          </w:p>
          <w:p w14:paraId="46295406">
            <w:pPr>
              <w:widowControl/>
              <w:adjustRightInd w:val="0"/>
              <w:snapToGrid w:val="0"/>
              <w:spacing w:line="360" w:lineRule="auto"/>
              <w:ind w:firstLine="480" w:firstLineChars="200"/>
              <w:rPr>
                <w:rFonts w:hint="default" w:ascii="Times New Roman" w:cs="Times New Roman" w:hAnsiTheme="minorEastAsia" w:eastAsiaTheme="minorEastAsia"/>
                <w:color w:val="auto"/>
                <w:sz w:val="24"/>
                <w:lang w:val="en-US" w:eastAsia="zh-CN"/>
              </w:rPr>
            </w:pPr>
            <w:r>
              <w:rPr>
                <w:rFonts w:hint="eastAsia" w:ascii="Times New Roman" w:cs="Times New Roman" w:hAnsiTheme="minorEastAsia" w:eastAsiaTheme="minorEastAsia"/>
                <w:color w:val="auto"/>
                <w:sz w:val="24"/>
              </w:rPr>
              <w:t>飞灰稳定化物暂存仓库建设情况与《危险废物贮存污染控制标准》</w:t>
            </w:r>
            <w:r>
              <w:rPr>
                <w:rFonts w:hint="eastAsia" w:cs="Times New Roman" w:hAnsiTheme="minorEastAsia" w:eastAsiaTheme="minorEastAsia"/>
                <w:color w:val="auto"/>
                <w:sz w:val="24"/>
                <w:lang w:eastAsia="zh-CN"/>
              </w:rPr>
              <w:t>（</w:t>
            </w:r>
            <w:r>
              <w:rPr>
                <w:rFonts w:hint="eastAsia" w:ascii="Times New Roman" w:cs="Times New Roman" w:hAnsiTheme="minorEastAsia" w:eastAsiaTheme="minorEastAsia"/>
                <w:color w:val="auto"/>
                <w:sz w:val="24"/>
              </w:rPr>
              <w:t>GB18597-2023</w:t>
            </w:r>
            <w:r>
              <w:rPr>
                <w:rFonts w:hint="eastAsia" w:cs="Times New Roman" w:hAnsiTheme="minorEastAsia" w:eastAsiaTheme="minorEastAsia"/>
                <w:color w:val="auto"/>
                <w:sz w:val="24"/>
                <w:lang w:eastAsia="zh-CN"/>
              </w:rPr>
              <w:t>）</w:t>
            </w:r>
            <w:r>
              <w:rPr>
                <w:rFonts w:hint="eastAsia" w:ascii="Times New Roman" w:cs="Times New Roman" w:hAnsiTheme="minorEastAsia" w:eastAsiaTheme="minorEastAsia"/>
                <w:color w:val="auto"/>
                <w:sz w:val="24"/>
              </w:rPr>
              <w:t>中危废暂存要求相符性分析见表</w:t>
            </w:r>
            <w:r>
              <w:rPr>
                <w:rFonts w:hint="eastAsia" w:ascii="Times New Roman" w:cs="Times New Roman" w:hAnsiTheme="minorEastAsia" w:eastAsiaTheme="minorEastAsia"/>
                <w:color w:val="auto"/>
                <w:sz w:val="24"/>
                <w:lang w:val="en-US" w:eastAsia="zh-CN"/>
              </w:rPr>
              <w:t>1-11</w:t>
            </w:r>
            <w:r>
              <w:rPr>
                <w:rFonts w:hint="eastAsia" w:cs="Times New Roman" w:hAnsiTheme="minorEastAsia" w:eastAsiaTheme="minorEastAsia"/>
                <w:color w:val="auto"/>
                <w:sz w:val="24"/>
                <w:lang w:val="en-US" w:eastAsia="zh-CN"/>
              </w:rPr>
              <w:t>。</w:t>
            </w:r>
          </w:p>
          <w:p w14:paraId="2F3BE9B6">
            <w:pPr>
              <w:pStyle w:val="151"/>
              <w:numPr>
                <w:ilvl w:val="0"/>
                <w:numId w:val="0"/>
              </w:numPr>
              <w:spacing w:before="120"/>
              <w:ind w:leftChars="0"/>
              <w:jc w:val="center"/>
              <w:rPr>
                <w:color w:val="auto"/>
              </w:rPr>
            </w:pPr>
            <w:r>
              <w:rPr>
                <w:rFonts w:hint="eastAsia"/>
                <w:color w:val="auto"/>
                <w:lang w:eastAsia="zh-CN"/>
              </w:rPr>
              <w:t>表</w:t>
            </w:r>
            <w:r>
              <w:rPr>
                <w:rFonts w:hint="eastAsia"/>
                <w:color w:val="auto"/>
                <w:lang w:val="en-US" w:eastAsia="zh-CN"/>
              </w:rPr>
              <w:t>1-11</w:t>
            </w:r>
            <w:r>
              <w:rPr>
                <w:rFonts w:hint="eastAsia"/>
                <w:color w:val="auto"/>
              </w:rPr>
              <w:t>与《危险废物贮存污染控制标准》</w:t>
            </w:r>
            <w:r>
              <w:rPr>
                <w:rFonts w:hint="eastAsia"/>
                <w:color w:val="auto"/>
                <w:lang w:eastAsia="zh-CN"/>
              </w:rPr>
              <w:t>（</w:t>
            </w:r>
            <w:r>
              <w:rPr>
                <w:rFonts w:hint="eastAsia" w:ascii="Times New Roman" w:cs="Times New Roman" w:hAnsiTheme="minorEastAsia" w:eastAsiaTheme="minorEastAsia"/>
                <w:color w:val="auto"/>
                <w:sz w:val="24"/>
              </w:rPr>
              <w:t>GB18597-2023</w:t>
            </w:r>
            <w:r>
              <w:rPr>
                <w:rFonts w:hint="eastAsia" w:cs="Times New Roman" w:hAnsiTheme="minorEastAsia" w:eastAsiaTheme="minorEastAsia"/>
                <w:color w:val="auto"/>
                <w:sz w:val="24"/>
                <w:lang w:eastAsia="zh-CN"/>
              </w:rPr>
              <w:t>）</w:t>
            </w:r>
            <w:r>
              <w:rPr>
                <w:rFonts w:hint="eastAsia"/>
                <w:color w:val="auto"/>
              </w:rPr>
              <w:t>的相符性分析</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502"/>
              <w:gridCol w:w="3391"/>
              <w:gridCol w:w="736"/>
            </w:tblGrid>
            <w:tr w14:paraId="58F8C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86" w:type="dxa"/>
                  <w:noWrap w:val="0"/>
                  <w:vAlign w:val="center"/>
                </w:tcPr>
                <w:p w14:paraId="4AD2E036">
                  <w:pPr>
                    <w:spacing w:line="240" w:lineRule="atLeast"/>
                    <w:jc w:val="center"/>
                    <w:rPr>
                      <w:rFonts w:hint="default" w:ascii="Times New Roman" w:hAnsi="Times New Roman" w:eastAsia="宋体" w:cs="Times New Roman"/>
                      <w:b/>
                      <w:bCs/>
                      <w:i w:val="0"/>
                      <w:iCs w:val="0"/>
                      <w:color w:val="auto"/>
                      <w:sz w:val="21"/>
                      <w:szCs w:val="21"/>
                    </w:rPr>
                  </w:pPr>
                  <w:r>
                    <w:rPr>
                      <w:rFonts w:hint="default" w:ascii="Times New Roman" w:hAnsi="Times New Roman" w:eastAsia="宋体" w:cs="Times New Roman"/>
                      <w:b/>
                      <w:bCs/>
                      <w:i w:val="0"/>
                      <w:iCs w:val="0"/>
                      <w:color w:val="auto"/>
                      <w:sz w:val="21"/>
                      <w:szCs w:val="21"/>
                    </w:rPr>
                    <w:t>序号</w:t>
                  </w:r>
                </w:p>
              </w:tc>
              <w:tc>
                <w:tcPr>
                  <w:tcW w:w="3502" w:type="dxa"/>
                  <w:noWrap w:val="0"/>
                  <w:vAlign w:val="center"/>
                </w:tcPr>
                <w:p w14:paraId="5E9D3796">
                  <w:pPr>
                    <w:spacing w:line="240" w:lineRule="atLeast"/>
                    <w:jc w:val="center"/>
                    <w:rPr>
                      <w:rFonts w:hint="default" w:ascii="Times New Roman" w:hAnsi="Times New Roman" w:eastAsia="宋体" w:cs="Times New Roman"/>
                      <w:b/>
                      <w:bCs/>
                      <w:i w:val="0"/>
                      <w:iCs w:val="0"/>
                      <w:color w:val="auto"/>
                      <w:sz w:val="21"/>
                      <w:szCs w:val="21"/>
                    </w:rPr>
                  </w:pPr>
                  <w:r>
                    <w:rPr>
                      <w:rFonts w:hint="default" w:ascii="Times New Roman" w:hAnsi="Times New Roman" w:eastAsia="宋体" w:cs="Times New Roman"/>
                      <w:b/>
                      <w:bCs/>
                      <w:i w:val="0"/>
                      <w:iCs w:val="0"/>
                      <w:color w:val="auto"/>
                      <w:sz w:val="21"/>
                      <w:szCs w:val="21"/>
                    </w:rPr>
                    <w:t>《危险废物贮存污染控制标准》相关要求</w:t>
                  </w:r>
                </w:p>
              </w:tc>
              <w:tc>
                <w:tcPr>
                  <w:tcW w:w="3391" w:type="dxa"/>
                  <w:noWrap w:val="0"/>
                  <w:vAlign w:val="center"/>
                </w:tcPr>
                <w:p w14:paraId="08AAB871">
                  <w:pPr>
                    <w:spacing w:line="240" w:lineRule="atLeast"/>
                    <w:jc w:val="center"/>
                    <w:rPr>
                      <w:rFonts w:hint="default" w:ascii="Times New Roman" w:hAnsi="Times New Roman" w:eastAsia="宋体" w:cs="Times New Roman"/>
                      <w:b/>
                      <w:bCs/>
                      <w:i w:val="0"/>
                      <w:iCs w:val="0"/>
                      <w:color w:val="auto"/>
                      <w:sz w:val="21"/>
                      <w:szCs w:val="21"/>
                    </w:rPr>
                  </w:pPr>
                  <w:r>
                    <w:rPr>
                      <w:rFonts w:hint="default" w:ascii="Times New Roman" w:hAnsi="Times New Roman" w:eastAsia="宋体" w:cs="Times New Roman"/>
                      <w:b/>
                      <w:bCs/>
                      <w:i w:val="0"/>
                      <w:iCs w:val="0"/>
                      <w:color w:val="auto"/>
                      <w:sz w:val="21"/>
                      <w:szCs w:val="21"/>
                    </w:rPr>
                    <w:t>本项目情况</w:t>
                  </w:r>
                </w:p>
              </w:tc>
              <w:tc>
                <w:tcPr>
                  <w:tcW w:w="736" w:type="dxa"/>
                  <w:noWrap w:val="0"/>
                  <w:vAlign w:val="center"/>
                </w:tcPr>
                <w:p w14:paraId="4D1885AB">
                  <w:pPr>
                    <w:spacing w:line="240" w:lineRule="atLeast"/>
                    <w:jc w:val="center"/>
                    <w:rPr>
                      <w:rFonts w:hint="default" w:ascii="Times New Roman" w:hAnsi="Times New Roman" w:eastAsia="宋体" w:cs="Times New Roman"/>
                      <w:b/>
                      <w:bCs/>
                      <w:i w:val="0"/>
                      <w:iCs w:val="0"/>
                      <w:color w:val="auto"/>
                      <w:sz w:val="21"/>
                      <w:szCs w:val="21"/>
                    </w:rPr>
                  </w:pPr>
                  <w:r>
                    <w:rPr>
                      <w:rFonts w:hint="default" w:ascii="Times New Roman" w:hAnsi="Times New Roman" w:eastAsia="宋体" w:cs="Times New Roman"/>
                      <w:b/>
                      <w:bCs/>
                      <w:i w:val="0"/>
                      <w:iCs w:val="0"/>
                      <w:color w:val="auto"/>
                      <w:sz w:val="21"/>
                      <w:szCs w:val="21"/>
                    </w:rPr>
                    <w:t>相符性</w:t>
                  </w:r>
                </w:p>
              </w:tc>
            </w:tr>
            <w:tr w14:paraId="6182E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315" w:type="dxa"/>
                  <w:gridSpan w:val="4"/>
                  <w:noWrap w:val="0"/>
                  <w:vAlign w:val="center"/>
                </w:tcPr>
                <w:p w14:paraId="62EE3D14">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贮存设施选址要求</w:t>
                  </w:r>
                </w:p>
              </w:tc>
            </w:tr>
            <w:tr w14:paraId="33EE7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86" w:type="dxa"/>
                  <w:noWrap w:val="0"/>
                  <w:vAlign w:val="center"/>
                </w:tcPr>
                <w:p w14:paraId="5B053FC5">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2AE00AAC">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贮存设施选址应满足生态环境保护法律法规、规划和“三线一单”生态环境分区管控的要求，建设项目应依法进行环境影响评价。</w:t>
                  </w:r>
                </w:p>
              </w:tc>
              <w:tc>
                <w:tcPr>
                  <w:tcW w:w="3391" w:type="dxa"/>
                  <w:noWrap w:val="0"/>
                  <w:vAlign w:val="center"/>
                </w:tcPr>
                <w:p w14:paraId="737AC386">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项目选址符合生态环境保护法律法规、规划和“三线一单”生态环境分区管控的要求。</w:t>
                  </w:r>
                </w:p>
              </w:tc>
              <w:tc>
                <w:tcPr>
                  <w:tcW w:w="736" w:type="dxa"/>
                  <w:noWrap w:val="0"/>
                  <w:vAlign w:val="center"/>
                </w:tcPr>
                <w:p w14:paraId="16A50EAA">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3C033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86" w:type="dxa"/>
                  <w:noWrap w:val="0"/>
                  <w:vAlign w:val="center"/>
                </w:tcPr>
                <w:p w14:paraId="3E68BD54">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59B3D7BA">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集中贮存设施不应选在生态保护红线区域、永久基本农田和其他需要特别保护的区域内，不应建在溶洞区或易遭受洪水、滑坡、泥石流、潮汐等严重自然灾害影响的地区。</w:t>
                  </w:r>
                </w:p>
              </w:tc>
              <w:tc>
                <w:tcPr>
                  <w:tcW w:w="3391" w:type="dxa"/>
                  <w:noWrap w:val="0"/>
                  <w:vAlign w:val="center"/>
                </w:tcPr>
                <w:p w14:paraId="000C591E">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项目选址不在生态保护红线区域，不与基本农田相邻，不被基本农田包裹；不在溶洞区或易遭受洪水、滑坡、泥石流、潮汐等严重自然灾害影响的地区。</w:t>
                  </w:r>
                </w:p>
              </w:tc>
              <w:tc>
                <w:tcPr>
                  <w:tcW w:w="736" w:type="dxa"/>
                  <w:noWrap w:val="0"/>
                  <w:vAlign w:val="center"/>
                </w:tcPr>
                <w:p w14:paraId="7FEC6398">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04FED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686" w:type="dxa"/>
                  <w:noWrap w:val="0"/>
                  <w:vAlign w:val="center"/>
                </w:tcPr>
                <w:p w14:paraId="74CA9D04">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371A4D4B">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贮存设施不应选在江河、湖泊、运河、渠道、水库及其最高水位线以下的滩地和岸坡，以及法律法规规定禁止贮存危险废物的其他地点。</w:t>
                  </w:r>
                </w:p>
              </w:tc>
              <w:tc>
                <w:tcPr>
                  <w:tcW w:w="3391" w:type="dxa"/>
                  <w:noWrap w:val="0"/>
                  <w:vAlign w:val="center"/>
                </w:tcPr>
                <w:p w14:paraId="08AD7DA0">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项目选址不在江河、湖泊、运河、渠道、水库及其最高水位线以下的滩地和岸坡，以及法律法规规定禁止贮存危险废物的其他地点。</w:t>
                  </w:r>
                </w:p>
              </w:tc>
              <w:tc>
                <w:tcPr>
                  <w:tcW w:w="736" w:type="dxa"/>
                  <w:noWrap w:val="0"/>
                  <w:vAlign w:val="center"/>
                </w:tcPr>
                <w:p w14:paraId="312AD8A5">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44938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86" w:type="dxa"/>
                  <w:noWrap w:val="0"/>
                  <w:vAlign w:val="center"/>
                </w:tcPr>
                <w:p w14:paraId="63F5316C">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4</w:t>
                  </w:r>
                </w:p>
              </w:tc>
              <w:tc>
                <w:tcPr>
                  <w:tcW w:w="3502" w:type="dxa"/>
                  <w:noWrap w:val="0"/>
                  <w:vAlign w:val="center"/>
                </w:tcPr>
                <w:p w14:paraId="1E1E5EC3">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贮存设施场址的位置</w:t>
                  </w:r>
                  <w:r>
                    <w:rPr>
                      <w:rFonts w:hint="eastAsia" w:cs="Times New Roman"/>
                      <w:b w:val="0"/>
                      <w:bCs w:val="0"/>
                      <w:i w:val="0"/>
                      <w:iCs w:val="0"/>
                      <w:color w:val="auto"/>
                      <w:sz w:val="21"/>
                      <w:szCs w:val="21"/>
                      <w:lang w:eastAsia="zh-CN"/>
                    </w:rPr>
                    <w:t>以及</w:t>
                  </w:r>
                  <w:r>
                    <w:rPr>
                      <w:rFonts w:hint="default" w:ascii="Times New Roman" w:hAnsi="Times New Roman" w:eastAsia="宋体" w:cs="Times New Roman"/>
                      <w:b w:val="0"/>
                      <w:bCs w:val="0"/>
                      <w:i w:val="0"/>
                      <w:iCs w:val="0"/>
                      <w:color w:val="auto"/>
                      <w:sz w:val="21"/>
                      <w:szCs w:val="21"/>
                    </w:rPr>
                    <w:t>与周围环境敏感目标的距离应依据环境影响评价文件确定。</w:t>
                  </w:r>
                </w:p>
              </w:tc>
              <w:tc>
                <w:tcPr>
                  <w:tcW w:w="3391" w:type="dxa"/>
                  <w:noWrap w:val="0"/>
                  <w:vAlign w:val="center"/>
                </w:tcPr>
                <w:p w14:paraId="5A0A9F61">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项目位于</w:t>
                  </w:r>
                  <w:r>
                    <w:rPr>
                      <w:rFonts w:hint="eastAsia" w:ascii="Times New Roman" w:hAnsi="Times New Roman" w:eastAsia="宋体" w:cs="Times New Roman"/>
                      <w:b w:val="0"/>
                      <w:bCs w:val="0"/>
                      <w:i w:val="0"/>
                      <w:iCs w:val="0"/>
                      <w:color w:val="auto"/>
                      <w:sz w:val="21"/>
                      <w:szCs w:val="21"/>
                      <w:lang w:eastAsia="zh-CN"/>
                    </w:rPr>
                    <w:t>大东镇马棚农场</w:t>
                  </w:r>
                  <w:r>
                    <w:rPr>
                      <w:rFonts w:hint="default" w:ascii="Times New Roman" w:hAnsi="Times New Roman" w:eastAsia="宋体" w:cs="Times New Roman"/>
                      <w:b w:val="0"/>
                      <w:bCs w:val="0"/>
                      <w:i w:val="0"/>
                      <w:iCs w:val="0"/>
                      <w:color w:val="auto"/>
                      <w:sz w:val="21"/>
                      <w:szCs w:val="21"/>
                    </w:rPr>
                    <w:t>，距离最近的敏感目标为</w:t>
                  </w:r>
                  <w:r>
                    <w:rPr>
                      <w:rFonts w:hint="eastAsia" w:ascii="Times New Roman" w:hAnsi="Times New Roman" w:eastAsia="宋体" w:cs="Times New Roman"/>
                      <w:b w:val="0"/>
                      <w:bCs w:val="0"/>
                      <w:i w:val="0"/>
                      <w:iCs w:val="0"/>
                      <w:color w:val="auto"/>
                      <w:sz w:val="21"/>
                      <w:szCs w:val="21"/>
                      <w:lang w:eastAsia="zh-CN"/>
                    </w:rPr>
                    <w:t>厂区西侧</w:t>
                  </w:r>
                  <w:r>
                    <w:rPr>
                      <w:rFonts w:hint="eastAsia" w:ascii="Times New Roman" w:hAnsi="Times New Roman" w:eastAsia="宋体" w:cs="Times New Roman"/>
                      <w:b w:val="0"/>
                      <w:bCs w:val="0"/>
                      <w:i w:val="0"/>
                      <w:iCs w:val="0"/>
                      <w:color w:val="auto"/>
                      <w:sz w:val="21"/>
                      <w:szCs w:val="21"/>
                      <w:lang w:val="en-US" w:eastAsia="zh-CN"/>
                    </w:rPr>
                    <w:t>3</w:t>
                  </w:r>
                  <w:r>
                    <w:rPr>
                      <w:rFonts w:hint="eastAsia" w:cs="Times New Roman"/>
                      <w:b w:val="0"/>
                      <w:bCs w:val="0"/>
                      <w:i w:val="0"/>
                      <w:iCs w:val="0"/>
                      <w:color w:val="auto"/>
                      <w:sz w:val="21"/>
                      <w:szCs w:val="21"/>
                      <w:lang w:val="en-US" w:eastAsia="zh-CN"/>
                    </w:rPr>
                    <w:t>4</w:t>
                  </w:r>
                  <w:r>
                    <w:rPr>
                      <w:rFonts w:hint="eastAsia" w:ascii="Times New Roman" w:hAnsi="Times New Roman" w:eastAsia="宋体" w:cs="Times New Roman"/>
                      <w:b w:val="0"/>
                      <w:bCs w:val="0"/>
                      <w:i w:val="0"/>
                      <w:iCs w:val="0"/>
                      <w:color w:val="auto"/>
                      <w:sz w:val="21"/>
                      <w:szCs w:val="21"/>
                      <w:lang w:val="en-US" w:eastAsia="zh-CN"/>
                    </w:rPr>
                    <w:t>0m</w:t>
                  </w:r>
                  <w:r>
                    <w:rPr>
                      <w:rFonts w:hint="default" w:ascii="Times New Roman" w:hAnsi="Times New Roman" w:eastAsia="宋体" w:cs="Times New Roman"/>
                      <w:b w:val="0"/>
                      <w:bCs w:val="0"/>
                      <w:i w:val="0"/>
                      <w:iCs w:val="0"/>
                      <w:color w:val="auto"/>
                      <w:sz w:val="21"/>
                      <w:szCs w:val="21"/>
                    </w:rPr>
                    <w:t>的</w:t>
                  </w:r>
                  <w:r>
                    <w:rPr>
                      <w:rFonts w:hint="eastAsia" w:ascii="Times New Roman" w:hAnsi="Times New Roman" w:eastAsia="宋体" w:cs="Times New Roman"/>
                      <w:b w:val="0"/>
                      <w:bCs w:val="0"/>
                      <w:i w:val="0"/>
                      <w:iCs w:val="0"/>
                      <w:color w:val="auto"/>
                      <w:sz w:val="21"/>
                      <w:szCs w:val="21"/>
                      <w:lang w:eastAsia="zh-CN"/>
                    </w:rPr>
                    <w:t>马棚庄</w:t>
                  </w:r>
                  <w:r>
                    <w:rPr>
                      <w:rFonts w:hint="default" w:ascii="Times New Roman" w:hAnsi="Times New Roman" w:eastAsia="宋体" w:cs="Times New Roman"/>
                      <w:b w:val="0"/>
                      <w:bCs w:val="0"/>
                      <w:i w:val="0"/>
                      <w:iCs w:val="0"/>
                      <w:color w:val="auto"/>
                      <w:sz w:val="21"/>
                      <w:szCs w:val="21"/>
                    </w:rPr>
                    <w:t>。</w:t>
                  </w:r>
                </w:p>
              </w:tc>
              <w:tc>
                <w:tcPr>
                  <w:tcW w:w="736" w:type="dxa"/>
                  <w:noWrap w:val="0"/>
                  <w:vAlign w:val="center"/>
                </w:tcPr>
                <w:p w14:paraId="28EAF2A5">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07C63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315" w:type="dxa"/>
                  <w:gridSpan w:val="4"/>
                  <w:noWrap w:val="0"/>
                  <w:vAlign w:val="center"/>
                </w:tcPr>
                <w:p w14:paraId="75D2CFA9">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kern w:val="0"/>
                      <w:sz w:val="21"/>
                      <w:szCs w:val="21"/>
                    </w:rPr>
                    <w:t>贮存设施污染控制要求</w:t>
                  </w:r>
                </w:p>
              </w:tc>
            </w:tr>
            <w:tr w14:paraId="5B907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315" w:type="dxa"/>
                  <w:gridSpan w:val="4"/>
                  <w:noWrap w:val="0"/>
                  <w:vAlign w:val="center"/>
                </w:tcPr>
                <w:p w14:paraId="4771A4BD">
                  <w:pPr>
                    <w:spacing w:line="240" w:lineRule="atLeast"/>
                    <w:jc w:val="center"/>
                    <w:rPr>
                      <w:rFonts w:hint="default" w:ascii="Times New Roman" w:hAnsi="Times New Roman" w:eastAsia="宋体" w:cs="Times New Roman"/>
                      <w:b w:val="0"/>
                      <w:bCs w:val="0"/>
                      <w:i w:val="0"/>
                      <w:iCs w:val="0"/>
                      <w:color w:val="auto"/>
                      <w:kern w:val="0"/>
                      <w:sz w:val="21"/>
                      <w:szCs w:val="21"/>
                    </w:rPr>
                  </w:pPr>
                  <w:r>
                    <w:rPr>
                      <w:rFonts w:hint="default" w:ascii="Times New Roman" w:hAnsi="Times New Roman" w:eastAsia="宋体" w:cs="Times New Roman"/>
                      <w:b w:val="0"/>
                      <w:bCs w:val="0"/>
                      <w:i w:val="0"/>
                      <w:iCs w:val="0"/>
                      <w:color w:val="auto"/>
                      <w:kern w:val="0"/>
                      <w:sz w:val="21"/>
                      <w:szCs w:val="21"/>
                    </w:rPr>
                    <w:t>（一）一般要求</w:t>
                  </w:r>
                </w:p>
              </w:tc>
            </w:tr>
            <w:tr w14:paraId="38696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686" w:type="dxa"/>
                  <w:noWrap w:val="0"/>
                  <w:vAlign w:val="center"/>
                </w:tcPr>
                <w:p w14:paraId="52B2043A">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79E4B818">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贮存设施应根据危险废物的形态、物理化学性质、包装形式和污染物迁移途径，采取必要的防风、防晒、防雨、防漏、防渗、防腐以及其他环境污染防治措施，不应露天堆放危险废物。</w:t>
                  </w:r>
                </w:p>
              </w:tc>
              <w:tc>
                <w:tcPr>
                  <w:tcW w:w="3391" w:type="dxa"/>
                  <w:noWrap w:val="0"/>
                  <w:vAlign w:val="center"/>
                </w:tcPr>
                <w:p w14:paraId="1A6AD8E3">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本项目贮存的是生活垃圾焚烧的飞灰，为固态，采用吨袋包装，贮存在封闭的库房内，不露天堆放。</w:t>
                  </w:r>
                </w:p>
              </w:tc>
              <w:tc>
                <w:tcPr>
                  <w:tcW w:w="736" w:type="dxa"/>
                  <w:noWrap w:val="0"/>
                  <w:vAlign w:val="center"/>
                </w:tcPr>
                <w:p w14:paraId="45CEE0B2">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609CE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86" w:type="dxa"/>
                  <w:noWrap w:val="0"/>
                  <w:vAlign w:val="center"/>
                </w:tcPr>
                <w:p w14:paraId="1B904A8B">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0AD7E45A">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贮存设施应根据危险废物的类别、数量、形态、物理化学性质和污染防治等要求设置必要的贮存分区，避免不相容的危险废物接触、混合。</w:t>
                  </w:r>
                </w:p>
              </w:tc>
              <w:tc>
                <w:tcPr>
                  <w:tcW w:w="3391" w:type="dxa"/>
                  <w:noWrap w:val="0"/>
                  <w:vAlign w:val="center"/>
                </w:tcPr>
                <w:p w14:paraId="22276E95">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本项目仅贮存</w:t>
                  </w:r>
                  <w:r>
                    <w:rPr>
                      <w:rFonts w:hint="eastAsia" w:cs="Times New Roman"/>
                      <w:b w:val="0"/>
                      <w:bCs w:val="0"/>
                      <w:i w:val="0"/>
                      <w:iCs w:val="0"/>
                      <w:color w:val="auto"/>
                      <w:sz w:val="21"/>
                      <w:szCs w:val="21"/>
                      <w:lang w:eastAsia="zh-CN"/>
                    </w:rPr>
                    <w:t>飞灰</w:t>
                  </w:r>
                  <w:r>
                    <w:rPr>
                      <w:rFonts w:hint="default" w:ascii="Times New Roman" w:hAnsi="Times New Roman" w:eastAsia="宋体" w:cs="Times New Roman"/>
                      <w:b w:val="0"/>
                      <w:bCs w:val="0"/>
                      <w:i w:val="0"/>
                      <w:iCs w:val="0"/>
                      <w:color w:val="auto"/>
                      <w:sz w:val="21"/>
                      <w:szCs w:val="21"/>
                    </w:rPr>
                    <w:t>，不需要进行分区。</w:t>
                  </w:r>
                </w:p>
              </w:tc>
              <w:tc>
                <w:tcPr>
                  <w:tcW w:w="736" w:type="dxa"/>
                  <w:noWrap w:val="0"/>
                  <w:vAlign w:val="center"/>
                </w:tcPr>
                <w:p w14:paraId="41B1BA8F">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17B38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86" w:type="dxa"/>
                  <w:noWrap w:val="0"/>
                  <w:vAlign w:val="center"/>
                </w:tcPr>
                <w:p w14:paraId="4CF15DE5">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26B4EE26">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贮存设施或贮存分区内地面、墙面裙脚、堵截泄漏的围堰、接触危险废物的隔板和墙体等应采用坚固的材料建造，表面无裂缝。</w:t>
                  </w:r>
                </w:p>
              </w:tc>
              <w:tc>
                <w:tcPr>
                  <w:tcW w:w="3391" w:type="dxa"/>
                  <w:noWrap w:val="0"/>
                  <w:vAlign w:val="center"/>
                </w:tcPr>
                <w:p w14:paraId="7DE11379">
                  <w:pPr>
                    <w:spacing w:line="240" w:lineRule="atLeast"/>
                    <w:rPr>
                      <w:rFonts w:hint="default" w:ascii="Times New Roman" w:hAnsi="Times New Roman" w:eastAsia="宋体" w:cs="Times New Roman"/>
                      <w:b w:val="0"/>
                      <w:bCs w:val="0"/>
                      <w:i w:val="0"/>
                      <w:iCs w:val="0"/>
                      <w:color w:val="auto"/>
                      <w:sz w:val="21"/>
                      <w:szCs w:val="21"/>
                    </w:rPr>
                  </w:pPr>
                  <w:r>
                    <w:rPr>
                      <w:rFonts w:hint="eastAsia"/>
                      <w:color w:val="auto"/>
                    </w:rPr>
                    <w:t>暂存库采用水泥地面，地面表面采用HDPE膜，地面设有导流沟和集水池。</w:t>
                  </w:r>
                </w:p>
              </w:tc>
              <w:tc>
                <w:tcPr>
                  <w:tcW w:w="736" w:type="dxa"/>
                  <w:noWrap w:val="0"/>
                  <w:vAlign w:val="center"/>
                </w:tcPr>
                <w:p w14:paraId="150B16A4">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40C22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86" w:type="dxa"/>
                  <w:noWrap w:val="0"/>
                  <w:vAlign w:val="center"/>
                </w:tcPr>
                <w:p w14:paraId="3021285D">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4</w:t>
                  </w:r>
                </w:p>
              </w:tc>
              <w:tc>
                <w:tcPr>
                  <w:tcW w:w="3502" w:type="dxa"/>
                  <w:noWrap w:val="0"/>
                  <w:vAlign w:val="center"/>
                </w:tcPr>
                <w:p w14:paraId="2A660CC8">
                  <w:pPr>
                    <w:spacing w:line="24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lang w:eastAsia="zh-CN"/>
                    </w:rPr>
                    <w:t>—</w:t>
                  </w:r>
                  <w:r>
                    <w:rPr>
                      <w:rFonts w:hint="default" w:ascii="Times New Roman" w:hAnsi="Times New Roman" w:eastAsia="宋体" w:cs="Times New Roman"/>
                      <w:color w:val="auto"/>
                    </w:rPr>
                    <w:t>7cm/s），或至少2mm厚高密度聚乙烯膜等人工防渗材料（渗透系数不大于10</w:t>
                  </w:r>
                  <w:r>
                    <w:rPr>
                      <w:rFonts w:hint="eastAsia" w:cs="Times New Roman"/>
                      <w:color w:val="auto"/>
                      <w:lang w:eastAsia="zh-CN"/>
                    </w:rPr>
                    <w:t>—</w:t>
                  </w:r>
                  <w:r>
                    <w:rPr>
                      <w:rFonts w:hint="default" w:ascii="Times New Roman" w:hAnsi="Times New Roman" w:eastAsia="宋体" w:cs="Times New Roman"/>
                      <w:color w:val="auto"/>
                    </w:rPr>
                    <w:t>10cm/s），或其他防渗性能等效的材料。</w:t>
                  </w:r>
                </w:p>
              </w:tc>
              <w:tc>
                <w:tcPr>
                  <w:tcW w:w="3391" w:type="dxa"/>
                  <w:noWrap w:val="0"/>
                  <w:vAlign w:val="center"/>
                </w:tcPr>
                <w:p w14:paraId="276795C4">
                  <w:pPr>
                    <w:spacing w:line="24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①在暂存库地面和墙壁四周铺设一层2mm厚高密度聚乙烯膜，加强地面和墙裙防渗，飞灰稳定化物堆放于HDPE膜之上，HDPE膜与飞灰稳定化物及其包装吨袋相容</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②对HDPE膜采取防护措施，避免飞灰稳定化物出入库对HDPE膜造成破损</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③墙裙HDPE膜的铺设高度≥1.5m，不低于飞灰稳定化物堆放高度1/5。</w:t>
                  </w:r>
                </w:p>
              </w:tc>
              <w:tc>
                <w:tcPr>
                  <w:tcW w:w="736" w:type="dxa"/>
                  <w:noWrap w:val="0"/>
                  <w:vAlign w:val="center"/>
                </w:tcPr>
                <w:p w14:paraId="249DC2AB">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57A60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686" w:type="dxa"/>
                  <w:noWrap w:val="0"/>
                  <w:vAlign w:val="center"/>
                </w:tcPr>
                <w:p w14:paraId="33938EAC">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5</w:t>
                  </w:r>
                </w:p>
              </w:tc>
              <w:tc>
                <w:tcPr>
                  <w:tcW w:w="3502" w:type="dxa"/>
                  <w:noWrap w:val="0"/>
                  <w:vAlign w:val="center"/>
                </w:tcPr>
                <w:p w14:paraId="0D8F09D9">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3391" w:type="dxa"/>
                  <w:noWrap w:val="0"/>
                  <w:vAlign w:val="center"/>
                </w:tcPr>
                <w:p w14:paraId="3EC1708D">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本项目贮存库采用相同的防渗、防腐工艺。</w:t>
                  </w:r>
                </w:p>
              </w:tc>
              <w:tc>
                <w:tcPr>
                  <w:tcW w:w="736" w:type="dxa"/>
                  <w:noWrap w:val="0"/>
                  <w:vAlign w:val="center"/>
                </w:tcPr>
                <w:p w14:paraId="329F4EA5">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4C63A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86" w:type="dxa"/>
                  <w:noWrap w:val="0"/>
                  <w:vAlign w:val="center"/>
                </w:tcPr>
                <w:p w14:paraId="7AE0379B">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6</w:t>
                  </w:r>
                </w:p>
              </w:tc>
              <w:tc>
                <w:tcPr>
                  <w:tcW w:w="3502" w:type="dxa"/>
                  <w:noWrap w:val="0"/>
                  <w:vAlign w:val="center"/>
                </w:tcPr>
                <w:p w14:paraId="146D4F8F">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贮存设施应采取技术和管理措施防止无关人员进入。</w:t>
                  </w:r>
                </w:p>
              </w:tc>
              <w:tc>
                <w:tcPr>
                  <w:tcW w:w="3391" w:type="dxa"/>
                  <w:noWrap w:val="0"/>
                  <w:vAlign w:val="center"/>
                </w:tcPr>
                <w:p w14:paraId="13AB2B5D">
                  <w:pPr>
                    <w:spacing w:line="240" w:lineRule="atLeas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贮存库平时上锁，只有飞灰转运时开启，不允许无关人员进入。</w:t>
                  </w:r>
                </w:p>
              </w:tc>
              <w:tc>
                <w:tcPr>
                  <w:tcW w:w="736" w:type="dxa"/>
                  <w:noWrap w:val="0"/>
                  <w:vAlign w:val="center"/>
                </w:tcPr>
                <w:p w14:paraId="2A12CA17">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44FEB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15" w:type="dxa"/>
                  <w:gridSpan w:val="4"/>
                  <w:noWrap w:val="0"/>
                  <w:vAlign w:val="center"/>
                </w:tcPr>
                <w:p w14:paraId="4621902A">
                  <w:pPr>
                    <w:spacing w:line="240" w:lineRule="atLeast"/>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（二）贮存库</w:t>
                  </w:r>
                </w:p>
              </w:tc>
            </w:tr>
            <w:tr w14:paraId="2FBE5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32BC1F19">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7D48A14D">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贮存库内不同贮存分区之间应采取隔离措施。隔离措施可根据危险废物特性采用过道、隔板或隔墙等方式。</w:t>
                  </w:r>
                </w:p>
              </w:tc>
              <w:tc>
                <w:tcPr>
                  <w:tcW w:w="3391" w:type="dxa"/>
                  <w:noWrap w:val="0"/>
                  <w:vAlign w:val="center"/>
                </w:tcPr>
                <w:p w14:paraId="51D5579E">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贮存库内只有</w:t>
                  </w:r>
                  <w:r>
                    <w:rPr>
                      <w:rFonts w:hint="eastAsia" w:cs="Times New Roman"/>
                      <w:b w:val="0"/>
                      <w:bCs w:val="0"/>
                      <w:i w:val="0"/>
                      <w:iCs w:val="0"/>
                      <w:color w:val="auto"/>
                      <w:sz w:val="21"/>
                      <w:szCs w:val="21"/>
                      <w:lang w:eastAsia="zh-CN"/>
                    </w:rPr>
                    <w:t>飞灰暂存</w:t>
                  </w:r>
                  <w:r>
                    <w:rPr>
                      <w:rFonts w:hint="default" w:ascii="Times New Roman" w:hAnsi="Times New Roman" w:eastAsia="宋体" w:cs="Times New Roman"/>
                      <w:b w:val="0"/>
                      <w:bCs w:val="0"/>
                      <w:i w:val="0"/>
                      <w:iCs w:val="0"/>
                      <w:color w:val="auto"/>
                      <w:sz w:val="21"/>
                      <w:szCs w:val="21"/>
                    </w:rPr>
                    <w:t>，不需要分区。</w:t>
                  </w:r>
                </w:p>
              </w:tc>
              <w:tc>
                <w:tcPr>
                  <w:tcW w:w="736" w:type="dxa"/>
                  <w:noWrap w:val="0"/>
                  <w:vAlign w:val="center"/>
                </w:tcPr>
                <w:p w14:paraId="200D2F0D">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6C9D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058B0626">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3EF3E8B0">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3391" w:type="dxa"/>
                  <w:noWrap w:val="0"/>
                  <w:vAlign w:val="center"/>
                </w:tcPr>
                <w:p w14:paraId="13AF2986">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焚烧飞灰稳定</w:t>
                  </w:r>
                  <w:r>
                    <w:rPr>
                      <w:rFonts w:hint="eastAsia" w:cs="Times New Roman"/>
                      <w:b w:val="0"/>
                      <w:bCs w:val="0"/>
                      <w:i w:val="0"/>
                      <w:iCs w:val="0"/>
                      <w:color w:val="auto"/>
                      <w:sz w:val="21"/>
                      <w:szCs w:val="21"/>
                      <w:lang w:eastAsia="zh-CN"/>
                    </w:rPr>
                    <w:t>固</w:t>
                  </w:r>
                  <w:r>
                    <w:rPr>
                      <w:rFonts w:hint="default" w:ascii="Times New Roman" w:hAnsi="Times New Roman" w:eastAsia="宋体" w:cs="Times New Roman"/>
                      <w:b w:val="0"/>
                      <w:bCs w:val="0"/>
                      <w:i w:val="0"/>
                      <w:iCs w:val="0"/>
                      <w:color w:val="auto"/>
                      <w:sz w:val="21"/>
                      <w:szCs w:val="21"/>
                    </w:rPr>
                    <w:t>化后含水率&lt;30%，呈灰色粉状固体，且密封包装于防水吨袋内</w:t>
                  </w:r>
                  <w:r>
                    <w:rPr>
                      <w:rFonts w:hint="eastAsia" w:cs="Times New Roman"/>
                      <w:b w:val="0"/>
                      <w:bCs w:val="0"/>
                      <w:i w:val="0"/>
                      <w:iCs w:val="0"/>
                      <w:color w:val="auto"/>
                      <w:sz w:val="21"/>
                      <w:szCs w:val="21"/>
                      <w:lang w:eastAsia="zh-CN"/>
                    </w:rPr>
                    <w:t>，不涉及液体危险固废，且飞灰暂存间有收集池</w:t>
                  </w:r>
                  <w:r>
                    <w:rPr>
                      <w:rFonts w:hint="default" w:ascii="Times New Roman" w:hAnsi="Times New Roman" w:eastAsia="宋体" w:cs="Times New Roman"/>
                      <w:b w:val="0"/>
                      <w:bCs w:val="0"/>
                      <w:i w:val="0"/>
                      <w:iCs w:val="0"/>
                      <w:color w:val="auto"/>
                      <w:sz w:val="21"/>
                      <w:szCs w:val="21"/>
                    </w:rPr>
                    <w:t>。</w:t>
                  </w:r>
                </w:p>
              </w:tc>
              <w:tc>
                <w:tcPr>
                  <w:tcW w:w="736" w:type="dxa"/>
                  <w:noWrap w:val="0"/>
                  <w:vAlign w:val="center"/>
                </w:tcPr>
                <w:p w14:paraId="7E5DAFAD">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04BF0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86" w:type="dxa"/>
                  <w:noWrap w:val="0"/>
                  <w:vAlign w:val="center"/>
                </w:tcPr>
                <w:p w14:paraId="57837190">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23F1A9BE">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贮存易产生粉尘、VOCs、酸雾、有毒有害大气污染物和刺激性气味气体的危险废物贮存库，应设置气体收集装置和气体净化设施；气体净化设施的排气筒高度应符合GB 16297要求。</w:t>
                  </w:r>
                </w:p>
              </w:tc>
              <w:tc>
                <w:tcPr>
                  <w:tcW w:w="3391" w:type="dxa"/>
                  <w:noWrap w:val="0"/>
                  <w:vAlign w:val="center"/>
                </w:tcPr>
                <w:p w14:paraId="36B1A93C">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稳定</w:t>
                  </w:r>
                  <w:r>
                    <w:rPr>
                      <w:rFonts w:hint="eastAsia" w:cs="Times New Roman"/>
                      <w:b w:val="0"/>
                      <w:bCs w:val="0"/>
                      <w:i w:val="0"/>
                      <w:iCs w:val="0"/>
                      <w:color w:val="auto"/>
                      <w:sz w:val="21"/>
                      <w:szCs w:val="21"/>
                      <w:lang w:eastAsia="zh-CN"/>
                    </w:rPr>
                    <w:t>固</w:t>
                  </w:r>
                  <w:r>
                    <w:rPr>
                      <w:rFonts w:hint="default" w:ascii="Times New Roman" w:hAnsi="Times New Roman" w:eastAsia="宋体" w:cs="Times New Roman"/>
                      <w:b w:val="0"/>
                      <w:bCs w:val="0"/>
                      <w:i w:val="0"/>
                      <w:iCs w:val="0"/>
                      <w:color w:val="auto"/>
                      <w:sz w:val="21"/>
                      <w:szCs w:val="21"/>
                    </w:rPr>
                    <w:t>化后飞灰包装于密封防水吨袋中</w:t>
                  </w:r>
                  <w:r>
                    <w:rPr>
                      <w:rFonts w:hint="eastAsia" w:cs="Times New Roman"/>
                      <w:b w:val="0"/>
                      <w:bCs w:val="0"/>
                      <w:i w:val="0"/>
                      <w:iCs w:val="0"/>
                      <w:color w:val="auto"/>
                      <w:sz w:val="21"/>
                      <w:szCs w:val="21"/>
                      <w:lang w:eastAsia="zh-CN"/>
                    </w:rPr>
                    <w:t>，有废气氨产生，飞灰暂存库依托</w:t>
                  </w:r>
                  <w:r>
                    <w:rPr>
                      <w:rFonts w:hint="eastAsia" w:cs="Times New Roman"/>
                      <w:b w:val="0"/>
                      <w:bCs w:val="0"/>
                      <w:i w:val="0"/>
                      <w:iCs w:val="0"/>
                      <w:color w:val="auto"/>
                      <w:sz w:val="21"/>
                      <w:szCs w:val="21"/>
                      <w:lang w:val="en-US" w:eastAsia="zh-CN"/>
                    </w:rPr>
                    <w:t>1#飞灰库</w:t>
                  </w:r>
                  <w:r>
                    <w:rPr>
                      <w:rFonts w:hint="eastAsia" w:cs="Times New Roman"/>
                      <w:b w:val="0"/>
                      <w:bCs w:val="0"/>
                      <w:i w:val="0"/>
                      <w:iCs w:val="0"/>
                      <w:color w:val="auto"/>
                      <w:sz w:val="21"/>
                      <w:szCs w:val="21"/>
                      <w:lang w:eastAsia="zh-CN"/>
                    </w:rPr>
                    <w:t>设置除</w:t>
                  </w:r>
                  <w:r>
                    <w:rPr>
                      <w:rFonts w:hint="eastAsia" w:ascii="Times New Roman" w:hAnsi="Times New Roman" w:eastAsia="宋体" w:cs="Times New Roman"/>
                      <w:color w:val="auto"/>
                      <w:lang w:eastAsia="zh-CN"/>
                    </w:rPr>
                    <w:t>氨系统</w:t>
                  </w:r>
                  <w:r>
                    <w:rPr>
                      <w:rFonts w:hint="eastAsia" w:ascii="Times New Roman" w:hAnsi="Times New Roman" w:eastAsia="宋体" w:cs="Times New Roman"/>
                      <w:color w:val="auto"/>
                    </w:rPr>
                    <w:t>喷淋塔</w:t>
                  </w:r>
                  <w:r>
                    <w:rPr>
                      <w:rFonts w:hint="eastAsia" w:ascii="Times New Roman" w:hAnsi="Times New Roman" w:cs="Times New Roman"/>
                      <w:color w:val="auto"/>
                      <w:lang w:eastAsia="zh-CN"/>
                    </w:rPr>
                    <w:t>处理</w:t>
                  </w:r>
                  <w:r>
                    <w:rPr>
                      <w:rFonts w:hint="eastAsia" w:cs="Times New Roman"/>
                      <w:color w:val="auto"/>
                      <w:lang w:eastAsia="zh-CN"/>
                    </w:rPr>
                    <w:t>后经</w:t>
                  </w:r>
                  <w:r>
                    <w:rPr>
                      <w:rFonts w:hint="eastAsia" w:cs="Times New Roman"/>
                      <w:color w:val="auto"/>
                      <w:lang w:val="en-US" w:eastAsia="zh-CN"/>
                    </w:rPr>
                    <w:t>DA003排放，废气净化设施及排气筒高度符合</w:t>
                  </w:r>
                  <w:r>
                    <w:rPr>
                      <w:rFonts w:hint="default" w:ascii="Times New Roman" w:hAnsi="Times New Roman" w:eastAsia="宋体" w:cs="Times New Roman"/>
                      <w:b w:val="0"/>
                      <w:bCs w:val="0"/>
                      <w:i w:val="0"/>
                      <w:iCs w:val="0"/>
                      <w:color w:val="auto"/>
                      <w:sz w:val="21"/>
                      <w:szCs w:val="21"/>
                    </w:rPr>
                    <w:t>GB 16297要求。</w:t>
                  </w:r>
                </w:p>
              </w:tc>
              <w:tc>
                <w:tcPr>
                  <w:tcW w:w="736" w:type="dxa"/>
                  <w:noWrap w:val="0"/>
                  <w:vAlign w:val="center"/>
                </w:tcPr>
                <w:p w14:paraId="44E45803">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不违背</w:t>
                  </w:r>
                </w:p>
              </w:tc>
            </w:tr>
            <w:tr w14:paraId="25998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15" w:type="dxa"/>
                  <w:gridSpan w:val="4"/>
                  <w:noWrap w:val="0"/>
                  <w:vAlign w:val="center"/>
                </w:tcPr>
                <w:p w14:paraId="586CF02E">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kern w:val="0"/>
                      <w:sz w:val="21"/>
                      <w:szCs w:val="21"/>
                    </w:rPr>
                    <w:t>贮存过程污染控制要求</w:t>
                  </w:r>
                </w:p>
              </w:tc>
            </w:tr>
            <w:tr w14:paraId="436A9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315" w:type="dxa"/>
                  <w:gridSpan w:val="4"/>
                  <w:noWrap w:val="0"/>
                  <w:vAlign w:val="center"/>
                </w:tcPr>
                <w:p w14:paraId="71B76DA8">
                  <w:pPr>
                    <w:jc w:val="center"/>
                    <w:rPr>
                      <w:rFonts w:hint="default" w:ascii="Times New Roman" w:hAnsi="Times New Roman" w:eastAsia="宋体" w:cs="Times New Roman"/>
                      <w:b w:val="0"/>
                      <w:bCs w:val="0"/>
                      <w:i w:val="0"/>
                      <w:iCs w:val="0"/>
                      <w:color w:val="auto"/>
                      <w:kern w:val="0"/>
                      <w:sz w:val="21"/>
                      <w:szCs w:val="21"/>
                    </w:rPr>
                  </w:pPr>
                  <w:r>
                    <w:rPr>
                      <w:rFonts w:hint="default" w:ascii="Times New Roman" w:hAnsi="Times New Roman" w:eastAsia="宋体" w:cs="Times New Roman"/>
                      <w:b w:val="0"/>
                      <w:bCs w:val="0"/>
                      <w:i w:val="0"/>
                      <w:iCs w:val="0"/>
                      <w:color w:val="auto"/>
                      <w:kern w:val="0"/>
                      <w:sz w:val="21"/>
                      <w:szCs w:val="21"/>
                    </w:rPr>
                    <w:t>（一）一般要求</w:t>
                  </w:r>
                </w:p>
              </w:tc>
            </w:tr>
            <w:tr w14:paraId="694C7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266A8C38">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5F8475D4">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在常温常压下不易水解、不易挥发的固态危险废物可分类堆放贮存，其他固态危险废物应装入容器或包装物内贮存。</w:t>
                  </w:r>
                </w:p>
              </w:tc>
              <w:tc>
                <w:tcPr>
                  <w:tcW w:w="3391" w:type="dxa"/>
                  <w:noWrap w:val="0"/>
                  <w:vAlign w:val="center"/>
                </w:tcPr>
                <w:p w14:paraId="04A30750">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稳定化后飞灰不易水解、不易挥发，包装于密封吨袋中，吨袋尺寸为1m×1m×1m，拟堆放层数为</w:t>
                  </w:r>
                  <w:r>
                    <w:rPr>
                      <w:rFonts w:hint="eastAsia" w:cs="Times New Roman"/>
                      <w:b w:val="0"/>
                      <w:bCs w:val="0"/>
                      <w:i w:val="0"/>
                      <w:iCs w:val="0"/>
                      <w:color w:val="auto"/>
                      <w:sz w:val="21"/>
                      <w:szCs w:val="21"/>
                      <w:lang w:val="en-US" w:eastAsia="zh-CN"/>
                    </w:rPr>
                    <w:t>3</w:t>
                  </w:r>
                  <w:r>
                    <w:rPr>
                      <w:rFonts w:hint="default" w:ascii="Times New Roman" w:hAnsi="Times New Roman" w:eastAsia="宋体" w:cs="Times New Roman"/>
                      <w:b w:val="0"/>
                      <w:bCs w:val="0"/>
                      <w:i w:val="0"/>
                      <w:iCs w:val="0"/>
                      <w:color w:val="auto"/>
                      <w:sz w:val="21"/>
                      <w:szCs w:val="21"/>
                    </w:rPr>
                    <w:t>层。</w:t>
                  </w:r>
                </w:p>
              </w:tc>
              <w:tc>
                <w:tcPr>
                  <w:tcW w:w="736" w:type="dxa"/>
                  <w:noWrap w:val="0"/>
                  <w:vAlign w:val="center"/>
                </w:tcPr>
                <w:p w14:paraId="74403CE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07427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86" w:type="dxa"/>
                  <w:noWrap w:val="0"/>
                  <w:vAlign w:val="center"/>
                </w:tcPr>
                <w:p w14:paraId="68FD5B9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5476DCC1">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液态危险废物应装入容器内贮存，或直接采用贮存池、贮存罐区贮存。</w:t>
                  </w:r>
                </w:p>
              </w:tc>
              <w:tc>
                <w:tcPr>
                  <w:tcW w:w="3391" w:type="dxa"/>
                  <w:noWrap w:val="0"/>
                  <w:vAlign w:val="center"/>
                </w:tcPr>
                <w:p w14:paraId="38797A87">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生活垃圾飞灰呈灰色粉状固体。</w:t>
                  </w:r>
                </w:p>
              </w:tc>
              <w:tc>
                <w:tcPr>
                  <w:tcW w:w="736" w:type="dxa"/>
                  <w:noWrap w:val="0"/>
                  <w:vAlign w:val="center"/>
                </w:tcPr>
                <w:p w14:paraId="4B965B0F">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不违背</w:t>
                  </w:r>
                </w:p>
              </w:tc>
            </w:tr>
            <w:tr w14:paraId="1513B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86" w:type="dxa"/>
                  <w:noWrap w:val="0"/>
                  <w:vAlign w:val="center"/>
                </w:tcPr>
                <w:p w14:paraId="16A11E9C">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49A20910">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半固态危险废物应装入容器或包装袋内贮存，或直接采用贮存池贮存。</w:t>
                  </w:r>
                </w:p>
              </w:tc>
              <w:tc>
                <w:tcPr>
                  <w:tcW w:w="3391" w:type="dxa"/>
                  <w:noWrap w:val="0"/>
                  <w:vAlign w:val="center"/>
                </w:tcPr>
                <w:p w14:paraId="7DD98CE3">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生活垃圾飞灰呈灰色粉状固体。</w:t>
                  </w:r>
                </w:p>
              </w:tc>
              <w:tc>
                <w:tcPr>
                  <w:tcW w:w="736" w:type="dxa"/>
                  <w:noWrap w:val="0"/>
                  <w:vAlign w:val="center"/>
                </w:tcPr>
                <w:p w14:paraId="57975F0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不违背</w:t>
                  </w:r>
                </w:p>
              </w:tc>
            </w:tr>
            <w:tr w14:paraId="259D9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86" w:type="dxa"/>
                  <w:noWrap w:val="0"/>
                  <w:vAlign w:val="center"/>
                </w:tcPr>
                <w:p w14:paraId="6E268835">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4</w:t>
                  </w:r>
                </w:p>
              </w:tc>
              <w:tc>
                <w:tcPr>
                  <w:tcW w:w="3502" w:type="dxa"/>
                  <w:noWrap w:val="0"/>
                  <w:vAlign w:val="center"/>
                </w:tcPr>
                <w:p w14:paraId="4B20EBA8">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具有热塑性的危险废物应装入容器或包装袋内进行贮存。</w:t>
                  </w:r>
                </w:p>
              </w:tc>
              <w:tc>
                <w:tcPr>
                  <w:tcW w:w="3391" w:type="dxa"/>
                  <w:noWrap w:val="0"/>
                  <w:vAlign w:val="center"/>
                </w:tcPr>
                <w:p w14:paraId="45EDC035">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生活垃圾飞灰不具有热塑性。</w:t>
                  </w:r>
                </w:p>
              </w:tc>
              <w:tc>
                <w:tcPr>
                  <w:tcW w:w="736" w:type="dxa"/>
                  <w:noWrap w:val="0"/>
                  <w:vAlign w:val="center"/>
                </w:tcPr>
                <w:p w14:paraId="157D1AB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73348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5E49689D">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5</w:t>
                  </w:r>
                </w:p>
              </w:tc>
              <w:tc>
                <w:tcPr>
                  <w:tcW w:w="3502" w:type="dxa"/>
                  <w:noWrap w:val="0"/>
                  <w:vAlign w:val="center"/>
                </w:tcPr>
                <w:p w14:paraId="3D316880">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易产生粉尘、VOCs、酸雾、有毒有害大气污染物和刺激性气味气体的危险废物应装入闭口容器或包装物内贮存。</w:t>
                  </w:r>
                </w:p>
              </w:tc>
              <w:tc>
                <w:tcPr>
                  <w:tcW w:w="3391" w:type="dxa"/>
                  <w:noWrap w:val="0"/>
                  <w:vAlign w:val="center"/>
                </w:tcPr>
                <w:p w14:paraId="0C5D99B2">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稳定化后飞灰包装于密封吨袋中，</w:t>
                  </w:r>
                  <w:r>
                    <w:rPr>
                      <w:rFonts w:hint="eastAsia" w:cs="Times New Roman"/>
                      <w:b w:val="0"/>
                      <w:bCs w:val="0"/>
                      <w:i w:val="0"/>
                      <w:iCs w:val="0"/>
                      <w:color w:val="auto"/>
                      <w:sz w:val="21"/>
                      <w:szCs w:val="21"/>
                      <w:lang w:eastAsia="zh-CN"/>
                    </w:rPr>
                    <w:t>有废气氨产生，飞灰暂存库依托</w:t>
                  </w:r>
                  <w:r>
                    <w:rPr>
                      <w:rFonts w:hint="eastAsia" w:cs="Times New Roman"/>
                      <w:b w:val="0"/>
                      <w:bCs w:val="0"/>
                      <w:i w:val="0"/>
                      <w:iCs w:val="0"/>
                      <w:color w:val="auto"/>
                      <w:sz w:val="21"/>
                      <w:szCs w:val="21"/>
                      <w:lang w:val="en-US" w:eastAsia="zh-CN"/>
                    </w:rPr>
                    <w:t>1#飞灰库</w:t>
                  </w:r>
                  <w:r>
                    <w:rPr>
                      <w:rFonts w:hint="eastAsia" w:cs="Times New Roman"/>
                      <w:b w:val="0"/>
                      <w:bCs w:val="0"/>
                      <w:i w:val="0"/>
                      <w:iCs w:val="0"/>
                      <w:color w:val="auto"/>
                      <w:sz w:val="21"/>
                      <w:szCs w:val="21"/>
                      <w:lang w:eastAsia="zh-CN"/>
                    </w:rPr>
                    <w:t>设置</w:t>
                  </w:r>
                  <w:r>
                    <w:rPr>
                      <w:rFonts w:hint="eastAsia" w:ascii="Times New Roman" w:hAnsi="Times New Roman" w:eastAsia="宋体" w:cs="Times New Roman"/>
                      <w:color w:val="auto"/>
                      <w:lang w:eastAsia="zh-CN"/>
                    </w:rPr>
                    <w:t>氨系统</w:t>
                  </w:r>
                  <w:r>
                    <w:rPr>
                      <w:rFonts w:hint="eastAsia" w:ascii="Times New Roman" w:hAnsi="Times New Roman" w:eastAsia="宋体" w:cs="Times New Roman"/>
                      <w:color w:val="auto"/>
                    </w:rPr>
                    <w:t>喷淋塔</w:t>
                  </w:r>
                  <w:r>
                    <w:rPr>
                      <w:rFonts w:hint="eastAsia" w:ascii="Times New Roman" w:hAnsi="Times New Roman" w:cs="Times New Roman"/>
                      <w:color w:val="auto"/>
                      <w:lang w:eastAsia="zh-CN"/>
                    </w:rPr>
                    <w:t>处理</w:t>
                  </w:r>
                  <w:r>
                    <w:rPr>
                      <w:rFonts w:hint="eastAsia" w:cs="Times New Roman"/>
                      <w:color w:val="auto"/>
                      <w:lang w:eastAsia="zh-CN"/>
                    </w:rPr>
                    <w:t>后经</w:t>
                  </w:r>
                  <w:r>
                    <w:rPr>
                      <w:rFonts w:hint="eastAsia" w:cs="Times New Roman"/>
                      <w:color w:val="auto"/>
                      <w:lang w:val="en-US" w:eastAsia="zh-CN"/>
                    </w:rPr>
                    <w:t>DA003排放，废气净化设施及排气筒高度符合</w:t>
                  </w:r>
                  <w:r>
                    <w:rPr>
                      <w:rFonts w:hint="default" w:ascii="Times New Roman" w:hAnsi="Times New Roman" w:eastAsia="宋体" w:cs="Times New Roman"/>
                      <w:b w:val="0"/>
                      <w:bCs w:val="0"/>
                      <w:i w:val="0"/>
                      <w:iCs w:val="0"/>
                      <w:color w:val="auto"/>
                      <w:sz w:val="21"/>
                      <w:szCs w:val="21"/>
                    </w:rPr>
                    <w:t>GB16297要求。</w:t>
                  </w:r>
                </w:p>
              </w:tc>
              <w:tc>
                <w:tcPr>
                  <w:tcW w:w="736" w:type="dxa"/>
                  <w:noWrap w:val="0"/>
                  <w:vAlign w:val="center"/>
                </w:tcPr>
                <w:p w14:paraId="5461B0B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3B967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315" w:type="dxa"/>
                  <w:gridSpan w:val="4"/>
                  <w:noWrap w:val="0"/>
                  <w:vAlign w:val="center"/>
                </w:tcPr>
                <w:p w14:paraId="7A67B40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（二）贮存设施运行环境管理要求</w:t>
                  </w:r>
                </w:p>
              </w:tc>
            </w:tr>
            <w:tr w14:paraId="43D69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01CD1002">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3444F444">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危险废物存入贮存设施前应对危险废物类别和特性与危险废物标签等危险废物识别标志的一致性进行核验，不一致的或类别、特性不明的不应存入。</w:t>
                  </w:r>
                </w:p>
              </w:tc>
              <w:tc>
                <w:tcPr>
                  <w:tcW w:w="3391" w:type="dxa"/>
                  <w:noWrap w:val="0"/>
                  <w:vAlign w:val="center"/>
                </w:tcPr>
                <w:p w14:paraId="0676D32E">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贮存库内仅暂存稳定化后的生活垃圾焚烧飞灰，无其他危险废物。</w:t>
                  </w:r>
                </w:p>
              </w:tc>
              <w:tc>
                <w:tcPr>
                  <w:tcW w:w="736" w:type="dxa"/>
                  <w:noWrap w:val="0"/>
                  <w:vAlign w:val="center"/>
                </w:tcPr>
                <w:p w14:paraId="5A686F6F">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相符</w:t>
                  </w:r>
                </w:p>
              </w:tc>
            </w:tr>
            <w:tr w14:paraId="21BB3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77EC548C">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731F20A0">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应定期检查危险废物的贮存状况，及时清理贮存设施地面，更换破损泄漏的危险废物贮存容器和包装物，保证堆存危险废物的防雨、防风、防扬尘等设施功能完好。</w:t>
                  </w:r>
                </w:p>
              </w:tc>
              <w:tc>
                <w:tcPr>
                  <w:tcW w:w="3391" w:type="dxa"/>
                  <w:noWrap w:val="0"/>
                  <w:vAlign w:val="center"/>
                </w:tcPr>
                <w:p w14:paraId="3CEF350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企业按照要求定期检查危险废物的贮存状况。</w:t>
                  </w:r>
                </w:p>
              </w:tc>
              <w:tc>
                <w:tcPr>
                  <w:tcW w:w="736" w:type="dxa"/>
                  <w:noWrap w:val="0"/>
                  <w:vAlign w:val="center"/>
                </w:tcPr>
                <w:p w14:paraId="0F65EEC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7BCE3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77934E48">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27AAC216">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作业设备及车辆等结束作业离开贮存设施时，应对其残留的危险废物进行清理，清理的废物或清洗废水应收集处理。</w:t>
                  </w:r>
                </w:p>
              </w:tc>
              <w:tc>
                <w:tcPr>
                  <w:tcW w:w="3391" w:type="dxa"/>
                  <w:noWrap w:val="0"/>
                  <w:vAlign w:val="center"/>
                </w:tcPr>
                <w:p w14:paraId="544B5FF9">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焚烧飞灰稳定化后含水率&lt;30%且密封包装于防水吨袋内，无残留的危险废物。</w:t>
                  </w:r>
                </w:p>
              </w:tc>
              <w:tc>
                <w:tcPr>
                  <w:tcW w:w="736" w:type="dxa"/>
                  <w:noWrap w:val="0"/>
                  <w:vAlign w:val="center"/>
                </w:tcPr>
                <w:p w14:paraId="48B8AAB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27137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86" w:type="dxa"/>
                  <w:noWrap w:val="0"/>
                  <w:vAlign w:val="center"/>
                </w:tcPr>
                <w:p w14:paraId="1AFD254A">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4</w:t>
                  </w:r>
                </w:p>
              </w:tc>
              <w:tc>
                <w:tcPr>
                  <w:tcW w:w="3502" w:type="dxa"/>
                  <w:noWrap w:val="0"/>
                  <w:vAlign w:val="center"/>
                </w:tcPr>
                <w:p w14:paraId="6BDB90EF">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贮存设施运行期间，应按国家有关标准和规定建立危险废物管理台账并保存。</w:t>
                  </w:r>
                </w:p>
              </w:tc>
              <w:tc>
                <w:tcPr>
                  <w:tcW w:w="3391" w:type="dxa"/>
                  <w:noWrap w:val="0"/>
                  <w:vAlign w:val="center"/>
                </w:tcPr>
                <w:p w14:paraId="160C0399">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企业按照要求</w:t>
                  </w:r>
                  <w:r>
                    <w:rPr>
                      <w:rFonts w:hint="eastAsia" w:cs="Times New Roman"/>
                      <w:b w:val="0"/>
                      <w:bCs w:val="0"/>
                      <w:i w:val="0"/>
                      <w:iCs w:val="0"/>
                      <w:color w:val="auto"/>
                      <w:sz w:val="21"/>
                      <w:szCs w:val="21"/>
                      <w:lang w:eastAsia="zh-CN"/>
                    </w:rPr>
                    <w:t>建立</w:t>
                  </w:r>
                  <w:r>
                    <w:rPr>
                      <w:rFonts w:hint="default" w:ascii="Times New Roman" w:hAnsi="Times New Roman" w:eastAsia="宋体" w:cs="Times New Roman"/>
                      <w:b w:val="0"/>
                      <w:bCs w:val="0"/>
                      <w:i w:val="0"/>
                      <w:iCs w:val="0"/>
                      <w:color w:val="auto"/>
                      <w:sz w:val="21"/>
                      <w:szCs w:val="21"/>
                    </w:rPr>
                    <w:t>危险废物管理台账并保存。</w:t>
                  </w:r>
                </w:p>
              </w:tc>
              <w:tc>
                <w:tcPr>
                  <w:tcW w:w="736" w:type="dxa"/>
                  <w:noWrap w:val="0"/>
                  <w:vAlign w:val="center"/>
                </w:tcPr>
                <w:p w14:paraId="7919C9EC">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14249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2C01BCE4">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5</w:t>
                  </w:r>
                </w:p>
              </w:tc>
              <w:tc>
                <w:tcPr>
                  <w:tcW w:w="3502" w:type="dxa"/>
                  <w:noWrap w:val="0"/>
                  <w:vAlign w:val="center"/>
                </w:tcPr>
                <w:p w14:paraId="66E6569B">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贮存设施所有者或运营者应建立贮存设施环境管理制度、管理人员岗位职责制度、设施运行操作制度、人员岗位培训制度等。</w:t>
                  </w:r>
                </w:p>
              </w:tc>
              <w:tc>
                <w:tcPr>
                  <w:tcW w:w="3391" w:type="dxa"/>
                  <w:noWrap w:val="0"/>
                  <w:vAlign w:val="center"/>
                </w:tcPr>
                <w:p w14:paraId="7178356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企业按照要求建立贮存设施环境管理制度、管理人员岗位职责制度、设施运行操作制度、人员岗位培训制度等。</w:t>
                  </w:r>
                </w:p>
              </w:tc>
              <w:tc>
                <w:tcPr>
                  <w:tcW w:w="736" w:type="dxa"/>
                  <w:noWrap w:val="0"/>
                  <w:vAlign w:val="center"/>
                </w:tcPr>
                <w:p w14:paraId="1A5D282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2E38E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5720F757">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6</w:t>
                  </w:r>
                </w:p>
              </w:tc>
              <w:tc>
                <w:tcPr>
                  <w:tcW w:w="3502" w:type="dxa"/>
                  <w:noWrap w:val="0"/>
                  <w:vAlign w:val="center"/>
                </w:tcPr>
                <w:p w14:paraId="1E0EB879">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3391" w:type="dxa"/>
                  <w:noWrap w:val="0"/>
                  <w:vAlign w:val="center"/>
                </w:tcPr>
                <w:p w14:paraId="5BC4E0A0">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企业按照要求建立土壤和地下水污染隐患排查制度，并定期开展隐患排查</w:t>
                  </w:r>
                </w:p>
              </w:tc>
              <w:tc>
                <w:tcPr>
                  <w:tcW w:w="736" w:type="dxa"/>
                  <w:noWrap w:val="0"/>
                  <w:vAlign w:val="center"/>
                </w:tcPr>
                <w:p w14:paraId="7626EA6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6DB15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86" w:type="dxa"/>
                  <w:noWrap w:val="0"/>
                  <w:vAlign w:val="center"/>
                </w:tcPr>
                <w:p w14:paraId="0B0D874D">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7</w:t>
                  </w:r>
                </w:p>
              </w:tc>
              <w:tc>
                <w:tcPr>
                  <w:tcW w:w="3502" w:type="dxa"/>
                  <w:noWrap w:val="0"/>
                  <w:vAlign w:val="center"/>
                </w:tcPr>
                <w:p w14:paraId="4BB760DC">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贮存设施所有者或运营者应建立贮存设施全部档案，包括设计、施工、验收、运行、监测和环境应急等，应按国家有关档案管理的法律法规进行整理和归档。</w:t>
                  </w:r>
                </w:p>
              </w:tc>
              <w:tc>
                <w:tcPr>
                  <w:tcW w:w="3391" w:type="dxa"/>
                  <w:noWrap w:val="0"/>
                  <w:vAlign w:val="center"/>
                </w:tcPr>
                <w:p w14:paraId="6FBE386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企业按照要求建立贮存设施全部档案，包括设计、施工、验收、运行、监测和环境应急等。</w:t>
                  </w:r>
                </w:p>
              </w:tc>
              <w:tc>
                <w:tcPr>
                  <w:tcW w:w="736" w:type="dxa"/>
                  <w:noWrap w:val="0"/>
                  <w:vAlign w:val="center"/>
                </w:tcPr>
                <w:p w14:paraId="0D808198">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7D1BB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315" w:type="dxa"/>
                  <w:gridSpan w:val="4"/>
                  <w:noWrap w:val="0"/>
                  <w:vAlign w:val="center"/>
                </w:tcPr>
                <w:p w14:paraId="27753591">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kern w:val="0"/>
                      <w:sz w:val="21"/>
                      <w:szCs w:val="21"/>
                    </w:rPr>
                    <w:t>污染物排放控制要求</w:t>
                  </w:r>
                </w:p>
              </w:tc>
            </w:tr>
            <w:tr w14:paraId="1D7D8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dxa"/>
                  <w:noWrap w:val="0"/>
                  <w:vAlign w:val="center"/>
                </w:tcPr>
                <w:p w14:paraId="15817A42">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1</w:t>
                  </w:r>
                </w:p>
              </w:tc>
              <w:tc>
                <w:tcPr>
                  <w:tcW w:w="3502" w:type="dxa"/>
                  <w:noWrap w:val="0"/>
                  <w:vAlign w:val="center"/>
                </w:tcPr>
                <w:p w14:paraId="7754532D">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贮存设施产生的废水（包括贮存设施、作业设备、车辆等清洗废水，贮存罐区积存雨水，贮存事故废水等）应进行收集处理，废水排放应符合GB 8978 规定的要求。</w:t>
                  </w:r>
                </w:p>
              </w:tc>
              <w:tc>
                <w:tcPr>
                  <w:tcW w:w="3391" w:type="dxa"/>
                  <w:noWrap w:val="0"/>
                  <w:vAlign w:val="center"/>
                </w:tcPr>
                <w:p w14:paraId="79AF1DEE">
                  <w:pPr>
                    <w:jc w:val="center"/>
                    <w:rPr>
                      <w:rFonts w:hint="eastAsia" w:ascii="Times New Roman" w:hAnsi="Times New Roman" w:eastAsia="宋体" w:cs="Times New Roman"/>
                      <w:b w:val="0"/>
                      <w:bCs w:val="0"/>
                      <w:i w:val="0"/>
                      <w:iCs w:val="0"/>
                      <w:color w:val="auto"/>
                      <w:sz w:val="21"/>
                      <w:szCs w:val="21"/>
                      <w:lang w:eastAsia="zh-CN"/>
                    </w:rPr>
                  </w:pPr>
                  <w:r>
                    <w:rPr>
                      <w:rFonts w:hint="eastAsia" w:cs="Times New Roman"/>
                      <w:b w:val="0"/>
                      <w:bCs w:val="0"/>
                      <w:i w:val="0"/>
                      <w:iCs w:val="0"/>
                      <w:color w:val="auto"/>
                      <w:sz w:val="21"/>
                      <w:szCs w:val="21"/>
                      <w:lang w:eastAsia="zh-CN"/>
                    </w:rPr>
                    <w:t>本项目贮存设施不产生废水，飞灰暂存库废气环保设备为依托项目水喷淋处理设备，</w:t>
                  </w:r>
                  <w:r>
                    <w:rPr>
                      <w:rFonts w:hint="default" w:ascii="Times New Roman" w:hAnsi="Times New Roman" w:eastAsia="宋体" w:cs="Times New Roman"/>
                      <w:color w:val="auto"/>
                      <w:highlight w:val="none"/>
                      <w:shd w:val="clear" w:color="auto" w:fill="FFFFFF" w:themeFill="background1"/>
                    </w:rPr>
                    <w:t>经收集后排入渗滤液处理站处理，处理达标后最终出水接管薛行污水处理厂</w:t>
                  </w:r>
                  <w:r>
                    <w:rPr>
                      <w:rFonts w:hint="eastAsia" w:cs="Times New Roman"/>
                      <w:color w:val="auto"/>
                      <w:highlight w:val="none"/>
                      <w:shd w:val="clear" w:color="auto" w:fill="FFFFFF" w:themeFill="background1"/>
                      <w:lang w:eastAsia="zh-CN"/>
                    </w:rPr>
                    <w:t>。符合</w:t>
                  </w:r>
                  <w:r>
                    <w:rPr>
                      <w:rFonts w:hint="default" w:ascii="Times New Roman" w:hAnsi="Times New Roman" w:eastAsia="宋体" w:cs="Times New Roman"/>
                      <w:b w:val="0"/>
                      <w:bCs w:val="0"/>
                      <w:i w:val="0"/>
                      <w:iCs w:val="0"/>
                      <w:color w:val="auto"/>
                      <w:sz w:val="21"/>
                      <w:szCs w:val="21"/>
                    </w:rPr>
                    <w:t>GB8978规定的要求。</w:t>
                  </w:r>
                </w:p>
              </w:tc>
              <w:tc>
                <w:tcPr>
                  <w:tcW w:w="736" w:type="dxa"/>
                  <w:noWrap w:val="0"/>
                  <w:vAlign w:val="center"/>
                </w:tcPr>
                <w:p w14:paraId="2421EE1C">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7C5EB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86" w:type="dxa"/>
                  <w:noWrap w:val="0"/>
                  <w:vAlign w:val="center"/>
                </w:tcPr>
                <w:p w14:paraId="11EFFC36">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2</w:t>
                  </w:r>
                </w:p>
              </w:tc>
              <w:tc>
                <w:tcPr>
                  <w:tcW w:w="3502" w:type="dxa"/>
                  <w:noWrap w:val="0"/>
                  <w:vAlign w:val="center"/>
                </w:tcPr>
                <w:p w14:paraId="50DC11AE">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贮存设施产生的废气（含无组织废气）的排放应符合GB16297和GB37822规定的要求。</w:t>
                  </w:r>
                </w:p>
              </w:tc>
              <w:tc>
                <w:tcPr>
                  <w:tcW w:w="3391" w:type="dxa"/>
                  <w:noWrap w:val="0"/>
                  <w:vAlign w:val="center"/>
                </w:tcPr>
                <w:p w14:paraId="0F5EFF5C">
                  <w:pPr>
                    <w:jc w:val="center"/>
                    <w:rPr>
                      <w:rFonts w:hint="default" w:ascii="Times New Roman" w:hAnsi="Times New Roman" w:eastAsia="宋体" w:cs="Times New Roman"/>
                      <w:b w:val="0"/>
                      <w:bCs w:val="0"/>
                      <w:i w:val="0"/>
                      <w:iCs w:val="0"/>
                      <w:color w:val="auto"/>
                      <w:sz w:val="21"/>
                      <w:szCs w:val="21"/>
                    </w:rPr>
                  </w:pPr>
                  <w:r>
                    <w:rPr>
                      <w:rFonts w:hint="eastAsia"/>
                      <w:color w:val="auto"/>
                      <w:lang w:eastAsia="zh-CN"/>
                    </w:rPr>
                    <w:t>飞灰暂存库</w:t>
                  </w:r>
                  <w:r>
                    <w:rPr>
                      <w:rFonts w:hint="default" w:ascii="Times New Roman" w:hAnsi="Times New Roman" w:eastAsia="宋体" w:cs="Times New Roman"/>
                      <w:b w:val="0"/>
                      <w:bCs w:val="0"/>
                      <w:i w:val="0"/>
                      <w:iCs w:val="0"/>
                      <w:color w:val="auto"/>
                      <w:sz w:val="21"/>
                      <w:szCs w:val="21"/>
                    </w:rPr>
                    <w:t>产生</w:t>
                  </w:r>
                  <w:r>
                    <w:rPr>
                      <w:rFonts w:hint="eastAsia" w:cs="Times New Roman"/>
                      <w:b w:val="0"/>
                      <w:bCs w:val="0"/>
                      <w:i w:val="0"/>
                      <w:iCs w:val="0"/>
                      <w:color w:val="auto"/>
                      <w:sz w:val="21"/>
                      <w:szCs w:val="21"/>
                      <w:lang w:eastAsia="zh-CN"/>
                    </w:rPr>
                    <w:t>废气</w:t>
                  </w:r>
                  <w:r>
                    <w:rPr>
                      <w:rFonts w:hint="default" w:ascii="Times New Roman" w:hAnsi="Times New Roman" w:eastAsia="宋体" w:cs="Times New Roman"/>
                      <w:b w:val="0"/>
                      <w:bCs w:val="0"/>
                      <w:i w:val="0"/>
                      <w:iCs w:val="0"/>
                      <w:color w:val="auto"/>
                      <w:sz w:val="21"/>
                      <w:szCs w:val="21"/>
                    </w:rPr>
                    <w:t>符合GB16297和GB37822规定的要求。</w:t>
                  </w:r>
                </w:p>
              </w:tc>
              <w:tc>
                <w:tcPr>
                  <w:tcW w:w="736" w:type="dxa"/>
                  <w:noWrap w:val="0"/>
                  <w:vAlign w:val="center"/>
                </w:tcPr>
                <w:p w14:paraId="55A7F235">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66A5C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86" w:type="dxa"/>
                  <w:noWrap w:val="0"/>
                  <w:vAlign w:val="center"/>
                </w:tcPr>
                <w:p w14:paraId="40600BDA">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3</w:t>
                  </w:r>
                </w:p>
              </w:tc>
              <w:tc>
                <w:tcPr>
                  <w:tcW w:w="3502" w:type="dxa"/>
                  <w:noWrap w:val="0"/>
                  <w:vAlign w:val="center"/>
                </w:tcPr>
                <w:p w14:paraId="57516FBB">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贮存设施产生的恶臭气体的排放应符合GB 14554 规定的要求。</w:t>
                  </w:r>
                </w:p>
              </w:tc>
              <w:tc>
                <w:tcPr>
                  <w:tcW w:w="3391" w:type="dxa"/>
                  <w:noWrap w:val="0"/>
                  <w:vAlign w:val="center"/>
                </w:tcPr>
                <w:p w14:paraId="33E255BA">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贮存设施产生的恶臭气体的排放符合GB14554规定的要求</w:t>
                  </w:r>
                </w:p>
              </w:tc>
              <w:tc>
                <w:tcPr>
                  <w:tcW w:w="736" w:type="dxa"/>
                  <w:noWrap w:val="0"/>
                  <w:vAlign w:val="center"/>
                </w:tcPr>
                <w:p w14:paraId="7A06124C">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19007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6" w:type="dxa"/>
                  <w:noWrap w:val="0"/>
                  <w:vAlign w:val="center"/>
                </w:tcPr>
                <w:p w14:paraId="60785B3D">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4</w:t>
                  </w:r>
                </w:p>
              </w:tc>
              <w:tc>
                <w:tcPr>
                  <w:tcW w:w="3502" w:type="dxa"/>
                  <w:noWrap w:val="0"/>
                  <w:vAlign w:val="center"/>
                </w:tcPr>
                <w:p w14:paraId="79CA01A2">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贮存设施内产生以及清理的固体废物应按固体废物分类管理要求妥善处理。</w:t>
                  </w:r>
                </w:p>
              </w:tc>
              <w:tc>
                <w:tcPr>
                  <w:tcW w:w="3391" w:type="dxa"/>
                  <w:noWrap w:val="0"/>
                  <w:vAlign w:val="center"/>
                </w:tcPr>
                <w:p w14:paraId="0A060C2E">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不产生固废</w:t>
                  </w:r>
                </w:p>
              </w:tc>
              <w:tc>
                <w:tcPr>
                  <w:tcW w:w="736" w:type="dxa"/>
                  <w:noWrap w:val="0"/>
                  <w:vAlign w:val="center"/>
                </w:tcPr>
                <w:p w14:paraId="1F38FA3B">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r w14:paraId="091EC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86" w:type="dxa"/>
                  <w:noWrap w:val="0"/>
                  <w:vAlign w:val="center"/>
                </w:tcPr>
                <w:p w14:paraId="2B6F5182">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5</w:t>
                  </w:r>
                </w:p>
              </w:tc>
              <w:tc>
                <w:tcPr>
                  <w:tcW w:w="3502" w:type="dxa"/>
                  <w:noWrap w:val="0"/>
                  <w:vAlign w:val="center"/>
                </w:tcPr>
                <w:p w14:paraId="2FF65F57">
                  <w:pPr>
                    <w:jc w:val="left"/>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贮存设施排放的环境噪声应符合GB 12348 规定的要求。</w:t>
                  </w:r>
                </w:p>
              </w:tc>
              <w:tc>
                <w:tcPr>
                  <w:tcW w:w="3391" w:type="dxa"/>
                  <w:noWrap w:val="0"/>
                  <w:vAlign w:val="center"/>
                </w:tcPr>
                <w:p w14:paraId="331A9D86">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《工业企业厂界环境噪声排放标准》（GB12348-2008）中</w:t>
                  </w:r>
                  <w:r>
                    <w:rPr>
                      <w:rFonts w:hint="eastAsia" w:cs="Times New Roman"/>
                      <w:b w:val="0"/>
                      <w:bCs w:val="0"/>
                      <w:i w:val="0"/>
                      <w:iCs w:val="0"/>
                      <w:color w:val="auto"/>
                      <w:sz w:val="21"/>
                      <w:szCs w:val="21"/>
                      <w:lang w:val="en-US" w:eastAsia="zh-CN"/>
                    </w:rPr>
                    <w:t>2</w:t>
                  </w:r>
                  <w:r>
                    <w:rPr>
                      <w:rFonts w:hint="default" w:ascii="Times New Roman" w:hAnsi="Times New Roman" w:eastAsia="宋体" w:cs="Times New Roman"/>
                      <w:b w:val="0"/>
                      <w:bCs w:val="0"/>
                      <w:i w:val="0"/>
                      <w:iCs w:val="0"/>
                      <w:color w:val="auto"/>
                      <w:sz w:val="21"/>
                      <w:szCs w:val="21"/>
                    </w:rPr>
                    <w:t>类标准。</w:t>
                  </w:r>
                </w:p>
              </w:tc>
              <w:tc>
                <w:tcPr>
                  <w:tcW w:w="736" w:type="dxa"/>
                  <w:noWrap w:val="0"/>
                  <w:vAlign w:val="center"/>
                </w:tcPr>
                <w:p w14:paraId="107970D8">
                  <w:pPr>
                    <w:jc w:val="center"/>
                    <w:rPr>
                      <w:rFonts w:hint="default" w:ascii="Times New Roman" w:hAnsi="Times New Roman" w:eastAsia="宋体" w:cs="Times New Roman"/>
                      <w:b w:val="0"/>
                      <w:bCs w:val="0"/>
                      <w:i w:val="0"/>
                      <w:iCs w:val="0"/>
                      <w:color w:val="auto"/>
                      <w:sz w:val="21"/>
                      <w:szCs w:val="21"/>
                    </w:rPr>
                  </w:pPr>
                  <w:r>
                    <w:rPr>
                      <w:rFonts w:hint="default" w:ascii="Times New Roman" w:hAnsi="Times New Roman" w:eastAsia="宋体" w:cs="Times New Roman"/>
                      <w:b w:val="0"/>
                      <w:bCs w:val="0"/>
                      <w:i w:val="0"/>
                      <w:iCs w:val="0"/>
                      <w:color w:val="auto"/>
                      <w:sz w:val="21"/>
                      <w:szCs w:val="21"/>
                    </w:rPr>
                    <w:t>符合</w:t>
                  </w:r>
                </w:p>
              </w:tc>
            </w:tr>
          </w:tbl>
          <w:p w14:paraId="4F56F557">
            <w:pPr>
              <w:spacing w:line="360" w:lineRule="auto"/>
              <w:ind w:firstLine="480" w:firstLineChars="200"/>
              <w:rPr>
                <w:color w:val="auto"/>
                <w:kern w:val="0"/>
                <w:sz w:val="24"/>
              </w:rPr>
            </w:pPr>
            <w:r>
              <w:rPr>
                <w:rFonts w:hint="eastAsia"/>
                <w:color w:val="auto"/>
                <w:kern w:val="0"/>
                <w:sz w:val="24"/>
              </w:rPr>
              <w:t>本项目与</w:t>
            </w:r>
            <w:r>
              <w:rPr>
                <w:rFonts w:hint="eastAsia"/>
                <w:bCs/>
                <w:color w:val="auto"/>
                <w:kern w:val="0"/>
                <w:sz w:val="24"/>
              </w:rPr>
              <w:t>《国务院办公厅关于印发强化危险废物监管和利用处置能力改革实施方案的通知》（国办函〔2021〕47号）符合性分析详见下表</w:t>
            </w:r>
            <w:r>
              <w:rPr>
                <w:rFonts w:hint="eastAsia"/>
                <w:bCs/>
                <w:color w:val="auto"/>
                <w:kern w:val="0"/>
                <w:sz w:val="24"/>
                <w:lang w:val="en-US" w:eastAsia="zh-CN"/>
              </w:rPr>
              <w:t>1-12</w:t>
            </w:r>
            <w:r>
              <w:rPr>
                <w:rFonts w:hint="eastAsia"/>
                <w:bCs/>
                <w:color w:val="auto"/>
                <w:kern w:val="0"/>
                <w:sz w:val="24"/>
              </w:rPr>
              <w:t>：</w:t>
            </w:r>
          </w:p>
          <w:p w14:paraId="27466619">
            <w:pPr>
              <w:pStyle w:val="151"/>
              <w:numPr>
                <w:ilvl w:val="0"/>
                <w:numId w:val="0"/>
              </w:numPr>
              <w:spacing w:before="120"/>
              <w:ind w:leftChars="0"/>
              <w:jc w:val="center"/>
              <w:rPr>
                <w:color w:val="auto"/>
              </w:rPr>
            </w:pPr>
            <w:r>
              <w:rPr>
                <w:rFonts w:hint="eastAsia"/>
                <w:color w:val="auto"/>
                <w:lang w:eastAsia="zh-CN"/>
              </w:rPr>
              <w:t>表</w:t>
            </w:r>
            <w:r>
              <w:rPr>
                <w:rFonts w:hint="eastAsia"/>
                <w:color w:val="auto"/>
                <w:lang w:val="en-US" w:eastAsia="zh-CN"/>
              </w:rPr>
              <w:t>1-12</w:t>
            </w:r>
            <w:r>
              <w:rPr>
                <w:rFonts w:hint="eastAsia"/>
                <w:color w:val="auto"/>
              </w:rPr>
              <w:t>与《</w:t>
            </w:r>
            <w:r>
              <w:rPr>
                <w:rFonts w:hint="eastAsia"/>
                <w:bCs/>
                <w:color w:val="auto"/>
              </w:rPr>
              <w:t>国务院办公厅关于印发强化危险废物监管和利用处置能力改革实施方案的通知</w:t>
            </w:r>
            <w:r>
              <w:rPr>
                <w:rFonts w:hint="eastAsia"/>
                <w:color w:val="auto"/>
              </w:rPr>
              <w:t>》的相符性分析</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957"/>
              <w:gridCol w:w="1705"/>
              <w:gridCol w:w="891"/>
            </w:tblGrid>
            <w:tr w14:paraId="6D43D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62" w:type="dxa"/>
                  <w:noWrap w:val="0"/>
                  <w:vAlign w:val="center"/>
                </w:tcPr>
                <w:p w14:paraId="6DA99309">
                  <w:pPr>
                    <w:adjustRightInd w:val="0"/>
                    <w:snapToGrid w:val="0"/>
                    <w:spacing w:line="0" w:lineRule="atLeast"/>
                    <w:jc w:val="center"/>
                    <w:rPr>
                      <w:b/>
                      <w:bCs/>
                      <w:color w:val="auto"/>
                      <w:szCs w:val="21"/>
                    </w:rPr>
                  </w:pPr>
                  <w:r>
                    <w:rPr>
                      <w:b/>
                      <w:bCs/>
                      <w:color w:val="auto"/>
                      <w:szCs w:val="21"/>
                    </w:rPr>
                    <w:t>序号</w:t>
                  </w:r>
                </w:p>
              </w:tc>
              <w:tc>
                <w:tcPr>
                  <w:tcW w:w="4957" w:type="dxa"/>
                  <w:noWrap w:val="0"/>
                  <w:vAlign w:val="center"/>
                </w:tcPr>
                <w:p w14:paraId="0D08E152">
                  <w:pPr>
                    <w:adjustRightInd w:val="0"/>
                    <w:snapToGrid w:val="0"/>
                    <w:spacing w:line="0" w:lineRule="atLeast"/>
                    <w:jc w:val="center"/>
                    <w:rPr>
                      <w:b/>
                      <w:bCs/>
                      <w:color w:val="auto"/>
                      <w:szCs w:val="21"/>
                    </w:rPr>
                  </w:pPr>
                  <w:r>
                    <w:rPr>
                      <w:b/>
                      <w:bCs/>
                      <w:color w:val="auto"/>
                      <w:szCs w:val="21"/>
                    </w:rPr>
                    <w:t>要求</w:t>
                  </w:r>
                </w:p>
              </w:tc>
              <w:tc>
                <w:tcPr>
                  <w:tcW w:w="1705" w:type="dxa"/>
                  <w:noWrap w:val="0"/>
                  <w:vAlign w:val="center"/>
                </w:tcPr>
                <w:p w14:paraId="02B550B8">
                  <w:pPr>
                    <w:adjustRightInd w:val="0"/>
                    <w:snapToGrid w:val="0"/>
                    <w:spacing w:line="0" w:lineRule="atLeast"/>
                    <w:jc w:val="center"/>
                    <w:rPr>
                      <w:b/>
                      <w:bCs/>
                      <w:color w:val="auto"/>
                      <w:szCs w:val="21"/>
                    </w:rPr>
                  </w:pPr>
                  <w:r>
                    <w:rPr>
                      <w:b/>
                      <w:bCs/>
                      <w:color w:val="auto"/>
                      <w:szCs w:val="21"/>
                    </w:rPr>
                    <w:t>本项目情况</w:t>
                  </w:r>
                </w:p>
              </w:tc>
              <w:tc>
                <w:tcPr>
                  <w:tcW w:w="891" w:type="dxa"/>
                  <w:noWrap w:val="0"/>
                  <w:vAlign w:val="center"/>
                </w:tcPr>
                <w:p w14:paraId="1999449F">
                  <w:pPr>
                    <w:adjustRightInd w:val="0"/>
                    <w:snapToGrid w:val="0"/>
                    <w:spacing w:line="0" w:lineRule="atLeast"/>
                    <w:jc w:val="center"/>
                    <w:rPr>
                      <w:b/>
                      <w:bCs/>
                      <w:color w:val="auto"/>
                      <w:szCs w:val="21"/>
                    </w:rPr>
                  </w:pPr>
                  <w:r>
                    <w:rPr>
                      <w:b/>
                      <w:bCs/>
                      <w:color w:val="auto"/>
                      <w:szCs w:val="21"/>
                    </w:rPr>
                    <w:t>相符性</w:t>
                  </w:r>
                </w:p>
              </w:tc>
            </w:tr>
            <w:tr w14:paraId="774D1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62" w:type="dxa"/>
                  <w:noWrap w:val="0"/>
                  <w:vAlign w:val="center"/>
                </w:tcPr>
                <w:p w14:paraId="6B375923">
                  <w:pPr>
                    <w:adjustRightInd w:val="0"/>
                    <w:snapToGrid w:val="0"/>
                    <w:spacing w:line="0" w:lineRule="atLeast"/>
                    <w:jc w:val="center"/>
                    <w:rPr>
                      <w:color w:val="auto"/>
                      <w:szCs w:val="21"/>
                    </w:rPr>
                  </w:pPr>
                  <w:r>
                    <w:rPr>
                      <w:color w:val="auto"/>
                      <w:szCs w:val="21"/>
                    </w:rPr>
                    <w:t>1</w:t>
                  </w:r>
                </w:p>
              </w:tc>
              <w:tc>
                <w:tcPr>
                  <w:tcW w:w="4957" w:type="dxa"/>
                  <w:noWrap w:val="0"/>
                  <w:vAlign w:val="center"/>
                </w:tcPr>
                <w:p w14:paraId="149B431C">
                  <w:pPr>
                    <w:spacing w:line="0" w:lineRule="atLeast"/>
                    <w:rPr>
                      <w:rFonts w:hint="eastAsia"/>
                      <w:color w:val="auto"/>
                      <w:szCs w:val="21"/>
                    </w:rPr>
                  </w:pPr>
                  <w:r>
                    <w:rPr>
                      <w:rFonts w:hint="eastAsia"/>
                      <w:color w:val="auto"/>
                      <w:szCs w:val="21"/>
                    </w:rPr>
                    <w:t>（六）落实企业主体责任。危险废物产生、收集、贮存、运输、利用、处置企业（以下统称危险废物相关企业）的主要负责人（法定代表人、实际控制人）是危险废物污染环境防治和安全生产第一责任人，严格落实危险废物污染环境防治和安全生产法律法规制度。（生态环境部、公安部、交通运输部、应急部等按职责分工负责）危险废物相关企业依法及时公开危险废物污染环境防治信息，依法依规投保环境污染责任保险。（生态环境部、银保监会等按职责分工负责）</w:t>
                  </w:r>
                </w:p>
              </w:tc>
              <w:tc>
                <w:tcPr>
                  <w:tcW w:w="1705" w:type="dxa"/>
                  <w:noWrap w:val="0"/>
                  <w:vAlign w:val="center"/>
                </w:tcPr>
                <w:p w14:paraId="5F7EF2A1">
                  <w:pPr>
                    <w:spacing w:line="0" w:lineRule="atLeast"/>
                    <w:rPr>
                      <w:color w:val="auto"/>
                      <w:szCs w:val="21"/>
                    </w:rPr>
                  </w:pPr>
                  <w:r>
                    <w:rPr>
                      <w:rFonts w:hint="eastAsia"/>
                      <w:color w:val="auto"/>
                      <w:szCs w:val="21"/>
                    </w:rPr>
                    <w:t>本项目为生活垃圾焚烧飞灰的贮存项目，严格落实危险废物污染环境防治和安全生产法律法规制度。</w:t>
                  </w:r>
                </w:p>
              </w:tc>
              <w:tc>
                <w:tcPr>
                  <w:tcW w:w="891" w:type="dxa"/>
                  <w:noWrap w:val="0"/>
                  <w:vAlign w:val="center"/>
                </w:tcPr>
                <w:p w14:paraId="29EB3DC1">
                  <w:pPr>
                    <w:adjustRightInd w:val="0"/>
                    <w:snapToGrid w:val="0"/>
                    <w:spacing w:line="0" w:lineRule="atLeast"/>
                    <w:jc w:val="center"/>
                    <w:rPr>
                      <w:color w:val="auto"/>
                      <w:szCs w:val="21"/>
                    </w:rPr>
                  </w:pPr>
                  <w:r>
                    <w:rPr>
                      <w:color w:val="auto"/>
                      <w:szCs w:val="21"/>
                    </w:rPr>
                    <w:t>符合</w:t>
                  </w:r>
                </w:p>
              </w:tc>
            </w:tr>
            <w:tr w14:paraId="713EC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762" w:type="dxa"/>
                  <w:noWrap w:val="0"/>
                  <w:vAlign w:val="center"/>
                </w:tcPr>
                <w:p w14:paraId="6C29D4D6">
                  <w:pPr>
                    <w:adjustRightInd w:val="0"/>
                    <w:snapToGrid w:val="0"/>
                    <w:spacing w:line="0" w:lineRule="atLeast"/>
                    <w:jc w:val="center"/>
                    <w:rPr>
                      <w:color w:val="auto"/>
                      <w:szCs w:val="21"/>
                    </w:rPr>
                  </w:pPr>
                  <w:r>
                    <w:rPr>
                      <w:color w:val="auto"/>
                      <w:szCs w:val="21"/>
                    </w:rPr>
                    <w:t>2</w:t>
                  </w:r>
                </w:p>
              </w:tc>
              <w:tc>
                <w:tcPr>
                  <w:tcW w:w="4957" w:type="dxa"/>
                  <w:noWrap w:val="0"/>
                  <w:vAlign w:val="center"/>
                </w:tcPr>
                <w:p w14:paraId="05720758">
                  <w:pPr>
                    <w:spacing w:line="0" w:lineRule="atLeast"/>
                    <w:rPr>
                      <w:rFonts w:hint="eastAsia"/>
                      <w:color w:val="auto"/>
                      <w:szCs w:val="21"/>
                    </w:rPr>
                  </w:pPr>
                  <w:r>
                    <w:rPr>
                      <w:rFonts w:hint="eastAsia"/>
                      <w:color w:val="auto"/>
                      <w:szCs w:val="21"/>
                    </w:rPr>
                    <w:t>（九）严格环境准入。新改扩建项目要依法开展环境影响评价，严格危险废物污染环境防治设施“三同时”管理。依法依规对已批复的重点行业涉危险废物建设项目环境影响评价文件开展复核。依法落实工业危险废物排污许可制度。推进危险废物规范化环境管理。（生态环境部负责）</w:t>
                  </w:r>
                </w:p>
              </w:tc>
              <w:tc>
                <w:tcPr>
                  <w:tcW w:w="1705" w:type="dxa"/>
                  <w:noWrap w:val="0"/>
                  <w:vAlign w:val="center"/>
                </w:tcPr>
                <w:p w14:paraId="1901D7B5">
                  <w:pPr>
                    <w:spacing w:line="0" w:lineRule="atLeast"/>
                    <w:rPr>
                      <w:color w:val="auto"/>
                      <w:szCs w:val="21"/>
                    </w:rPr>
                  </w:pPr>
                  <w:r>
                    <w:rPr>
                      <w:rFonts w:hint="eastAsia"/>
                      <w:color w:val="auto"/>
                      <w:szCs w:val="21"/>
                    </w:rPr>
                    <w:t>本次即为履行</w:t>
                  </w:r>
                  <w:r>
                    <w:rPr>
                      <w:rFonts w:hint="eastAsia"/>
                      <w:color w:val="auto"/>
                      <w:szCs w:val="21"/>
                      <w:lang w:eastAsia="zh-CN"/>
                    </w:rPr>
                    <w:t>环境</w:t>
                  </w:r>
                  <w:r>
                    <w:rPr>
                      <w:rFonts w:hint="eastAsia"/>
                      <w:color w:val="auto"/>
                      <w:szCs w:val="21"/>
                    </w:rPr>
                    <w:t>影响评价手续，严格落实污染防治措施</w:t>
                  </w:r>
                  <w:r>
                    <w:rPr>
                      <w:color w:val="auto"/>
                      <w:szCs w:val="21"/>
                    </w:rPr>
                    <w:t>。</w:t>
                  </w:r>
                </w:p>
              </w:tc>
              <w:tc>
                <w:tcPr>
                  <w:tcW w:w="891" w:type="dxa"/>
                  <w:noWrap w:val="0"/>
                  <w:vAlign w:val="center"/>
                </w:tcPr>
                <w:p w14:paraId="6439CE50">
                  <w:pPr>
                    <w:adjustRightInd w:val="0"/>
                    <w:snapToGrid w:val="0"/>
                    <w:spacing w:line="0" w:lineRule="atLeast"/>
                    <w:jc w:val="center"/>
                    <w:rPr>
                      <w:color w:val="auto"/>
                      <w:szCs w:val="21"/>
                    </w:rPr>
                  </w:pPr>
                  <w:r>
                    <w:rPr>
                      <w:color w:val="auto"/>
                      <w:szCs w:val="21"/>
                    </w:rPr>
                    <w:t>符合</w:t>
                  </w:r>
                </w:p>
              </w:tc>
            </w:tr>
            <w:tr w14:paraId="19D42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62" w:type="dxa"/>
                  <w:noWrap w:val="0"/>
                  <w:vAlign w:val="center"/>
                </w:tcPr>
                <w:p w14:paraId="45F56D3B">
                  <w:pPr>
                    <w:adjustRightInd w:val="0"/>
                    <w:snapToGrid w:val="0"/>
                    <w:spacing w:line="0" w:lineRule="atLeast"/>
                    <w:jc w:val="center"/>
                    <w:rPr>
                      <w:color w:val="auto"/>
                      <w:szCs w:val="21"/>
                    </w:rPr>
                  </w:pPr>
                  <w:r>
                    <w:rPr>
                      <w:rFonts w:hint="eastAsia"/>
                      <w:color w:val="auto"/>
                      <w:szCs w:val="21"/>
                    </w:rPr>
                    <w:t>3</w:t>
                  </w:r>
                </w:p>
              </w:tc>
              <w:tc>
                <w:tcPr>
                  <w:tcW w:w="4957" w:type="dxa"/>
                  <w:noWrap w:val="0"/>
                  <w:vAlign w:val="center"/>
                </w:tcPr>
                <w:p w14:paraId="25611BCF">
                  <w:pPr>
                    <w:spacing w:line="0" w:lineRule="atLeast"/>
                    <w:rPr>
                      <w:rFonts w:hint="eastAsia"/>
                      <w:color w:val="auto"/>
                      <w:szCs w:val="21"/>
                    </w:rPr>
                  </w:pPr>
                  <w:r>
                    <w:rPr>
                      <w:rFonts w:hint="eastAsia"/>
                      <w:color w:val="auto"/>
                      <w:szCs w:val="21"/>
                    </w:rPr>
                    <w:t>（十三）严厉打击涉危险废物违法犯罪行为。强化危险废物环境执法，将其作为生态环境保护综合执法重要内容。严厉打击非法排放、倾倒、收集、贮存、转移、利用、处置危险废物等环境违法犯罪行为，实施生态环境损害赔偿制度，强化行政执法与刑事司法、检察公益诉讼的协调联动。（最高人民法院、最高人民检察院、公安部、生态环境部等按职责分工负责）对自查自纠并及时妥善处置历史遗留危险废物的企业，依法从轻处罚。（最高人民法院、最高人民检察院牵头，生态环境部等参与）</w:t>
                  </w:r>
                </w:p>
              </w:tc>
              <w:tc>
                <w:tcPr>
                  <w:tcW w:w="1705" w:type="dxa"/>
                  <w:noWrap w:val="0"/>
                  <w:vAlign w:val="center"/>
                </w:tcPr>
                <w:p w14:paraId="3CB52F07">
                  <w:pPr>
                    <w:spacing w:line="0" w:lineRule="atLeast"/>
                    <w:rPr>
                      <w:rFonts w:hint="eastAsia"/>
                      <w:color w:val="auto"/>
                      <w:szCs w:val="21"/>
                    </w:rPr>
                  </w:pPr>
                  <w:r>
                    <w:rPr>
                      <w:rFonts w:hint="eastAsia"/>
                      <w:color w:val="auto"/>
                      <w:szCs w:val="21"/>
                    </w:rPr>
                    <w:t>本项目为生活垃圾焚烧飞灰贮存项目，不存在非法排放、倾倒、收集、贮存、转移、利用、处置危险废物等环境违法犯罪行为。</w:t>
                  </w:r>
                </w:p>
              </w:tc>
              <w:tc>
                <w:tcPr>
                  <w:tcW w:w="891" w:type="dxa"/>
                  <w:noWrap w:val="0"/>
                  <w:vAlign w:val="center"/>
                </w:tcPr>
                <w:p w14:paraId="2105F2E5">
                  <w:pPr>
                    <w:adjustRightInd w:val="0"/>
                    <w:snapToGrid w:val="0"/>
                    <w:spacing w:line="0" w:lineRule="atLeast"/>
                    <w:jc w:val="center"/>
                    <w:rPr>
                      <w:rFonts w:hint="eastAsia"/>
                      <w:color w:val="auto"/>
                      <w:szCs w:val="21"/>
                    </w:rPr>
                  </w:pPr>
                  <w:r>
                    <w:rPr>
                      <w:rFonts w:hint="eastAsia"/>
                      <w:color w:val="auto"/>
                      <w:szCs w:val="21"/>
                    </w:rPr>
                    <w:t>符合</w:t>
                  </w:r>
                </w:p>
              </w:tc>
            </w:tr>
          </w:tbl>
          <w:p w14:paraId="3F52145B">
            <w:pPr>
              <w:tabs>
                <w:tab w:val="left" w:pos="720"/>
              </w:tabs>
              <w:adjustRightInd w:val="0"/>
              <w:snapToGrid w:val="0"/>
              <w:spacing w:line="360" w:lineRule="auto"/>
              <w:ind w:firstLine="480" w:firstLineChars="200"/>
              <w:rPr>
                <w:rFonts w:hint="eastAsia" w:cs="Times New Roman" w:hAnsiTheme="minorEastAsia" w:eastAsiaTheme="minorEastAsia"/>
                <w:color w:val="auto"/>
                <w:sz w:val="24"/>
                <w:lang w:eastAsia="zh-CN"/>
              </w:rPr>
            </w:pPr>
            <w:r>
              <w:rPr>
                <w:bCs w:val="0"/>
                <w:color w:val="auto"/>
                <w:sz w:val="24"/>
              </w:rPr>
              <w:t>综上所述，</w:t>
            </w:r>
            <w:r>
              <w:rPr>
                <w:rFonts w:hint="eastAsia"/>
                <w:bCs w:val="0"/>
                <w:color w:val="auto"/>
                <w:sz w:val="24"/>
                <w:lang w:eastAsia="zh-CN"/>
              </w:rPr>
              <w:t>改建</w:t>
            </w:r>
            <w:r>
              <w:rPr>
                <w:bCs w:val="0"/>
                <w:color w:val="auto"/>
                <w:sz w:val="24"/>
              </w:rPr>
              <w:t>项目符合当地</w:t>
            </w:r>
            <w:r>
              <w:rPr>
                <w:rFonts w:hint="default"/>
                <w:bCs w:val="0"/>
                <w:color w:val="auto"/>
                <w:sz w:val="24"/>
              </w:rPr>
              <w:t>流域政策、环保政策、行业政策</w:t>
            </w:r>
            <w:r>
              <w:rPr>
                <w:bCs w:val="0"/>
                <w:color w:val="auto"/>
                <w:sz w:val="24"/>
              </w:rPr>
              <w:t>。</w:t>
            </w:r>
          </w:p>
        </w:tc>
      </w:tr>
    </w:tbl>
    <w:p w14:paraId="793ADBC1">
      <w:pPr>
        <w:spacing w:line="360" w:lineRule="auto"/>
        <w:rPr>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C4BEB9D">
      <w:pPr>
        <w:pStyle w:val="29"/>
        <w:spacing w:before="0" w:beforeAutospacing="0" w:after="0" w:afterAutospacing="0"/>
        <w:jc w:val="center"/>
        <w:outlineLvl w:val="0"/>
        <w:rPr>
          <w:rFonts w:ascii="Times New Roman" w:hAnsi="Times New Roman"/>
          <w:b/>
          <w:snapToGrid w:val="0"/>
          <w:color w:val="auto"/>
          <w:sz w:val="30"/>
          <w:szCs w:val="30"/>
        </w:rPr>
      </w:pPr>
      <w:bookmarkStart w:id="4" w:name="_Toc7534"/>
      <w:r>
        <w:rPr>
          <w:rFonts w:ascii="Times New Roman"/>
          <w:b/>
          <w:snapToGrid w:val="0"/>
          <w:color w:val="auto"/>
          <w:sz w:val="30"/>
          <w:szCs w:val="30"/>
        </w:rPr>
        <w:t>二、建设项目工程分析</w:t>
      </w:r>
      <w:bookmarkEnd w:id="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2AA56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5" w:hRule="atLeast"/>
          <w:jc w:val="center"/>
        </w:trPr>
        <w:tc>
          <w:tcPr>
            <w:tcW w:w="425" w:type="dxa"/>
            <w:vAlign w:val="center"/>
          </w:tcPr>
          <w:p w14:paraId="3C87304F">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建设内容</w:t>
            </w:r>
          </w:p>
        </w:tc>
        <w:tc>
          <w:tcPr>
            <w:tcW w:w="8635" w:type="dxa"/>
          </w:tcPr>
          <w:p w14:paraId="55CE222E">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1.</w:t>
            </w:r>
            <w:r>
              <w:rPr>
                <w:rFonts w:hAnsi="宋体"/>
                <w:b/>
                <w:color w:val="auto"/>
                <w:kern w:val="0"/>
                <w:sz w:val="24"/>
                <w:szCs w:val="20"/>
              </w:rPr>
              <w:t>项目由来</w:t>
            </w:r>
          </w:p>
          <w:p w14:paraId="225DB65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淮安零碳能源环保科技有限公司</w:t>
            </w:r>
            <w:r>
              <w:rPr>
                <w:rFonts w:hint="eastAsia" w:ascii="Times New Roman" w:hAnsi="Times New Roman" w:eastAsia="宋体" w:cs="Times New Roman"/>
                <w:color w:val="auto"/>
                <w:sz w:val="24"/>
                <w:szCs w:val="24"/>
              </w:rPr>
              <w:t>（下文简称“零碳公司”，原名涟水桑德环保能源有限公司）位于涟水县大东镇马棚农场</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主要建设有生活垃圾填埋场（下文简称“填埋场”）一座及生活垃圾焚烧厂（下文简称“焚烧厂”）一座。其中，</w:t>
            </w:r>
            <w:r>
              <w:rPr>
                <w:rFonts w:hint="eastAsia" w:cs="Times New Roman"/>
                <w:color w:val="auto"/>
                <w:sz w:val="24"/>
                <w:szCs w:val="24"/>
                <w:lang w:eastAsia="zh-CN"/>
              </w:rPr>
              <w:t>填埋场</w:t>
            </w:r>
            <w:r>
              <w:rPr>
                <w:rFonts w:hint="eastAsia" w:ascii="Times New Roman" w:hAnsi="Times New Roman" w:eastAsia="宋体" w:cs="Times New Roman"/>
                <w:color w:val="auto"/>
                <w:sz w:val="24"/>
                <w:szCs w:val="24"/>
              </w:rPr>
              <w:t>占地8</w:t>
            </w:r>
            <w:r>
              <w:rPr>
                <w:rFonts w:hint="default" w:ascii="Times New Roman" w:hAnsi="Times New Roman" w:eastAsia="宋体" w:cs="Times New Roman"/>
                <w:color w:val="auto"/>
                <w:sz w:val="24"/>
                <w:szCs w:val="24"/>
              </w:rPr>
              <w:t>6663m</w:t>
            </w:r>
            <w:r>
              <w:rPr>
                <w:rFonts w:hint="default"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，日处理垃圾3</w:t>
            </w:r>
            <w:r>
              <w:rPr>
                <w:rFonts w:hint="default"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吨，处理用量为8</w:t>
            </w:r>
            <w:r>
              <w:rPr>
                <w:rFonts w:hint="default" w:ascii="Times New Roman" w:hAnsi="Times New Roman" w:eastAsia="宋体" w:cs="Times New Roman"/>
                <w:color w:val="auto"/>
                <w:sz w:val="24"/>
                <w:szCs w:val="24"/>
              </w:rPr>
              <w:t>5.7</w:t>
            </w:r>
            <w:r>
              <w:rPr>
                <w:rFonts w:hint="eastAsia" w:ascii="Times New Roman" w:hAnsi="Times New Roman" w:eastAsia="宋体" w:cs="Times New Roman"/>
                <w:color w:val="auto"/>
                <w:sz w:val="24"/>
                <w:szCs w:val="24"/>
              </w:rPr>
              <w:t>万吨（库容8</w:t>
            </w:r>
            <w:r>
              <w:rPr>
                <w:rFonts w:hint="default" w:ascii="Times New Roman" w:hAnsi="Times New Roman" w:eastAsia="宋体" w:cs="Times New Roman"/>
                <w:color w:val="auto"/>
                <w:sz w:val="24"/>
                <w:szCs w:val="24"/>
              </w:rPr>
              <w:t>9.47</w:t>
            </w:r>
            <w:r>
              <w:rPr>
                <w:rFonts w:hint="eastAsia"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），使用年限为1</w:t>
            </w:r>
            <w:r>
              <w:rPr>
                <w:rFonts w:hint="default" w:ascii="Times New Roman" w:hAnsi="Times New Roman" w:eastAsia="宋体" w:cs="Times New Roman"/>
                <w:color w:val="auto"/>
                <w:sz w:val="24"/>
                <w:szCs w:val="24"/>
              </w:rPr>
              <w:t>0.2</w:t>
            </w:r>
            <w:r>
              <w:rPr>
                <w:rFonts w:hint="eastAsia" w:ascii="Times New Roman" w:hAnsi="Times New Roman" w:eastAsia="宋体" w:cs="Times New Roman"/>
                <w:color w:val="auto"/>
                <w:sz w:val="24"/>
                <w:szCs w:val="24"/>
              </w:rPr>
              <w:t>年，《日处理垃圾3</w:t>
            </w:r>
            <w:r>
              <w:rPr>
                <w:rFonts w:hint="default"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吨项目》于2</w:t>
            </w:r>
            <w:r>
              <w:rPr>
                <w:rFonts w:hint="default" w:ascii="Times New Roman" w:hAnsi="Times New Roman" w:eastAsia="宋体" w:cs="Times New Roman"/>
                <w:color w:val="auto"/>
                <w:sz w:val="24"/>
                <w:szCs w:val="24"/>
              </w:rPr>
              <w:t>011</w:t>
            </w:r>
            <w:r>
              <w:rPr>
                <w:rFonts w:hint="eastAsia" w:ascii="Times New Roman" w:hAnsi="Times New Roman" w:eastAsia="宋体" w:cs="Times New Roman"/>
                <w:color w:val="auto"/>
                <w:sz w:val="24"/>
                <w:szCs w:val="24"/>
              </w:rPr>
              <w:t>年1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月获得原涟水县环境保护局批复（涟环发</w:t>
            </w:r>
            <w:r>
              <w:rPr>
                <w:rFonts w:hint="eastAsia" w:cs="Times New Roman"/>
                <w:color w:val="auto"/>
                <w:sz w:val="24"/>
                <w:szCs w:val="24"/>
                <w:lang w:eastAsia="zh-CN"/>
              </w:rPr>
              <w:t>〔2011〕94号</w:t>
            </w:r>
            <w:r>
              <w:rPr>
                <w:rFonts w:hint="eastAsia"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t>016</w:t>
            </w:r>
            <w:r>
              <w:rPr>
                <w:rFonts w:hint="eastAsia" w:ascii="Times New Roman" w:hAnsi="Times New Roman" w:eastAsia="宋体" w:cs="Times New Roman"/>
                <w:color w:val="auto"/>
                <w:sz w:val="24"/>
                <w:szCs w:val="24"/>
              </w:rPr>
              <w:t>年1月7日通过原涟水县环境保护局环保竣工验收</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焚烧厂</w:t>
            </w:r>
            <w:r>
              <w:rPr>
                <w:rFonts w:hint="eastAsia" w:cs="Times New Roman"/>
                <w:color w:val="auto"/>
                <w:sz w:val="24"/>
                <w:szCs w:val="24"/>
                <w:lang w:eastAsia="zh-CN"/>
              </w:rPr>
              <w:t>处理能力为</w:t>
            </w:r>
            <w:r>
              <w:rPr>
                <w:rFonts w:hint="eastAsia" w:ascii="Times New Roman" w:hAnsi="Times New Roman" w:eastAsia="宋体" w:cs="Times New Roman"/>
                <w:color w:val="auto"/>
                <w:sz w:val="24"/>
                <w:szCs w:val="24"/>
              </w:rPr>
              <w:t>800吨</w:t>
            </w:r>
            <w:r>
              <w:rPr>
                <w:rFonts w:hint="eastAsia" w:cs="Times New Roman"/>
                <w:color w:val="auto"/>
                <w:sz w:val="24"/>
                <w:szCs w:val="24"/>
                <w:lang w:val="en-US" w:eastAsia="zh-CN"/>
              </w:rPr>
              <w:t>/天</w:t>
            </w:r>
            <w:r>
              <w:rPr>
                <w:rFonts w:hint="eastAsia" w:ascii="Times New Roman" w:hAnsi="Times New Roman" w:eastAsia="宋体" w:cs="Times New Roman"/>
                <w:color w:val="auto"/>
                <w:sz w:val="24"/>
                <w:szCs w:val="24"/>
              </w:rPr>
              <w:t>，建设有2条400t/d的炉排焚烧炉焚烧处理线，《涟水桑德环保能源有限公司涟水县生活垃圾焚烧发电项目环境影响报告书》于2</w:t>
            </w:r>
            <w:r>
              <w:rPr>
                <w:rFonts w:hint="default" w:ascii="Times New Roman" w:hAnsi="Times New Roman" w:eastAsia="宋体" w:cs="Times New Roman"/>
                <w:color w:val="auto"/>
                <w:sz w:val="24"/>
                <w:szCs w:val="24"/>
              </w:rPr>
              <w:t>017</w:t>
            </w:r>
            <w:r>
              <w:rPr>
                <w:rFonts w:hint="eastAsia" w:ascii="Times New Roman" w:hAnsi="Times New Roman" w:eastAsia="宋体" w:cs="Times New Roman"/>
                <w:color w:val="auto"/>
                <w:sz w:val="24"/>
                <w:szCs w:val="24"/>
              </w:rPr>
              <w:t>年取得原涟水县环境保护局批复（涟环发</w:t>
            </w:r>
            <w:r>
              <w:rPr>
                <w:rFonts w:hint="eastAsia" w:cs="Times New Roman"/>
                <w:color w:val="auto"/>
                <w:sz w:val="24"/>
                <w:szCs w:val="24"/>
                <w:lang w:eastAsia="zh-CN"/>
              </w:rPr>
              <w:t>〔2017〕10号</w:t>
            </w:r>
            <w:r>
              <w:rPr>
                <w:rFonts w:hint="eastAsia" w:ascii="Times New Roman" w:hAnsi="Times New Roman" w:eastAsia="宋体" w:cs="Times New Roman"/>
                <w:color w:val="auto"/>
                <w:sz w:val="24"/>
                <w:szCs w:val="24"/>
              </w:rPr>
              <w:t>），并于2</w:t>
            </w:r>
            <w:r>
              <w:rPr>
                <w:rFonts w:hint="default" w:ascii="Times New Roman" w:hAnsi="Times New Roman" w:eastAsia="宋体" w:cs="Times New Roman"/>
                <w:color w:val="auto"/>
                <w:sz w:val="24"/>
                <w:szCs w:val="24"/>
              </w:rPr>
              <w:t>020</w:t>
            </w:r>
            <w:r>
              <w:rPr>
                <w:rFonts w:hint="eastAsia" w:ascii="Times New Roman" w:hAnsi="Times New Roman" w:eastAsia="宋体" w:cs="Times New Roman"/>
                <w:color w:val="auto"/>
                <w:sz w:val="24"/>
                <w:szCs w:val="24"/>
              </w:rPr>
              <w:t>年1</w:t>
            </w: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月1</w:t>
            </w:r>
            <w:r>
              <w:rPr>
                <w:rFonts w:hint="default"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日通过自主验收。</w:t>
            </w:r>
            <w:r>
              <w:rPr>
                <w:rFonts w:hint="eastAsia" w:cs="Times New Roman"/>
                <w:color w:val="auto"/>
                <w:sz w:val="24"/>
                <w:szCs w:val="24"/>
                <w:lang w:eastAsia="zh-CN"/>
              </w:rPr>
              <w:t>由于</w:t>
            </w:r>
            <w:r>
              <w:rPr>
                <w:rFonts w:hint="default" w:ascii="Times New Roman" w:hAnsi="Times New Roman" w:eastAsia="宋体" w:cs="Times New Roman"/>
                <w:color w:val="auto"/>
                <w:sz w:val="24"/>
                <w:szCs w:val="24"/>
              </w:rPr>
              <w:t>入炉废物种类在现有生活垃圾基础上增加一般工业固废，总处置量不变</w:t>
            </w:r>
            <w:r>
              <w:rPr>
                <w:rFonts w:hint="eastAsia" w:ascii="Times New Roman" w:hAnsi="Times New Roman" w:eastAsia="宋体" w:cs="Times New Roman"/>
                <w:color w:val="auto"/>
                <w:sz w:val="24"/>
                <w:szCs w:val="24"/>
                <w:lang w:eastAsia="zh-CN"/>
              </w:rPr>
              <w:t>以及</w:t>
            </w:r>
            <w:r>
              <w:rPr>
                <w:rFonts w:hint="default" w:ascii="Times New Roman" w:hAnsi="Times New Roman" w:eastAsia="宋体" w:cs="Times New Roman"/>
                <w:color w:val="auto"/>
                <w:sz w:val="24"/>
                <w:szCs w:val="24"/>
              </w:rPr>
              <w:t>渗滤液浓缩液不再回喷，全部进入石灰制浆系统制浆；此外将飞灰暂存库扩容。</w:t>
            </w:r>
            <w:r>
              <w:rPr>
                <w:rFonts w:hint="eastAsia" w:ascii="Times New Roman" w:hAnsi="Times New Roman" w:eastAsia="宋体" w:cs="Times New Roman"/>
                <w:color w:val="auto"/>
                <w:sz w:val="24"/>
                <w:szCs w:val="24"/>
                <w:lang w:eastAsia="zh-CN"/>
              </w:rPr>
              <w:t>编制了</w:t>
            </w:r>
            <w:r>
              <w:rPr>
                <w:rFonts w:hint="default" w:ascii="Times New Roman" w:hAnsi="Times New Roman" w:eastAsia="宋体" w:cs="Times New Roman"/>
                <w:color w:val="auto"/>
                <w:sz w:val="24"/>
                <w:szCs w:val="24"/>
              </w:rPr>
              <w:t>《涟水县生活垃圾焚烧发电技改项目环境影响报告书》，于2024年1月取得淮安市</w:t>
            </w:r>
            <w:r>
              <w:rPr>
                <w:rFonts w:hint="eastAsia" w:cs="Times New Roman"/>
                <w:color w:val="auto"/>
                <w:sz w:val="24"/>
                <w:szCs w:val="24"/>
                <w:lang w:eastAsia="zh-CN"/>
              </w:rPr>
              <w:t>涟水</w:t>
            </w:r>
            <w:r>
              <w:rPr>
                <w:rFonts w:hint="default" w:ascii="Times New Roman" w:hAnsi="Times New Roman" w:eastAsia="宋体" w:cs="Times New Roman"/>
                <w:color w:val="auto"/>
                <w:sz w:val="24"/>
                <w:szCs w:val="24"/>
              </w:rPr>
              <w:t>生态环境局出具的环评批复（淮（涟）环发〔2024〕1号），2025年5月通过企业自主竣工环保验收。</w:t>
            </w:r>
          </w:p>
          <w:p w14:paraId="14076989">
            <w:pPr>
              <w:spacing w:line="360" w:lineRule="auto"/>
              <w:ind w:firstLine="480" w:firstLineChars="200"/>
              <w:rPr>
                <w:rFonts w:hint="eastAsia" w:ascii="Times New Roman" w:hAnsi="Times New Roman" w:eastAsia="宋体" w:cs="Times New Roman"/>
                <w:color w:val="auto"/>
                <w:sz w:val="24"/>
                <w:szCs w:val="24"/>
                <w:shd w:val="clear" w:color="auto" w:fill="FFFFFF"/>
                <w:lang w:eastAsia="zh-CN"/>
              </w:rPr>
            </w:pPr>
            <w:r>
              <w:rPr>
                <w:rFonts w:hint="eastAsia" w:cs="Times New Roman"/>
                <w:color w:val="auto"/>
                <w:sz w:val="24"/>
                <w:szCs w:val="24"/>
                <w:shd w:val="clear" w:color="auto" w:fill="FFFFFF"/>
                <w:lang w:eastAsia="zh-CN"/>
              </w:rPr>
              <w:t>目前</w:t>
            </w:r>
            <w:r>
              <w:rPr>
                <w:rFonts w:hint="eastAsia" w:ascii="Times New Roman" w:hAnsi="Times New Roman" w:eastAsia="宋体" w:cs="Times New Roman"/>
                <w:color w:val="auto"/>
                <w:sz w:val="24"/>
                <w:szCs w:val="24"/>
                <w:shd w:val="clear" w:color="auto" w:fill="FFFFFF"/>
                <w:lang w:eastAsia="zh-CN"/>
              </w:rPr>
              <w:t>企</w:t>
            </w:r>
            <w:r>
              <w:rPr>
                <w:rFonts w:hint="eastAsia" w:ascii="Times New Roman" w:hAnsi="Times New Roman" w:eastAsia="宋体" w:cs="Times New Roman"/>
                <w:color w:val="auto"/>
                <w:sz w:val="24"/>
                <w:szCs w:val="24"/>
                <w:lang w:eastAsia="zh-CN"/>
              </w:rPr>
              <w:t>业飞</w:t>
            </w:r>
            <w:r>
              <w:rPr>
                <w:rFonts w:hint="eastAsia" w:ascii="Times New Roman" w:hAnsi="Times New Roman" w:eastAsia="宋体" w:cs="Times New Roman"/>
                <w:color w:val="auto"/>
                <w:sz w:val="24"/>
                <w:szCs w:val="24"/>
              </w:rPr>
              <w:t>灰暂存场所1座，容积为</w:t>
            </w:r>
            <w:r>
              <w:rPr>
                <w:rFonts w:hint="default" w:ascii="Times New Roman" w:hAnsi="Times New Roman" w:eastAsia="宋体" w:cs="Times New Roman"/>
                <w:color w:val="auto"/>
                <w:sz w:val="24"/>
                <w:szCs w:val="24"/>
              </w:rPr>
              <w:t>700</w:t>
            </w:r>
            <w:r>
              <w:rPr>
                <w:rFonts w:hint="eastAsia"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，可贮存</w:t>
            </w:r>
            <w:r>
              <w:rPr>
                <w:rFonts w:hint="default" w:ascii="Times New Roman" w:hAnsi="Times New Roman" w:eastAsia="宋体" w:cs="Times New Roman"/>
                <w:color w:val="auto"/>
                <w:sz w:val="24"/>
                <w:szCs w:val="24"/>
              </w:rPr>
              <w:t>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4"/>
              </w:rPr>
              <w:t>天的量</w:t>
            </w:r>
            <w:r>
              <w:rPr>
                <w:rFonts w:hint="eastAsia" w:ascii="Times New Roman" w:hAnsi="Times New Roman" w:eastAsia="宋体" w:cs="Times New Roman"/>
                <w:color w:val="auto"/>
                <w:sz w:val="24"/>
                <w:szCs w:val="24"/>
                <w:lang w:val="en-US" w:eastAsia="zh-CN"/>
              </w:rPr>
              <w:t>。企业焚烧发电厂产生的飞灰，在</w:t>
            </w:r>
            <w:r>
              <w:rPr>
                <w:rFonts w:hint="eastAsia" w:ascii="Times New Roman" w:hAnsi="Times New Roman" w:eastAsia="宋体" w:cs="Times New Roman"/>
                <w:color w:val="auto"/>
                <w:sz w:val="24"/>
                <w:szCs w:val="24"/>
              </w:rPr>
              <w:t>飞灰储仓中；计量加入适量有机螯合剂和水</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进行螯合，</w:t>
            </w:r>
            <w:r>
              <w:rPr>
                <w:rFonts w:hint="default" w:ascii="Times New Roman" w:hAnsi="Times New Roman" w:eastAsia="宋体" w:cs="Times New Roman"/>
                <w:color w:val="auto"/>
                <w:sz w:val="24"/>
                <w:szCs w:val="24"/>
              </w:rPr>
              <w:t>混合物料经充分搅拌后，样品送检</w:t>
            </w:r>
            <w:r>
              <w:rPr>
                <w:rFonts w:hint="eastAsia" w:cs="Times New Roman"/>
                <w:color w:val="auto"/>
                <w:sz w:val="24"/>
                <w:szCs w:val="24"/>
                <w:lang w:eastAsia="zh-CN"/>
              </w:rPr>
              <w:t>至</w:t>
            </w:r>
            <w:r>
              <w:rPr>
                <w:rFonts w:hint="eastAsia" w:ascii="Times New Roman" w:hAnsi="Times New Roman" w:eastAsia="宋体" w:cs="Times New Roman"/>
                <w:color w:val="auto"/>
                <w:sz w:val="24"/>
                <w:szCs w:val="24"/>
                <w:lang w:eastAsia="zh-CN"/>
              </w:rPr>
              <w:t>本公司化验室</w:t>
            </w:r>
            <w:r>
              <w:rPr>
                <w:rFonts w:hint="default" w:ascii="Times New Roman" w:hAnsi="Times New Roman" w:eastAsia="宋体" w:cs="Times New Roman"/>
                <w:color w:val="auto"/>
                <w:sz w:val="24"/>
                <w:szCs w:val="24"/>
              </w:rPr>
              <w:t>检验，经检测合格后</w:t>
            </w:r>
            <w:r>
              <w:rPr>
                <w:rFonts w:hint="eastAsia" w:cs="Times New Roman"/>
                <w:color w:val="auto"/>
                <w:sz w:val="24"/>
                <w:szCs w:val="24"/>
                <w:lang w:eastAsia="zh-CN"/>
              </w:rPr>
              <w:t>符</w:t>
            </w:r>
            <w:r>
              <w:rPr>
                <w:rFonts w:hint="eastAsia" w:ascii="Times New Roman" w:hAnsi="Times New Roman" w:eastAsia="宋体" w:cs="Times New Roman"/>
                <w:color w:val="auto"/>
                <w:sz w:val="24"/>
                <w:szCs w:val="24"/>
                <w:lang w:eastAsia="zh-CN"/>
              </w:rPr>
              <w:t>合</w:t>
            </w:r>
            <w:r>
              <w:rPr>
                <w:rFonts w:hint="default" w:ascii="Times New Roman" w:hAnsi="Times New Roman" w:eastAsia="宋体" w:cs="Times New Roman"/>
                <w:color w:val="auto"/>
                <w:sz w:val="24"/>
                <w:szCs w:val="24"/>
              </w:rPr>
              <w:t>《生活垃圾填埋场污染控制标准》（GB16889-2024）</w:t>
            </w:r>
            <w:r>
              <w:rPr>
                <w:rFonts w:hint="eastAsia" w:cs="Times New Roman"/>
                <w:color w:val="auto"/>
                <w:sz w:val="24"/>
                <w:szCs w:val="24"/>
                <w:lang w:eastAsia="zh-CN"/>
              </w:rPr>
              <w:t>标准</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螯合车间</w:t>
            </w:r>
            <w:r>
              <w:rPr>
                <w:rFonts w:hint="eastAsia" w:ascii="Times New Roman" w:hAnsi="Times New Roman" w:eastAsia="宋体" w:cs="Times New Roman"/>
                <w:color w:val="auto"/>
                <w:sz w:val="24"/>
                <w:szCs w:val="24"/>
                <w:lang w:eastAsia="zh-CN"/>
              </w:rPr>
              <w:t>进入吨袋打包扎口密封后，转运至厂区</w:t>
            </w:r>
            <w:r>
              <w:rPr>
                <w:rFonts w:hint="eastAsia" w:ascii="Times New Roman" w:hAnsi="Times New Roman" w:eastAsia="宋体" w:cs="Times New Roman"/>
                <w:color w:val="auto"/>
                <w:sz w:val="24"/>
                <w:szCs w:val="24"/>
                <w:lang w:val="en-US" w:eastAsia="zh-CN"/>
              </w:rPr>
              <w:t>飞灰暂存库暂存7天进行固化</w:t>
            </w:r>
            <w:r>
              <w:rPr>
                <w:rFonts w:hint="eastAsia" w:cs="Times New Roman"/>
                <w:color w:val="auto"/>
                <w:sz w:val="24"/>
                <w:szCs w:val="24"/>
                <w:lang w:val="en-US" w:eastAsia="zh-CN"/>
              </w:rPr>
              <w:t>过程</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经7天固化后，再次送检化验室检验，</w:t>
            </w:r>
            <w:r>
              <w:rPr>
                <w:rFonts w:hint="default" w:ascii="Times New Roman" w:hAnsi="Times New Roman" w:eastAsia="宋体" w:cs="Times New Roman"/>
                <w:color w:val="auto"/>
                <w:sz w:val="24"/>
                <w:szCs w:val="24"/>
              </w:rPr>
              <w:t>经检测合格后</w:t>
            </w:r>
            <w:r>
              <w:rPr>
                <w:rFonts w:hint="eastAsia" w:cs="Times New Roman"/>
                <w:color w:val="auto"/>
                <w:sz w:val="24"/>
                <w:szCs w:val="24"/>
                <w:lang w:eastAsia="zh-CN"/>
              </w:rPr>
              <w:t>符</w:t>
            </w:r>
            <w:r>
              <w:rPr>
                <w:rFonts w:hint="eastAsia" w:ascii="Times New Roman" w:hAnsi="Times New Roman" w:eastAsia="宋体" w:cs="Times New Roman"/>
                <w:color w:val="auto"/>
                <w:sz w:val="24"/>
                <w:szCs w:val="24"/>
                <w:lang w:eastAsia="zh-CN"/>
              </w:rPr>
              <w:t>合</w:t>
            </w:r>
            <w:r>
              <w:rPr>
                <w:rFonts w:hint="default" w:ascii="Times New Roman" w:hAnsi="Times New Roman" w:eastAsia="宋体" w:cs="Times New Roman"/>
                <w:color w:val="auto"/>
                <w:sz w:val="24"/>
                <w:szCs w:val="24"/>
              </w:rPr>
              <w:t>《生活垃圾填埋场污染控制标准》（GB16889-2024）</w:t>
            </w:r>
            <w:r>
              <w:rPr>
                <w:rFonts w:hint="eastAsia" w:cs="Times New Roman"/>
                <w:color w:val="auto"/>
                <w:sz w:val="24"/>
                <w:szCs w:val="24"/>
                <w:lang w:eastAsia="zh-CN"/>
              </w:rPr>
              <w:t>标准后，</w:t>
            </w:r>
            <w:r>
              <w:rPr>
                <w:rFonts w:hint="eastAsia" w:ascii="Times New Roman" w:hAnsi="Times New Roman" w:eastAsia="宋体" w:cs="Times New Roman"/>
                <w:color w:val="auto"/>
                <w:sz w:val="24"/>
                <w:szCs w:val="24"/>
                <w:lang w:eastAsia="zh-CN"/>
              </w:rPr>
              <w:t>按</w:t>
            </w:r>
            <w:r>
              <w:rPr>
                <w:rFonts w:hint="default" w:ascii="Times New Roman" w:hAnsi="Times New Roman" w:eastAsia="宋体" w:cs="Times New Roman"/>
                <w:color w:val="auto"/>
                <w:sz w:val="24"/>
                <w:szCs w:val="24"/>
              </w:rPr>
              <w:t>要求可以进入生活垃圾填埋场填埋</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但</w:t>
            </w:r>
            <w:r>
              <w:rPr>
                <w:rFonts w:hint="eastAsia" w:cs="Times New Roman"/>
                <w:color w:val="auto"/>
                <w:sz w:val="24"/>
                <w:szCs w:val="24"/>
                <w:lang w:val="en-US" w:eastAsia="zh-CN"/>
              </w:rPr>
              <w:t>目前</w:t>
            </w:r>
            <w:r>
              <w:rPr>
                <w:rFonts w:hint="eastAsia" w:cs="Times New Roman"/>
                <w:color w:val="auto"/>
                <w:sz w:val="24"/>
                <w:szCs w:val="24"/>
                <w:shd w:val="clear" w:color="auto" w:fill="FFFFFF"/>
                <w:lang w:val="en-US" w:eastAsia="zh-CN"/>
              </w:rPr>
              <w:t>由于1#飞灰暂存库场地有限，实际操作不便，浪费人力物力，飞灰在经过7天的稳定固化后需要转运至飞灰填埋场进行填埋</w:t>
            </w:r>
            <w:r>
              <w:rPr>
                <w:rFonts w:hint="eastAsia" w:ascii="Times New Roman" w:hAnsi="Times New Roman" w:eastAsia="宋体" w:cs="Times New Roman"/>
                <w:color w:val="auto"/>
                <w:sz w:val="24"/>
                <w:szCs w:val="24"/>
                <w:shd w:val="clear" w:color="auto" w:fill="FFFFFF"/>
                <w:lang w:eastAsia="zh-CN"/>
              </w:rPr>
              <w:t>，</w:t>
            </w:r>
            <w:r>
              <w:rPr>
                <w:rFonts w:hint="eastAsia" w:cs="Times New Roman"/>
                <w:color w:val="auto"/>
                <w:sz w:val="24"/>
                <w:szCs w:val="24"/>
                <w:shd w:val="clear" w:color="auto" w:fill="FFFFFF"/>
                <w:lang w:eastAsia="zh-CN"/>
              </w:rPr>
              <w:t>由于每天暂存库会进入新的飞灰吨袋，需要垒高，当第</w:t>
            </w:r>
            <w:r>
              <w:rPr>
                <w:rFonts w:hint="eastAsia" w:cs="Times New Roman"/>
                <w:color w:val="auto"/>
                <w:sz w:val="24"/>
                <w:szCs w:val="24"/>
                <w:shd w:val="clear" w:color="auto" w:fill="FFFFFF"/>
                <w:lang w:val="en-US" w:eastAsia="zh-CN"/>
              </w:rPr>
              <w:t>8天飞灰进入时，又需要转运第一天的已稳定固化的飞灰，此时叉车在暂存库进行吨包转运操作很不方便，且每天都需要对已固化的飞灰进行检测，检测合格后利用厂区运输车转运至填埋场，还需要将新的飞灰吨袋入库，每天对暂存库开关闭合。因此从员工操作角度考虑：为方便操作转运以及存储，减少员工操作时间；从环保角度考虑：当1#暂存库暂存1—7天的飞灰量后，关闭仓库，待14号结束最后一天进入仓库的飞灰固化7天后，再打开仓门，一次性全部转运至飞灰填埋场，这样减少开门次数，减少转运频次，有利于减少无组织排放；从经济角度考虑：每天厂区运输车转运至填埋场，经济成本高。因此从员工操作、环保、经济多方面考虑：企业拟在原飞灰暂存库东侧，新建一座占地面积180m</w:t>
            </w:r>
            <w:r>
              <w:rPr>
                <w:rFonts w:hint="eastAsia" w:cs="Times New Roman"/>
                <w:color w:val="auto"/>
                <w:sz w:val="24"/>
                <w:szCs w:val="24"/>
                <w:shd w:val="clear" w:color="auto" w:fill="FFFFFF"/>
                <w:vertAlign w:val="superscript"/>
                <w:lang w:val="en-US" w:eastAsia="zh-CN"/>
              </w:rPr>
              <w:t>2</w:t>
            </w:r>
            <w:r>
              <w:rPr>
                <w:rFonts w:hint="eastAsia" w:cs="Times New Roman"/>
                <w:color w:val="auto"/>
                <w:sz w:val="24"/>
                <w:szCs w:val="24"/>
                <w:shd w:val="clear" w:color="auto" w:fill="FFFFFF"/>
                <w:vertAlign w:val="baseline"/>
                <w:lang w:val="en-US" w:eastAsia="zh-CN"/>
              </w:rPr>
              <w:t>飞灰暂存库，高7.2m，库容</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的飞灰暂存库，</w:t>
            </w:r>
            <w:r>
              <w:rPr>
                <w:rFonts w:hint="eastAsia" w:ascii="Times New Roman" w:hAnsi="Times New Roman" w:eastAsia="宋体" w:cs="Times New Roman"/>
                <w:color w:val="auto"/>
                <w:sz w:val="24"/>
                <w:szCs w:val="24"/>
                <w:shd w:val="clear" w:color="auto" w:fill="FFFFFF"/>
                <w:lang w:val="en-US" w:eastAsia="zh-CN"/>
              </w:rPr>
              <w:t>堆高3层，</w:t>
            </w:r>
            <w:r>
              <w:rPr>
                <w:rFonts w:hint="eastAsia" w:ascii="Times New Roman" w:hAnsi="Times New Roman" w:eastAsia="宋体" w:cs="Times New Roman"/>
                <w:color w:val="auto"/>
                <w:sz w:val="24"/>
                <w:szCs w:val="24"/>
                <w:vertAlign w:val="baseline"/>
                <w:lang w:eastAsia="zh-CN"/>
              </w:rPr>
              <w:t>新建的飞灰暂存库可满足</w:t>
            </w:r>
            <w:r>
              <w:rPr>
                <w:rFonts w:hint="eastAsia" w:cs="Times New Roman"/>
                <w:color w:val="auto"/>
                <w:sz w:val="24"/>
                <w:szCs w:val="24"/>
                <w:vertAlign w:val="baseline"/>
                <w:lang w:val="en-US" w:eastAsia="zh-CN"/>
              </w:rPr>
              <w:t>8—10</w:t>
            </w:r>
            <w:r>
              <w:rPr>
                <w:rFonts w:hint="eastAsia" w:ascii="Times New Roman" w:hAnsi="Times New Roman" w:eastAsia="宋体" w:cs="Times New Roman"/>
                <w:color w:val="auto"/>
                <w:sz w:val="24"/>
                <w:szCs w:val="24"/>
                <w:vertAlign w:val="baseline"/>
                <w:lang w:val="en-US" w:eastAsia="zh-CN"/>
              </w:rPr>
              <w:t>天的飞灰螯合物。2个危废库可交替使用</w:t>
            </w:r>
            <w:r>
              <w:rPr>
                <w:rFonts w:hint="eastAsia" w:cs="Times New Roman"/>
                <w:color w:val="auto"/>
                <w:sz w:val="24"/>
                <w:szCs w:val="24"/>
                <w:vertAlign w:val="baseline"/>
                <w:lang w:val="en-US" w:eastAsia="zh-CN"/>
              </w:rPr>
              <w:t>（项目建成后1#暂存库暂存每月1-7号的飞灰，然后进行封库待稳定固化。8-14号产生的飞灰进入2#飞灰库暂存，待14日后2#暂存库进行封库待稳定固化。此时1#飞灰暂存库已完成固化过程，打开1#暂存库，待化验室检测合格后，全部转运至飞灰填埋场填埋。以此达到交替使用的状态）</w:t>
            </w:r>
            <w:r>
              <w:rPr>
                <w:rFonts w:hint="eastAsia"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shd w:val="clear" w:color="auto" w:fill="FFFFFF"/>
                <w:lang w:eastAsia="zh-CN"/>
              </w:rPr>
              <w:t>该项目已于2025年</w:t>
            </w:r>
            <w:r>
              <w:rPr>
                <w:rFonts w:hint="eastAsia" w:cs="Times New Roman"/>
                <w:color w:val="auto"/>
                <w:sz w:val="24"/>
                <w:szCs w:val="24"/>
                <w:shd w:val="clear" w:color="auto" w:fill="FFFFFF"/>
                <w:lang w:val="en-US" w:eastAsia="zh-CN"/>
              </w:rPr>
              <w:t>11</w:t>
            </w:r>
            <w:r>
              <w:rPr>
                <w:rFonts w:hint="eastAsia" w:ascii="Times New Roman" w:hAnsi="Times New Roman" w:eastAsia="宋体" w:cs="Times New Roman"/>
                <w:color w:val="auto"/>
                <w:sz w:val="24"/>
                <w:szCs w:val="24"/>
                <w:shd w:val="clear" w:color="auto" w:fill="FFFFFF"/>
                <w:lang w:eastAsia="zh-CN"/>
              </w:rPr>
              <w:t>月</w:t>
            </w:r>
            <w:r>
              <w:rPr>
                <w:rFonts w:hint="eastAsia" w:cs="Times New Roman"/>
                <w:color w:val="auto"/>
                <w:sz w:val="24"/>
                <w:szCs w:val="24"/>
                <w:shd w:val="clear" w:color="auto" w:fill="FFFFFF"/>
                <w:lang w:val="en-US" w:eastAsia="zh-CN"/>
              </w:rPr>
              <w:t>24</w:t>
            </w:r>
            <w:r>
              <w:rPr>
                <w:rFonts w:hint="eastAsia" w:ascii="Times New Roman" w:hAnsi="Times New Roman" w:eastAsia="宋体" w:cs="Times New Roman"/>
                <w:color w:val="auto"/>
                <w:sz w:val="24"/>
                <w:szCs w:val="24"/>
                <w:shd w:val="clear" w:color="auto" w:fill="FFFFFF"/>
                <w:lang w:eastAsia="zh-CN"/>
              </w:rPr>
              <w:t>日</w:t>
            </w:r>
            <w:r>
              <w:rPr>
                <w:rFonts w:hint="eastAsia" w:cs="Times New Roman"/>
                <w:color w:val="auto"/>
                <w:sz w:val="24"/>
                <w:szCs w:val="24"/>
                <w:lang w:eastAsia="zh-CN"/>
              </w:rPr>
              <w:t>涟水县工业和信息化局</w:t>
            </w:r>
            <w:r>
              <w:rPr>
                <w:rFonts w:hint="default" w:ascii="Times New Roman" w:hAnsi="Times New Roman" w:eastAsia="宋体" w:cs="Times New Roman"/>
                <w:color w:val="auto"/>
                <w:sz w:val="24"/>
                <w:szCs w:val="24"/>
              </w:rPr>
              <w:t>备案</w:t>
            </w:r>
            <w:r>
              <w:rPr>
                <w:rFonts w:hint="eastAsia" w:cs="Times New Roman"/>
                <w:color w:val="auto"/>
                <w:sz w:val="24"/>
                <w:szCs w:val="24"/>
                <w:lang w:eastAsia="zh-CN"/>
              </w:rPr>
              <w:t>涟工信备〔2025〕31号</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，项目代码：</w:t>
            </w:r>
            <w:r>
              <w:rPr>
                <w:rFonts w:hint="eastAsia" w:cs="Times New Roman"/>
                <w:color w:val="auto"/>
                <w:sz w:val="24"/>
                <w:szCs w:val="24"/>
                <w:lang w:val="en-US" w:eastAsia="zh-CN"/>
              </w:rPr>
              <w:t>2511-320826-07-02-715399</w:t>
            </w:r>
            <w:r>
              <w:rPr>
                <w:rFonts w:hint="eastAsia" w:cs="Times New Roman"/>
                <w:color w:val="auto"/>
                <w:sz w:val="24"/>
                <w:szCs w:val="24"/>
                <w:shd w:val="clear" w:color="auto" w:fill="FFFFFF"/>
                <w:lang w:val="en-US" w:eastAsia="zh-CN"/>
              </w:rPr>
              <w:t>。</w:t>
            </w:r>
          </w:p>
          <w:p w14:paraId="10E65F77">
            <w:pPr>
              <w:spacing w:line="360" w:lineRule="auto"/>
              <w:ind w:firstLine="480" w:firstLineChars="200"/>
              <w:rPr>
                <w:color w:val="auto"/>
                <w:sz w:val="24"/>
              </w:rPr>
            </w:pPr>
            <w:r>
              <w:rPr>
                <w:color w:val="auto"/>
                <w:sz w:val="24"/>
              </w:rPr>
              <w:t>根据《建设项目分类管理名录》（2021年版），如下表所示：</w:t>
            </w:r>
          </w:p>
          <w:p w14:paraId="3C43EAD6">
            <w:pPr>
              <w:spacing w:line="360" w:lineRule="auto"/>
              <w:ind w:firstLine="482" w:firstLineChars="200"/>
              <w:jc w:val="center"/>
              <w:rPr>
                <w:b/>
                <w:color w:val="auto"/>
                <w:sz w:val="24"/>
              </w:rPr>
            </w:pPr>
            <w:r>
              <w:rPr>
                <w:b/>
                <w:color w:val="auto"/>
                <w:sz w:val="24"/>
              </w:rPr>
              <w:t>表2-1  建设项目环境影响评价分类管理名录</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894"/>
              <w:gridCol w:w="1612"/>
              <w:gridCol w:w="1614"/>
              <w:gridCol w:w="946"/>
              <w:gridCol w:w="1783"/>
            </w:tblGrid>
            <w:tr w14:paraId="1325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dxa"/>
                  <w:gridSpan w:val="2"/>
                  <w:tcBorders>
                    <w:top w:val="single" w:color="auto" w:sz="12" w:space="0"/>
                    <w:bottom w:val="single" w:color="auto" w:sz="12" w:space="0"/>
                    <w:right w:val="single" w:color="auto" w:sz="4" w:space="0"/>
                    <w:tl2br w:val="single" w:color="auto" w:sz="4" w:space="0"/>
                  </w:tcBorders>
                  <w:vAlign w:val="center"/>
                </w:tcPr>
                <w:p w14:paraId="06C1CAD9">
                  <w:pPr>
                    <w:adjustRightInd w:val="0"/>
                    <w:snapToGrid w:val="0"/>
                    <w:jc w:val="right"/>
                    <w:rPr>
                      <w:b/>
                      <w:color w:val="auto"/>
                      <w:szCs w:val="21"/>
                    </w:rPr>
                  </w:pPr>
                  <w:r>
                    <w:rPr>
                      <w:b/>
                      <w:color w:val="auto"/>
                      <w:szCs w:val="21"/>
                    </w:rPr>
                    <w:t>环评类别</w:t>
                  </w:r>
                </w:p>
                <w:p w14:paraId="61E37464">
                  <w:pPr>
                    <w:adjustRightInd w:val="0"/>
                    <w:snapToGrid w:val="0"/>
                    <w:rPr>
                      <w:b/>
                      <w:color w:val="auto"/>
                      <w:szCs w:val="21"/>
                    </w:rPr>
                  </w:pPr>
                  <w:r>
                    <w:rPr>
                      <w:b/>
                      <w:color w:val="auto"/>
                      <w:szCs w:val="21"/>
                    </w:rPr>
                    <w:t>项目类别</w:t>
                  </w:r>
                </w:p>
              </w:tc>
              <w:tc>
                <w:tcPr>
                  <w:tcW w:w="1612" w:type="dxa"/>
                  <w:tcBorders>
                    <w:top w:val="single" w:color="auto" w:sz="12" w:space="0"/>
                    <w:left w:val="single" w:color="auto" w:sz="4" w:space="0"/>
                    <w:bottom w:val="single" w:color="auto" w:sz="12" w:space="0"/>
                    <w:right w:val="single" w:color="auto" w:sz="4" w:space="0"/>
                  </w:tcBorders>
                  <w:vAlign w:val="center"/>
                </w:tcPr>
                <w:p w14:paraId="413BDBC8">
                  <w:pPr>
                    <w:adjustRightInd w:val="0"/>
                    <w:snapToGrid w:val="0"/>
                    <w:jc w:val="center"/>
                    <w:rPr>
                      <w:b/>
                      <w:color w:val="auto"/>
                      <w:szCs w:val="21"/>
                    </w:rPr>
                  </w:pPr>
                  <w:r>
                    <w:rPr>
                      <w:b/>
                      <w:color w:val="auto"/>
                      <w:szCs w:val="21"/>
                    </w:rPr>
                    <w:t>报告书</w:t>
                  </w:r>
                </w:p>
              </w:tc>
              <w:tc>
                <w:tcPr>
                  <w:tcW w:w="1614" w:type="dxa"/>
                  <w:tcBorders>
                    <w:top w:val="single" w:color="auto" w:sz="12" w:space="0"/>
                    <w:left w:val="single" w:color="auto" w:sz="4" w:space="0"/>
                    <w:bottom w:val="single" w:color="auto" w:sz="12" w:space="0"/>
                    <w:right w:val="single" w:color="auto" w:sz="4" w:space="0"/>
                  </w:tcBorders>
                  <w:vAlign w:val="center"/>
                </w:tcPr>
                <w:p w14:paraId="4094BE9E">
                  <w:pPr>
                    <w:adjustRightInd w:val="0"/>
                    <w:snapToGrid w:val="0"/>
                    <w:jc w:val="center"/>
                    <w:rPr>
                      <w:b/>
                      <w:color w:val="auto"/>
                      <w:szCs w:val="21"/>
                    </w:rPr>
                  </w:pPr>
                  <w:r>
                    <w:rPr>
                      <w:b/>
                      <w:color w:val="auto"/>
                      <w:szCs w:val="21"/>
                    </w:rPr>
                    <w:t>报告表</w:t>
                  </w:r>
                </w:p>
              </w:tc>
              <w:tc>
                <w:tcPr>
                  <w:tcW w:w="946" w:type="dxa"/>
                  <w:tcBorders>
                    <w:top w:val="single" w:color="auto" w:sz="12" w:space="0"/>
                    <w:left w:val="single" w:color="auto" w:sz="4" w:space="0"/>
                    <w:bottom w:val="single" w:color="auto" w:sz="12" w:space="0"/>
                  </w:tcBorders>
                  <w:vAlign w:val="center"/>
                </w:tcPr>
                <w:p w14:paraId="12967D28">
                  <w:pPr>
                    <w:adjustRightInd w:val="0"/>
                    <w:snapToGrid w:val="0"/>
                    <w:jc w:val="center"/>
                    <w:rPr>
                      <w:b/>
                      <w:color w:val="auto"/>
                      <w:szCs w:val="21"/>
                    </w:rPr>
                  </w:pPr>
                  <w:r>
                    <w:rPr>
                      <w:b/>
                      <w:color w:val="auto"/>
                      <w:szCs w:val="21"/>
                    </w:rPr>
                    <w:t>登记表</w:t>
                  </w:r>
                </w:p>
              </w:tc>
              <w:tc>
                <w:tcPr>
                  <w:tcW w:w="1783" w:type="dxa"/>
                  <w:tcBorders>
                    <w:top w:val="single" w:color="auto" w:sz="12" w:space="0"/>
                    <w:left w:val="single" w:color="auto" w:sz="4" w:space="0"/>
                    <w:bottom w:val="single" w:color="auto" w:sz="12" w:space="0"/>
                  </w:tcBorders>
                  <w:vAlign w:val="center"/>
                </w:tcPr>
                <w:p w14:paraId="35B4EE0B">
                  <w:pPr>
                    <w:adjustRightInd w:val="0"/>
                    <w:snapToGrid w:val="0"/>
                    <w:jc w:val="center"/>
                    <w:rPr>
                      <w:b/>
                      <w:color w:val="auto"/>
                      <w:szCs w:val="21"/>
                    </w:rPr>
                  </w:pPr>
                  <w:r>
                    <w:rPr>
                      <w:b/>
                      <w:color w:val="auto"/>
                      <w:szCs w:val="21"/>
                    </w:rPr>
                    <w:t>本项目</w:t>
                  </w:r>
                </w:p>
              </w:tc>
            </w:tr>
            <w:tr w14:paraId="170BA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9" w:type="dxa"/>
                  <w:gridSpan w:val="6"/>
                  <w:tcBorders>
                    <w:top w:val="single" w:color="auto" w:sz="12" w:space="0"/>
                    <w:bottom w:val="single" w:color="auto" w:sz="4" w:space="0"/>
                  </w:tcBorders>
                  <w:vAlign w:val="center"/>
                </w:tcPr>
                <w:p w14:paraId="0BCE41FB">
                  <w:pPr>
                    <w:adjustRightInd w:val="0"/>
                    <w:snapToGrid w:val="0"/>
                    <w:rPr>
                      <w:color w:val="auto"/>
                      <w:szCs w:val="21"/>
                    </w:rPr>
                  </w:pPr>
                  <w:r>
                    <w:rPr>
                      <w:rFonts w:hint="eastAsia"/>
                      <w:color w:val="auto"/>
                      <w:szCs w:val="21"/>
                      <w:lang w:eastAsia="zh-CN"/>
                    </w:rPr>
                    <w:t>五十三</w:t>
                  </w:r>
                  <w:r>
                    <w:rPr>
                      <w:color w:val="auto"/>
                      <w:szCs w:val="21"/>
                    </w:rPr>
                    <w:t>、</w:t>
                  </w:r>
                  <w:r>
                    <w:rPr>
                      <w:rFonts w:hint="eastAsia"/>
                      <w:color w:val="auto"/>
                      <w:szCs w:val="21"/>
                      <w:lang w:eastAsia="zh-CN"/>
                    </w:rPr>
                    <w:t>装卸搬运和仓储业</w:t>
                  </w:r>
                  <w:r>
                    <w:rPr>
                      <w:rFonts w:hint="eastAsia"/>
                      <w:color w:val="auto"/>
                      <w:szCs w:val="21"/>
                      <w:lang w:val="en-US" w:eastAsia="zh-CN"/>
                    </w:rPr>
                    <w:t xml:space="preserve"> 59</w:t>
                  </w:r>
                </w:p>
              </w:tc>
            </w:tr>
            <w:tr w14:paraId="22515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tcBorders>
                    <w:top w:val="single" w:color="auto" w:sz="4" w:space="0"/>
                    <w:bottom w:val="single" w:color="auto" w:sz="12" w:space="0"/>
                  </w:tcBorders>
                  <w:vAlign w:val="center"/>
                </w:tcPr>
                <w:p w14:paraId="0594BF9A">
                  <w:pPr>
                    <w:adjustRightInd w:val="0"/>
                    <w:snapToGrid w:val="0"/>
                    <w:jc w:val="center"/>
                    <w:rPr>
                      <w:rFonts w:hint="default" w:eastAsia="宋体"/>
                      <w:color w:val="auto"/>
                      <w:szCs w:val="21"/>
                      <w:lang w:val="en-US" w:eastAsia="zh-CN"/>
                    </w:rPr>
                  </w:pPr>
                  <w:r>
                    <w:rPr>
                      <w:rFonts w:hint="eastAsia"/>
                      <w:color w:val="auto"/>
                      <w:szCs w:val="21"/>
                      <w:lang w:val="en-US" w:eastAsia="zh-CN"/>
                    </w:rPr>
                    <w:t>149</w:t>
                  </w:r>
                </w:p>
              </w:tc>
              <w:tc>
                <w:tcPr>
                  <w:tcW w:w="1894" w:type="dxa"/>
                  <w:tcBorders>
                    <w:top w:val="single" w:color="auto" w:sz="4" w:space="0"/>
                    <w:bottom w:val="single" w:color="auto" w:sz="12" w:space="0"/>
                  </w:tcBorders>
                  <w:vAlign w:val="center"/>
                </w:tcPr>
                <w:p w14:paraId="674522C3">
                  <w:pPr>
                    <w:adjustRightInd w:val="0"/>
                    <w:snapToGrid w:val="0"/>
                    <w:jc w:val="center"/>
                    <w:rPr>
                      <w:rFonts w:hint="default" w:eastAsia="宋体"/>
                      <w:color w:val="auto"/>
                      <w:szCs w:val="21"/>
                      <w:lang w:val="en-US" w:eastAsia="zh-CN"/>
                    </w:rPr>
                  </w:pPr>
                  <w:r>
                    <w:rPr>
                      <w:rFonts w:hint="eastAsia"/>
                      <w:color w:val="auto"/>
                      <w:szCs w:val="21"/>
                      <w:lang w:eastAsia="zh-CN"/>
                    </w:rPr>
                    <w:t>危险品仓储</w:t>
                  </w:r>
                  <w:r>
                    <w:rPr>
                      <w:rFonts w:hint="eastAsia"/>
                      <w:color w:val="auto"/>
                      <w:szCs w:val="21"/>
                      <w:lang w:val="en-US" w:eastAsia="zh-CN"/>
                    </w:rPr>
                    <w:t>594（不含加油站的油库；不含加气站的气库）</w:t>
                  </w:r>
                </w:p>
              </w:tc>
              <w:tc>
                <w:tcPr>
                  <w:tcW w:w="1612" w:type="dxa"/>
                  <w:tcBorders>
                    <w:top w:val="single" w:color="auto" w:sz="4" w:space="0"/>
                    <w:bottom w:val="single" w:color="auto" w:sz="12" w:space="0"/>
                  </w:tcBorders>
                  <w:vAlign w:val="center"/>
                </w:tcPr>
                <w:p w14:paraId="674851CE">
                  <w:pPr>
                    <w:adjustRightInd w:val="0"/>
                    <w:snapToGrid w:val="0"/>
                    <w:jc w:val="center"/>
                    <w:rPr>
                      <w:rFonts w:hint="default" w:eastAsia="宋体"/>
                      <w:color w:val="auto"/>
                      <w:szCs w:val="21"/>
                      <w:lang w:val="en-US" w:eastAsia="zh-CN"/>
                    </w:rPr>
                  </w:pPr>
                  <w:r>
                    <w:rPr>
                      <w:rFonts w:hint="eastAsia"/>
                      <w:color w:val="auto"/>
                      <w:szCs w:val="21"/>
                      <w:lang w:eastAsia="zh-CN"/>
                    </w:rPr>
                    <w:t>总容量</w:t>
                  </w:r>
                  <w:r>
                    <w:rPr>
                      <w:rFonts w:hint="eastAsia"/>
                      <w:color w:val="auto"/>
                      <w:szCs w:val="21"/>
                      <w:lang w:val="en-US" w:eastAsia="zh-CN"/>
                    </w:rPr>
                    <w:t>20万立方米及以上的油库（含油品码头后方配套油库）；地下油库；地下气库</w:t>
                  </w:r>
                </w:p>
              </w:tc>
              <w:tc>
                <w:tcPr>
                  <w:tcW w:w="1614" w:type="dxa"/>
                  <w:tcBorders>
                    <w:top w:val="single" w:color="auto" w:sz="4" w:space="0"/>
                    <w:bottom w:val="single" w:color="auto" w:sz="12" w:space="0"/>
                  </w:tcBorders>
                  <w:shd w:val="clear" w:color="auto" w:fill="BFBFBF"/>
                  <w:vAlign w:val="center"/>
                </w:tcPr>
                <w:p w14:paraId="61D8511D">
                  <w:pPr>
                    <w:adjustRightInd w:val="0"/>
                    <w:snapToGrid w:val="0"/>
                    <w:jc w:val="center"/>
                    <w:rPr>
                      <w:rFonts w:hint="eastAsia" w:eastAsia="宋体"/>
                      <w:color w:val="auto"/>
                      <w:szCs w:val="21"/>
                      <w:lang w:eastAsia="zh-CN"/>
                    </w:rPr>
                  </w:pPr>
                  <w:r>
                    <w:rPr>
                      <w:rFonts w:hint="eastAsia"/>
                      <w:color w:val="auto"/>
                      <w:szCs w:val="21"/>
                      <w:lang w:eastAsia="zh-CN"/>
                    </w:rPr>
                    <w:t>其他（含有毒、有害、危险品的仓储；含液化天然气库）</w:t>
                  </w:r>
                </w:p>
              </w:tc>
              <w:tc>
                <w:tcPr>
                  <w:tcW w:w="946" w:type="dxa"/>
                  <w:tcBorders>
                    <w:top w:val="single" w:color="auto" w:sz="4" w:space="0"/>
                    <w:bottom w:val="single" w:color="auto" w:sz="12" w:space="0"/>
                  </w:tcBorders>
                  <w:shd w:val="clear" w:color="auto" w:fill="auto"/>
                  <w:vAlign w:val="center"/>
                </w:tcPr>
                <w:p w14:paraId="0E062821">
                  <w:pPr>
                    <w:adjustRightInd w:val="0"/>
                    <w:snapToGrid w:val="0"/>
                    <w:jc w:val="center"/>
                    <w:rPr>
                      <w:color w:val="auto"/>
                      <w:szCs w:val="21"/>
                    </w:rPr>
                  </w:pPr>
                  <w:r>
                    <w:rPr>
                      <w:color w:val="auto"/>
                      <w:szCs w:val="21"/>
                    </w:rPr>
                    <w:t>/</w:t>
                  </w:r>
                </w:p>
              </w:tc>
              <w:tc>
                <w:tcPr>
                  <w:tcW w:w="1783" w:type="dxa"/>
                  <w:tcBorders>
                    <w:top w:val="single" w:color="auto" w:sz="4" w:space="0"/>
                    <w:bottom w:val="single" w:color="auto" w:sz="12" w:space="0"/>
                  </w:tcBorders>
                  <w:vAlign w:val="center"/>
                </w:tcPr>
                <w:p w14:paraId="48A3E5E5">
                  <w:pPr>
                    <w:adjustRightInd w:val="0"/>
                    <w:snapToGrid w:val="0"/>
                    <w:jc w:val="center"/>
                    <w:rPr>
                      <w:color w:val="auto"/>
                      <w:szCs w:val="21"/>
                    </w:rPr>
                  </w:pPr>
                  <w:r>
                    <w:rPr>
                      <w:rFonts w:hint="eastAsia" w:cs="Times New Roman"/>
                      <w:color w:val="auto"/>
                      <w:szCs w:val="21"/>
                      <w:lang w:val="en-US" w:eastAsia="zh-CN"/>
                    </w:rPr>
                    <w:t>有毒危险废物的仓库、</w:t>
                  </w:r>
                  <w:r>
                    <w:rPr>
                      <w:rFonts w:hint="eastAsia" w:ascii="Times New Roman" w:hAnsi="Times New Roman" w:eastAsia="宋体" w:cs="Times New Roman"/>
                      <w:color w:val="auto"/>
                      <w:szCs w:val="21"/>
                      <w:lang w:val="en-US" w:eastAsia="zh-CN"/>
                    </w:rPr>
                    <w:t>G5949其他危险品仓储</w:t>
                  </w:r>
                </w:p>
              </w:tc>
            </w:tr>
          </w:tbl>
          <w:p w14:paraId="7D3A405A">
            <w:pPr>
              <w:spacing w:line="360" w:lineRule="auto"/>
              <w:ind w:firstLine="480" w:firstLineChars="200"/>
              <w:rPr>
                <w:color w:val="auto"/>
                <w:sz w:val="24"/>
              </w:rPr>
            </w:pPr>
            <w:r>
              <w:rPr>
                <w:color w:val="auto"/>
                <w:sz w:val="24"/>
              </w:rPr>
              <w:t>本项</w:t>
            </w:r>
            <w:r>
              <w:rPr>
                <w:rFonts w:ascii="Times New Roman" w:hAnsi="Times New Roman" w:eastAsia="宋体" w:cs="Times New Roman"/>
                <w:color w:val="auto"/>
                <w:sz w:val="24"/>
              </w:rPr>
              <w:t>目产品为</w:t>
            </w:r>
            <w:r>
              <w:rPr>
                <w:rFonts w:hint="eastAsia" w:ascii="Times New Roman" w:hAnsi="Times New Roman" w:eastAsia="宋体" w:cs="Times New Roman"/>
                <w:color w:val="auto"/>
                <w:sz w:val="24"/>
                <w:lang w:eastAsia="zh-CN"/>
              </w:rPr>
              <w:t>飞灰暂存库建设项目，用于储存本企业垃圾焚烧产生的飞灰，飞灰属于危险品</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根据上</w:t>
            </w:r>
            <w:r>
              <w:rPr>
                <w:color w:val="auto"/>
                <w:sz w:val="24"/>
              </w:rPr>
              <w:t>表分析，应当编制报告表。</w:t>
            </w:r>
          </w:p>
          <w:p w14:paraId="5E0DE512">
            <w:pPr>
              <w:spacing w:line="360" w:lineRule="auto"/>
              <w:ind w:firstLine="480" w:firstLineChars="200"/>
              <w:rPr>
                <w:color w:val="auto"/>
                <w:sz w:val="24"/>
              </w:rPr>
            </w:pPr>
            <w:r>
              <w:rPr>
                <w:color w:val="auto"/>
                <w:sz w:val="24"/>
              </w:rPr>
              <w:t>根据《中华人民共和国环境保护法</w:t>
            </w:r>
            <w:r>
              <w:rPr>
                <w:rFonts w:hint="eastAsia"/>
                <w:color w:val="auto"/>
                <w:sz w:val="24"/>
                <w:lang w:eastAsia="zh-CN"/>
              </w:rPr>
              <w:t>》《</w:t>
            </w:r>
            <w:r>
              <w:rPr>
                <w:color w:val="auto"/>
                <w:sz w:val="24"/>
              </w:rPr>
              <w:t>中华人民共和国环境影响评价法</w:t>
            </w:r>
            <w:r>
              <w:rPr>
                <w:rFonts w:hint="eastAsia"/>
                <w:color w:val="auto"/>
                <w:sz w:val="24"/>
                <w:lang w:eastAsia="zh-CN"/>
              </w:rPr>
              <w:t>》《</w:t>
            </w:r>
            <w:r>
              <w:rPr>
                <w:color w:val="auto"/>
                <w:sz w:val="24"/>
              </w:rPr>
              <w:t>建设项目环境保护管理条例》（国务院682号令）等文件的有关规定，应当在工程项目可行性研究阶段对该项目进行环境影响评价。为此，建设单位委托</w:t>
            </w:r>
            <w:r>
              <w:rPr>
                <w:rFonts w:hint="eastAsia"/>
                <w:color w:val="auto"/>
                <w:sz w:val="24"/>
                <w:lang w:eastAsia="zh-CN"/>
              </w:rPr>
              <w:t>淮安市天蓝环境科技有限公司</w:t>
            </w:r>
            <w:r>
              <w:rPr>
                <w:color w:val="auto"/>
                <w:sz w:val="24"/>
              </w:rPr>
              <w:t>承担该项目的环境影响报告的编制工作，环评单位接受委托后，认真研究该项目的有关材料，并进行实地踏勘、调研，收集和核实了有关材料，依据</w:t>
            </w:r>
            <w:r>
              <w:rPr>
                <w:rFonts w:hint="eastAsia"/>
                <w:color w:val="auto"/>
                <w:sz w:val="24"/>
                <w:highlight w:val="none"/>
              </w:rPr>
              <w:t>建设项目环境影响报告表编制技术指南</w:t>
            </w:r>
            <w:r>
              <w:rPr>
                <w:rFonts w:hint="eastAsia"/>
                <w:color w:val="auto"/>
                <w:sz w:val="24"/>
                <w:highlight w:val="none"/>
                <w:lang w:eastAsia="zh-CN"/>
              </w:rPr>
              <w:t>（</w:t>
            </w:r>
            <w:r>
              <w:rPr>
                <w:rFonts w:hint="eastAsia"/>
                <w:color w:val="auto"/>
                <w:sz w:val="24"/>
                <w:highlight w:val="none"/>
              </w:rPr>
              <w:t>污染影响类</w:t>
            </w:r>
            <w:r>
              <w:rPr>
                <w:rFonts w:hint="eastAsia"/>
                <w:color w:val="auto"/>
                <w:sz w:val="24"/>
                <w:highlight w:val="none"/>
                <w:lang w:eastAsia="zh-CN"/>
              </w:rPr>
              <w:t>）</w:t>
            </w:r>
            <w:r>
              <w:rPr>
                <w:color w:val="auto"/>
                <w:sz w:val="24"/>
              </w:rPr>
              <w:t>要求编制了本环境影响报告表。</w:t>
            </w:r>
          </w:p>
          <w:p w14:paraId="08F12F1E">
            <w:pPr>
              <w:widowControl/>
              <w:adjustRightInd w:val="0"/>
              <w:snapToGrid w:val="0"/>
              <w:spacing w:line="360" w:lineRule="auto"/>
              <w:ind w:firstLine="482" w:firstLineChars="200"/>
              <w:jc w:val="left"/>
              <w:rPr>
                <w:rFonts w:hint="eastAsia" w:ascii="Times New Roman" w:hAnsi="Times New Roman" w:cs="Times New Roman"/>
                <w:b/>
                <w:color w:val="auto"/>
                <w:kern w:val="0"/>
                <w:sz w:val="24"/>
                <w:szCs w:val="20"/>
              </w:rPr>
            </w:pPr>
            <w:r>
              <w:rPr>
                <w:rFonts w:hint="eastAsia" w:ascii="Times New Roman" w:hAnsi="Times New Roman" w:cs="Times New Roman"/>
                <w:b/>
                <w:color w:val="auto"/>
                <w:kern w:val="0"/>
                <w:sz w:val="24"/>
                <w:szCs w:val="20"/>
              </w:rPr>
              <w:t>2.项目概况</w:t>
            </w:r>
          </w:p>
          <w:p w14:paraId="07D3C947">
            <w:pPr>
              <w:wordWrap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heme="minorEastAsia" w:hAnsiTheme="minorEastAsia" w:eastAsiaTheme="minorEastAsia" w:cstheme="minorEastAsia"/>
                <w:color w:val="auto"/>
                <w:sz w:val="24"/>
                <w:lang w:val="zh-CN"/>
              </w:rPr>
              <w:t>项目名称</w:t>
            </w:r>
            <w:r>
              <w:rPr>
                <w:rFonts w:hint="eastAsia" w:ascii="Times New Roman" w:hAnsi="Times New Roman" w:cs="Times New Roman"/>
                <w:color w:val="auto"/>
                <w:sz w:val="24"/>
                <w:lang w:val="zh-CN"/>
              </w:rPr>
              <w:t>：</w:t>
            </w:r>
            <w:r>
              <w:rPr>
                <w:rFonts w:hint="eastAsia" w:cs="Times New Roman"/>
                <w:color w:val="auto"/>
                <w:sz w:val="24"/>
                <w:szCs w:val="24"/>
                <w:lang w:eastAsia="zh-CN"/>
              </w:rPr>
              <w:t>淮安零碳能源环保科技有限公司飞灰暂存库建设项目</w:t>
            </w:r>
          </w:p>
          <w:p w14:paraId="5E4371ED">
            <w:pPr>
              <w:wordWrap w:val="0"/>
              <w:spacing w:line="360" w:lineRule="auto"/>
              <w:ind w:firstLine="480" w:firstLineChars="200"/>
              <w:jc w:val="left"/>
              <w:rPr>
                <w:rFonts w:ascii="Times New Roman" w:hAnsi="Times New Roman" w:cs="Times New Roman"/>
                <w:color w:val="auto"/>
                <w:sz w:val="24"/>
                <w:szCs w:val="24"/>
                <w:lang w:val="zh-CN"/>
              </w:rPr>
            </w:pPr>
            <w:r>
              <w:rPr>
                <w:rFonts w:hint="eastAsia" w:ascii="Times New Roman" w:hAnsi="Times New Roman" w:cs="Times New Roman"/>
                <w:color w:val="auto"/>
                <w:sz w:val="24"/>
                <w:szCs w:val="24"/>
                <w:lang w:val="zh-CN"/>
              </w:rPr>
              <w:t>建设单位：</w:t>
            </w:r>
            <w:r>
              <w:rPr>
                <w:rFonts w:hint="eastAsia" w:cs="Times New Roman"/>
                <w:color w:val="auto"/>
                <w:sz w:val="24"/>
                <w:szCs w:val="24"/>
                <w:lang w:eastAsia="zh-CN"/>
              </w:rPr>
              <w:t>淮安零碳能源环保科技有限公司</w:t>
            </w:r>
          </w:p>
          <w:p w14:paraId="316A42E0">
            <w:pPr>
              <w:wordWrap w:val="0"/>
              <w:spacing w:line="360" w:lineRule="auto"/>
              <w:ind w:firstLine="480" w:firstLineChars="200"/>
              <w:jc w:val="left"/>
              <w:rPr>
                <w:rFonts w:hint="eastAsia" w:ascii="Times New Roman" w:hAnsi="Times New Roman" w:eastAsia="宋体" w:cs="Times New Roman"/>
                <w:color w:val="auto"/>
                <w:sz w:val="24"/>
                <w:szCs w:val="24"/>
                <w:lang w:val="zh-CN" w:eastAsia="zh-CN"/>
              </w:rPr>
            </w:pPr>
            <w:r>
              <w:rPr>
                <w:color w:val="auto"/>
                <w:sz w:val="24"/>
                <w:szCs w:val="24"/>
                <w:lang w:val="zh-CN"/>
              </w:rPr>
              <w:t>行业类别：</w:t>
            </w:r>
            <w:r>
              <w:rPr>
                <w:rFonts w:hint="eastAsia" w:ascii="Times New Roman" w:hAnsi="Times New Roman" w:eastAsia="宋体" w:cs="Times New Roman"/>
                <w:color w:val="auto"/>
                <w:sz w:val="24"/>
                <w:szCs w:val="24"/>
                <w:lang w:val="en-US" w:eastAsia="zh-CN"/>
              </w:rPr>
              <w:t>G5949其他危险品仓储</w:t>
            </w:r>
          </w:p>
          <w:p w14:paraId="5C20E069">
            <w:pPr>
              <w:wordWrap w:val="0"/>
              <w:spacing w:line="360" w:lineRule="auto"/>
              <w:ind w:firstLine="480" w:firstLineChars="200"/>
              <w:jc w:val="left"/>
              <w:rPr>
                <w:rFonts w:hint="eastAsia" w:ascii="Times New Roman" w:hAnsi="Times New Roman" w:cs="Times New Roman"/>
                <w:color w:val="auto"/>
                <w:sz w:val="24"/>
                <w:szCs w:val="24"/>
                <w:lang w:val="zh-CN" w:eastAsia="zh-CN"/>
              </w:rPr>
            </w:pPr>
            <w:r>
              <w:rPr>
                <w:color w:val="auto"/>
                <w:sz w:val="24"/>
                <w:szCs w:val="24"/>
                <w:lang w:val="zh-CN"/>
              </w:rPr>
              <w:t>建设地点：</w:t>
            </w:r>
            <w:r>
              <w:rPr>
                <w:rFonts w:hint="eastAsia" w:cs="Times New Roman"/>
                <w:color w:val="auto"/>
                <w:sz w:val="24"/>
                <w:szCs w:val="24"/>
                <w:lang w:val="en-US" w:eastAsia="zh-CN"/>
              </w:rPr>
              <w:t>江苏省淮安市涟水县大东镇马棚农场</w:t>
            </w:r>
          </w:p>
          <w:p w14:paraId="63DB04F9">
            <w:pPr>
              <w:wordWrap w:val="0"/>
              <w:spacing w:line="360" w:lineRule="auto"/>
              <w:ind w:firstLine="480" w:firstLineChars="200"/>
              <w:jc w:val="left"/>
              <w:rPr>
                <w:color w:val="auto"/>
                <w:sz w:val="24"/>
                <w:szCs w:val="24"/>
                <w:lang w:val="zh-CN"/>
              </w:rPr>
            </w:pPr>
            <w:r>
              <w:rPr>
                <w:color w:val="auto"/>
                <w:sz w:val="24"/>
                <w:szCs w:val="24"/>
                <w:lang w:val="zh-CN"/>
              </w:rPr>
              <w:t>投资总额：</w:t>
            </w:r>
            <w:r>
              <w:rPr>
                <w:rFonts w:hint="eastAsia" w:cs="Times New Roman"/>
                <w:b w:val="0"/>
                <w:bCs/>
                <w:color w:val="auto"/>
                <w:sz w:val="24"/>
                <w:szCs w:val="24"/>
                <w:lang w:val="en-US" w:eastAsia="zh-CN"/>
              </w:rPr>
              <w:t>10</w:t>
            </w:r>
            <w:r>
              <w:rPr>
                <w:color w:val="auto"/>
                <w:sz w:val="24"/>
                <w:szCs w:val="24"/>
                <w:lang w:val="zh-CN"/>
              </w:rPr>
              <w:t>万元</w:t>
            </w:r>
            <w:r>
              <w:rPr>
                <w:rFonts w:hint="eastAsia"/>
                <w:color w:val="auto"/>
                <w:sz w:val="24"/>
                <w:szCs w:val="24"/>
                <w:lang w:val="zh-CN"/>
              </w:rPr>
              <w:t>，其中环保投资</w:t>
            </w:r>
            <w:r>
              <w:rPr>
                <w:rFonts w:hint="eastAsia"/>
                <w:color w:val="auto"/>
                <w:sz w:val="24"/>
                <w:szCs w:val="24"/>
                <w:lang w:val="en-US" w:eastAsia="zh-CN"/>
              </w:rPr>
              <w:t>10</w:t>
            </w:r>
            <w:r>
              <w:rPr>
                <w:rFonts w:hint="eastAsia"/>
                <w:color w:val="auto"/>
                <w:sz w:val="24"/>
                <w:szCs w:val="24"/>
                <w:lang w:val="zh-CN"/>
              </w:rPr>
              <w:t>万元</w:t>
            </w:r>
          </w:p>
          <w:p w14:paraId="2A7C7E36">
            <w:pPr>
              <w:wordWrap w:val="0"/>
              <w:spacing w:line="360" w:lineRule="auto"/>
              <w:ind w:firstLine="480" w:firstLineChars="200"/>
              <w:jc w:val="left"/>
              <w:rPr>
                <w:rFonts w:hint="eastAsia" w:eastAsia="宋体"/>
                <w:color w:val="auto"/>
                <w:sz w:val="24"/>
                <w:szCs w:val="24"/>
                <w:lang w:eastAsia="zh-CN"/>
              </w:rPr>
            </w:pPr>
            <w:r>
              <w:rPr>
                <w:color w:val="auto"/>
                <w:sz w:val="24"/>
                <w:szCs w:val="24"/>
                <w:lang w:val="zh-CN"/>
              </w:rPr>
              <w:t>职工人数：</w:t>
            </w:r>
            <w:r>
              <w:rPr>
                <w:rFonts w:hint="eastAsia"/>
                <w:color w:val="auto"/>
                <w:sz w:val="24"/>
                <w:szCs w:val="24"/>
                <w:lang w:val="en-US" w:eastAsia="zh-CN"/>
              </w:rPr>
              <w:t>改建</w:t>
            </w:r>
            <w:r>
              <w:rPr>
                <w:rFonts w:hint="eastAsia"/>
                <w:color w:val="auto"/>
                <w:sz w:val="24"/>
                <w:szCs w:val="24"/>
                <w:lang w:eastAsia="zh-CN"/>
              </w:rPr>
              <w:t>项目不新增员工。</w:t>
            </w:r>
          </w:p>
          <w:p w14:paraId="2AED5F13">
            <w:pPr>
              <w:wordWrap w:val="0"/>
              <w:spacing w:line="360" w:lineRule="auto"/>
              <w:ind w:firstLine="480" w:firstLineChars="200"/>
              <w:jc w:val="left"/>
              <w:rPr>
                <w:color w:val="auto"/>
                <w:sz w:val="24"/>
                <w:szCs w:val="24"/>
              </w:rPr>
            </w:pPr>
            <w:r>
              <w:rPr>
                <w:color w:val="auto"/>
                <w:sz w:val="24"/>
                <w:szCs w:val="24"/>
                <w:lang w:val="zh-CN"/>
              </w:rPr>
              <w:t>工作制度：</w:t>
            </w:r>
            <w:r>
              <w:rPr>
                <w:rFonts w:ascii="Times New Roman" w:hAnsi="Times New Roman" w:eastAsia="宋体"/>
                <w:b w:val="0"/>
                <w:bCs/>
                <w:color w:val="auto"/>
                <w:sz w:val="24"/>
                <w:szCs w:val="24"/>
              </w:rPr>
              <w:t>年工作日约</w:t>
            </w:r>
            <w:r>
              <w:rPr>
                <w:rFonts w:hint="eastAsia" w:ascii="Times New Roman" w:hAnsi="Times New Roman" w:eastAsia="宋体"/>
                <w:b w:val="0"/>
                <w:bCs/>
                <w:color w:val="auto"/>
                <w:sz w:val="24"/>
                <w:szCs w:val="24"/>
              </w:rPr>
              <w:t>333</w:t>
            </w:r>
            <w:r>
              <w:rPr>
                <w:rFonts w:ascii="Times New Roman" w:hAnsi="Times New Roman" w:eastAsia="宋体"/>
                <w:b w:val="0"/>
                <w:bCs/>
                <w:color w:val="auto"/>
                <w:sz w:val="24"/>
                <w:szCs w:val="24"/>
              </w:rPr>
              <w:t>天，三班制，每班8小时，设备有效年工作时数</w:t>
            </w:r>
            <w:r>
              <w:rPr>
                <w:rFonts w:hint="eastAsia" w:ascii="Times New Roman" w:hAnsi="Times New Roman" w:eastAsia="宋体"/>
                <w:b w:val="0"/>
                <w:bCs/>
                <w:color w:val="auto"/>
                <w:sz w:val="24"/>
                <w:szCs w:val="24"/>
              </w:rPr>
              <w:t>约8000</w:t>
            </w:r>
            <w:r>
              <w:rPr>
                <w:rFonts w:ascii="Times New Roman" w:hAnsi="Times New Roman" w:eastAsia="宋体"/>
                <w:b w:val="0"/>
                <w:bCs/>
                <w:color w:val="auto"/>
                <w:sz w:val="24"/>
                <w:szCs w:val="24"/>
              </w:rPr>
              <w:t>小时</w:t>
            </w:r>
            <w:r>
              <w:rPr>
                <w:rFonts w:hint="eastAsia"/>
                <w:color w:val="auto"/>
                <w:sz w:val="24"/>
                <w:szCs w:val="24"/>
              </w:rPr>
              <w:t>。</w:t>
            </w:r>
          </w:p>
          <w:p w14:paraId="5ABD6B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b/>
                <w:bCs/>
                <w:color w:val="auto"/>
                <w:sz w:val="24"/>
              </w:rPr>
            </w:pPr>
            <w:r>
              <w:rPr>
                <w:rFonts w:hint="eastAsia" w:hAnsi="宋体"/>
                <w:b/>
                <w:bCs/>
                <w:color w:val="auto"/>
                <w:sz w:val="24"/>
              </w:rPr>
              <w:t>3</w:t>
            </w:r>
            <w:r>
              <w:rPr>
                <w:rFonts w:hAnsi="宋体"/>
                <w:b/>
                <w:bCs/>
                <w:color w:val="auto"/>
                <w:sz w:val="24"/>
              </w:rPr>
              <w:t>.</w:t>
            </w:r>
            <w:r>
              <w:rPr>
                <w:rFonts w:hint="eastAsia" w:hAnsi="宋体"/>
                <w:b/>
                <w:bCs/>
                <w:color w:val="auto"/>
                <w:sz w:val="24"/>
                <w:lang w:eastAsia="zh-CN"/>
              </w:rPr>
              <w:t>飞灰暂存库</w:t>
            </w:r>
            <w:r>
              <w:rPr>
                <w:rFonts w:hint="eastAsia" w:hAnsi="宋体"/>
                <w:b/>
                <w:bCs/>
                <w:color w:val="auto"/>
                <w:sz w:val="24"/>
              </w:rPr>
              <w:t>方案</w:t>
            </w:r>
          </w:p>
          <w:p w14:paraId="1212A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hAnsi="宋体"/>
                <w:color w:val="auto"/>
                <w:sz w:val="24"/>
                <w:lang w:eastAsia="zh-CN"/>
              </w:rPr>
              <w:t>改建项目建成后</w:t>
            </w:r>
            <w:r>
              <w:rPr>
                <w:rFonts w:hint="eastAsia" w:hAnsi="宋体"/>
                <w:color w:val="auto"/>
                <w:sz w:val="24"/>
              </w:rPr>
              <w:t>全厂</w:t>
            </w:r>
            <w:r>
              <w:rPr>
                <w:rFonts w:hint="eastAsia" w:hAnsi="宋体"/>
                <w:color w:val="auto"/>
                <w:sz w:val="24"/>
                <w:lang w:eastAsia="zh-CN"/>
              </w:rPr>
              <w:t>飞灰库库容</w:t>
            </w:r>
            <w:r>
              <w:rPr>
                <w:rFonts w:hAnsi="宋体"/>
                <w:bCs/>
                <w:color w:val="auto"/>
                <w:sz w:val="24"/>
              </w:rPr>
              <w:t>方案见表</w:t>
            </w:r>
            <w:r>
              <w:rPr>
                <w:bCs/>
                <w:color w:val="auto"/>
                <w:sz w:val="24"/>
              </w:rPr>
              <w:t>2-2</w:t>
            </w:r>
            <w:r>
              <w:rPr>
                <w:rFonts w:hAnsi="宋体"/>
                <w:bCs/>
                <w:color w:val="auto"/>
                <w:sz w:val="24"/>
              </w:rPr>
              <w:t>。</w:t>
            </w:r>
          </w:p>
          <w:p w14:paraId="75094186">
            <w:pPr>
              <w:adjustRightInd w:val="0"/>
              <w:snapToGrid w:val="0"/>
              <w:jc w:val="center"/>
              <w:rPr>
                <w:b/>
                <w:color w:val="auto"/>
                <w:szCs w:val="21"/>
              </w:rPr>
            </w:pPr>
            <w:r>
              <w:rPr>
                <w:rFonts w:hAnsi="宋体"/>
                <w:b/>
                <w:color w:val="auto"/>
                <w:sz w:val="24"/>
              </w:rPr>
              <w:t>表</w:t>
            </w:r>
            <w:r>
              <w:rPr>
                <w:b/>
                <w:color w:val="auto"/>
                <w:sz w:val="24"/>
              </w:rPr>
              <w:t>2-2</w:t>
            </w:r>
            <w:r>
              <w:rPr>
                <w:rFonts w:hint="eastAsia" w:hAnsi="宋体"/>
                <w:b/>
                <w:color w:val="auto"/>
                <w:sz w:val="24"/>
              </w:rPr>
              <w:t>全厂</w:t>
            </w:r>
            <w:r>
              <w:rPr>
                <w:rFonts w:hint="eastAsia" w:hAnsi="宋体"/>
                <w:b/>
                <w:color w:val="auto"/>
                <w:sz w:val="24"/>
                <w:lang w:eastAsia="zh-CN"/>
              </w:rPr>
              <w:t>飞灰库库容</w:t>
            </w:r>
            <w:r>
              <w:rPr>
                <w:rFonts w:hAnsi="宋体"/>
                <w:b/>
                <w:color w:val="auto"/>
                <w:sz w:val="24"/>
              </w:rPr>
              <w:t>方案</w:t>
            </w:r>
            <w:r>
              <w:rPr>
                <w:rFonts w:hint="eastAsia" w:hAnsi="宋体"/>
                <w:b/>
                <w:color w:val="auto"/>
                <w:sz w:val="24"/>
              </w:rPr>
              <w:t>单位：</w:t>
            </w:r>
            <w:r>
              <w:rPr>
                <w:rFonts w:hint="eastAsia" w:hAnsi="宋体"/>
                <w:b/>
                <w:color w:val="auto"/>
                <w:sz w:val="24"/>
                <w:lang w:val="en-US" w:eastAsia="zh-CN"/>
              </w:rPr>
              <w:t>m</w:t>
            </w:r>
            <w:r>
              <w:rPr>
                <w:rFonts w:hint="eastAsia" w:hAnsi="宋体"/>
                <w:b/>
                <w:color w:val="auto"/>
                <w:sz w:val="24"/>
                <w:vertAlign w:val="superscript"/>
                <w:lang w:val="en-US" w:eastAsia="zh-CN"/>
              </w:rPr>
              <w:t>3</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3"/>
              <w:gridCol w:w="1710"/>
              <w:gridCol w:w="1365"/>
              <w:gridCol w:w="1305"/>
              <w:gridCol w:w="944"/>
              <w:gridCol w:w="1305"/>
              <w:gridCol w:w="1142"/>
            </w:tblGrid>
            <w:tr w14:paraId="26DC8D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82" w:type="pct"/>
                  <w:vAlign w:val="center"/>
                </w:tcPr>
                <w:p w14:paraId="47550CC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16" w:type="pct"/>
                  <w:vAlign w:val="center"/>
                </w:tcPr>
                <w:p w14:paraId="437D137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产品名称及规格</w:t>
                  </w:r>
                </w:p>
              </w:tc>
              <w:tc>
                <w:tcPr>
                  <w:tcW w:w="811" w:type="pct"/>
                  <w:vAlign w:val="center"/>
                </w:tcPr>
                <w:p w14:paraId="0C6C1646">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改建前库容</w:t>
                  </w:r>
                </w:p>
              </w:tc>
              <w:tc>
                <w:tcPr>
                  <w:tcW w:w="775" w:type="pct"/>
                  <w:vAlign w:val="center"/>
                </w:tcPr>
                <w:p w14:paraId="2BD677E8">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改建</w:t>
                  </w:r>
                  <w:r>
                    <w:rPr>
                      <w:rFonts w:hint="default" w:ascii="Times New Roman" w:hAnsi="Times New Roman" w:eastAsia="宋体" w:cs="Times New Roman"/>
                      <w:b/>
                      <w:bCs/>
                      <w:color w:val="auto"/>
                      <w:sz w:val="21"/>
                      <w:szCs w:val="21"/>
                    </w:rPr>
                    <w:t>后</w:t>
                  </w:r>
                  <w:r>
                    <w:rPr>
                      <w:rFonts w:hint="eastAsia" w:cs="Times New Roman"/>
                      <w:b/>
                      <w:bCs/>
                      <w:color w:val="auto"/>
                      <w:sz w:val="21"/>
                      <w:szCs w:val="21"/>
                      <w:lang w:eastAsia="zh-CN"/>
                    </w:rPr>
                    <w:t>库容</w:t>
                  </w:r>
                </w:p>
              </w:tc>
              <w:tc>
                <w:tcPr>
                  <w:tcW w:w="561" w:type="pct"/>
                  <w:vAlign w:val="center"/>
                </w:tcPr>
                <w:p w14:paraId="75C9D20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775" w:type="pct"/>
                  <w:vAlign w:val="center"/>
                </w:tcPr>
                <w:p w14:paraId="6B3CB90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年运行时数</w:t>
                  </w:r>
                </w:p>
              </w:tc>
              <w:tc>
                <w:tcPr>
                  <w:tcW w:w="678" w:type="pct"/>
                  <w:vAlign w:val="center"/>
                </w:tcPr>
                <w:p w14:paraId="4D6BF911">
                  <w:pPr>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r>
            <w:tr w14:paraId="67E20D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82" w:type="pct"/>
                  <w:vAlign w:val="center"/>
                </w:tcPr>
                <w:p w14:paraId="54D06E5C">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016" w:type="pct"/>
                  <w:vAlign w:val="center"/>
                </w:tcPr>
                <w:p w14:paraId="0392B40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1#飞灰暂存库</w:t>
                  </w:r>
                </w:p>
              </w:tc>
              <w:tc>
                <w:tcPr>
                  <w:tcW w:w="811" w:type="pct"/>
                  <w:vAlign w:val="center"/>
                </w:tcPr>
                <w:p w14:paraId="534A8DA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700</w:t>
                  </w:r>
                </w:p>
              </w:tc>
              <w:tc>
                <w:tcPr>
                  <w:tcW w:w="775" w:type="pct"/>
                  <w:vAlign w:val="center"/>
                </w:tcPr>
                <w:p w14:paraId="15CD534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700</w:t>
                  </w:r>
                </w:p>
              </w:tc>
              <w:tc>
                <w:tcPr>
                  <w:tcW w:w="561" w:type="pct"/>
                  <w:vAlign w:val="center"/>
                </w:tcPr>
                <w:p w14:paraId="1DF83FA6">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775" w:type="pct"/>
                  <w:vAlign w:val="center"/>
                </w:tcPr>
                <w:p w14:paraId="29D343E2">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8000h</w:t>
                  </w:r>
                </w:p>
              </w:tc>
              <w:tc>
                <w:tcPr>
                  <w:tcW w:w="678" w:type="pct"/>
                  <w:vAlign w:val="center"/>
                </w:tcPr>
                <w:p w14:paraId="02FC86B1">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已批已验</w:t>
                  </w:r>
                </w:p>
              </w:tc>
            </w:tr>
            <w:tr w14:paraId="2F9841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82" w:type="pct"/>
                  <w:vAlign w:val="center"/>
                </w:tcPr>
                <w:p w14:paraId="2F4AB20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016" w:type="pct"/>
                  <w:vAlign w:val="center"/>
                </w:tcPr>
                <w:p w14:paraId="48E6A467">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2#飞灰暂存库</w:t>
                  </w:r>
                </w:p>
              </w:tc>
              <w:tc>
                <w:tcPr>
                  <w:tcW w:w="811" w:type="pct"/>
                  <w:vAlign w:val="center"/>
                </w:tcPr>
                <w:p w14:paraId="1D5C0240">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775" w:type="pct"/>
                  <w:vAlign w:val="center"/>
                </w:tcPr>
                <w:p w14:paraId="3F730C03">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500</w:t>
                  </w:r>
                </w:p>
              </w:tc>
              <w:tc>
                <w:tcPr>
                  <w:tcW w:w="561" w:type="pct"/>
                  <w:vAlign w:val="center"/>
                </w:tcPr>
                <w:p w14:paraId="088BC1B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+500</w:t>
                  </w:r>
                </w:p>
              </w:tc>
              <w:tc>
                <w:tcPr>
                  <w:tcW w:w="775" w:type="pct"/>
                  <w:vAlign w:val="center"/>
                </w:tcPr>
                <w:p w14:paraId="35B5788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8000h</w:t>
                  </w:r>
                </w:p>
              </w:tc>
              <w:tc>
                <w:tcPr>
                  <w:tcW w:w="678" w:type="pct"/>
                  <w:vAlign w:val="center"/>
                </w:tcPr>
                <w:p w14:paraId="37D02765">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新建</w:t>
                  </w:r>
                </w:p>
              </w:tc>
            </w:tr>
          </w:tbl>
          <w:p w14:paraId="24C1F7AD">
            <w:pPr>
              <w:widowControl/>
              <w:numPr>
                <w:ilvl w:val="0"/>
                <w:numId w:val="2"/>
              </w:numPr>
              <w:adjustRightInd w:val="0"/>
              <w:snapToGrid w:val="0"/>
              <w:spacing w:before="120" w:beforeLines="50" w:line="360" w:lineRule="auto"/>
              <w:ind w:firstLine="361" w:firstLineChars="150"/>
              <w:jc w:val="left"/>
              <w:rPr>
                <w:rFonts w:hint="eastAsia"/>
                <w:b/>
                <w:color w:val="auto"/>
                <w:kern w:val="0"/>
                <w:sz w:val="24"/>
                <w:lang w:eastAsia="zh-CN"/>
              </w:rPr>
            </w:pPr>
            <w:r>
              <w:rPr>
                <w:b/>
                <w:color w:val="auto"/>
                <w:kern w:val="0"/>
                <w:sz w:val="24"/>
              </w:rPr>
              <w:t>主要原辅料</w:t>
            </w:r>
            <w:r>
              <w:rPr>
                <w:rFonts w:hint="eastAsia"/>
                <w:b/>
                <w:color w:val="auto"/>
                <w:kern w:val="0"/>
                <w:sz w:val="24"/>
                <w:lang w:eastAsia="zh-CN"/>
              </w:rPr>
              <w:t>、能源消耗</w:t>
            </w:r>
          </w:p>
          <w:p w14:paraId="64C512C5">
            <w:pPr>
              <w:pStyle w:val="42"/>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本项目主要存储对象为</w:t>
            </w:r>
            <w:r>
              <w:rPr>
                <w:rFonts w:hint="eastAsia" w:ascii="Times New Roman" w:eastAsia="宋体" w:cs="Times New Roman"/>
                <w:b w:val="0"/>
                <w:bCs/>
                <w:color w:val="auto"/>
                <w:kern w:val="2"/>
                <w:sz w:val="24"/>
                <w:szCs w:val="24"/>
                <w:lang w:val="en-US" w:eastAsia="zh-CN" w:bidi="ar-SA"/>
              </w:rPr>
              <w:t>本厂稳定固化处理后的</w:t>
            </w:r>
            <w:r>
              <w:rPr>
                <w:rFonts w:hint="eastAsia" w:ascii="Times New Roman" w:hAnsi="宋体" w:eastAsia="宋体" w:cs="Times New Roman"/>
                <w:b w:val="0"/>
                <w:bCs/>
                <w:color w:val="auto"/>
                <w:kern w:val="2"/>
                <w:sz w:val="24"/>
                <w:szCs w:val="24"/>
                <w:lang w:val="en-US" w:eastAsia="zh-CN" w:bidi="ar-SA"/>
              </w:rPr>
              <w:t>飞灰</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HW18</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危废代码772-002-18</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，暂存周期为7天，包装方式为密封吨袋包装。根据建设单位提供资</w:t>
            </w:r>
            <w:r>
              <w:rPr>
                <w:rFonts w:hint="eastAsia" w:ascii="Times New Roman" w:eastAsia="宋体" w:cs="Times New Roman"/>
                <w:b w:val="0"/>
                <w:bCs/>
                <w:color w:val="auto"/>
                <w:kern w:val="2"/>
                <w:sz w:val="24"/>
                <w:szCs w:val="24"/>
                <w:lang w:val="en-US" w:eastAsia="zh-CN" w:bidi="ar-SA"/>
              </w:rPr>
              <w:t>料</w:t>
            </w:r>
            <w:r>
              <w:rPr>
                <w:rFonts w:hint="eastAsia" w:ascii="Times New Roman" w:hAnsi="宋体" w:eastAsia="宋体" w:cs="Times New Roman"/>
                <w:b w:val="0"/>
                <w:bCs/>
                <w:color w:val="auto"/>
                <w:kern w:val="2"/>
                <w:sz w:val="24"/>
                <w:szCs w:val="24"/>
                <w:lang w:val="en-US" w:eastAsia="zh-CN" w:bidi="ar-SA"/>
              </w:rPr>
              <w:t>，吨袋体积约为1m</w:t>
            </w:r>
            <w:r>
              <w:rPr>
                <w:rFonts w:hint="eastAsia" w:ascii="Times New Roman" w:eastAsia="宋体" w:cs="Times New Roman"/>
                <w:b w:val="0"/>
                <w:bCs/>
                <w:color w:val="auto"/>
                <w:kern w:val="2"/>
                <w:sz w:val="24"/>
                <w:szCs w:val="24"/>
                <w:vertAlign w:val="superscript"/>
                <w:lang w:val="en-US" w:eastAsia="zh-CN" w:bidi="ar-SA"/>
              </w:rPr>
              <w:t>3</w:t>
            </w:r>
            <w:r>
              <w:rPr>
                <w:rFonts w:hint="eastAsia" w:ascii="Times New Roman" w:hAnsi="宋体" w:eastAsia="宋体" w:cs="Times New Roman"/>
                <w:b w:val="0"/>
                <w:bCs/>
                <w:color w:val="auto"/>
                <w:kern w:val="2"/>
                <w:sz w:val="24"/>
                <w:szCs w:val="24"/>
                <w:lang w:val="en-US" w:eastAsia="zh-CN" w:bidi="ar-SA"/>
              </w:rPr>
              <w:t>，每天产生</w:t>
            </w:r>
            <w:r>
              <w:rPr>
                <w:rFonts w:hint="eastAsia" w:ascii="Times New Roman" w:eastAsia="宋体" w:cs="Times New Roman"/>
                <w:b w:val="0"/>
                <w:bCs/>
                <w:color w:val="auto"/>
                <w:kern w:val="2"/>
                <w:sz w:val="24"/>
                <w:szCs w:val="24"/>
                <w:lang w:val="en-US" w:eastAsia="zh-CN" w:bidi="ar-SA"/>
              </w:rPr>
              <w:t>约35</w:t>
            </w:r>
            <w:r>
              <w:rPr>
                <w:rFonts w:hint="eastAsia" w:ascii="Times New Roman" w:hAnsi="宋体" w:eastAsia="宋体" w:cs="Times New Roman"/>
                <w:b w:val="0"/>
                <w:bCs/>
                <w:color w:val="auto"/>
                <w:kern w:val="2"/>
                <w:sz w:val="24"/>
                <w:szCs w:val="24"/>
                <w:lang w:val="en-US" w:eastAsia="zh-CN" w:bidi="ar-SA"/>
              </w:rPr>
              <w:t>袋。按照</w:t>
            </w:r>
            <w:r>
              <w:rPr>
                <w:rFonts w:hint="eastAsia" w:ascii="Times New Roman" w:eastAsia="宋体" w:cs="Times New Roman"/>
                <w:b w:val="0"/>
                <w:bCs/>
                <w:color w:val="auto"/>
                <w:kern w:val="2"/>
                <w:sz w:val="24"/>
                <w:szCs w:val="24"/>
                <w:lang w:val="en-US" w:eastAsia="zh-CN" w:bidi="ar-SA"/>
              </w:rPr>
              <w:t>拟建</w:t>
            </w:r>
            <w:r>
              <w:rPr>
                <w:rFonts w:hint="eastAsia" w:ascii="Times New Roman" w:hAnsi="宋体" w:eastAsia="宋体" w:cs="Times New Roman"/>
                <w:b w:val="0"/>
                <w:bCs/>
                <w:color w:val="auto"/>
                <w:kern w:val="2"/>
                <w:sz w:val="24"/>
                <w:szCs w:val="24"/>
                <w:lang w:val="en-US" w:eastAsia="zh-CN" w:bidi="ar-SA"/>
              </w:rPr>
              <w:t>暂存库最大暂存能力</w:t>
            </w:r>
            <w:r>
              <w:rPr>
                <w:rFonts w:hint="eastAsia" w:ascii="Times New Roman" w:eastAsia="宋体" w:cs="Times New Roman"/>
                <w:b w:val="0"/>
                <w:bCs/>
                <w:color w:val="auto"/>
                <w:kern w:val="2"/>
                <w:sz w:val="24"/>
                <w:szCs w:val="24"/>
                <w:lang w:val="en-US" w:eastAsia="zh-CN" w:bidi="ar-SA"/>
              </w:rPr>
              <w:t>500</w:t>
            </w:r>
            <w:r>
              <w:rPr>
                <w:rFonts w:hint="eastAsia" w:ascii="Times New Roman" w:hAnsi="宋体" w:eastAsia="宋体" w:cs="Times New Roman"/>
                <w:b w:val="0"/>
                <w:bCs/>
                <w:color w:val="auto"/>
                <w:kern w:val="2"/>
                <w:sz w:val="24"/>
                <w:szCs w:val="24"/>
                <w:lang w:val="en-US" w:eastAsia="zh-CN" w:bidi="ar-SA"/>
              </w:rPr>
              <w:t>m</w:t>
            </w:r>
            <w:r>
              <w:rPr>
                <w:rFonts w:hint="eastAsia" w:ascii="Times New Roman" w:eastAsia="宋体" w:cs="Times New Roman"/>
                <w:b w:val="0"/>
                <w:bCs/>
                <w:color w:val="auto"/>
                <w:kern w:val="2"/>
                <w:sz w:val="24"/>
                <w:szCs w:val="24"/>
                <w:vertAlign w:val="superscript"/>
                <w:lang w:val="en-US" w:eastAsia="zh-CN" w:bidi="ar-SA"/>
              </w:rPr>
              <w:t>3</w:t>
            </w:r>
            <w:r>
              <w:rPr>
                <w:rFonts w:hint="eastAsia" w:ascii="Times New Roman" w:hAnsi="宋体" w:eastAsia="宋体" w:cs="Times New Roman"/>
                <w:b w:val="0"/>
                <w:bCs/>
                <w:color w:val="auto"/>
                <w:kern w:val="2"/>
                <w:sz w:val="24"/>
                <w:szCs w:val="24"/>
                <w:lang w:val="en-US" w:eastAsia="zh-CN" w:bidi="ar-SA"/>
              </w:rPr>
              <w:t>考虑，本项目最大可贮存</w:t>
            </w:r>
            <w:r>
              <w:rPr>
                <w:rFonts w:hint="eastAsia" w:ascii="Times New Roman" w:eastAsia="宋体" w:cs="Times New Roman"/>
                <w:b w:val="0"/>
                <w:bCs/>
                <w:color w:val="auto"/>
                <w:kern w:val="2"/>
                <w:sz w:val="24"/>
                <w:szCs w:val="24"/>
                <w:lang w:val="en-US" w:eastAsia="zh-CN" w:bidi="ar-SA"/>
              </w:rPr>
              <w:t>14天飞灰的量</w:t>
            </w:r>
            <w:r>
              <w:rPr>
                <w:rFonts w:hint="eastAsia" w:ascii="Times New Roman" w:hAnsi="宋体" w:eastAsia="宋体" w:cs="Times New Roman"/>
                <w:b w:val="0"/>
                <w:bCs/>
                <w:color w:val="auto"/>
                <w:kern w:val="2"/>
                <w:sz w:val="24"/>
                <w:szCs w:val="24"/>
                <w:lang w:val="en-US" w:eastAsia="zh-CN" w:bidi="ar-SA"/>
              </w:rPr>
              <w:t>。入库要求</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本项目暂存库仅接收</w:t>
            </w:r>
            <w:r>
              <w:rPr>
                <w:rFonts w:hint="eastAsia" w:ascii="Times New Roman" w:eastAsia="宋体" w:cs="Times New Roman"/>
                <w:b w:val="0"/>
                <w:bCs/>
                <w:color w:val="auto"/>
                <w:kern w:val="2"/>
                <w:sz w:val="24"/>
                <w:szCs w:val="24"/>
                <w:lang w:val="en-US" w:eastAsia="zh-CN" w:bidi="ar-SA"/>
              </w:rPr>
              <w:t>淮安零碳能源环保科技有限公司</w:t>
            </w:r>
            <w:r>
              <w:rPr>
                <w:rFonts w:hint="eastAsia" w:ascii="Times New Roman" w:hAnsi="宋体" w:eastAsia="宋体" w:cs="Times New Roman"/>
                <w:b w:val="0"/>
                <w:bCs/>
                <w:color w:val="auto"/>
                <w:kern w:val="2"/>
                <w:sz w:val="24"/>
                <w:szCs w:val="24"/>
                <w:lang w:val="en-US" w:eastAsia="zh-CN" w:bidi="ar-SA"/>
              </w:rPr>
              <w:t>生活垃圾烧发电厂飞灰，不接受外来</w:t>
            </w:r>
            <w:r>
              <w:rPr>
                <w:rFonts w:hint="eastAsia" w:ascii="Times New Roman" w:eastAsia="宋体" w:cs="Times New Roman"/>
                <w:b w:val="0"/>
                <w:bCs/>
                <w:color w:val="auto"/>
                <w:kern w:val="2"/>
                <w:sz w:val="24"/>
                <w:szCs w:val="24"/>
                <w:lang w:val="en-US" w:eastAsia="zh-CN" w:bidi="ar-SA"/>
              </w:rPr>
              <w:t>飞灰</w:t>
            </w:r>
            <w:r>
              <w:rPr>
                <w:rFonts w:hint="eastAsia" w:ascii="Times New Roman" w:hAnsi="宋体" w:eastAsia="宋体" w:cs="Times New Roman"/>
                <w:b w:val="0"/>
                <w:bCs/>
                <w:color w:val="auto"/>
                <w:kern w:val="2"/>
                <w:sz w:val="24"/>
                <w:szCs w:val="24"/>
                <w:lang w:val="en-US" w:eastAsia="zh-CN" w:bidi="ar-SA"/>
              </w:rPr>
              <w:t>入场。生活垃圾焚烧后飞灰稳定处理后，经检测满足《生活垃圾填埋场污染控制标准》</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GB16889-2024</w:t>
            </w:r>
            <w:r>
              <w:rPr>
                <w:rFonts w:hint="eastAsia" w:ascii="Times New Roman" w:eastAsia="宋体" w:cs="Times New Roman"/>
                <w:b w:val="0"/>
                <w:bCs/>
                <w:color w:val="auto"/>
                <w:kern w:val="2"/>
                <w:sz w:val="24"/>
                <w:szCs w:val="24"/>
                <w:lang w:val="en-US" w:eastAsia="zh-CN" w:bidi="ar-SA"/>
              </w:rPr>
              <w:t>)第</w:t>
            </w:r>
            <w:r>
              <w:rPr>
                <w:rFonts w:hint="eastAsia" w:ascii="Times New Roman" w:hAnsi="宋体" w:eastAsia="宋体" w:cs="Times New Roman"/>
                <w:b w:val="0"/>
                <w:bCs/>
                <w:color w:val="auto"/>
                <w:kern w:val="2"/>
                <w:sz w:val="24"/>
                <w:szCs w:val="24"/>
                <w:lang w:val="en-US" w:eastAsia="zh-CN" w:bidi="ar-SA"/>
              </w:rPr>
              <w:t>6</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3条要求及《生活垃圾焚烧飞灰污染控制技术规范</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试行</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HJ1134-2020</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的下列条件时，可以进入暂存库暂存。</w:t>
            </w:r>
          </w:p>
          <w:p w14:paraId="5C85F395">
            <w:pPr>
              <w:pStyle w:val="42"/>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（1）二噁英含量</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或等效毒性量</w:t>
            </w:r>
            <w:r>
              <w:rPr>
                <w:rFonts w:hint="eastAsia" w:ascii="Times New Roman"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低于3</w:t>
            </w:r>
            <w:r>
              <w:rPr>
                <w:rFonts w:hint="default" w:ascii="Times New Roman" w:hAnsi="Times New Roman" w:eastAsia="宋体" w:cs="Times New Roman"/>
                <w:b w:val="0"/>
                <w:bCs/>
                <w:color w:val="auto"/>
                <w:kern w:val="2"/>
                <w:sz w:val="24"/>
                <w:szCs w:val="24"/>
                <w:lang w:val="en-US" w:eastAsia="zh-CN" w:bidi="ar-SA"/>
              </w:rPr>
              <w:t>μg</w:t>
            </w:r>
            <w:r>
              <w:rPr>
                <w:rFonts w:hint="eastAsia" w:ascii="Times New Roman" w:hAnsi="宋体" w:eastAsia="宋体" w:cs="Times New Roman"/>
                <w:b w:val="0"/>
                <w:bCs/>
                <w:color w:val="auto"/>
                <w:kern w:val="2"/>
                <w:sz w:val="24"/>
                <w:szCs w:val="24"/>
                <w:lang w:val="en-US" w:eastAsia="zh-CN" w:bidi="ar-SA"/>
              </w:rPr>
              <w:t>TEO/kg；</w:t>
            </w:r>
          </w:p>
          <w:p w14:paraId="3E33B1EA">
            <w:pPr>
              <w:pStyle w:val="42"/>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（2）按照HJT300 制备的浸出液中危害成分浓度低于表1规定的限值；</w:t>
            </w:r>
          </w:p>
          <w:p w14:paraId="34F79E76">
            <w:pPr>
              <w:pStyle w:val="42"/>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（3）采用吨袋包装。</w:t>
            </w:r>
          </w:p>
          <w:p w14:paraId="3EE2905D">
            <w:pPr>
              <w:pStyle w:val="42"/>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零碳公司应加强</w:t>
            </w:r>
            <w:r>
              <w:rPr>
                <w:rFonts w:hint="eastAsia" w:ascii="Times New Roman" w:eastAsia="宋体" w:cs="Times New Roman"/>
                <w:b w:val="0"/>
                <w:bCs/>
                <w:color w:val="auto"/>
                <w:kern w:val="2"/>
                <w:sz w:val="24"/>
                <w:szCs w:val="24"/>
                <w:lang w:val="en-US" w:eastAsia="zh-CN" w:bidi="ar-SA"/>
              </w:rPr>
              <w:t>飞灰</w:t>
            </w:r>
            <w:r>
              <w:rPr>
                <w:rFonts w:hint="eastAsia" w:ascii="Times New Roman" w:hAnsi="宋体" w:eastAsia="宋体" w:cs="Times New Roman"/>
                <w:b w:val="0"/>
                <w:bCs/>
                <w:color w:val="auto"/>
                <w:kern w:val="2"/>
                <w:sz w:val="24"/>
                <w:szCs w:val="24"/>
                <w:lang w:val="en-US" w:eastAsia="zh-CN" w:bidi="ar-SA"/>
              </w:rPr>
              <w:t>暂存库入</w:t>
            </w:r>
            <w:r>
              <w:rPr>
                <w:rFonts w:hint="eastAsia" w:ascii="Times New Roman" w:eastAsia="宋体" w:cs="Times New Roman"/>
                <w:b w:val="0"/>
                <w:bCs/>
                <w:color w:val="auto"/>
                <w:kern w:val="2"/>
                <w:sz w:val="24"/>
                <w:szCs w:val="24"/>
                <w:lang w:val="en-US" w:eastAsia="zh-CN" w:bidi="ar-SA"/>
              </w:rPr>
              <w:t>场</w:t>
            </w:r>
            <w:r>
              <w:rPr>
                <w:rFonts w:hint="eastAsia" w:ascii="Times New Roman" w:hAnsi="宋体" w:eastAsia="宋体" w:cs="Times New Roman"/>
                <w:b w:val="0"/>
                <w:bCs/>
                <w:color w:val="auto"/>
                <w:kern w:val="2"/>
                <w:sz w:val="24"/>
                <w:szCs w:val="24"/>
                <w:lang w:val="en-US" w:eastAsia="zh-CN" w:bidi="ar-SA"/>
              </w:rPr>
              <w:t>、出场</w:t>
            </w:r>
            <w:r>
              <w:rPr>
                <w:rFonts w:hint="eastAsia" w:ascii="Times New Roman" w:eastAsia="宋体" w:cs="Times New Roman"/>
                <w:b w:val="0"/>
                <w:bCs/>
                <w:color w:val="auto"/>
                <w:kern w:val="2"/>
                <w:sz w:val="24"/>
                <w:szCs w:val="24"/>
                <w:lang w:val="en-US" w:eastAsia="zh-CN" w:bidi="ar-SA"/>
              </w:rPr>
              <w:t>的</w:t>
            </w:r>
            <w:r>
              <w:rPr>
                <w:rFonts w:hint="eastAsia" w:ascii="Times New Roman" w:hAnsi="宋体" w:eastAsia="宋体" w:cs="Times New Roman"/>
                <w:b w:val="0"/>
                <w:bCs/>
                <w:color w:val="auto"/>
                <w:kern w:val="2"/>
                <w:sz w:val="24"/>
                <w:szCs w:val="24"/>
                <w:lang w:val="en-US" w:eastAsia="zh-CN" w:bidi="ar-SA"/>
              </w:rPr>
              <w:t>管理，并建立管理台账。台账中需要明确飞灰入库的时间、数量。同时需要附上每批次飞灰的浸出液成分检测报告，合理管理飞灰的入库记录，与焚烧厂飞灰</w:t>
            </w:r>
            <w:r>
              <w:rPr>
                <w:rFonts w:hint="eastAsia" w:ascii="Times New Roman" w:eastAsia="宋体" w:cs="Times New Roman"/>
                <w:b w:val="0"/>
                <w:bCs/>
                <w:color w:val="auto"/>
                <w:kern w:val="2"/>
                <w:sz w:val="24"/>
                <w:szCs w:val="24"/>
                <w:lang w:val="en-US" w:eastAsia="zh-CN" w:bidi="ar-SA"/>
              </w:rPr>
              <w:t>出厂</w:t>
            </w:r>
            <w:r>
              <w:rPr>
                <w:rFonts w:hint="eastAsia" w:ascii="Times New Roman" w:hAnsi="宋体" w:eastAsia="宋体" w:cs="Times New Roman"/>
                <w:b w:val="0"/>
                <w:bCs/>
                <w:color w:val="auto"/>
                <w:kern w:val="2"/>
                <w:sz w:val="24"/>
                <w:szCs w:val="24"/>
                <w:lang w:val="en-US" w:eastAsia="zh-CN" w:bidi="ar-SA"/>
              </w:rPr>
              <w:t>台账对应。并明确出库时间、数量，检查吨袋是否破损，与飞灰填埋场入场台账对应。本项目暂存飞灰过程中需要的照明用电、喷淋塔用电由焚烧厂提供，无其他能源消耗。</w:t>
            </w:r>
          </w:p>
          <w:p w14:paraId="22C1A4FC">
            <w:pPr>
              <w:pStyle w:val="32"/>
              <w:ind w:left="0" w:leftChars="0" w:firstLine="361" w:firstLineChars="150"/>
              <w:rPr>
                <w:b/>
                <w:bCs/>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rPr>
              <w:t>设备使用情况</w:t>
            </w:r>
          </w:p>
          <w:p w14:paraId="6657553F">
            <w:pPr>
              <w:keepNext/>
              <w:adjustRightInd w:val="0"/>
              <w:snapToGrid w:val="0"/>
              <w:jc w:val="center"/>
              <w:rPr>
                <w:rFonts w:hint="eastAsia"/>
                <w:b/>
                <w:color w:val="auto"/>
                <w:sz w:val="24"/>
              </w:rPr>
            </w:pPr>
            <w:r>
              <w:rPr>
                <w:b/>
                <w:color w:val="auto"/>
                <w:sz w:val="24"/>
              </w:rPr>
              <w:t>表2-</w:t>
            </w:r>
            <w:r>
              <w:rPr>
                <w:rFonts w:hint="eastAsia"/>
                <w:b/>
                <w:color w:val="auto"/>
                <w:sz w:val="24"/>
                <w:lang w:val="en-US" w:eastAsia="zh-CN"/>
              </w:rPr>
              <w:t>3</w:t>
            </w:r>
            <w:r>
              <w:rPr>
                <w:b/>
                <w:color w:val="auto"/>
                <w:sz w:val="24"/>
              </w:rPr>
              <w:t>主要</w:t>
            </w:r>
            <w:r>
              <w:rPr>
                <w:rFonts w:hint="eastAsia"/>
                <w:b/>
                <w:color w:val="auto"/>
                <w:sz w:val="24"/>
              </w:rPr>
              <w:t>生产设备使用情况</w:t>
            </w:r>
          </w:p>
          <w:tbl>
            <w:tblPr>
              <w:tblStyle w:val="33"/>
              <w:tblW w:w="85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514"/>
              <w:gridCol w:w="1464"/>
              <w:gridCol w:w="954"/>
              <w:gridCol w:w="2048"/>
              <w:gridCol w:w="1757"/>
            </w:tblGrid>
            <w:tr w14:paraId="5F52F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tcBorders>
                    <w:tl2br w:val="nil"/>
                    <w:tr2bl w:val="nil"/>
                  </w:tcBorders>
                  <w:vAlign w:val="center"/>
                </w:tcPr>
                <w:p w14:paraId="7AC97C1E">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序号</w:t>
                  </w:r>
                </w:p>
              </w:tc>
              <w:tc>
                <w:tcPr>
                  <w:tcW w:w="1514" w:type="dxa"/>
                  <w:tcBorders>
                    <w:tl2br w:val="nil"/>
                    <w:tr2bl w:val="nil"/>
                  </w:tcBorders>
                  <w:vAlign w:val="center"/>
                </w:tcPr>
                <w:p w14:paraId="31A82450">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设备名称</w:t>
                  </w:r>
                </w:p>
              </w:tc>
              <w:tc>
                <w:tcPr>
                  <w:tcW w:w="1464" w:type="dxa"/>
                  <w:tcBorders>
                    <w:tl2br w:val="nil"/>
                    <w:tr2bl w:val="nil"/>
                  </w:tcBorders>
                  <w:vAlign w:val="center"/>
                </w:tcPr>
                <w:p w14:paraId="7E18799A">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规格型号</w:t>
                  </w:r>
                </w:p>
              </w:tc>
              <w:tc>
                <w:tcPr>
                  <w:tcW w:w="954" w:type="dxa"/>
                  <w:tcBorders>
                    <w:tl2br w:val="nil"/>
                    <w:tr2bl w:val="nil"/>
                  </w:tcBorders>
                  <w:vAlign w:val="center"/>
                </w:tcPr>
                <w:p w14:paraId="4E3B5EFE">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数量</w:t>
                  </w:r>
                </w:p>
              </w:tc>
              <w:tc>
                <w:tcPr>
                  <w:tcW w:w="2048" w:type="dxa"/>
                  <w:tcBorders>
                    <w:tl2br w:val="nil"/>
                    <w:tr2bl w:val="nil"/>
                  </w:tcBorders>
                  <w:vAlign w:val="center"/>
                </w:tcPr>
                <w:p w14:paraId="46DCC5CC">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设备功率/W/台</w:t>
                  </w:r>
                </w:p>
              </w:tc>
              <w:tc>
                <w:tcPr>
                  <w:tcW w:w="1757" w:type="dxa"/>
                  <w:tcBorders>
                    <w:tl2br w:val="nil"/>
                    <w:tr2bl w:val="nil"/>
                  </w:tcBorders>
                  <w:vAlign w:val="center"/>
                </w:tcPr>
                <w:p w14:paraId="64FFC1BF">
                  <w:pPr>
                    <w:pStyle w:val="132"/>
                    <w:spacing w:line="240" w:lineRule="auto"/>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用途</w:t>
                  </w:r>
                </w:p>
              </w:tc>
            </w:tr>
            <w:tr w14:paraId="7138A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tcBorders>
                    <w:tl2br w:val="nil"/>
                    <w:tr2bl w:val="nil"/>
                  </w:tcBorders>
                  <w:vAlign w:val="center"/>
                </w:tcPr>
                <w:p w14:paraId="282BB6CB">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1</w:t>
                  </w:r>
                </w:p>
              </w:tc>
              <w:tc>
                <w:tcPr>
                  <w:tcW w:w="1514" w:type="dxa"/>
                  <w:tcBorders>
                    <w:tl2br w:val="nil"/>
                    <w:tr2bl w:val="nil"/>
                  </w:tcBorders>
                  <w:vAlign w:val="center"/>
                </w:tcPr>
                <w:p w14:paraId="5C6CFEC0">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叉车</w:t>
                  </w:r>
                </w:p>
              </w:tc>
              <w:tc>
                <w:tcPr>
                  <w:tcW w:w="1464" w:type="dxa"/>
                  <w:tcBorders>
                    <w:tl2br w:val="nil"/>
                    <w:tr2bl w:val="nil"/>
                  </w:tcBorders>
                  <w:vAlign w:val="center"/>
                </w:tcPr>
                <w:p w14:paraId="25738F78">
                  <w:pPr>
                    <w:pStyle w:val="132"/>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CPCD型3.0t</w:t>
                  </w:r>
                </w:p>
              </w:tc>
              <w:tc>
                <w:tcPr>
                  <w:tcW w:w="954" w:type="dxa"/>
                  <w:tcBorders>
                    <w:tl2br w:val="nil"/>
                    <w:tr2bl w:val="nil"/>
                  </w:tcBorders>
                  <w:vAlign w:val="center"/>
                </w:tcPr>
                <w:p w14:paraId="7303A2BD">
                  <w:pPr>
                    <w:pStyle w:val="132"/>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2048" w:type="dxa"/>
                  <w:tcBorders>
                    <w:tl2br w:val="nil"/>
                    <w:tr2bl w:val="nil"/>
                  </w:tcBorders>
                  <w:vAlign w:val="center"/>
                </w:tcPr>
                <w:p w14:paraId="1B480459">
                  <w:pPr>
                    <w:pStyle w:val="132"/>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757" w:type="dxa"/>
                  <w:tcBorders>
                    <w:tl2br w:val="nil"/>
                    <w:tr2bl w:val="nil"/>
                  </w:tcBorders>
                  <w:vAlign w:val="center"/>
                </w:tcPr>
                <w:p w14:paraId="3C073329">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物料装卸，转运</w:t>
                  </w:r>
                </w:p>
              </w:tc>
            </w:tr>
          </w:tbl>
          <w:p w14:paraId="082E4082">
            <w:pPr>
              <w:widowControl/>
              <w:numPr>
                <w:ilvl w:val="0"/>
                <w:numId w:val="0"/>
              </w:numPr>
              <w:adjustRightInd w:val="0"/>
              <w:snapToGrid w:val="0"/>
              <w:spacing w:before="120" w:beforeLines="50" w:line="360" w:lineRule="auto"/>
              <w:ind w:firstLine="241" w:firstLineChars="100"/>
              <w:jc w:val="left"/>
              <w:rPr>
                <w:b/>
                <w:color w:val="auto"/>
                <w:kern w:val="0"/>
                <w:sz w:val="24"/>
              </w:rPr>
            </w:pPr>
            <w:r>
              <w:rPr>
                <w:b/>
                <w:color w:val="auto"/>
                <w:kern w:val="0"/>
                <w:sz w:val="24"/>
              </w:rPr>
              <w:t>5.公用及辅助工程</w:t>
            </w:r>
          </w:p>
          <w:p w14:paraId="343DCF08">
            <w:pPr>
              <w:autoSpaceDE w:val="0"/>
              <w:autoSpaceDN w:val="0"/>
              <w:adjustRightInd w:val="0"/>
              <w:snapToGrid w:val="0"/>
              <w:spacing w:line="360" w:lineRule="auto"/>
              <w:ind w:firstLine="480" w:firstLineChars="200"/>
              <w:jc w:val="left"/>
              <w:rPr>
                <w:color w:val="auto"/>
                <w:kern w:val="0"/>
                <w:sz w:val="24"/>
              </w:rPr>
            </w:pPr>
            <w:r>
              <w:rPr>
                <w:rFonts w:hAnsi="宋体"/>
                <w:color w:val="auto"/>
                <w:kern w:val="0"/>
                <w:sz w:val="24"/>
              </w:rPr>
              <w:t>项目主体工程、公用工程及辅助工程见表</w:t>
            </w:r>
            <w:r>
              <w:rPr>
                <w:color w:val="auto"/>
                <w:kern w:val="0"/>
                <w:sz w:val="24"/>
              </w:rPr>
              <w:t>2-</w:t>
            </w:r>
            <w:r>
              <w:rPr>
                <w:rFonts w:hint="eastAsia"/>
                <w:color w:val="auto"/>
                <w:kern w:val="0"/>
                <w:sz w:val="24"/>
                <w:lang w:val="en-US" w:eastAsia="zh-CN"/>
              </w:rPr>
              <w:t>4</w:t>
            </w:r>
            <w:r>
              <w:rPr>
                <w:rFonts w:hAnsi="宋体"/>
                <w:color w:val="auto"/>
                <w:kern w:val="0"/>
                <w:sz w:val="24"/>
              </w:rPr>
              <w:t>。</w:t>
            </w:r>
          </w:p>
          <w:p w14:paraId="0E46C763">
            <w:pPr>
              <w:widowControl/>
              <w:autoSpaceDE w:val="0"/>
              <w:autoSpaceDN w:val="0"/>
              <w:adjustRightInd w:val="0"/>
              <w:snapToGrid w:val="0"/>
              <w:jc w:val="center"/>
              <w:rPr>
                <w:rFonts w:hAnsi="宋体"/>
                <w:b/>
                <w:color w:val="auto"/>
                <w:kern w:val="0"/>
                <w:sz w:val="24"/>
              </w:rPr>
            </w:pPr>
            <w:r>
              <w:rPr>
                <w:rFonts w:hAnsi="宋体"/>
                <w:b/>
                <w:color w:val="auto"/>
                <w:kern w:val="0"/>
                <w:sz w:val="24"/>
              </w:rPr>
              <w:t>表</w:t>
            </w:r>
            <w:r>
              <w:rPr>
                <w:b/>
                <w:color w:val="auto"/>
                <w:kern w:val="0"/>
                <w:sz w:val="24"/>
              </w:rPr>
              <w:t>2-</w:t>
            </w:r>
            <w:r>
              <w:rPr>
                <w:rFonts w:hint="eastAsia"/>
                <w:b/>
                <w:color w:val="auto"/>
                <w:kern w:val="0"/>
                <w:sz w:val="24"/>
                <w:lang w:val="en-US" w:eastAsia="zh-CN"/>
              </w:rPr>
              <w:t xml:space="preserve">4  </w:t>
            </w:r>
            <w:r>
              <w:rPr>
                <w:rFonts w:hAnsi="宋体"/>
                <w:b/>
                <w:color w:val="auto"/>
                <w:kern w:val="0"/>
                <w:sz w:val="24"/>
                <w:lang w:val="zh-CN"/>
              </w:rPr>
              <w:t>项目</w:t>
            </w:r>
            <w:r>
              <w:rPr>
                <w:rFonts w:hAnsi="宋体"/>
                <w:b/>
                <w:color w:val="auto"/>
                <w:kern w:val="0"/>
                <w:sz w:val="24"/>
              </w:rPr>
              <w:t>公用与辅助工程一览表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2"/>
              <w:gridCol w:w="2355"/>
              <w:gridCol w:w="2585"/>
              <w:gridCol w:w="2247"/>
            </w:tblGrid>
            <w:tr w14:paraId="67B4A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253" w:type="pct"/>
                  <w:tcBorders>
                    <w:top w:val="single" w:color="auto" w:sz="12" w:space="0"/>
                    <w:bottom w:val="single" w:color="auto" w:sz="12" w:space="0"/>
                  </w:tcBorders>
                  <w:vAlign w:val="center"/>
                </w:tcPr>
                <w:p w14:paraId="1A30696F">
                  <w:pPr>
                    <w:pStyle w:val="132"/>
                    <w:spacing w:line="240" w:lineRule="auto"/>
                    <w:rPr>
                      <w:rFonts w:ascii="Times New Roman" w:hAnsi="Times New Roman" w:eastAsia="宋体" w:cs="Times New Roman"/>
                      <w:b/>
                      <w:color w:val="auto"/>
                    </w:rPr>
                  </w:pPr>
                  <w:r>
                    <w:rPr>
                      <w:rFonts w:ascii="Times New Roman" w:hAnsi="Times New Roman" w:eastAsia="宋体" w:cs="Times New Roman"/>
                      <w:b/>
                      <w:color w:val="auto"/>
                    </w:rPr>
                    <w:t>类别</w:t>
                  </w:r>
                </w:p>
              </w:tc>
              <w:tc>
                <w:tcPr>
                  <w:tcW w:w="477" w:type="pct"/>
                  <w:tcBorders>
                    <w:top w:val="single" w:color="auto" w:sz="12" w:space="0"/>
                    <w:bottom w:val="single" w:color="auto" w:sz="12" w:space="0"/>
                  </w:tcBorders>
                  <w:vAlign w:val="center"/>
                </w:tcPr>
                <w:p w14:paraId="3DE0EE70">
                  <w:pPr>
                    <w:pStyle w:val="132"/>
                    <w:spacing w:line="240" w:lineRule="auto"/>
                    <w:rPr>
                      <w:rFonts w:hint="eastAsia" w:ascii="Times New Roman" w:hAnsi="Times New Roman" w:eastAsia="宋体" w:cs="Times New Roman"/>
                      <w:b/>
                      <w:color w:val="auto"/>
                      <w:lang w:eastAsia="zh-CN"/>
                    </w:rPr>
                  </w:pPr>
                  <w:r>
                    <w:rPr>
                      <w:rFonts w:hint="eastAsia" w:ascii="Times New Roman" w:hAnsi="Times New Roman" w:cs="Times New Roman"/>
                      <w:b/>
                      <w:color w:val="auto"/>
                      <w:lang w:eastAsia="zh-CN"/>
                    </w:rPr>
                    <w:t>工程名称</w:t>
                  </w:r>
                </w:p>
              </w:tc>
              <w:tc>
                <w:tcPr>
                  <w:tcW w:w="1398" w:type="pct"/>
                  <w:tcBorders>
                    <w:top w:val="single" w:color="auto" w:sz="12" w:space="0"/>
                    <w:bottom w:val="single" w:color="auto" w:sz="12" w:space="0"/>
                  </w:tcBorders>
                  <w:vAlign w:val="center"/>
                </w:tcPr>
                <w:p w14:paraId="5F20442A">
                  <w:pPr>
                    <w:pStyle w:val="132"/>
                    <w:spacing w:line="240" w:lineRule="auto"/>
                    <w:rPr>
                      <w:rFonts w:hint="eastAsia" w:ascii="Times New Roman" w:hAnsi="Times New Roman" w:cs="Times New Roman"/>
                      <w:b/>
                      <w:color w:val="auto"/>
                      <w:lang w:eastAsia="zh-CN"/>
                    </w:rPr>
                  </w:pPr>
                  <w:r>
                    <w:rPr>
                      <w:rFonts w:hint="eastAsia" w:ascii="Times New Roman" w:hAnsi="Times New Roman" w:cs="Times New Roman"/>
                      <w:b/>
                      <w:color w:val="auto"/>
                      <w:lang w:eastAsia="zh-CN"/>
                    </w:rPr>
                    <w:t>改建前工程内容及规模</w:t>
                  </w:r>
                </w:p>
              </w:tc>
              <w:tc>
                <w:tcPr>
                  <w:tcW w:w="1535" w:type="pct"/>
                  <w:tcBorders>
                    <w:top w:val="single" w:color="auto" w:sz="12" w:space="0"/>
                    <w:bottom w:val="single" w:color="auto" w:sz="12" w:space="0"/>
                  </w:tcBorders>
                  <w:vAlign w:val="center"/>
                </w:tcPr>
                <w:p w14:paraId="0551AE08">
                  <w:pPr>
                    <w:pStyle w:val="132"/>
                    <w:spacing w:line="240" w:lineRule="auto"/>
                    <w:rPr>
                      <w:rFonts w:hint="eastAsia" w:ascii="Times New Roman" w:hAnsi="Times New Roman" w:cs="Times New Roman"/>
                      <w:b/>
                      <w:color w:val="auto"/>
                      <w:lang w:eastAsia="zh-CN"/>
                    </w:rPr>
                  </w:pPr>
                  <w:r>
                    <w:rPr>
                      <w:rFonts w:hint="eastAsia" w:ascii="Times New Roman" w:hAnsi="Times New Roman" w:cs="Times New Roman"/>
                      <w:b/>
                      <w:color w:val="auto"/>
                      <w:lang w:eastAsia="zh-CN"/>
                    </w:rPr>
                    <w:t>改建后全厂工程内容及规模</w:t>
                  </w:r>
                </w:p>
              </w:tc>
              <w:tc>
                <w:tcPr>
                  <w:tcW w:w="1334" w:type="pct"/>
                  <w:tcBorders>
                    <w:top w:val="single" w:color="auto" w:sz="12" w:space="0"/>
                    <w:bottom w:val="single" w:color="auto" w:sz="12" w:space="0"/>
                  </w:tcBorders>
                  <w:vAlign w:val="center"/>
                </w:tcPr>
                <w:p w14:paraId="2A669692">
                  <w:pPr>
                    <w:pStyle w:val="132"/>
                    <w:spacing w:line="240" w:lineRule="auto"/>
                    <w:rPr>
                      <w:rFonts w:hint="eastAsia" w:ascii="Times New Roman" w:hAnsi="Times New Roman" w:cs="Times New Roman"/>
                      <w:b/>
                      <w:color w:val="auto"/>
                      <w:lang w:eastAsia="zh-CN"/>
                    </w:rPr>
                  </w:pPr>
                  <w:r>
                    <w:rPr>
                      <w:rFonts w:hint="eastAsia" w:ascii="Times New Roman" w:hAnsi="Times New Roman" w:cs="Times New Roman"/>
                      <w:b/>
                      <w:color w:val="auto"/>
                      <w:lang w:eastAsia="zh-CN"/>
                    </w:rPr>
                    <w:t>变化内容</w:t>
                  </w:r>
                </w:p>
              </w:tc>
            </w:tr>
            <w:tr w14:paraId="65C9C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53" w:type="pct"/>
                  <w:tcBorders>
                    <w:top w:val="single" w:color="auto" w:sz="12" w:space="0"/>
                  </w:tcBorders>
                  <w:vAlign w:val="center"/>
                </w:tcPr>
                <w:p w14:paraId="6A59B2EC">
                  <w:pPr>
                    <w:pStyle w:val="132"/>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主体工程</w:t>
                  </w:r>
                </w:p>
              </w:tc>
              <w:tc>
                <w:tcPr>
                  <w:tcW w:w="477" w:type="pct"/>
                  <w:tcBorders>
                    <w:top w:val="single" w:color="auto" w:sz="12" w:space="0"/>
                    <w:bottom w:val="single" w:color="auto" w:sz="4" w:space="0"/>
                  </w:tcBorders>
                  <w:vAlign w:val="center"/>
                </w:tcPr>
                <w:p w14:paraId="195C3056">
                  <w:pPr>
                    <w:pStyle w:val="132"/>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飞灰暂存仓库</w:t>
                  </w:r>
                </w:p>
              </w:tc>
              <w:tc>
                <w:tcPr>
                  <w:tcW w:w="1398" w:type="pct"/>
                  <w:tcBorders>
                    <w:top w:val="single" w:color="auto" w:sz="12" w:space="0"/>
                    <w:bottom w:val="single" w:color="auto" w:sz="4" w:space="0"/>
                  </w:tcBorders>
                  <w:shd w:val="clear" w:color="auto" w:fill="auto"/>
                  <w:vAlign w:val="center"/>
                </w:tcPr>
                <w:p w14:paraId="320F7E1B">
                  <w:pPr>
                    <w:pStyle w:val="132"/>
                    <w:spacing w:line="240" w:lineRule="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钢</w:t>
                  </w:r>
                  <w:r>
                    <w:rPr>
                      <w:rFonts w:hint="eastAsia" w:ascii="Times New Roman" w:hAnsi="Times New Roman" w:cs="Times New Roman"/>
                      <w:color w:val="auto"/>
                      <w:lang w:eastAsia="zh-CN"/>
                    </w:rPr>
                    <w:t>混</w:t>
                  </w:r>
                  <w:r>
                    <w:rPr>
                      <w:rFonts w:hint="eastAsia" w:ascii="Times New Roman" w:hAnsi="Times New Roman" w:eastAsia="宋体" w:cs="Times New Roman"/>
                      <w:color w:val="auto"/>
                    </w:rPr>
                    <w:t>结构，</w:t>
                  </w:r>
                  <w:r>
                    <w:rPr>
                      <w:rFonts w:hint="eastAsia" w:ascii="Times New Roman" w:hAnsi="Times New Roman" w:cs="Times New Roman"/>
                      <w:color w:val="auto"/>
                      <w:lang w:eastAsia="zh-CN"/>
                    </w:rPr>
                    <w:t>库容</w:t>
                  </w:r>
                  <w:r>
                    <w:rPr>
                      <w:rFonts w:hint="eastAsia" w:ascii="Times New Roman" w:hAnsi="Times New Roman" w:cs="Times New Roman"/>
                      <w:color w:val="auto"/>
                      <w:lang w:val="en-US" w:eastAsia="zh-CN"/>
                    </w:rPr>
                    <w:t>700</w:t>
                  </w:r>
                  <w:r>
                    <w:rPr>
                      <w:rFonts w:hint="eastAsia" w:ascii="Times New Roman" w:hAnsi="Times New Roman"/>
                      <w:color w:val="auto"/>
                      <w:sz w:val="21"/>
                      <w:szCs w:val="21"/>
                    </w:rPr>
                    <w:t xml:space="preserve"> m</w:t>
                  </w:r>
                  <w:r>
                    <w:rPr>
                      <w:rFonts w:ascii="Times New Roman" w:hAnsi="Times New Roman"/>
                      <w:color w:val="auto"/>
                      <w:sz w:val="21"/>
                      <w:szCs w:val="21"/>
                      <w:vertAlign w:val="superscript"/>
                    </w:rPr>
                    <w:t>3</w:t>
                  </w:r>
                  <w:r>
                    <w:rPr>
                      <w:rFonts w:hint="eastAsia" w:ascii="Times New Roman" w:hAnsi="Times New Roman" w:eastAsia="宋体" w:cs="Times New Roman"/>
                      <w:color w:val="auto"/>
                    </w:rPr>
                    <w:t>，</w:t>
                  </w:r>
                  <w:r>
                    <w:rPr>
                      <w:rFonts w:hint="eastAsia" w:ascii="Times New Roman" w:hAnsi="Times New Roman" w:cs="Times New Roman"/>
                      <w:color w:val="auto"/>
                      <w:lang w:eastAsia="zh-CN"/>
                    </w:rPr>
                    <w:t>一座</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飞灰暂存库。</w:t>
                  </w:r>
                </w:p>
              </w:tc>
              <w:tc>
                <w:tcPr>
                  <w:tcW w:w="1535" w:type="pct"/>
                  <w:tcBorders>
                    <w:top w:val="single" w:color="auto" w:sz="12" w:space="0"/>
                    <w:bottom w:val="single" w:color="auto" w:sz="4" w:space="0"/>
                  </w:tcBorders>
                  <w:shd w:val="clear" w:color="auto" w:fill="auto"/>
                  <w:vAlign w:val="center"/>
                </w:tcPr>
                <w:p w14:paraId="21410631">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钢</w:t>
                  </w:r>
                  <w:r>
                    <w:rPr>
                      <w:rFonts w:hint="eastAsia" w:ascii="Times New Roman" w:hAnsi="Times New Roman" w:cs="Times New Roman"/>
                      <w:color w:val="auto"/>
                      <w:lang w:eastAsia="zh-CN"/>
                    </w:rPr>
                    <w:t>混</w:t>
                  </w:r>
                  <w:r>
                    <w:rPr>
                      <w:rFonts w:hint="eastAsia" w:ascii="Times New Roman" w:hAnsi="Times New Roman" w:eastAsia="宋体" w:cs="Times New Roman"/>
                      <w:color w:val="auto"/>
                    </w:rPr>
                    <w:t>结构，</w:t>
                  </w:r>
                  <w:r>
                    <w:rPr>
                      <w:rFonts w:hint="eastAsia" w:ascii="Times New Roman" w:hAnsi="Times New Roman" w:cs="Times New Roman"/>
                      <w:color w:val="auto"/>
                      <w:lang w:eastAsia="zh-CN"/>
                    </w:rPr>
                    <w:t>库容</w:t>
                  </w:r>
                  <w:r>
                    <w:rPr>
                      <w:rFonts w:hint="eastAsia" w:ascii="Times New Roman" w:hAnsi="Times New Roman" w:cs="Times New Roman"/>
                      <w:color w:val="auto"/>
                      <w:lang w:val="en-US" w:eastAsia="zh-CN"/>
                    </w:rPr>
                    <w:t>1200</w:t>
                  </w:r>
                  <w:r>
                    <w:rPr>
                      <w:rFonts w:hint="eastAsia" w:ascii="Times New Roman" w:hAnsi="Times New Roman"/>
                      <w:color w:val="auto"/>
                      <w:sz w:val="21"/>
                      <w:szCs w:val="21"/>
                    </w:rPr>
                    <w:t>m</w:t>
                  </w:r>
                  <w:r>
                    <w:rPr>
                      <w:rFonts w:ascii="Times New Roman" w:hAnsi="Times New Roman"/>
                      <w:color w:val="auto"/>
                      <w:sz w:val="21"/>
                      <w:szCs w:val="21"/>
                      <w:vertAlign w:val="superscript"/>
                    </w:rPr>
                    <w:t>3</w:t>
                  </w:r>
                  <w:r>
                    <w:rPr>
                      <w:rFonts w:hint="eastAsia" w:ascii="Times New Roman" w:hAnsi="Times New Roman" w:eastAsia="宋体" w:cs="Times New Roman"/>
                      <w:color w:val="auto"/>
                    </w:rPr>
                    <w:t>，</w:t>
                  </w:r>
                  <w:r>
                    <w:rPr>
                      <w:rFonts w:hint="eastAsia" w:ascii="Times New Roman" w:hAnsi="Times New Roman" w:cs="Times New Roman"/>
                      <w:color w:val="auto"/>
                      <w:lang w:val="en-US" w:eastAsia="zh-CN"/>
                    </w:rPr>
                    <w:t>2座飞灰暂存库</w:t>
                  </w:r>
                </w:p>
              </w:tc>
              <w:tc>
                <w:tcPr>
                  <w:tcW w:w="1334" w:type="pct"/>
                  <w:tcBorders>
                    <w:top w:val="single" w:color="auto" w:sz="12" w:space="0"/>
                    <w:bottom w:val="single" w:color="auto" w:sz="4" w:space="0"/>
                  </w:tcBorders>
                  <w:shd w:val="clear" w:color="auto" w:fill="auto"/>
                  <w:vAlign w:val="center"/>
                </w:tcPr>
                <w:p w14:paraId="3D2591EC">
                  <w:pPr>
                    <w:pStyle w:val="132"/>
                    <w:spacing w:line="240" w:lineRule="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新增一座飞灰暂存库，新增库容</w:t>
                  </w:r>
                  <w:r>
                    <w:rPr>
                      <w:rFonts w:hint="eastAsia" w:ascii="Times New Roman" w:hAnsi="Times New Roman" w:cs="Times New Roman"/>
                      <w:color w:val="auto"/>
                      <w:lang w:val="en-US" w:eastAsia="zh-CN"/>
                    </w:rPr>
                    <w:t>500</w:t>
                  </w:r>
                  <w:r>
                    <w:rPr>
                      <w:rFonts w:hint="eastAsia" w:ascii="Times New Roman" w:hAnsi="Times New Roman"/>
                      <w:color w:val="auto"/>
                      <w:sz w:val="21"/>
                      <w:szCs w:val="21"/>
                    </w:rPr>
                    <w:t>m</w:t>
                  </w:r>
                  <w:r>
                    <w:rPr>
                      <w:rFonts w:ascii="Times New Roman" w:hAnsi="Times New Roman"/>
                      <w:color w:val="auto"/>
                      <w:sz w:val="21"/>
                      <w:szCs w:val="21"/>
                      <w:vertAlign w:val="superscript"/>
                    </w:rPr>
                    <w:t>3</w:t>
                  </w:r>
                </w:p>
              </w:tc>
            </w:tr>
            <w:tr w14:paraId="5B49A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tcBorders>
                    <w:top w:val="single" w:color="auto" w:sz="4" w:space="0"/>
                    <w:bottom w:val="single" w:color="auto" w:sz="4" w:space="0"/>
                  </w:tcBorders>
                  <w:vAlign w:val="center"/>
                </w:tcPr>
                <w:p w14:paraId="2D4CB15A">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贮运工程</w:t>
                  </w:r>
                </w:p>
              </w:tc>
              <w:tc>
                <w:tcPr>
                  <w:tcW w:w="477" w:type="pct"/>
                  <w:tcBorders>
                    <w:top w:val="single" w:color="auto" w:sz="4" w:space="0"/>
                    <w:bottom w:val="single" w:color="auto" w:sz="4" w:space="0"/>
                  </w:tcBorders>
                  <w:vAlign w:val="center"/>
                </w:tcPr>
                <w:p w14:paraId="405D3B77">
                  <w:pPr>
                    <w:pStyle w:val="132"/>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运输</w:t>
                  </w:r>
                </w:p>
              </w:tc>
              <w:tc>
                <w:tcPr>
                  <w:tcW w:w="1398" w:type="pct"/>
                  <w:tcBorders>
                    <w:top w:val="single" w:color="auto" w:sz="4" w:space="0"/>
                    <w:bottom w:val="single" w:color="auto" w:sz="4" w:space="0"/>
                  </w:tcBorders>
                  <w:shd w:val="clear" w:color="auto" w:fill="auto"/>
                  <w:vAlign w:val="center"/>
                </w:tcPr>
                <w:p w14:paraId="3015A1A3">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飞灰暂存库</w:t>
                  </w:r>
                  <w:r>
                    <w:rPr>
                      <w:rFonts w:hint="eastAsia" w:ascii="Times New Roman" w:hAnsi="Times New Roman" w:eastAsia="宋体" w:cs="Times New Roman"/>
                      <w:color w:val="auto"/>
                    </w:rPr>
                    <w:t>飞灰运输</w:t>
                  </w:r>
                  <w:r>
                    <w:rPr>
                      <w:rFonts w:hint="eastAsia" w:ascii="Times New Roman" w:hAnsi="Times New Roman" w:cs="Times New Roman"/>
                      <w:color w:val="auto"/>
                      <w:lang w:eastAsia="zh-CN"/>
                    </w:rPr>
                    <w:t>利用</w:t>
                  </w:r>
                  <w:r>
                    <w:rPr>
                      <w:rFonts w:hint="eastAsia" w:ascii="Times New Roman" w:hAnsi="Times New Roman" w:eastAsia="宋体" w:cs="Times New Roman"/>
                      <w:color w:val="auto"/>
                    </w:rPr>
                    <w:t>厂区转运叉车，利用</w:t>
                  </w:r>
                  <w:r>
                    <w:rPr>
                      <w:rFonts w:hint="eastAsia" w:ascii="Times New Roman" w:hAnsi="Times New Roman" w:eastAsia="宋体" w:cs="Times New Roman"/>
                      <w:color w:val="auto"/>
                      <w:lang w:eastAsia="zh-CN"/>
                    </w:rPr>
                    <w:t>本厂区</w:t>
                  </w:r>
                  <w:r>
                    <w:rPr>
                      <w:rFonts w:hint="eastAsia" w:ascii="Times New Roman" w:hAnsi="Times New Roman" w:eastAsia="宋体" w:cs="Times New Roman"/>
                      <w:color w:val="auto"/>
                    </w:rPr>
                    <w:t>生活垃圾焚烧发电厂区道路</w:t>
                  </w:r>
                </w:p>
              </w:tc>
              <w:tc>
                <w:tcPr>
                  <w:tcW w:w="1535" w:type="pct"/>
                  <w:tcBorders>
                    <w:top w:val="single" w:color="auto" w:sz="4" w:space="0"/>
                    <w:bottom w:val="single" w:color="auto" w:sz="4" w:space="0"/>
                  </w:tcBorders>
                  <w:shd w:val="clear" w:color="auto" w:fill="auto"/>
                  <w:vAlign w:val="center"/>
                </w:tcPr>
                <w:p w14:paraId="07DA9B15">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2座飞灰库</w:t>
                  </w:r>
                  <w:r>
                    <w:rPr>
                      <w:rFonts w:hint="eastAsia" w:ascii="Times New Roman" w:hAnsi="Times New Roman" w:eastAsia="宋体" w:cs="Times New Roman"/>
                      <w:color w:val="auto"/>
                    </w:rPr>
                    <w:t>飞灰运输</w:t>
                  </w:r>
                  <w:r>
                    <w:rPr>
                      <w:rFonts w:hint="eastAsia" w:ascii="Times New Roman" w:hAnsi="Times New Roman" w:cs="Times New Roman"/>
                      <w:color w:val="auto"/>
                      <w:lang w:eastAsia="zh-CN"/>
                    </w:rPr>
                    <w:t>利用</w:t>
                  </w:r>
                  <w:r>
                    <w:rPr>
                      <w:rFonts w:hint="eastAsia" w:ascii="Times New Roman" w:hAnsi="Times New Roman" w:eastAsia="宋体" w:cs="Times New Roman"/>
                      <w:color w:val="auto"/>
                    </w:rPr>
                    <w:t>厂区转运叉车，利用</w:t>
                  </w:r>
                  <w:r>
                    <w:rPr>
                      <w:rFonts w:hint="eastAsia" w:ascii="Times New Roman" w:hAnsi="Times New Roman" w:eastAsia="宋体" w:cs="Times New Roman"/>
                      <w:color w:val="auto"/>
                      <w:lang w:eastAsia="zh-CN"/>
                    </w:rPr>
                    <w:t>本厂区</w:t>
                  </w:r>
                  <w:r>
                    <w:rPr>
                      <w:rFonts w:hint="eastAsia" w:ascii="Times New Roman" w:hAnsi="Times New Roman" w:eastAsia="宋体" w:cs="Times New Roman"/>
                      <w:color w:val="auto"/>
                    </w:rPr>
                    <w:t>生活垃圾焚烧发电厂区道路</w:t>
                  </w:r>
                </w:p>
              </w:tc>
              <w:tc>
                <w:tcPr>
                  <w:tcW w:w="1334" w:type="pct"/>
                  <w:tcBorders>
                    <w:top w:val="single" w:color="auto" w:sz="4" w:space="0"/>
                    <w:bottom w:val="single" w:color="auto" w:sz="4" w:space="0"/>
                  </w:tcBorders>
                  <w:shd w:val="clear" w:color="auto" w:fill="auto"/>
                  <w:vAlign w:val="center"/>
                </w:tcPr>
                <w:p w14:paraId="7AEB7097">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49D26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vMerge w:val="restart"/>
                  <w:vAlign w:val="center"/>
                </w:tcPr>
                <w:p w14:paraId="4B67A67A">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公用工程</w:t>
                  </w:r>
                </w:p>
              </w:tc>
              <w:tc>
                <w:tcPr>
                  <w:tcW w:w="477" w:type="pct"/>
                  <w:vAlign w:val="center"/>
                </w:tcPr>
                <w:p w14:paraId="1623DD3A">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给水</w:t>
                  </w:r>
                </w:p>
              </w:tc>
              <w:tc>
                <w:tcPr>
                  <w:tcW w:w="1398" w:type="pct"/>
                  <w:shd w:val="clear" w:color="auto" w:fill="auto"/>
                  <w:vAlign w:val="center"/>
                </w:tcPr>
                <w:p w14:paraId="5B07B834">
                  <w:pPr>
                    <w:pStyle w:val="132"/>
                    <w:spacing w:line="240" w:lineRule="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喷淋塔用水10t/a</w:t>
                  </w:r>
                </w:p>
              </w:tc>
              <w:tc>
                <w:tcPr>
                  <w:tcW w:w="1535" w:type="pct"/>
                  <w:shd w:val="clear" w:color="auto" w:fill="auto"/>
                  <w:vAlign w:val="center"/>
                </w:tcPr>
                <w:p w14:paraId="3D16DA01">
                  <w:pPr>
                    <w:pStyle w:val="132"/>
                    <w:spacing w:line="240" w:lineRule="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飞灰暂存量不新增，改建后只是将原来全厂飞灰分成</w:t>
                  </w:r>
                  <w:r>
                    <w:rPr>
                      <w:rFonts w:hint="eastAsia" w:ascii="Times New Roman" w:hAnsi="Times New Roman" w:cs="Times New Roman"/>
                      <w:color w:val="auto"/>
                      <w:lang w:val="en-US" w:eastAsia="zh-CN"/>
                    </w:rPr>
                    <w:t>2个贮存场所暂存，不涉及新增喷淋塔用水；10t/a</w:t>
                  </w:r>
                </w:p>
              </w:tc>
              <w:tc>
                <w:tcPr>
                  <w:tcW w:w="1334" w:type="pct"/>
                  <w:shd w:val="clear" w:color="auto" w:fill="auto"/>
                  <w:vAlign w:val="center"/>
                </w:tcPr>
                <w:p w14:paraId="0541A130">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5E8A0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vMerge w:val="continue"/>
                  <w:vAlign w:val="center"/>
                </w:tcPr>
                <w:p w14:paraId="61FB2940">
                  <w:pPr>
                    <w:pStyle w:val="132"/>
                    <w:spacing w:line="240" w:lineRule="auto"/>
                    <w:rPr>
                      <w:rFonts w:ascii="Times New Roman" w:hAnsi="Times New Roman" w:eastAsia="宋体" w:cs="Times New Roman"/>
                      <w:color w:val="auto"/>
                    </w:rPr>
                  </w:pPr>
                </w:p>
              </w:tc>
              <w:tc>
                <w:tcPr>
                  <w:tcW w:w="477" w:type="pct"/>
                  <w:vAlign w:val="center"/>
                </w:tcPr>
                <w:p w14:paraId="4085AE80">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排水</w:t>
                  </w:r>
                </w:p>
              </w:tc>
              <w:tc>
                <w:tcPr>
                  <w:tcW w:w="1398" w:type="pct"/>
                  <w:shd w:val="clear" w:color="auto" w:fill="auto"/>
                  <w:vAlign w:val="center"/>
                </w:tcPr>
                <w:p w14:paraId="4B23F4F9">
                  <w:pPr>
                    <w:pStyle w:val="132"/>
                    <w:spacing w:line="240" w:lineRule="auto"/>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喷淋塔排水9t/a，通过管道排到渗滤液处理站处理后接管薛行污水处理厂</w:t>
                  </w:r>
                </w:p>
              </w:tc>
              <w:tc>
                <w:tcPr>
                  <w:tcW w:w="1535" w:type="pct"/>
                  <w:shd w:val="clear" w:color="auto" w:fill="auto"/>
                  <w:vAlign w:val="center"/>
                </w:tcPr>
                <w:p w14:paraId="161055BB">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喷淋塔排水9t/a</w:t>
                  </w:r>
                  <w:r>
                    <w:rPr>
                      <w:rFonts w:hint="eastAsia"/>
                      <w:color w:val="auto"/>
                      <w:lang w:eastAsia="zh-CN"/>
                    </w:rPr>
                    <w:t>，</w:t>
                  </w:r>
                  <w:r>
                    <w:rPr>
                      <w:rFonts w:hint="eastAsia" w:ascii="Times New Roman" w:hAnsi="Times New Roman" w:cs="Times New Roman"/>
                      <w:color w:val="auto"/>
                      <w:lang w:val="en-US" w:eastAsia="zh-CN"/>
                    </w:rPr>
                    <w:t>通过管道排到渗滤液处理站处理后接管薛行污水处理厂</w:t>
                  </w:r>
                </w:p>
              </w:tc>
              <w:tc>
                <w:tcPr>
                  <w:tcW w:w="1334" w:type="pct"/>
                  <w:shd w:val="clear" w:color="auto" w:fill="auto"/>
                  <w:vAlign w:val="center"/>
                </w:tcPr>
                <w:p w14:paraId="6F4554DD">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347A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vMerge w:val="continue"/>
                  <w:vAlign w:val="center"/>
                </w:tcPr>
                <w:p w14:paraId="77ED7855">
                  <w:pPr>
                    <w:pStyle w:val="132"/>
                    <w:spacing w:line="240" w:lineRule="auto"/>
                    <w:rPr>
                      <w:rFonts w:ascii="Times New Roman" w:hAnsi="Times New Roman" w:eastAsia="宋体" w:cs="Times New Roman"/>
                      <w:color w:val="auto"/>
                    </w:rPr>
                  </w:pPr>
                </w:p>
              </w:tc>
              <w:tc>
                <w:tcPr>
                  <w:tcW w:w="477" w:type="pct"/>
                  <w:vAlign w:val="center"/>
                </w:tcPr>
                <w:p w14:paraId="5663F329">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供电</w:t>
                  </w:r>
                </w:p>
              </w:tc>
              <w:tc>
                <w:tcPr>
                  <w:tcW w:w="1398" w:type="pct"/>
                  <w:shd w:val="clear" w:color="auto" w:fill="auto"/>
                  <w:vAlign w:val="center"/>
                </w:tcPr>
                <w:p w14:paraId="22B067CF">
                  <w:pPr>
                    <w:pStyle w:val="132"/>
                    <w:spacing w:line="240" w:lineRule="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由焚烧发电厂提供</w:t>
                  </w:r>
                </w:p>
              </w:tc>
              <w:tc>
                <w:tcPr>
                  <w:tcW w:w="1535" w:type="pct"/>
                  <w:shd w:val="clear" w:color="auto" w:fill="auto"/>
                  <w:vAlign w:val="center"/>
                </w:tcPr>
                <w:p w14:paraId="0FA260DB">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由焚烧发电厂提供</w:t>
                  </w:r>
                </w:p>
              </w:tc>
              <w:tc>
                <w:tcPr>
                  <w:tcW w:w="1334" w:type="pct"/>
                  <w:shd w:val="clear" w:color="auto" w:fill="auto"/>
                  <w:vAlign w:val="center"/>
                </w:tcPr>
                <w:p w14:paraId="1BF25093">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4FCD1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53" w:type="pct"/>
                  <w:vMerge w:val="restart"/>
                  <w:vAlign w:val="center"/>
                </w:tcPr>
                <w:p w14:paraId="503DF34F">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环保工程</w:t>
                  </w:r>
                </w:p>
              </w:tc>
              <w:tc>
                <w:tcPr>
                  <w:tcW w:w="477" w:type="pct"/>
                  <w:vAlign w:val="center"/>
                </w:tcPr>
                <w:p w14:paraId="3F021DC0">
                  <w:pPr>
                    <w:pStyle w:val="132"/>
                    <w:spacing w:line="240" w:lineRule="auto"/>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废气</w:t>
                  </w:r>
                  <w:r>
                    <w:rPr>
                      <w:rFonts w:hint="eastAsia" w:ascii="Times New Roman" w:hAnsi="Times New Roman" w:cs="Times New Roman"/>
                      <w:color w:val="auto"/>
                      <w:lang w:eastAsia="zh-CN"/>
                    </w:rPr>
                    <w:t>处理措施</w:t>
                  </w:r>
                </w:p>
              </w:tc>
              <w:tc>
                <w:tcPr>
                  <w:tcW w:w="1398" w:type="pct"/>
                  <w:shd w:val="clear" w:color="auto" w:fill="auto"/>
                  <w:vAlign w:val="center"/>
                </w:tcPr>
                <w:p w14:paraId="5B3B6276">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飞灰暂存库</w:t>
                  </w:r>
                  <w:r>
                    <w:rPr>
                      <w:rFonts w:hint="eastAsia" w:ascii="Times New Roman" w:hAnsi="Times New Roman" w:eastAsia="宋体" w:cs="Times New Roman"/>
                      <w:color w:val="auto"/>
                    </w:rPr>
                    <w:t>飞灰</w:t>
                  </w:r>
                  <w:r>
                    <w:rPr>
                      <w:rFonts w:hint="eastAsia" w:ascii="Times New Roman" w:hAnsi="Times New Roman" w:cs="Times New Roman"/>
                      <w:color w:val="auto"/>
                      <w:lang w:eastAsia="zh-CN"/>
                    </w:rPr>
                    <w:t>产生废气经</w:t>
                  </w:r>
                  <w:r>
                    <w:rPr>
                      <w:rFonts w:hint="eastAsia" w:ascii="Times New Roman" w:hAnsi="Times New Roman" w:eastAsia="宋体" w:cs="Times New Roman"/>
                      <w:color w:val="auto"/>
                    </w:rPr>
                    <w:t>抽风进入</w:t>
                  </w:r>
                  <w:r>
                    <w:rPr>
                      <w:rFonts w:hint="eastAsia" w:ascii="Times New Roman" w:hAnsi="Times New Roman" w:eastAsia="宋体" w:cs="Times New Roman"/>
                      <w:color w:val="auto"/>
                      <w:lang w:eastAsia="zh-CN"/>
                    </w:rPr>
                    <w:t>除氨系统的</w:t>
                  </w:r>
                  <w:r>
                    <w:rPr>
                      <w:rFonts w:hint="eastAsia" w:ascii="Times New Roman" w:hAnsi="Times New Roman" w:eastAsia="宋体" w:cs="Times New Roman"/>
                      <w:color w:val="auto"/>
                    </w:rPr>
                    <w:t>喷淋塔</w:t>
                  </w:r>
                  <w:r>
                    <w:rPr>
                      <w:rFonts w:hint="eastAsia" w:ascii="Times New Roman" w:hAnsi="Times New Roman" w:cs="Times New Roman"/>
                      <w:color w:val="auto"/>
                      <w:lang w:eastAsia="zh-CN"/>
                    </w:rPr>
                    <w:t>处理</w:t>
                  </w:r>
                </w:p>
              </w:tc>
              <w:tc>
                <w:tcPr>
                  <w:tcW w:w="1535" w:type="pct"/>
                  <w:shd w:val="clear" w:color="auto" w:fill="auto"/>
                  <w:vAlign w:val="center"/>
                </w:tcPr>
                <w:p w14:paraId="57FAE415">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2个飞灰库</w:t>
                  </w:r>
                  <w:r>
                    <w:rPr>
                      <w:rFonts w:hint="eastAsia" w:ascii="Times New Roman" w:hAnsi="Times New Roman" w:eastAsia="宋体" w:cs="Times New Roman"/>
                      <w:color w:val="auto"/>
                    </w:rPr>
                    <w:t>暂存仓库内飞灰</w:t>
                  </w:r>
                  <w:r>
                    <w:rPr>
                      <w:rFonts w:hint="eastAsia" w:ascii="Times New Roman" w:hAnsi="Times New Roman" w:cs="Times New Roman"/>
                      <w:color w:val="auto"/>
                      <w:lang w:eastAsia="zh-CN"/>
                    </w:rPr>
                    <w:t>产生废气经</w:t>
                  </w:r>
                  <w:r>
                    <w:rPr>
                      <w:rFonts w:hint="eastAsia" w:ascii="Times New Roman" w:hAnsi="Times New Roman" w:eastAsia="宋体" w:cs="Times New Roman"/>
                      <w:color w:val="auto"/>
                    </w:rPr>
                    <w:t>抽风进入</w:t>
                  </w:r>
                  <w:r>
                    <w:rPr>
                      <w:rFonts w:hint="eastAsia" w:ascii="Times New Roman" w:hAnsi="Times New Roman" w:cs="Times New Roman"/>
                      <w:color w:val="auto"/>
                      <w:lang w:eastAsia="zh-CN"/>
                    </w:rPr>
                    <w:t>同一</w:t>
                  </w:r>
                  <w:r>
                    <w:rPr>
                      <w:rFonts w:hint="eastAsia" w:ascii="Times New Roman" w:hAnsi="Times New Roman" w:eastAsia="宋体" w:cs="Times New Roman"/>
                      <w:color w:val="auto"/>
                      <w:lang w:eastAsia="zh-CN"/>
                    </w:rPr>
                    <w:t>除氨系统的</w:t>
                  </w:r>
                  <w:r>
                    <w:rPr>
                      <w:rFonts w:hint="eastAsia" w:ascii="Times New Roman" w:hAnsi="Times New Roman" w:eastAsia="宋体" w:cs="Times New Roman"/>
                      <w:color w:val="auto"/>
                    </w:rPr>
                    <w:t>喷淋塔</w:t>
                  </w:r>
                  <w:r>
                    <w:rPr>
                      <w:rFonts w:hint="eastAsia" w:ascii="Times New Roman" w:hAnsi="Times New Roman" w:cs="Times New Roman"/>
                      <w:color w:val="auto"/>
                      <w:lang w:eastAsia="zh-CN"/>
                    </w:rPr>
                    <w:t>处理</w:t>
                  </w:r>
                </w:p>
              </w:tc>
              <w:tc>
                <w:tcPr>
                  <w:tcW w:w="1334" w:type="pct"/>
                  <w:shd w:val="clear" w:color="auto" w:fill="auto"/>
                  <w:vAlign w:val="center"/>
                </w:tcPr>
                <w:p w14:paraId="5C4381D2">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0E5CC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3" w:type="pct"/>
                  <w:vMerge w:val="continue"/>
                  <w:vAlign w:val="center"/>
                </w:tcPr>
                <w:p w14:paraId="402A0F3B">
                  <w:pPr>
                    <w:pStyle w:val="132"/>
                    <w:spacing w:line="240" w:lineRule="auto"/>
                    <w:rPr>
                      <w:rFonts w:ascii="Times New Roman" w:hAnsi="Times New Roman" w:eastAsia="宋体" w:cs="Times New Roman"/>
                      <w:color w:val="auto"/>
                    </w:rPr>
                  </w:pPr>
                </w:p>
              </w:tc>
              <w:tc>
                <w:tcPr>
                  <w:tcW w:w="477" w:type="pct"/>
                  <w:vAlign w:val="center"/>
                </w:tcPr>
                <w:p w14:paraId="39EA7D46">
                  <w:pPr>
                    <w:pStyle w:val="132"/>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废水</w:t>
                  </w:r>
                  <w:r>
                    <w:rPr>
                      <w:rFonts w:hint="eastAsia" w:ascii="Times New Roman" w:hAnsi="Times New Roman" w:eastAsia="宋体" w:cs="Times New Roman"/>
                      <w:color w:val="auto"/>
                      <w:lang w:eastAsia="zh-CN"/>
                    </w:rPr>
                    <w:t>处理措施</w:t>
                  </w:r>
                </w:p>
              </w:tc>
              <w:tc>
                <w:tcPr>
                  <w:tcW w:w="1398" w:type="pct"/>
                  <w:shd w:val="clear" w:color="auto" w:fill="auto"/>
                  <w:vAlign w:val="center"/>
                </w:tcPr>
                <w:p w14:paraId="7C219393">
                  <w:pPr>
                    <w:pStyle w:val="132"/>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eastAsia="zh-CN"/>
                    </w:rPr>
                    <w:t>环保设备</w:t>
                  </w:r>
                  <w:r>
                    <w:rPr>
                      <w:rFonts w:hint="eastAsia" w:ascii="Times New Roman" w:hAnsi="Times New Roman" w:eastAsia="宋体" w:cs="Times New Roman"/>
                      <w:color w:val="auto"/>
                      <w:lang w:eastAsia="zh-CN"/>
                    </w:rPr>
                    <w:t>喷淋废水进入渗滤液处理站</w:t>
                  </w:r>
                </w:p>
              </w:tc>
              <w:tc>
                <w:tcPr>
                  <w:tcW w:w="1535" w:type="pct"/>
                  <w:shd w:val="clear" w:color="auto" w:fill="auto"/>
                  <w:vAlign w:val="center"/>
                </w:tcPr>
                <w:p w14:paraId="49AD8461">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环保设备</w:t>
                  </w:r>
                  <w:r>
                    <w:rPr>
                      <w:rFonts w:hint="eastAsia" w:ascii="Times New Roman" w:hAnsi="Times New Roman" w:eastAsia="宋体" w:cs="Times New Roman"/>
                      <w:color w:val="auto"/>
                      <w:lang w:eastAsia="zh-CN"/>
                    </w:rPr>
                    <w:t>喷淋废水进入渗滤液处理站</w:t>
                  </w:r>
                </w:p>
              </w:tc>
              <w:tc>
                <w:tcPr>
                  <w:tcW w:w="1334" w:type="pct"/>
                  <w:shd w:val="clear" w:color="auto" w:fill="auto"/>
                  <w:vAlign w:val="center"/>
                </w:tcPr>
                <w:p w14:paraId="702CDC8B">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24175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3" w:type="pct"/>
                  <w:vMerge w:val="continue"/>
                  <w:vAlign w:val="center"/>
                </w:tcPr>
                <w:p w14:paraId="21A0A964">
                  <w:pPr>
                    <w:pStyle w:val="132"/>
                    <w:spacing w:line="240" w:lineRule="auto"/>
                    <w:rPr>
                      <w:rFonts w:ascii="Times New Roman" w:hAnsi="Times New Roman" w:eastAsia="宋体" w:cs="Times New Roman"/>
                      <w:color w:val="auto"/>
                    </w:rPr>
                  </w:pPr>
                </w:p>
              </w:tc>
              <w:tc>
                <w:tcPr>
                  <w:tcW w:w="477" w:type="pct"/>
                  <w:vAlign w:val="center"/>
                </w:tcPr>
                <w:p w14:paraId="423F0C53">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固废</w:t>
                  </w:r>
                </w:p>
              </w:tc>
              <w:tc>
                <w:tcPr>
                  <w:tcW w:w="1398" w:type="pct"/>
                  <w:shd w:val="clear" w:color="auto" w:fill="auto"/>
                  <w:vAlign w:val="center"/>
                </w:tcPr>
                <w:p w14:paraId="3A38ABDF">
                  <w:pPr>
                    <w:pStyle w:val="132"/>
                    <w:spacing w:line="240" w:lineRule="auto"/>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飞灰暂存库</w:t>
                  </w:r>
                  <w:r>
                    <w:rPr>
                      <w:rFonts w:hint="eastAsia" w:ascii="Times New Roman" w:hAnsi="Times New Roman" w:eastAsia="宋体" w:cs="Times New Roman"/>
                      <w:color w:val="auto"/>
                    </w:rPr>
                    <w:t>不产生固废</w:t>
                  </w:r>
                </w:p>
              </w:tc>
              <w:tc>
                <w:tcPr>
                  <w:tcW w:w="1535" w:type="pct"/>
                  <w:shd w:val="clear" w:color="auto" w:fill="auto"/>
                  <w:vAlign w:val="center"/>
                </w:tcPr>
                <w:p w14:paraId="741E216E">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1#、2#</w:t>
                  </w:r>
                  <w:r>
                    <w:rPr>
                      <w:rFonts w:hint="eastAsia" w:ascii="Times New Roman" w:hAnsi="Times New Roman" w:cs="Times New Roman"/>
                      <w:color w:val="auto"/>
                      <w:lang w:eastAsia="zh-CN"/>
                    </w:rPr>
                    <w:t>飞灰暂存库</w:t>
                  </w:r>
                  <w:r>
                    <w:rPr>
                      <w:rFonts w:hint="eastAsia" w:ascii="Times New Roman" w:hAnsi="Times New Roman" w:eastAsia="宋体" w:cs="Times New Roman"/>
                      <w:color w:val="auto"/>
                    </w:rPr>
                    <w:t>不产生固废</w:t>
                  </w:r>
                </w:p>
              </w:tc>
              <w:tc>
                <w:tcPr>
                  <w:tcW w:w="1334" w:type="pct"/>
                  <w:shd w:val="clear" w:color="auto" w:fill="auto"/>
                  <w:vAlign w:val="center"/>
                </w:tcPr>
                <w:p w14:paraId="7DBD99CB">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未发生变化</w:t>
                  </w:r>
                </w:p>
              </w:tc>
            </w:tr>
            <w:tr w14:paraId="691BB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vMerge w:val="continue"/>
                  <w:vAlign w:val="center"/>
                </w:tcPr>
                <w:p w14:paraId="45CDBF26">
                  <w:pPr>
                    <w:pStyle w:val="132"/>
                    <w:spacing w:line="240" w:lineRule="auto"/>
                    <w:rPr>
                      <w:rFonts w:ascii="Times New Roman" w:hAnsi="Times New Roman" w:eastAsia="宋体" w:cs="Times New Roman"/>
                      <w:color w:val="auto"/>
                    </w:rPr>
                  </w:pPr>
                </w:p>
              </w:tc>
              <w:tc>
                <w:tcPr>
                  <w:tcW w:w="477" w:type="pct"/>
                  <w:vAlign w:val="center"/>
                </w:tcPr>
                <w:p w14:paraId="0EF28DCD">
                  <w:pPr>
                    <w:pStyle w:val="132"/>
                    <w:spacing w:line="240" w:lineRule="auto"/>
                    <w:rPr>
                      <w:rFonts w:ascii="Times New Roman" w:hAnsi="Times New Roman" w:eastAsia="宋体" w:cs="Times New Roman"/>
                      <w:color w:val="auto"/>
                    </w:rPr>
                  </w:pPr>
                  <w:r>
                    <w:rPr>
                      <w:rFonts w:ascii="Times New Roman" w:hAnsi="Times New Roman" w:eastAsia="宋体" w:cs="Times New Roman"/>
                      <w:color w:val="auto"/>
                    </w:rPr>
                    <w:t>噪声</w:t>
                  </w:r>
                </w:p>
              </w:tc>
              <w:tc>
                <w:tcPr>
                  <w:tcW w:w="1398" w:type="pct"/>
                  <w:shd w:val="clear" w:color="auto" w:fill="auto"/>
                  <w:vAlign w:val="center"/>
                </w:tcPr>
                <w:p w14:paraId="73175310">
                  <w:pPr>
                    <w:pStyle w:val="132"/>
                    <w:spacing w:line="240" w:lineRule="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车辆运输噪声采取距离衰减、建筑隔声等措施</w:t>
                  </w:r>
                </w:p>
              </w:tc>
              <w:tc>
                <w:tcPr>
                  <w:tcW w:w="1535" w:type="pct"/>
                  <w:shd w:val="clear" w:color="auto" w:fill="auto"/>
                  <w:vAlign w:val="center"/>
                </w:tcPr>
                <w:p w14:paraId="74989FF2">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rPr>
                    <w:t>车辆运输噪声采取距离衰减、建筑隔声等措施</w:t>
                  </w:r>
                </w:p>
              </w:tc>
              <w:tc>
                <w:tcPr>
                  <w:tcW w:w="1334" w:type="pct"/>
                  <w:shd w:val="clear" w:color="auto" w:fill="auto"/>
                  <w:vAlign w:val="center"/>
                </w:tcPr>
                <w:p w14:paraId="1CE13AEB">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eastAsia="zh-CN"/>
                    </w:rPr>
                    <w:t>依托现有，未发生变化</w:t>
                  </w:r>
                </w:p>
              </w:tc>
            </w:tr>
            <w:tr w14:paraId="7DC68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 w:type="pct"/>
                  <w:vMerge w:val="continue"/>
                  <w:vAlign w:val="center"/>
                </w:tcPr>
                <w:p w14:paraId="67BFD047">
                  <w:pPr>
                    <w:pStyle w:val="132"/>
                    <w:spacing w:line="240" w:lineRule="auto"/>
                    <w:rPr>
                      <w:rFonts w:ascii="Times New Roman" w:hAnsi="Times New Roman" w:eastAsia="宋体" w:cs="Times New Roman"/>
                      <w:color w:val="auto"/>
                    </w:rPr>
                  </w:pPr>
                </w:p>
              </w:tc>
              <w:tc>
                <w:tcPr>
                  <w:tcW w:w="477" w:type="pct"/>
                  <w:vAlign w:val="center"/>
                </w:tcPr>
                <w:p w14:paraId="4CA8ADA8">
                  <w:pPr>
                    <w:pStyle w:val="132"/>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地下水</w:t>
                  </w:r>
                </w:p>
              </w:tc>
              <w:tc>
                <w:tcPr>
                  <w:tcW w:w="1398" w:type="pct"/>
                  <w:shd w:val="clear" w:color="auto" w:fill="auto"/>
                  <w:vAlign w:val="center"/>
                </w:tcPr>
                <w:p w14:paraId="79B25E0E">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飞灰暂存库</w:t>
                  </w:r>
                  <w:r>
                    <w:rPr>
                      <w:rFonts w:hint="eastAsia" w:ascii="Times New Roman" w:hAnsi="Times New Roman" w:eastAsia="宋体" w:cs="Times New Roman"/>
                      <w:color w:val="auto"/>
                    </w:rPr>
                    <w:t>范围均为重点防渗区，对暂存仓库地面</w:t>
                  </w:r>
                  <w:r>
                    <w:rPr>
                      <w:rFonts w:hint="eastAsia" w:ascii="Times New Roman" w:hAnsi="Times New Roman" w:eastAsia="宋体" w:cs="Times New Roman"/>
                      <w:color w:val="auto"/>
                      <w:lang w:eastAsia="zh-CN"/>
                    </w:rPr>
                    <w:t>涂</w:t>
                  </w:r>
                  <w:r>
                    <w:rPr>
                      <w:rFonts w:hint="eastAsia" w:ascii="Times New Roman" w:hAnsi="Times New Roman" w:eastAsia="宋体" w:cs="Times New Roman"/>
                      <w:color w:val="auto"/>
                      <w:lang w:val="en-US" w:eastAsia="zh-CN"/>
                    </w:rPr>
                    <w:t>2mm厚环氧树脂后</w:t>
                  </w:r>
                  <w:r>
                    <w:rPr>
                      <w:rFonts w:hint="eastAsia" w:ascii="Times New Roman" w:hAnsi="Times New Roman" w:eastAsia="宋体" w:cs="Times New Roman"/>
                      <w:color w:val="auto"/>
                    </w:rPr>
                    <w:t>通过铺设HDPE膜等防渗防漏措施，可以保证暂存仓库防渗系数1.0x10</w:t>
                  </w:r>
                  <w:r>
                    <w:rPr>
                      <w:rFonts w:hint="eastAsia" w:ascii="Times New Roman" w:hAnsi="Times New Roman" w:eastAsia="宋体" w:cs="Times New Roman"/>
                      <w:color w:val="auto"/>
                      <w:vertAlign w:val="superscript"/>
                    </w:rPr>
                    <w:t>-10</w:t>
                  </w:r>
                  <w:r>
                    <w:rPr>
                      <w:rFonts w:hint="eastAsia" w:ascii="Times New Roman" w:hAnsi="Times New Roman" w:eastAsia="宋体" w:cs="Times New Roman"/>
                      <w:color w:val="auto"/>
                    </w:rPr>
                    <w:t>cm/s</w:t>
                  </w:r>
                </w:p>
              </w:tc>
              <w:tc>
                <w:tcPr>
                  <w:tcW w:w="1535" w:type="pct"/>
                  <w:shd w:val="clear" w:color="auto" w:fill="auto"/>
                  <w:vAlign w:val="center"/>
                </w:tcPr>
                <w:p w14:paraId="41EBA9A3">
                  <w:pPr>
                    <w:pStyle w:val="132"/>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1#、2#</w:t>
                  </w:r>
                  <w:r>
                    <w:rPr>
                      <w:rFonts w:hint="eastAsia" w:ascii="Times New Roman" w:hAnsi="Times New Roman" w:cs="Times New Roman"/>
                      <w:color w:val="auto"/>
                      <w:lang w:eastAsia="zh-CN"/>
                    </w:rPr>
                    <w:t>飞灰暂存库均为</w:t>
                  </w:r>
                  <w:r>
                    <w:rPr>
                      <w:rFonts w:hint="eastAsia" w:ascii="Times New Roman" w:hAnsi="Times New Roman" w:eastAsia="宋体" w:cs="Times New Roman"/>
                      <w:color w:val="auto"/>
                    </w:rPr>
                    <w:t>固废重点防渗区，对暂存仓库地面</w:t>
                  </w:r>
                  <w:r>
                    <w:rPr>
                      <w:rFonts w:hint="eastAsia" w:ascii="Times New Roman" w:hAnsi="Times New Roman" w:eastAsia="宋体" w:cs="Times New Roman"/>
                      <w:color w:val="auto"/>
                      <w:lang w:eastAsia="zh-CN"/>
                    </w:rPr>
                    <w:t>涂</w:t>
                  </w:r>
                  <w:r>
                    <w:rPr>
                      <w:rFonts w:hint="eastAsia" w:ascii="Times New Roman" w:hAnsi="Times New Roman" w:eastAsia="宋体" w:cs="Times New Roman"/>
                      <w:color w:val="auto"/>
                      <w:lang w:val="en-US" w:eastAsia="zh-CN"/>
                    </w:rPr>
                    <w:t>2mm厚环氧树脂后</w:t>
                  </w:r>
                  <w:r>
                    <w:rPr>
                      <w:rFonts w:hint="eastAsia" w:ascii="Times New Roman" w:hAnsi="Times New Roman" w:eastAsia="宋体" w:cs="Times New Roman"/>
                      <w:color w:val="auto"/>
                    </w:rPr>
                    <w:t>通过铺设HDPE膜等防渗防漏措施，可以保证暂存仓库防渗系数1.0x10</w:t>
                  </w:r>
                  <w:r>
                    <w:rPr>
                      <w:rFonts w:hint="eastAsia" w:ascii="Times New Roman" w:hAnsi="Times New Roman" w:eastAsia="宋体" w:cs="Times New Roman"/>
                      <w:color w:val="auto"/>
                      <w:vertAlign w:val="superscript"/>
                    </w:rPr>
                    <w:t>-10</w:t>
                  </w:r>
                  <w:r>
                    <w:rPr>
                      <w:rFonts w:hint="eastAsia" w:ascii="Times New Roman" w:hAnsi="Times New Roman" w:eastAsia="宋体" w:cs="Times New Roman"/>
                      <w:color w:val="auto"/>
                    </w:rPr>
                    <w:t>cm/s</w:t>
                  </w:r>
                </w:p>
              </w:tc>
              <w:tc>
                <w:tcPr>
                  <w:tcW w:w="1334" w:type="pct"/>
                  <w:shd w:val="clear" w:color="auto" w:fill="auto"/>
                  <w:vAlign w:val="center"/>
                </w:tcPr>
                <w:p w14:paraId="24DDA4B0">
                  <w:pPr>
                    <w:pStyle w:val="132"/>
                    <w:spacing w:line="240" w:lineRule="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新增2#飞灰库，进行地下水防渗</w:t>
                  </w:r>
                </w:p>
              </w:tc>
            </w:tr>
          </w:tbl>
          <w:p w14:paraId="7BA2C6B2">
            <w:pPr>
              <w:autoSpaceDE w:val="0"/>
              <w:autoSpaceDN w:val="0"/>
              <w:adjustRightInd w:val="0"/>
              <w:snapToGrid w:val="0"/>
              <w:spacing w:line="360" w:lineRule="auto"/>
              <w:ind w:firstLine="482" w:firstLineChars="200"/>
              <w:jc w:val="left"/>
              <w:rPr>
                <w:color w:val="auto"/>
                <w:sz w:val="24"/>
              </w:rPr>
            </w:pPr>
            <w:r>
              <w:rPr>
                <w:b/>
                <w:color w:val="auto"/>
                <w:kern w:val="0"/>
                <w:sz w:val="24"/>
              </w:rPr>
              <w:t>6.</w:t>
            </w:r>
            <w:r>
              <w:rPr>
                <w:rFonts w:hAnsi="宋体"/>
                <w:b/>
                <w:color w:val="auto"/>
                <w:kern w:val="0"/>
                <w:sz w:val="24"/>
              </w:rPr>
              <w:t>厂区平面布置</w:t>
            </w:r>
            <w:r>
              <w:rPr>
                <w:rFonts w:hint="eastAsia" w:hAnsi="宋体"/>
                <w:b/>
                <w:color w:val="auto"/>
                <w:kern w:val="0"/>
                <w:sz w:val="24"/>
              </w:rPr>
              <w:t>及周边环境概况</w:t>
            </w:r>
          </w:p>
          <w:p w14:paraId="5569406E">
            <w:pPr>
              <w:pStyle w:val="150"/>
              <w:adjustRightInd/>
              <w:snapToGrid/>
              <w:spacing w:line="360" w:lineRule="auto"/>
              <w:rPr>
                <w:rFonts w:hint="eastAsia" w:hAnsi="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本次改建项目位于</w:t>
            </w:r>
            <w:r>
              <w:rPr>
                <w:rFonts w:hint="eastAsia" w:hAnsi="宋体" w:cs="Times New Roman"/>
                <w:b w:val="0"/>
                <w:bCs/>
                <w:color w:val="auto"/>
                <w:kern w:val="2"/>
                <w:sz w:val="24"/>
                <w:szCs w:val="24"/>
                <w:lang w:val="en-US" w:eastAsia="zh-CN" w:bidi="ar-SA"/>
              </w:rPr>
              <w:t>原飞灰库东侧新增厂房。位于整个厂区的西北侧。</w:t>
            </w:r>
          </w:p>
          <w:p w14:paraId="0ADDE913">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其中主厂房区：主厂房区是垃圾焚烧的核心部分，位于整个厂区西侧，主厂房内卸料大厅、垃圾贮坑、焚烧车间、烟气净化间由东往西布置。</w:t>
            </w:r>
          </w:p>
          <w:p w14:paraId="62B27680">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渗滤液处理站：位于现有填埋区以西，调节池、硝化池、膜处理车间、生化池等由北向南布置。</w:t>
            </w:r>
          </w:p>
          <w:p w14:paraId="09738498">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辅助生产：一体化净水系统位于厂区西侧，消防水池西侧，循环水泵房和冷却塔位于厂区南侧，化水制备位于卸料大厅下面。</w:t>
            </w:r>
          </w:p>
          <w:p w14:paraId="0A909387">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行政管理区：该区域包括综合楼、办公楼，布置在厂区西南角。</w:t>
            </w:r>
          </w:p>
          <w:p w14:paraId="4971ED31">
            <w:pPr>
              <w:autoSpaceDE w:val="0"/>
              <w:autoSpaceDN w:val="0"/>
              <w:adjustRightInd w:val="0"/>
              <w:snapToGrid w:val="0"/>
              <w:spacing w:line="360" w:lineRule="auto"/>
              <w:ind w:firstLine="482" w:firstLineChars="200"/>
              <w:jc w:val="left"/>
              <w:rPr>
                <w:rFonts w:hint="eastAsia"/>
                <w:b/>
                <w:color w:val="auto"/>
                <w:kern w:val="0"/>
                <w:sz w:val="24"/>
                <w:lang w:val="en-US" w:eastAsia="zh-CN"/>
              </w:rPr>
            </w:pPr>
            <w:r>
              <w:rPr>
                <w:rFonts w:hint="eastAsia"/>
                <w:b/>
                <w:color w:val="auto"/>
                <w:kern w:val="0"/>
                <w:sz w:val="24"/>
                <w:lang w:val="en-US" w:eastAsia="zh-CN"/>
              </w:rPr>
              <w:t>7.暂存库运行管理要求</w:t>
            </w:r>
          </w:p>
          <w:p w14:paraId="071B3C4D">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本项目暂存仓库需按照《危险废物贮存污染控制标准》</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GB18597-2023</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的有关规定进行贮存和管理，有防散失、防流失、防漏等措施，由专业人员操作，单独收集和贮运，并制定好危险废物转移运输途中的污染防范和事故应急措施，严格按照要求办理相关手续。</w:t>
            </w:r>
          </w:p>
          <w:p w14:paraId="3878E31F">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暂存库运行管理方式及程序</w:t>
            </w:r>
            <w:r>
              <w:rPr>
                <w:rFonts w:hint="eastAsia" w:hAnsi="宋体" w:cs="Times New Roman"/>
                <w:b w:val="0"/>
                <w:bCs/>
                <w:color w:val="auto"/>
                <w:kern w:val="2"/>
                <w:sz w:val="24"/>
                <w:szCs w:val="24"/>
                <w:lang w:val="en-US" w:eastAsia="zh-CN" w:bidi="ar-SA"/>
              </w:rPr>
              <w:t>：</w:t>
            </w:r>
          </w:p>
          <w:p w14:paraId="06B26C04">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w:t>
            </w:r>
            <w:r>
              <w:rPr>
                <w:rFonts w:hint="eastAsia" w:ascii="Times New Roman" w:hAnsi="宋体" w:eastAsia="宋体" w:cs="Times New Roman"/>
                <w:b w:val="0"/>
                <w:bCs/>
                <w:color w:val="auto"/>
                <w:kern w:val="2"/>
                <w:sz w:val="24"/>
                <w:szCs w:val="24"/>
                <w:lang w:val="en-US" w:eastAsia="zh-CN" w:bidi="ar-SA"/>
              </w:rPr>
              <w:t>飞灰入库管理</w:t>
            </w:r>
          </w:p>
          <w:p w14:paraId="73C8FDF4">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入库前检查</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确认飞灰已稳定化处理并检测达标。检查吨袋包装完整性，无破损、无泄漏。</w:t>
            </w:r>
          </w:p>
          <w:p w14:paraId="78AB0BCB">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登记与台账</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记录飞灰重量、批次、检测报告、入库时间等信息。做好台账留存。</w:t>
            </w:r>
          </w:p>
          <w:p w14:paraId="13B9A819">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贮存要求</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堆高不超过</w:t>
            </w:r>
            <w:r>
              <w:rPr>
                <w:rFonts w:hint="eastAsia" w:hAnsi="宋体" w:cs="Times New Roman"/>
                <w:b w:val="0"/>
                <w:bCs/>
                <w:color w:val="auto"/>
                <w:kern w:val="2"/>
                <w:sz w:val="24"/>
                <w:szCs w:val="24"/>
                <w:lang w:val="en-US" w:eastAsia="zh-CN" w:bidi="ar-SA"/>
              </w:rPr>
              <w:t>3</w:t>
            </w:r>
            <w:r>
              <w:rPr>
                <w:rFonts w:hint="eastAsia" w:ascii="Times New Roman" w:hAnsi="宋体" w:eastAsia="宋体" w:cs="Times New Roman"/>
                <w:b w:val="0"/>
                <w:bCs/>
                <w:color w:val="auto"/>
                <w:kern w:val="2"/>
                <w:sz w:val="24"/>
                <w:szCs w:val="24"/>
                <w:lang w:val="en-US" w:eastAsia="zh-CN" w:bidi="ar-SA"/>
              </w:rPr>
              <w:t>米，与墙体保持0.5米以上距离。</w:t>
            </w:r>
          </w:p>
          <w:p w14:paraId="246D0066">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禁止</w:t>
            </w:r>
            <w:r>
              <w:rPr>
                <w:rFonts w:hint="eastAsia" w:ascii="Times New Roman" w:hAnsi="宋体" w:eastAsia="宋体" w:cs="Times New Roman"/>
                <w:b w:val="0"/>
                <w:bCs/>
                <w:color w:val="auto"/>
                <w:kern w:val="2"/>
                <w:sz w:val="24"/>
                <w:szCs w:val="24"/>
                <w:lang w:val="en-US" w:eastAsia="zh-CN" w:bidi="ar-SA"/>
              </w:rPr>
              <w:t>混入其他废物，禁止无关人员进入贮存区。</w:t>
            </w:r>
          </w:p>
          <w:p w14:paraId="7A74AFD2">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2.</w:t>
            </w:r>
            <w:r>
              <w:rPr>
                <w:rFonts w:hint="eastAsia" w:ascii="Times New Roman" w:hAnsi="宋体" w:eastAsia="宋体" w:cs="Times New Roman"/>
                <w:b w:val="0"/>
                <w:bCs/>
                <w:color w:val="auto"/>
                <w:kern w:val="2"/>
                <w:sz w:val="24"/>
                <w:szCs w:val="24"/>
                <w:lang w:val="en-US" w:eastAsia="zh-CN" w:bidi="ar-SA"/>
              </w:rPr>
              <w:t>日常巡检与维护巡检内容</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定期检查暂存</w:t>
            </w:r>
            <w:r>
              <w:rPr>
                <w:rFonts w:hint="eastAsia" w:hAnsi="宋体" w:cs="Times New Roman"/>
                <w:b w:val="0"/>
                <w:bCs/>
                <w:color w:val="auto"/>
                <w:kern w:val="2"/>
                <w:sz w:val="24"/>
                <w:szCs w:val="24"/>
                <w:lang w:val="en-US" w:eastAsia="zh-CN" w:bidi="ar-SA"/>
              </w:rPr>
              <w:t>库房</w:t>
            </w:r>
            <w:r>
              <w:rPr>
                <w:rFonts w:hint="eastAsia" w:ascii="Times New Roman" w:hAnsi="宋体" w:eastAsia="宋体" w:cs="Times New Roman"/>
                <w:b w:val="0"/>
                <w:bCs/>
                <w:color w:val="auto"/>
                <w:kern w:val="2"/>
                <w:sz w:val="24"/>
                <w:szCs w:val="24"/>
                <w:lang w:val="en-US" w:eastAsia="zh-CN" w:bidi="ar-SA"/>
              </w:rPr>
              <w:t>层、墙体、屋顶是否完好，导流沟是否畅通，集水池是否有水。检查消防设施、应急物资有效性。问题处理</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发现包装破损或泄漏时，立即隔离污染区域，按应急预案处理。</w:t>
            </w:r>
          </w:p>
          <w:p w14:paraId="1B9B8F17">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暂存库运行和管理时需注意以下事项</w:t>
            </w:r>
            <w:r>
              <w:rPr>
                <w:rFonts w:hint="eastAsia" w:hAnsi="宋体" w:cs="Times New Roman"/>
                <w:b w:val="0"/>
                <w:bCs/>
                <w:color w:val="auto"/>
                <w:kern w:val="2"/>
                <w:sz w:val="24"/>
                <w:szCs w:val="24"/>
                <w:lang w:val="en-US" w:eastAsia="zh-CN" w:bidi="ar-SA"/>
              </w:rPr>
              <w:t>：</w:t>
            </w:r>
          </w:p>
          <w:p w14:paraId="6CDE419F">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w:t>
            </w:r>
            <w:r>
              <w:rPr>
                <w:rFonts w:hint="eastAsia" w:ascii="Times New Roman" w:hAnsi="宋体" w:eastAsia="宋体" w:cs="Times New Roman"/>
                <w:b w:val="0"/>
                <w:bCs/>
                <w:color w:val="auto"/>
                <w:kern w:val="2"/>
                <w:sz w:val="24"/>
                <w:szCs w:val="24"/>
                <w:lang w:val="en-US" w:eastAsia="zh-CN" w:bidi="ar-SA"/>
              </w:rPr>
              <w:t>飞灰稳定化物存入暂存库前应对吨袋内容物与危险废物标签等危险废物标识标志的一致性进行核验，不一致的不应存入。</w:t>
            </w:r>
          </w:p>
          <w:p w14:paraId="7D2FE9E4">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2.</w:t>
            </w:r>
            <w:r>
              <w:rPr>
                <w:rFonts w:hint="eastAsia" w:ascii="Times New Roman" w:hAnsi="宋体" w:eastAsia="宋体" w:cs="Times New Roman"/>
                <w:b w:val="0"/>
                <w:bCs/>
                <w:color w:val="auto"/>
                <w:kern w:val="2"/>
                <w:sz w:val="24"/>
                <w:szCs w:val="24"/>
                <w:lang w:val="en-US" w:eastAsia="zh-CN" w:bidi="ar-SA"/>
              </w:rPr>
              <w:t>定期检查飞灰稳定化物的贮存状况，及时清理库内地面，更换破损泄漏的吨袋，保证暂存库的防雨、防风、防腐、防渗等设施功能完好。</w:t>
            </w:r>
          </w:p>
          <w:p w14:paraId="0F02FA1A">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3.</w:t>
            </w:r>
            <w:r>
              <w:rPr>
                <w:rFonts w:hint="eastAsia" w:ascii="Times New Roman" w:hAnsi="宋体" w:eastAsia="宋体" w:cs="Times New Roman"/>
                <w:b w:val="0"/>
                <w:bCs/>
                <w:color w:val="auto"/>
                <w:kern w:val="2"/>
                <w:sz w:val="24"/>
                <w:szCs w:val="24"/>
                <w:lang w:val="en-US" w:eastAsia="zh-CN" w:bidi="ar-SA"/>
              </w:rPr>
              <w:t>作业设备及车辆等结束作业离开暂存库时，应及时对</w:t>
            </w:r>
            <w:r>
              <w:rPr>
                <w:rFonts w:hint="eastAsia" w:hAnsi="宋体" w:cs="Times New Roman"/>
                <w:b w:val="0"/>
                <w:bCs/>
                <w:color w:val="auto"/>
                <w:kern w:val="2"/>
                <w:sz w:val="24"/>
                <w:szCs w:val="24"/>
                <w:lang w:val="en-US" w:eastAsia="zh-CN" w:bidi="ar-SA"/>
              </w:rPr>
              <w:t>撒落</w:t>
            </w:r>
            <w:r>
              <w:rPr>
                <w:rFonts w:hint="eastAsia" w:ascii="Times New Roman" w:hAnsi="宋体" w:eastAsia="宋体" w:cs="Times New Roman"/>
                <w:b w:val="0"/>
                <w:bCs/>
                <w:color w:val="auto"/>
                <w:kern w:val="2"/>
                <w:sz w:val="24"/>
                <w:szCs w:val="24"/>
                <w:lang w:val="en-US" w:eastAsia="zh-CN" w:bidi="ar-SA"/>
              </w:rPr>
              <w:t>的飞灰进行清理。</w:t>
            </w:r>
          </w:p>
          <w:p w14:paraId="48F8102D">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4.</w:t>
            </w:r>
            <w:r>
              <w:rPr>
                <w:rFonts w:hint="eastAsia" w:ascii="Times New Roman" w:hAnsi="宋体" w:eastAsia="宋体" w:cs="Times New Roman"/>
                <w:b w:val="0"/>
                <w:bCs/>
                <w:color w:val="auto"/>
                <w:kern w:val="2"/>
                <w:sz w:val="24"/>
                <w:szCs w:val="24"/>
                <w:lang w:val="en-US" w:eastAsia="zh-CN" w:bidi="ar-SA"/>
              </w:rPr>
              <w:t>暂存库运行期间，应按照国家有关标准和规定建立危险废物管理台账并保存</w:t>
            </w:r>
            <w:r>
              <w:rPr>
                <w:rFonts w:hint="eastAsia" w:hAnsi="宋体" w:cs="Times New Roman"/>
                <w:b w:val="0"/>
                <w:bCs/>
                <w:color w:val="auto"/>
                <w:kern w:val="2"/>
                <w:sz w:val="24"/>
                <w:szCs w:val="24"/>
                <w:lang w:val="en-US" w:eastAsia="zh-CN" w:bidi="ar-SA"/>
              </w:rPr>
              <w:t>，在</w:t>
            </w:r>
            <w:r>
              <w:rPr>
                <w:rFonts w:hint="eastAsia" w:ascii="Times New Roman" w:hAnsi="宋体" w:eastAsia="宋体" w:cs="Times New Roman"/>
                <w:b w:val="0"/>
                <w:bCs/>
                <w:color w:val="auto"/>
                <w:kern w:val="2"/>
                <w:sz w:val="24"/>
                <w:szCs w:val="24"/>
                <w:lang w:val="en-US" w:eastAsia="zh-CN" w:bidi="ar-SA"/>
              </w:rPr>
              <w:t>记录上注明飞灰数量、入库日期等信息，并</w:t>
            </w:r>
            <w:r>
              <w:rPr>
                <w:rFonts w:hint="eastAsia" w:hAnsi="宋体" w:cs="Times New Roman"/>
                <w:b w:val="0"/>
                <w:bCs/>
                <w:color w:val="auto"/>
                <w:kern w:val="2"/>
                <w:sz w:val="24"/>
                <w:szCs w:val="24"/>
                <w:lang w:val="en-US" w:eastAsia="zh-CN" w:bidi="ar-SA"/>
              </w:rPr>
              <w:t>与</w:t>
            </w:r>
            <w:r>
              <w:rPr>
                <w:rFonts w:hint="eastAsia" w:ascii="Times New Roman" w:hAnsi="宋体" w:eastAsia="宋体" w:cs="Times New Roman"/>
                <w:b w:val="0"/>
                <w:bCs/>
                <w:color w:val="auto"/>
                <w:kern w:val="2"/>
                <w:sz w:val="24"/>
                <w:szCs w:val="24"/>
                <w:lang w:val="en-US" w:eastAsia="zh-CN" w:bidi="ar-SA"/>
              </w:rPr>
              <w:t>焚烧厂</w:t>
            </w:r>
            <w:r>
              <w:rPr>
                <w:rFonts w:hint="eastAsia" w:hAnsi="宋体" w:cs="Times New Roman"/>
                <w:b w:val="0"/>
                <w:bCs/>
                <w:color w:val="auto"/>
                <w:kern w:val="2"/>
                <w:sz w:val="24"/>
                <w:szCs w:val="24"/>
                <w:lang w:val="en-US" w:eastAsia="zh-CN" w:bidi="ar-SA"/>
              </w:rPr>
              <w:t>出厂</w:t>
            </w:r>
            <w:r>
              <w:rPr>
                <w:rFonts w:hint="eastAsia" w:ascii="Times New Roman" w:hAnsi="宋体" w:eastAsia="宋体" w:cs="Times New Roman"/>
                <w:b w:val="0"/>
                <w:bCs/>
                <w:color w:val="auto"/>
                <w:kern w:val="2"/>
                <w:sz w:val="24"/>
                <w:szCs w:val="24"/>
                <w:lang w:val="en-US" w:eastAsia="zh-CN" w:bidi="ar-SA"/>
              </w:rPr>
              <w:t>台账对应</w:t>
            </w:r>
            <w:r>
              <w:rPr>
                <w:rFonts w:hint="eastAsia" w:hAnsi="宋体" w:cs="Times New Roman"/>
                <w:b w:val="0"/>
                <w:bCs/>
                <w:color w:val="auto"/>
                <w:kern w:val="2"/>
                <w:sz w:val="24"/>
                <w:szCs w:val="24"/>
                <w:lang w:val="en-US" w:eastAsia="zh-CN" w:bidi="ar-SA"/>
              </w:rPr>
              <w:t>一</w:t>
            </w:r>
            <w:r>
              <w:rPr>
                <w:rFonts w:hint="eastAsia" w:ascii="Times New Roman" w:hAnsi="宋体" w:eastAsia="宋体" w:cs="Times New Roman"/>
                <w:b w:val="0"/>
                <w:bCs/>
                <w:color w:val="auto"/>
                <w:kern w:val="2"/>
                <w:sz w:val="24"/>
                <w:szCs w:val="24"/>
                <w:lang w:val="en-US" w:eastAsia="zh-CN" w:bidi="ar-SA"/>
              </w:rPr>
              <w:t>致。</w:t>
            </w:r>
          </w:p>
          <w:p w14:paraId="78187840">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5.</w:t>
            </w:r>
            <w:r>
              <w:rPr>
                <w:rFonts w:hint="eastAsia" w:ascii="Times New Roman" w:hAnsi="宋体" w:eastAsia="宋体" w:cs="Times New Roman"/>
                <w:b w:val="0"/>
                <w:bCs/>
                <w:color w:val="auto"/>
                <w:kern w:val="2"/>
                <w:sz w:val="24"/>
                <w:szCs w:val="24"/>
                <w:lang w:val="en-US" w:eastAsia="zh-CN" w:bidi="ar-SA"/>
              </w:rPr>
              <w:t>公司应建立暂存库环境管理制度、管理人员岗位职责制度、设施运行操作制度、人员岗位培训制度等。</w:t>
            </w:r>
          </w:p>
          <w:p w14:paraId="0B1380AE">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6.</w:t>
            </w:r>
            <w:r>
              <w:rPr>
                <w:rFonts w:hint="eastAsia" w:ascii="Times New Roman" w:hAnsi="宋体" w:eastAsia="宋体" w:cs="Times New Roman"/>
                <w:b w:val="0"/>
                <w:bCs/>
                <w:color w:val="auto"/>
                <w:kern w:val="2"/>
                <w:sz w:val="24"/>
                <w:szCs w:val="24"/>
                <w:lang w:val="en-US" w:eastAsia="zh-CN" w:bidi="ar-SA"/>
              </w:rPr>
              <w:t>公司应依据国家土壤和地下水污染防治的有关规定，建立土壤和地下水污染隐患排查制度，并定期开展隐患排查</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发现隐患应及时采取措施消除隐患，并建立档案。</w:t>
            </w:r>
          </w:p>
          <w:p w14:paraId="4A5527BC">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7.</w:t>
            </w:r>
            <w:r>
              <w:rPr>
                <w:rFonts w:hint="eastAsia" w:ascii="Times New Roman" w:hAnsi="宋体" w:eastAsia="宋体" w:cs="Times New Roman"/>
                <w:b w:val="0"/>
                <w:bCs/>
                <w:color w:val="auto"/>
                <w:kern w:val="2"/>
                <w:sz w:val="24"/>
                <w:szCs w:val="24"/>
                <w:lang w:val="en-US" w:eastAsia="zh-CN" w:bidi="ar-SA"/>
              </w:rPr>
              <w:t>公司应建立暂存库全部档案，包括设计、施工、验收、运行、监测和环境应急预案等</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应按照国家有关档案管理的法律法规进行整理和归档。</w:t>
            </w:r>
          </w:p>
          <w:p w14:paraId="3BD164A1">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8.</w:t>
            </w:r>
            <w:r>
              <w:rPr>
                <w:rFonts w:hint="eastAsia" w:ascii="Times New Roman" w:hAnsi="宋体" w:eastAsia="宋体" w:cs="Times New Roman"/>
                <w:b w:val="0"/>
                <w:bCs/>
                <w:color w:val="auto"/>
                <w:kern w:val="2"/>
                <w:sz w:val="24"/>
                <w:szCs w:val="24"/>
                <w:lang w:val="en-US" w:eastAsia="zh-CN" w:bidi="ar-SA"/>
              </w:rPr>
              <w:t>贮存飞灰必须采取符合国家环境保护标准的防护措施，并不得超过年</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确需延长期限的，必须报环境保护行政主管部门批准。</w:t>
            </w:r>
          </w:p>
          <w:p w14:paraId="526357E4">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9.</w:t>
            </w:r>
            <w:r>
              <w:rPr>
                <w:rFonts w:hint="eastAsia" w:ascii="Times New Roman" w:hAnsi="宋体" w:eastAsia="宋体" w:cs="Times New Roman"/>
                <w:b w:val="0"/>
                <w:bCs/>
                <w:color w:val="auto"/>
                <w:kern w:val="2"/>
                <w:sz w:val="24"/>
                <w:szCs w:val="24"/>
                <w:lang w:val="en-US" w:eastAsia="zh-CN" w:bidi="ar-SA"/>
              </w:rPr>
              <w:t>因发生事故或者其他突发性事故，造成飞灰严重污染环境的，责任单位必须立即采取措施消除或者减轻对环境的污染危害</w:t>
            </w:r>
            <w:r>
              <w:rPr>
                <w:rFonts w:hint="eastAsia" w:hAnsi="宋体" w:cs="Times New Roman"/>
                <w:b w:val="0"/>
                <w:bCs/>
                <w:color w:val="auto"/>
                <w:kern w:val="2"/>
                <w:sz w:val="24"/>
                <w:szCs w:val="24"/>
                <w:lang w:val="en-US" w:eastAsia="zh-CN" w:bidi="ar-SA"/>
              </w:rPr>
              <w:t>，并</w:t>
            </w:r>
            <w:r>
              <w:rPr>
                <w:rFonts w:hint="eastAsia" w:ascii="Times New Roman" w:hAnsi="宋体" w:eastAsia="宋体" w:cs="Times New Roman"/>
                <w:b w:val="0"/>
                <w:bCs/>
                <w:color w:val="auto"/>
                <w:kern w:val="2"/>
                <w:sz w:val="24"/>
                <w:szCs w:val="24"/>
                <w:lang w:val="en-US" w:eastAsia="zh-CN" w:bidi="ar-SA"/>
              </w:rPr>
              <w:t>及时通报可能受到污染危害的单位和居民，并向所在地县级以上地方人民政府环境保护行政主管部门和有关部门报告，接受调查处理</w:t>
            </w:r>
          </w:p>
          <w:p w14:paraId="6C90D780">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10.</w:t>
            </w:r>
            <w:r>
              <w:rPr>
                <w:rFonts w:hint="eastAsia" w:ascii="Times New Roman" w:hAnsi="宋体" w:eastAsia="宋体" w:cs="Times New Roman"/>
                <w:b w:val="0"/>
                <w:bCs/>
                <w:color w:val="auto"/>
                <w:kern w:val="2"/>
                <w:sz w:val="24"/>
                <w:szCs w:val="24"/>
                <w:lang w:val="en-US" w:eastAsia="zh-CN" w:bidi="ar-SA"/>
              </w:rPr>
              <w:t>收集、运输、贮存飞灰的场所、设施、设备和包装袋及其他物品转作他用时，必须经过消除污染的处理，方可使用。</w:t>
            </w:r>
          </w:p>
          <w:p w14:paraId="67E8340E">
            <w:pPr>
              <w:pStyle w:val="150"/>
              <w:adjustRightInd/>
              <w:snapToGrid/>
              <w:spacing w:line="360" w:lineRule="auto"/>
              <w:rPr>
                <w:rFonts w:hint="eastAsia"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11.</w:t>
            </w:r>
            <w:r>
              <w:rPr>
                <w:rFonts w:hint="eastAsia" w:ascii="Times New Roman" w:hAnsi="宋体" w:eastAsia="宋体" w:cs="Times New Roman"/>
                <w:b w:val="0"/>
                <w:bCs/>
                <w:color w:val="auto"/>
                <w:kern w:val="2"/>
                <w:sz w:val="24"/>
                <w:szCs w:val="24"/>
                <w:lang w:val="en-US" w:eastAsia="zh-CN" w:bidi="ar-SA"/>
              </w:rPr>
              <w:t>飞灰运输时必须采用专用车辆运输，必须执行危险废物转移联单的管理办法。运输车司机和押运员须有相应的从业资格证。</w:t>
            </w:r>
          </w:p>
          <w:p w14:paraId="35C22064">
            <w:pPr>
              <w:autoSpaceDE w:val="0"/>
              <w:autoSpaceDN w:val="0"/>
              <w:adjustRightInd w:val="0"/>
              <w:snapToGrid w:val="0"/>
              <w:spacing w:line="360" w:lineRule="auto"/>
              <w:ind w:firstLine="482" w:firstLineChars="200"/>
              <w:jc w:val="left"/>
              <w:rPr>
                <w:rFonts w:hint="eastAsia"/>
                <w:b/>
                <w:color w:val="auto"/>
                <w:kern w:val="0"/>
                <w:sz w:val="24"/>
                <w:lang w:val="en-US" w:eastAsia="zh-CN"/>
              </w:rPr>
            </w:pPr>
            <w:r>
              <w:rPr>
                <w:rFonts w:hint="eastAsia"/>
                <w:b/>
                <w:color w:val="auto"/>
                <w:kern w:val="0"/>
                <w:sz w:val="24"/>
                <w:lang w:val="en-US" w:eastAsia="zh-CN"/>
              </w:rPr>
              <w:t>8.暂存库危险废物标志设置要求</w:t>
            </w:r>
          </w:p>
          <w:p w14:paraId="17728385">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本项目暂存仓库需按照《危险废物识别标志设置技术规范》</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GB1276-2022</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的有关规定进行贮存和管理。</w:t>
            </w:r>
          </w:p>
          <w:p w14:paraId="69FBDA1E">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w:t>
            </w:r>
            <w:r>
              <w:rPr>
                <w:rFonts w:hint="default" w:ascii="Times New Roman" w:hAnsi="宋体" w:eastAsia="宋体" w:cs="Times New Roman"/>
                <w:b w:val="0"/>
                <w:bCs/>
                <w:color w:val="auto"/>
                <w:kern w:val="2"/>
                <w:sz w:val="24"/>
                <w:szCs w:val="24"/>
                <w:lang w:val="en-US" w:eastAsia="zh-CN" w:bidi="ar-SA"/>
              </w:rPr>
              <w:t>危险废物标签应以醒目的字样标注“危险废物”</w:t>
            </w:r>
          </w:p>
          <w:p w14:paraId="70DED812">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2.</w:t>
            </w:r>
            <w:r>
              <w:rPr>
                <w:rFonts w:hint="default" w:ascii="Times New Roman" w:hAnsi="宋体" w:eastAsia="宋体" w:cs="Times New Roman"/>
                <w:b w:val="0"/>
                <w:bCs/>
                <w:color w:val="auto"/>
                <w:kern w:val="2"/>
                <w:sz w:val="24"/>
                <w:szCs w:val="24"/>
                <w:lang w:val="en-US" w:eastAsia="zh-CN" w:bidi="ar-SA"/>
              </w:rPr>
              <w:t>危险废物标签应包含废物名称、废物类别、废物代码、废物形态、危险特性、主要成分、有害成分、注意事项、产生/收集单位名称、联系人、联系方式、产生日期、废物重量和备注。</w:t>
            </w:r>
          </w:p>
          <w:p w14:paraId="0082CA4E">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3.</w:t>
            </w:r>
            <w:r>
              <w:rPr>
                <w:rFonts w:hint="default" w:ascii="Times New Roman" w:hAnsi="宋体" w:eastAsia="宋体" w:cs="Times New Roman"/>
                <w:b w:val="0"/>
                <w:bCs/>
                <w:color w:val="auto"/>
                <w:kern w:val="2"/>
                <w:sz w:val="24"/>
                <w:szCs w:val="24"/>
                <w:lang w:val="en-US" w:eastAsia="zh-CN" w:bidi="ar-SA"/>
              </w:rPr>
              <w:t>危险废物标签宜设置危险废物数字识别码和二维码</w:t>
            </w:r>
            <w:r>
              <w:rPr>
                <w:rFonts w:hint="eastAsia" w:hAnsi="宋体" w:cs="Times New Roman"/>
                <w:b w:val="0"/>
                <w:bCs/>
                <w:color w:val="auto"/>
                <w:kern w:val="2"/>
                <w:sz w:val="24"/>
                <w:szCs w:val="24"/>
                <w:lang w:val="en-US" w:eastAsia="zh-CN" w:bidi="ar-SA"/>
              </w:rPr>
              <w:t>：</w:t>
            </w:r>
          </w:p>
          <w:p w14:paraId="799FBC12">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4.</w:t>
            </w:r>
            <w:r>
              <w:rPr>
                <w:rFonts w:hint="default" w:ascii="Times New Roman" w:hAnsi="宋体" w:eastAsia="宋体" w:cs="Times New Roman"/>
                <w:b w:val="0"/>
                <w:bCs/>
                <w:color w:val="auto"/>
                <w:kern w:val="2"/>
                <w:sz w:val="24"/>
                <w:szCs w:val="24"/>
                <w:lang w:val="en-US" w:eastAsia="zh-CN" w:bidi="ar-SA"/>
              </w:rPr>
              <w:t>危险废物标签用地设置位置应明显可见且易读，不应被容器、包装物自身的任何部分或其他标签遮挡。</w:t>
            </w:r>
          </w:p>
          <w:p w14:paraId="182145EA">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5.</w:t>
            </w:r>
            <w:r>
              <w:rPr>
                <w:rFonts w:hint="default" w:ascii="Times New Roman" w:hAnsi="宋体" w:eastAsia="宋体" w:cs="Times New Roman"/>
                <w:b w:val="0"/>
                <w:bCs/>
                <w:color w:val="auto"/>
                <w:kern w:val="2"/>
                <w:sz w:val="24"/>
                <w:szCs w:val="24"/>
                <w:lang w:val="en-US" w:eastAsia="zh-CN" w:bidi="ar-SA"/>
              </w:rPr>
              <w:t>危险废物标签的固定可采用印刷、粘贴、</w:t>
            </w:r>
            <w:r>
              <w:rPr>
                <w:rFonts w:hint="eastAsia" w:hAnsi="宋体" w:cs="Times New Roman"/>
                <w:b w:val="0"/>
                <w:bCs/>
                <w:color w:val="auto"/>
                <w:kern w:val="2"/>
                <w:sz w:val="24"/>
                <w:szCs w:val="24"/>
                <w:lang w:val="en-US" w:eastAsia="zh-CN" w:bidi="ar-SA"/>
              </w:rPr>
              <w:t>拴挂</w:t>
            </w:r>
            <w:r>
              <w:rPr>
                <w:rFonts w:hint="default" w:ascii="Times New Roman" w:hAnsi="宋体" w:eastAsia="宋体" w:cs="Times New Roman"/>
                <w:b w:val="0"/>
                <w:bCs/>
                <w:color w:val="auto"/>
                <w:kern w:val="2"/>
                <w:sz w:val="24"/>
                <w:szCs w:val="24"/>
                <w:lang w:val="en-US" w:eastAsia="zh-CN" w:bidi="ar-SA"/>
              </w:rPr>
              <w:t>、钉附等方式，标签的固定应保证在贮存、转移、期间不易脱落和损坏。</w:t>
            </w:r>
          </w:p>
          <w:p w14:paraId="42BAD4EE">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6.</w:t>
            </w:r>
            <w:r>
              <w:rPr>
                <w:rFonts w:hint="default" w:ascii="Times New Roman" w:hAnsi="宋体" w:eastAsia="宋体" w:cs="Times New Roman"/>
                <w:b w:val="0"/>
                <w:bCs/>
                <w:color w:val="auto"/>
                <w:kern w:val="2"/>
                <w:sz w:val="24"/>
                <w:szCs w:val="24"/>
                <w:lang w:val="en-US" w:eastAsia="zh-CN" w:bidi="ar-SA"/>
              </w:rPr>
              <w:t>危险废物贮存、利用、处置设施标志应包括三角形警告性图形标志和文字性辅助标志。</w:t>
            </w:r>
          </w:p>
          <w:p w14:paraId="2DA4487F">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7.</w:t>
            </w:r>
            <w:r>
              <w:rPr>
                <w:rFonts w:hint="default" w:ascii="Times New Roman" w:hAnsi="宋体" w:eastAsia="宋体" w:cs="Times New Roman"/>
                <w:b w:val="0"/>
                <w:bCs/>
                <w:color w:val="auto"/>
                <w:kern w:val="2"/>
                <w:sz w:val="24"/>
                <w:szCs w:val="24"/>
                <w:lang w:val="en-US" w:eastAsia="zh-CN" w:bidi="ar-SA"/>
              </w:rPr>
              <w:t>危险废物贮存、利用、处置设施标志应以醒目的文字标注危险废物设施的类型。</w:t>
            </w:r>
          </w:p>
          <w:p w14:paraId="4EC85C4C">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8.</w:t>
            </w:r>
            <w:r>
              <w:rPr>
                <w:rFonts w:hint="default" w:ascii="Times New Roman" w:hAnsi="宋体" w:eastAsia="宋体" w:cs="Times New Roman"/>
                <w:b w:val="0"/>
                <w:bCs/>
                <w:color w:val="auto"/>
                <w:kern w:val="2"/>
                <w:sz w:val="24"/>
                <w:szCs w:val="24"/>
                <w:lang w:val="en-US" w:eastAsia="zh-CN" w:bidi="ar-SA"/>
              </w:rPr>
              <w:t>危险废物贮存、利用、处置设施标志还应包括危险废物设施所属的单位名称、设施编码、负责人及联系方式。</w:t>
            </w:r>
          </w:p>
          <w:p w14:paraId="28141349">
            <w:pPr>
              <w:pStyle w:val="150"/>
              <w:adjustRightInd/>
              <w:snapToGrid/>
              <w:spacing w:line="360" w:lineRule="auto"/>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9.</w:t>
            </w:r>
            <w:r>
              <w:rPr>
                <w:rFonts w:hint="default" w:ascii="Times New Roman" w:hAnsi="宋体" w:eastAsia="宋体" w:cs="Times New Roman"/>
                <w:b w:val="0"/>
                <w:bCs/>
                <w:color w:val="auto"/>
                <w:kern w:val="2"/>
                <w:sz w:val="24"/>
                <w:szCs w:val="24"/>
                <w:lang w:val="en-US" w:eastAsia="zh-CN" w:bidi="ar-SA"/>
              </w:rPr>
              <w:t>危险废物贮存、利用、处置设施标志宜设置二维码，对设施使用情况进行信息化管理。</w:t>
            </w:r>
          </w:p>
          <w:p w14:paraId="2CC62CF6">
            <w:pPr>
              <w:autoSpaceDE w:val="0"/>
              <w:autoSpaceDN w:val="0"/>
              <w:adjustRightInd w:val="0"/>
              <w:snapToGrid w:val="0"/>
              <w:spacing w:line="360" w:lineRule="auto"/>
              <w:ind w:firstLine="482" w:firstLineChars="200"/>
              <w:jc w:val="left"/>
              <w:rPr>
                <w:rFonts w:hint="eastAsia"/>
                <w:b/>
                <w:color w:val="auto"/>
                <w:kern w:val="0"/>
                <w:sz w:val="24"/>
                <w:lang w:val="en-US" w:eastAsia="zh-CN"/>
              </w:rPr>
            </w:pPr>
            <w:r>
              <w:rPr>
                <w:rFonts w:hint="eastAsia"/>
                <w:b/>
                <w:color w:val="auto"/>
                <w:kern w:val="0"/>
                <w:sz w:val="24"/>
                <w:lang w:val="en-US" w:eastAsia="zh-CN"/>
              </w:rPr>
              <w:t>9.暂存库建设要求</w:t>
            </w:r>
          </w:p>
          <w:p w14:paraId="0B5EF9D0">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1.</w:t>
            </w:r>
            <w:r>
              <w:rPr>
                <w:rFonts w:hint="default" w:ascii="Times New Roman" w:hAnsi="宋体" w:eastAsia="宋体" w:cs="Times New Roman"/>
                <w:b w:val="0"/>
                <w:bCs/>
                <w:color w:val="auto"/>
                <w:kern w:val="2"/>
                <w:sz w:val="24"/>
                <w:szCs w:val="24"/>
                <w:lang w:val="en-US" w:eastAsia="zh-CN" w:bidi="ar-SA"/>
              </w:rPr>
              <w:t>建筑结构</w:t>
            </w:r>
          </w:p>
          <w:p w14:paraId="687C5EE7">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本项目飞灰暂存仓拟采用单层钢结构厂房，单座建筑面积约180m2</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长约18m、宽10m</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，厂房高7.2m，飞灰暂存仓为单层厂房，飞灰暂存仓主体结构采用</w:t>
            </w:r>
            <w:r>
              <w:rPr>
                <w:rFonts w:hint="eastAsia" w:hAnsi="宋体" w:cs="Times New Roman"/>
                <w:b w:val="0"/>
                <w:bCs/>
                <w:color w:val="auto"/>
                <w:kern w:val="2"/>
                <w:sz w:val="24"/>
                <w:szCs w:val="24"/>
                <w:lang w:val="en-US" w:eastAsia="zh-CN" w:bidi="ar-SA"/>
              </w:rPr>
              <w:t>门式刚架</w:t>
            </w:r>
            <w:r>
              <w:rPr>
                <w:rFonts w:hint="default" w:ascii="Times New Roman" w:hAnsi="宋体" w:eastAsia="宋体" w:cs="Times New Roman"/>
                <w:b w:val="0"/>
                <w:bCs/>
                <w:color w:val="auto"/>
                <w:kern w:val="2"/>
                <w:sz w:val="24"/>
                <w:szCs w:val="24"/>
                <w:lang w:val="en-US" w:eastAsia="zh-CN" w:bidi="ar-SA"/>
              </w:rPr>
              <w:t>轻型钢结构厂房，屋面采用Z型条加压型彩钢板屋面，外墙采用砖混结构墙面。</w:t>
            </w:r>
          </w:p>
          <w:p w14:paraId="25F266F6">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2.</w:t>
            </w:r>
            <w:r>
              <w:rPr>
                <w:rFonts w:hint="default" w:ascii="Times New Roman" w:hAnsi="宋体" w:eastAsia="宋体" w:cs="Times New Roman"/>
                <w:b w:val="0"/>
                <w:bCs/>
                <w:color w:val="auto"/>
                <w:kern w:val="2"/>
                <w:sz w:val="24"/>
                <w:szCs w:val="24"/>
                <w:lang w:val="en-US" w:eastAsia="zh-CN" w:bidi="ar-SA"/>
              </w:rPr>
              <w:t>防渗设计</w:t>
            </w:r>
          </w:p>
          <w:p w14:paraId="553042A8">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本项目为飞灰暂存仓库，依据《危险废物贮存污染控制标准》</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GB18597-2023</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标准要求，本次飞灰暂存仓库的基础采用</w:t>
            </w:r>
            <w:r>
              <w:rPr>
                <w:rFonts w:hint="eastAsia" w:ascii="Times New Roman" w:hAnsi="宋体" w:eastAsia="宋体" w:cs="Times New Roman"/>
                <w:b w:val="0"/>
                <w:bCs/>
                <w:color w:val="auto"/>
                <w:kern w:val="2"/>
                <w:sz w:val="24"/>
                <w:szCs w:val="24"/>
                <w:lang w:val="en-US" w:eastAsia="zh-CN" w:bidi="ar-SA"/>
              </w:rPr>
              <w:t>涂2mm厚环氧树脂后通过铺设HDPE膜，防渗系数</w:t>
            </w:r>
            <w:r>
              <w:rPr>
                <w:rFonts w:hint="default" w:ascii="Times New Roman" w:hAnsi="宋体" w:eastAsia="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1.0x10</w:t>
            </w:r>
            <w:r>
              <w:rPr>
                <w:rFonts w:hint="eastAsia" w:ascii="Times New Roman" w:hAnsi="宋体" w:eastAsia="宋体" w:cs="Times New Roman"/>
                <w:b w:val="0"/>
                <w:bCs/>
                <w:color w:val="auto"/>
                <w:kern w:val="2"/>
                <w:sz w:val="24"/>
                <w:szCs w:val="24"/>
                <w:vertAlign w:val="superscript"/>
                <w:lang w:val="en-US" w:eastAsia="zh-CN" w:bidi="ar-SA"/>
              </w:rPr>
              <w:t>-10</w:t>
            </w:r>
            <w:r>
              <w:rPr>
                <w:rFonts w:hint="eastAsia" w:ascii="Times New Roman" w:hAnsi="宋体" w:eastAsia="宋体" w:cs="Times New Roman"/>
                <w:b w:val="0"/>
                <w:bCs/>
                <w:color w:val="auto"/>
                <w:kern w:val="2"/>
                <w:sz w:val="24"/>
                <w:szCs w:val="24"/>
                <w:lang w:val="en-US" w:eastAsia="zh-CN" w:bidi="ar-SA"/>
              </w:rPr>
              <w:t>cm/s。</w:t>
            </w:r>
          </w:p>
          <w:p w14:paraId="63E5F8D1">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3.</w:t>
            </w:r>
            <w:r>
              <w:rPr>
                <w:rFonts w:hint="default" w:ascii="Times New Roman" w:hAnsi="宋体" w:eastAsia="宋体" w:cs="Times New Roman"/>
                <w:b w:val="0"/>
                <w:bCs/>
                <w:color w:val="auto"/>
                <w:kern w:val="2"/>
                <w:sz w:val="24"/>
                <w:szCs w:val="24"/>
                <w:lang w:val="en-US" w:eastAsia="zh-CN" w:bidi="ar-SA"/>
              </w:rPr>
              <w:t>防渗结构层</w:t>
            </w:r>
          </w:p>
          <w:p w14:paraId="66539B73">
            <w:pPr>
              <w:autoSpaceDE w:val="0"/>
              <w:autoSpaceDN w:val="0"/>
              <w:adjustRightInd w:val="0"/>
              <w:snapToGrid w:val="0"/>
              <w:spacing w:line="360" w:lineRule="auto"/>
              <w:ind w:firstLine="480" w:firstLineChars="200"/>
              <w:jc w:val="left"/>
              <w:rPr>
                <w:rFonts w:hint="default"/>
                <w:b/>
                <w:color w:val="auto"/>
                <w:kern w:val="0"/>
                <w:sz w:val="24"/>
                <w:lang w:val="en-US" w:eastAsia="zh-CN"/>
              </w:rPr>
            </w:pPr>
            <w:r>
              <w:rPr>
                <w:rFonts w:hint="eastAsia" w:ascii="Times New Roman" w:hAnsi="宋体" w:eastAsia="宋体" w:cs="Times New Roman"/>
                <w:b w:val="0"/>
                <w:bCs/>
                <w:color w:val="auto"/>
                <w:kern w:val="2"/>
                <w:sz w:val="24"/>
                <w:szCs w:val="24"/>
                <w:lang w:val="en-US" w:eastAsia="zh-CN" w:bidi="ar-SA"/>
              </w:rPr>
              <w:t>库房地面采用25cm厚C30混凝土做基础垫层，地面涂至少2mm厚的环氧树脂，再铺设2mm厚高密度聚乙烯膜；</w:t>
            </w:r>
            <w:r>
              <w:rPr>
                <w:rFonts w:hint="eastAsia" w:hAnsi="宋体" w:cs="Times New Roman"/>
                <w:b w:val="0"/>
                <w:bCs/>
                <w:color w:val="auto"/>
                <w:kern w:val="2"/>
                <w:sz w:val="24"/>
                <w:szCs w:val="24"/>
                <w:lang w:val="en-US" w:eastAsia="zh-CN" w:bidi="ar-SA"/>
              </w:rPr>
              <w:t>四周设置</w:t>
            </w:r>
            <w:r>
              <w:rPr>
                <w:rFonts w:hint="eastAsia" w:ascii="Times New Roman" w:hAnsi="宋体" w:eastAsia="宋体" w:cs="Times New Roman"/>
                <w:b w:val="0"/>
                <w:bCs/>
                <w:color w:val="auto"/>
                <w:kern w:val="2"/>
                <w:sz w:val="24"/>
                <w:szCs w:val="24"/>
                <w:lang w:val="en-US" w:eastAsia="zh-CN" w:bidi="ar-SA"/>
              </w:rPr>
              <w:t>导流槽</w:t>
            </w:r>
            <w:r>
              <w:rPr>
                <w:rFonts w:hint="eastAsia" w:hAnsi="宋体" w:cs="Times New Roman"/>
                <w:b w:val="0"/>
                <w:bCs/>
                <w:color w:val="auto"/>
                <w:kern w:val="2"/>
                <w:sz w:val="24"/>
                <w:szCs w:val="24"/>
                <w:lang w:val="en-US" w:eastAsia="zh-CN" w:bidi="ar-SA"/>
              </w:rPr>
              <w:t>和收集池</w:t>
            </w:r>
            <w:r>
              <w:rPr>
                <w:rFonts w:hint="eastAsia" w:ascii="Times New Roman" w:hAnsi="宋体" w:eastAsia="宋体" w:cs="Times New Roman"/>
                <w:b w:val="0"/>
                <w:bCs/>
                <w:color w:val="auto"/>
                <w:kern w:val="2"/>
                <w:sz w:val="24"/>
                <w:szCs w:val="24"/>
                <w:lang w:val="en-US" w:eastAsia="zh-CN" w:bidi="ar-SA"/>
              </w:rPr>
              <w:t>。</w:t>
            </w:r>
          </w:p>
        </w:tc>
      </w:tr>
    </w:tbl>
    <w:p w14:paraId="324EC0B4">
      <w:pPr>
        <w:pStyle w:val="29"/>
        <w:adjustRightInd w:val="0"/>
        <w:snapToGrid w:val="0"/>
        <w:spacing w:before="0" w:beforeAutospacing="0" w:after="0" w:afterAutospacing="0"/>
        <w:jc w:val="center"/>
        <w:rPr>
          <w:rFonts w:ascii="Times New Roman" w:hAnsi="Times New Roman"/>
          <w:b/>
          <w:bCs/>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4"/>
      </w:tblGrid>
      <w:tr w14:paraId="4DCA2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8" w:hRule="atLeast"/>
          <w:jc w:val="center"/>
        </w:trPr>
        <w:tc>
          <w:tcPr>
            <w:tcW w:w="362" w:type="dxa"/>
            <w:vAlign w:val="center"/>
          </w:tcPr>
          <w:p w14:paraId="6433C016">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工艺流程和产排污环节</w:t>
            </w:r>
          </w:p>
        </w:tc>
        <w:tc>
          <w:tcPr>
            <w:tcW w:w="8699" w:type="dxa"/>
          </w:tcPr>
          <w:p w14:paraId="033BC90A">
            <w:pPr>
              <w:widowControl/>
              <w:numPr>
                <w:ilvl w:val="0"/>
                <w:numId w:val="3"/>
              </w:numPr>
              <w:adjustRightInd w:val="0"/>
              <w:snapToGrid w:val="0"/>
              <w:spacing w:before="120" w:beforeLines="50" w:line="360" w:lineRule="auto"/>
              <w:ind w:firstLine="482" w:firstLineChars="200"/>
              <w:jc w:val="left"/>
              <w:rPr>
                <w:rFonts w:hAnsi="宋体"/>
                <w:b/>
                <w:bCs/>
                <w:color w:val="auto"/>
                <w:kern w:val="0"/>
                <w:sz w:val="24"/>
              </w:rPr>
            </w:pPr>
            <w:r>
              <w:rPr>
                <w:rFonts w:hAnsi="宋体"/>
                <w:b/>
                <w:bCs/>
                <w:color w:val="auto"/>
                <w:kern w:val="0"/>
                <w:sz w:val="24"/>
              </w:rPr>
              <w:t>工艺流程和产排污环节</w:t>
            </w:r>
          </w:p>
          <w:p w14:paraId="01E9A2BF">
            <w:pPr>
              <w:widowControl/>
              <w:numPr>
                <w:ilvl w:val="0"/>
                <w:numId w:val="0"/>
              </w:numPr>
              <w:adjustRightInd w:val="0"/>
              <w:snapToGrid w:val="0"/>
              <w:spacing w:before="120" w:beforeLines="50" w:line="360" w:lineRule="auto"/>
              <w:jc w:val="left"/>
              <w:rPr>
                <w:rFonts w:hint="eastAsia" w:hAnsi="宋体"/>
                <w:b/>
                <w:bCs/>
                <w:color w:val="auto"/>
                <w:kern w:val="0"/>
                <w:sz w:val="24"/>
                <w:lang w:val="en-US" w:eastAsia="zh-CN"/>
              </w:rPr>
            </w:pPr>
            <w:r>
              <w:rPr>
                <w:rFonts w:hint="eastAsia" w:hAnsi="宋体"/>
                <w:b/>
                <w:bCs/>
                <w:color w:val="auto"/>
                <w:kern w:val="0"/>
                <w:sz w:val="24"/>
                <w:lang w:val="en-US" w:eastAsia="zh-CN"/>
              </w:rPr>
              <w:t>1.1施工期主要工艺流程及产污环节</w:t>
            </w:r>
          </w:p>
          <w:p w14:paraId="775E8575">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本次改建项目建设内容为新建1栋1层面积为</w:t>
            </w:r>
            <w:r>
              <w:rPr>
                <w:rFonts w:hint="eastAsia" w:hAnsi="宋体" w:cs="Times New Roman"/>
                <w:b w:val="0"/>
                <w:bCs/>
                <w:color w:val="auto"/>
                <w:kern w:val="2"/>
                <w:sz w:val="24"/>
                <w:szCs w:val="24"/>
                <w:lang w:val="en-US" w:eastAsia="zh-CN" w:bidi="ar-SA"/>
              </w:rPr>
              <w:t>180</w:t>
            </w:r>
            <w:r>
              <w:rPr>
                <w:rFonts w:hint="default" w:ascii="Times New Roman" w:hAnsi="宋体" w:eastAsia="宋体" w:cs="Times New Roman"/>
                <w:b w:val="0"/>
                <w:bCs/>
                <w:color w:val="auto"/>
                <w:kern w:val="2"/>
                <w:sz w:val="24"/>
                <w:szCs w:val="24"/>
                <w:lang w:val="en-US" w:eastAsia="zh-CN" w:bidi="ar-SA"/>
              </w:rPr>
              <w:t>m</w:t>
            </w:r>
            <w:r>
              <w:rPr>
                <w:rFonts w:hint="eastAsia" w:hAnsi="宋体" w:cs="Times New Roman"/>
                <w:b w:val="0"/>
                <w:bCs/>
                <w:color w:val="auto"/>
                <w:kern w:val="2"/>
                <w:sz w:val="24"/>
                <w:szCs w:val="24"/>
                <w:vertAlign w:val="superscript"/>
                <w:lang w:val="en-US" w:eastAsia="zh-CN" w:bidi="ar-SA"/>
              </w:rPr>
              <w:t>2</w:t>
            </w:r>
            <w:r>
              <w:rPr>
                <w:rFonts w:hint="default" w:ascii="Times New Roman" w:hAnsi="宋体" w:eastAsia="宋体" w:cs="Times New Roman"/>
                <w:b w:val="0"/>
                <w:bCs/>
                <w:color w:val="auto"/>
                <w:kern w:val="2"/>
                <w:sz w:val="24"/>
                <w:szCs w:val="24"/>
                <w:lang w:val="en-US" w:eastAsia="zh-CN" w:bidi="ar-SA"/>
              </w:rPr>
              <w:t>的</w:t>
            </w:r>
            <w:r>
              <w:rPr>
                <w:rFonts w:hint="eastAsia" w:hAnsi="宋体" w:cs="Times New Roman"/>
                <w:b w:val="0"/>
                <w:bCs/>
                <w:color w:val="auto"/>
                <w:kern w:val="2"/>
                <w:sz w:val="24"/>
                <w:szCs w:val="24"/>
                <w:lang w:val="en-US" w:eastAsia="zh-CN" w:bidi="ar-SA"/>
              </w:rPr>
              <w:t>危废</w:t>
            </w:r>
            <w:r>
              <w:rPr>
                <w:rFonts w:hint="default" w:ascii="Times New Roman" w:hAnsi="宋体" w:eastAsia="宋体" w:cs="Times New Roman"/>
                <w:b w:val="0"/>
                <w:bCs/>
                <w:color w:val="auto"/>
                <w:kern w:val="2"/>
                <w:sz w:val="24"/>
                <w:szCs w:val="24"/>
                <w:lang w:val="en-US" w:eastAsia="zh-CN" w:bidi="ar-SA"/>
              </w:rPr>
              <w:t>仓库，根据现场勘查，项目拟建用地目前为空地，不需要设施工便道，产生的少量的土方及时清运，土建内容较少。</w:t>
            </w:r>
            <w:r>
              <w:rPr>
                <w:rFonts w:hint="eastAsia" w:hAnsi="宋体" w:cs="Times New Roman"/>
                <w:b w:val="0"/>
                <w:bCs/>
                <w:color w:val="auto"/>
                <w:kern w:val="2"/>
                <w:sz w:val="24"/>
                <w:szCs w:val="24"/>
                <w:lang w:val="en-US" w:eastAsia="zh-CN" w:bidi="ar-SA"/>
              </w:rPr>
              <w:t>具体工艺流程见下：</w:t>
            </w:r>
          </w:p>
          <w:p w14:paraId="3BC063E8">
            <w:pPr>
              <w:numPr>
                <w:ilvl w:val="0"/>
                <w:numId w:val="4"/>
              </w:numPr>
              <w:autoSpaceDE w:val="0"/>
              <w:autoSpaceDN w:val="0"/>
              <w:adjustRightInd w:val="0"/>
              <w:snapToGrid w:val="0"/>
              <w:spacing w:line="360" w:lineRule="auto"/>
              <w:ind w:firstLine="482"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bCs w:val="0"/>
                <w:color w:val="auto"/>
                <w:kern w:val="2"/>
                <w:sz w:val="24"/>
                <w:szCs w:val="24"/>
                <w:lang w:val="en-US" w:eastAsia="zh-CN" w:bidi="ar-SA"/>
              </w:rPr>
              <w:t>场地平整</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对地块进行平整，打桩、挖基坑等。</w:t>
            </w:r>
          </w:p>
          <w:p w14:paraId="5447B1AA">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本阶段主要为后续主体施工创造条件，是扰动地表最强烈的阶段</w:t>
            </w:r>
            <w:r>
              <w:rPr>
                <w:rFonts w:hint="eastAsia" w:ascii="Times New Roman" w:hAnsi="宋体" w:eastAsia="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清除地表植被、杂物、表层腐殖土。剥离的表土应集中堆放在指定区域（表土堆场），并采取临时拦挡、覆盖措施，用于后期绿化覆土。</w:t>
            </w:r>
          </w:p>
          <w:p w14:paraId="288560BA">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主要产污环节：扬尘（TSP）：植被清除、土方挖掘、车辆运输产生。</w:t>
            </w:r>
          </w:p>
          <w:p w14:paraId="5F38FAC6">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土方工程：根据设计标高进行挖方、填方及场地平整。特别注意对库区基坑的精准开挖，以满足防渗层铺设的基底要求。</w:t>
            </w:r>
          </w:p>
          <w:p w14:paraId="51325808">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主要产污环节：扬尘：土方开挖、回填、装卸。</w:t>
            </w:r>
          </w:p>
          <w:p w14:paraId="35DD560D">
            <w:pPr>
              <w:autoSpaceDE w:val="0"/>
              <w:autoSpaceDN w:val="0"/>
              <w:adjustRightInd w:val="0"/>
              <w:snapToGrid w:val="0"/>
              <w:spacing w:line="360" w:lineRule="auto"/>
              <w:ind w:firstLine="482" w:firstLineChars="200"/>
              <w:jc w:val="left"/>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bCs w:val="0"/>
                <w:color w:val="auto"/>
                <w:kern w:val="2"/>
                <w:sz w:val="24"/>
                <w:szCs w:val="24"/>
                <w:lang w:val="en-US" w:eastAsia="zh-CN" w:bidi="ar-SA"/>
              </w:rPr>
              <w:t>2.</w:t>
            </w:r>
            <w:r>
              <w:rPr>
                <w:rFonts w:hint="default" w:ascii="Times New Roman" w:hAnsi="宋体" w:eastAsia="宋体" w:cs="Times New Roman"/>
                <w:b/>
                <w:bCs w:val="0"/>
                <w:color w:val="auto"/>
                <w:kern w:val="2"/>
                <w:sz w:val="24"/>
                <w:szCs w:val="24"/>
                <w:lang w:val="en-US" w:eastAsia="zh-CN" w:bidi="ar-SA"/>
              </w:rPr>
              <w:t>防渗工程</w:t>
            </w:r>
            <w:r>
              <w:rPr>
                <w:rFonts w:hint="eastAsia" w:ascii="Times New Roman" w:hAnsi="宋体" w:eastAsia="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按照危险废物暂存防渗要求对暂存仓库进行防渗工程建设</w:t>
            </w:r>
            <w:r>
              <w:rPr>
                <w:rFonts w:hint="eastAsia" w:ascii="Times New Roman" w:hAnsi="宋体" w:eastAsia="宋体" w:cs="Times New Roman"/>
                <w:b w:val="0"/>
                <w:bCs/>
                <w:color w:val="auto"/>
                <w:kern w:val="2"/>
                <w:sz w:val="24"/>
                <w:szCs w:val="24"/>
                <w:lang w:val="en-US" w:eastAsia="zh-CN" w:bidi="ar-SA"/>
              </w:rPr>
              <w:t>。</w:t>
            </w:r>
          </w:p>
          <w:p w14:paraId="3FB1151E">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此阶段是保障飞灰暂存库环境安全的核心，施工质量直接关系到运营期环境风险水平。</w:t>
            </w:r>
          </w:p>
          <w:p w14:paraId="7D0A1D8D">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基础施工：进行库区、围墙、管理用房等构筑物的地基处理（如换填、夯实、桩基等）和基础混凝土浇筑。</w:t>
            </w:r>
          </w:p>
          <w:p w14:paraId="07013233">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主要产污环节：噪声与振动：打桩机、混凝土振捣棒等。</w:t>
            </w:r>
          </w:p>
          <w:p w14:paraId="052594B6">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扬尘：水泥、砂石骨料装卸、搅拌。</w:t>
            </w:r>
          </w:p>
          <w:p w14:paraId="7E3AAB7C">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防渗系统施工（关键工序）：严格按照《危险废物贮存污染控制标准》（GB18597）等要求，进行多层防渗结构施工。典型结构（自下而上）包括：</w:t>
            </w:r>
          </w:p>
          <w:p w14:paraId="30B8780F">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基底压实与找平：确保基层坚实、平整。</w:t>
            </w:r>
          </w:p>
          <w:p w14:paraId="259BCEC9">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地下水导排层（如设计有）：铺设导排盲沟和管道。</w:t>
            </w:r>
          </w:p>
          <w:p w14:paraId="213846A2">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复合防渗层铺设：天然材料衬层（如压实粘土层）：分层摊铺、压实，确保达到设计厚度和渗透系数要求。人工合成衬层（HDPE膜或其他高性能防渗膜）：专业铺设、焊接、检测（电火花检测、气压检测）。此工序对环境（风力、降雨）要求高，需在无雨、小风天气进行。</w:t>
            </w:r>
          </w:p>
          <w:p w14:paraId="37CFDE8A">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渗滤液导排层铺设：在防渗膜上铺设土工布、</w:t>
            </w:r>
            <w:r>
              <w:rPr>
                <w:rFonts w:hint="eastAsia" w:ascii="Times New Roman" w:hAnsi="宋体" w:eastAsia="宋体" w:cs="Times New Roman"/>
                <w:b w:val="0"/>
                <w:bCs/>
                <w:color w:val="auto"/>
                <w:kern w:val="2"/>
                <w:sz w:val="24"/>
                <w:szCs w:val="24"/>
                <w:lang w:val="en-US" w:eastAsia="zh-CN" w:bidi="ar-SA"/>
              </w:rPr>
              <w:t>设置导流槽</w:t>
            </w:r>
            <w:r>
              <w:rPr>
                <w:rFonts w:hint="default" w:ascii="Times New Roman" w:hAnsi="宋体" w:eastAsia="宋体" w:cs="Times New Roman"/>
                <w:b w:val="0"/>
                <w:bCs/>
                <w:color w:val="auto"/>
                <w:kern w:val="2"/>
                <w:sz w:val="24"/>
                <w:szCs w:val="24"/>
                <w:lang w:val="en-US" w:eastAsia="zh-CN" w:bidi="ar-SA"/>
              </w:rPr>
              <w:t>。</w:t>
            </w:r>
          </w:p>
          <w:p w14:paraId="63C65566">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保护层施工：铺设砂石或预制混凝土保护板。</w:t>
            </w:r>
          </w:p>
          <w:p w14:paraId="0ED39F66">
            <w:pPr>
              <w:autoSpaceDE w:val="0"/>
              <w:autoSpaceDN w:val="0"/>
              <w:adjustRightInd w:val="0"/>
              <w:snapToGrid w:val="0"/>
              <w:spacing w:line="360" w:lineRule="auto"/>
              <w:ind w:firstLine="482" w:firstLineChars="200"/>
              <w:jc w:val="left"/>
              <w:rPr>
                <w:rFonts w:hint="default"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bCs w:val="0"/>
                <w:color w:val="auto"/>
                <w:kern w:val="2"/>
                <w:sz w:val="24"/>
                <w:szCs w:val="24"/>
                <w:lang w:val="en-US" w:eastAsia="zh-CN" w:bidi="ar-SA"/>
              </w:rPr>
              <w:t>3.</w:t>
            </w:r>
            <w:r>
              <w:rPr>
                <w:rFonts w:hint="default" w:ascii="Times New Roman" w:hAnsi="宋体" w:eastAsia="宋体" w:cs="Times New Roman"/>
                <w:b/>
                <w:bCs w:val="0"/>
                <w:color w:val="auto"/>
                <w:kern w:val="2"/>
                <w:sz w:val="24"/>
                <w:szCs w:val="24"/>
                <w:lang w:val="en-US" w:eastAsia="zh-CN" w:bidi="ar-SA"/>
              </w:rPr>
              <w:t>仓库建筑</w:t>
            </w:r>
            <w:r>
              <w:rPr>
                <w:rFonts w:hint="eastAsia" w:ascii="Times New Roman" w:hAnsi="宋体" w:eastAsia="宋体" w:cs="Times New Roman"/>
                <w:b/>
                <w:bCs w:val="0"/>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进行暂存仓库房屋主体施工建设。</w:t>
            </w:r>
          </w:p>
          <w:p w14:paraId="6211A0A2">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包括暂存库房（钢结构或钢筋混凝土结构）的墙体、屋面施工，以及配套的雨棚、通风系统基座等。</w:t>
            </w:r>
          </w:p>
          <w:p w14:paraId="4D0EFE44">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主要产污环节：同一般建筑施工，包括钢结构焊接烟尘、建筑噪声、建筑垃圾等。</w:t>
            </w:r>
          </w:p>
          <w:p w14:paraId="22E43A86">
            <w:pPr>
              <w:autoSpaceDE w:val="0"/>
              <w:autoSpaceDN w:val="0"/>
              <w:adjustRightInd w:val="0"/>
              <w:snapToGrid w:val="0"/>
              <w:spacing w:line="360" w:lineRule="auto"/>
              <w:ind w:firstLine="482" w:firstLineChars="200"/>
              <w:jc w:val="left"/>
              <w:rPr>
                <w:rFonts w:hint="default"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bCs w:val="0"/>
                <w:color w:val="auto"/>
                <w:kern w:val="2"/>
                <w:sz w:val="24"/>
                <w:szCs w:val="24"/>
                <w:lang w:val="en-US" w:eastAsia="zh-CN" w:bidi="ar-SA"/>
              </w:rPr>
              <w:t>4.</w:t>
            </w:r>
            <w:r>
              <w:rPr>
                <w:rFonts w:hint="default" w:ascii="Times New Roman" w:hAnsi="宋体" w:eastAsia="宋体" w:cs="Times New Roman"/>
                <w:b/>
                <w:bCs w:val="0"/>
                <w:color w:val="auto"/>
                <w:kern w:val="2"/>
                <w:sz w:val="24"/>
                <w:szCs w:val="24"/>
                <w:lang w:val="en-US" w:eastAsia="zh-CN" w:bidi="ar-SA"/>
              </w:rPr>
              <w:t>仓库装修</w:t>
            </w:r>
            <w:r>
              <w:rPr>
                <w:rFonts w:hint="eastAsia" w:ascii="Times New Roman" w:hAnsi="宋体" w:eastAsia="宋体" w:cs="Times New Roman"/>
                <w:b/>
                <w:bCs w:val="0"/>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仓库主体建成后，进行基本装修。</w:t>
            </w:r>
          </w:p>
          <w:p w14:paraId="784A7FB3">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设备安装：安装电动卷帘门（密闭用）、强制通风系统、报警装置、视频监控、称重系统等。此阶段以组装为主，污染相对较轻。</w:t>
            </w:r>
          </w:p>
          <w:p w14:paraId="72B1307C">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主要产污环节：设备包装废物、设备调试噪声。</w:t>
            </w:r>
          </w:p>
          <w:p w14:paraId="2AA416ED">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场地清理与绿化：拆除临时设施，清理建筑垃圾，利用保存的表土进行场地绿化（种植具有水土保持功能的本地植物）。</w:t>
            </w:r>
          </w:p>
          <w:p w14:paraId="21F37C35">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主要产污环节：</w:t>
            </w:r>
          </w:p>
          <w:p w14:paraId="117F3B65">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建筑垃圾：进行分类处理，可回收部分回收，不可回收部分清运至指定场所。</w:t>
            </w:r>
          </w:p>
          <w:p w14:paraId="0D2E7B4E">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扬尘：清理过程产生。</w:t>
            </w:r>
          </w:p>
          <w:p w14:paraId="035E41CD">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施工期废气</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材料运输、材料堆放过程中产生少量扬尘</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运输车辆尾气。同时</w:t>
            </w:r>
            <w:r>
              <w:rPr>
                <w:rFonts w:hint="eastAsia" w:hAnsi="宋体" w:cs="Times New Roman"/>
                <w:b w:val="0"/>
                <w:bCs/>
                <w:color w:val="auto"/>
                <w:kern w:val="2"/>
                <w:sz w:val="24"/>
                <w:szCs w:val="24"/>
                <w:lang w:val="en-US" w:eastAsia="zh-CN" w:bidi="ar-SA"/>
              </w:rPr>
              <w:t>改建</w:t>
            </w:r>
            <w:r>
              <w:rPr>
                <w:rFonts w:hint="default" w:ascii="Times New Roman" w:hAnsi="宋体" w:eastAsia="宋体" w:cs="Times New Roman"/>
                <w:b w:val="0"/>
                <w:bCs/>
                <w:color w:val="auto"/>
                <w:kern w:val="2"/>
                <w:sz w:val="24"/>
                <w:szCs w:val="24"/>
                <w:lang w:val="en-US" w:eastAsia="zh-CN" w:bidi="ar-SA"/>
              </w:rPr>
              <w:t>项目管道和设备安装过程中会涉及少量焊接工作，产生少量焊接烟尘。施工中建设单位应督促施工单位使用环保焊材，由于焊接量较小，</w:t>
            </w:r>
            <w:r>
              <w:rPr>
                <w:rFonts w:hint="eastAsia" w:hAnsi="宋体" w:cs="Times New Roman"/>
                <w:b w:val="0"/>
                <w:bCs/>
                <w:color w:val="auto"/>
                <w:kern w:val="2"/>
                <w:sz w:val="24"/>
                <w:szCs w:val="24"/>
                <w:lang w:val="en-US" w:eastAsia="zh-CN" w:bidi="ar-SA"/>
              </w:rPr>
              <w:t>改建</w:t>
            </w:r>
            <w:r>
              <w:rPr>
                <w:rFonts w:hint="default" w:ascii="Times New Roman" w:hAnsi="宋体" w:eastAsia="宋体" w:cs="Times New Roman"/>
                <w:b w:val="0"/>
                <w:bCs/>
                <w:color w:val="auto"/>
                <w:kern w:val="2"/>
                <w:sz w:val="24"/>
                <w:szCs w:val="24"/>
                <w:lang w:val="en-US" w:eastAsia="zh-CN" w:bidi="ar-SA"/>
              </w:rPr>
              <w:t>项目施工中产生的焊接烟尘较少，对周围环境影响较小。</w:t>
            </w:r>
          </w:p>
          <w:p w14:paraId="4FF3BBF8">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施工期废水</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主要包括施工人员生活污水、混凝土</w:t>
            </w:r>
            <w:r>
              <w:rPr>
                <w:rFonts w:hint="eastAsia" w:hAnsi="宋体" w:cs="Times New Roman"/>
                <w:b w:val="0"/>
                <w:bCs/>
                <w:color w:val="auto"/>
                <w:kern w:val="2"/>
                <w:sz w:val="24"/>
                <w:szCs w:val="24"/>
                <w:lang w:val="en-US" w:eastAsia="zh-CN" w:bidi="ar-SA"/>
              </w:rPr>
              <w:t>拌和</w:t>
            </w:r>
            <w:r>
              <w:rPr>
                <w:rFonts w:hint="default" w:ascii="Times New Roman" w:hAnsi="宋体" w:eastAsia="宋体" w:cs="Times New Roman"/>
                <w:b w:val="0"/>
                <w:bCs/>
                <w:color w:val="auto"/>
                <w:kern w:val="2"/>
                <w:sz w:val="24"/>
                <w:szCs w:val="24"/>
                <w:lang w:val="en-US" w:eastAsia="zh-CN" w:bidi="ar-SA"/>
              </w:rPr>
              <w:t>废水。施工废水经临时沉淀池沉淀后回用，施工人员生活污水进厂内生活污水处理设施处理后接管进市政管网。施工期噪声</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各类施工机械运行时产生的噪声，噪声源主要为电焊机、电钻、电锤等，噪声源强约75~105dB(A</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w:t>
            </w:r>
          </w:p>
          <w:p w14:paraId="79583828">
            <w:pPr>
              <w:autoSpaceDE w:val="0"/>
              <w:autoSpaceDN w:val="0"/>
              <w:adjustRightInd w:val="0"/>
              <w:snapToGrid w:val="0"/>
              <w:spacing w:line="360" w:lineRule="auto"/>
              <w:ind w:firstLine="480" w:firstLineChars="200"/>
              <w:jc w:val="left"/>
              <w:rPr>
                <w:rFonts w:hint="default" w:ascii="Times New Roman" w:hAnsi="宋体" w:eastAsia="宋体" w:cs="Times New Roman"/>
                <w:b w:val="0"/>
                <w:bCs/>
                <w:color w:val="auto"/>
                <w:kern w:val="2"/>
                <w:sz w:val="24"/>
                <w:szCs w:val="24"/>
                <w:lang w:val="en-US" w:eastAsia="zh-CN" w:bidi="ar-SA"/>
              </w:rPr>
            </w:pPr>
            <w:r>
              <w:rPr>
                <w:rFonts w:hint="default" w:ascii="Times New Roman" w:hAnsi="宋体" w:eastAsia="宋体" w:cs="Times New Roman"/>
                <w:b w:val="0"/>
                <w:bCs/>
                <w:color w:val="auto"/>
                <w:kern w:val="2"/>
                <w:sz w:val="24"/>
                <w:szCs w:val="24"/>
                <w:lang w:val="en-US" w:eastAsia="zh-CN" w:bidi="ar-SA"/>
              </w:rPr>
              <w:t>固废</w:t>
            </w:r>
            <w:r>
              <w:rPr>
                <w:rFonts w:hint="eastAsia" w:hAnsi="宋体" w:cs="Times New Roman"/>
                <w:b w:val="0"/>
                <w:bCs/>
                <w:color w:val="auto"/>
                <w:kern w:val="2"/>
                <w:sz w:val="24"/>
                <w:szCs w:val="24"/>
                <w:lang w:val="en-US" w:eastAsia="zh-CN" w:bidi="ar-SA"/>
              </w:rPr>
              <w:t>：</w:t>
            </w:r>
            <w:r>
              <w:rPr>
                <w:rFonts w:hint="default" w:ascii="Times New Roman" w:hAnsi="宋体" w:eastAsia="宋体" w:cs="Times New Roman"/>
                <w:b w:val="0"/>
                <w:bCs/>
                <w:color w:val="auto"/>
                <w:kern w:val="2"/>
                <w:sz w:val="24"/>
                <w:szCs w:val="24"/>
                <w:lang w:val="en-US" w:eastAsia="zh-CN" w:bidi="ar-SA"/>
              </w:rPr>
              <w:t>包括施工人员聚集地产生的生活垃圾</w:t>
            </w:r>
            <w:r>
              <w:rPr>
                <w:rFonts w:hint="eastAsia" w:hAnsi="宋体" w:cs="Times New Roman"/>
                <w:b w:val="0"/>
                <w:bCs/>
                <w:color w:val="auto"/>
                <w:kern w:val="2"/>
                <w:sz w:val="24"/>
                <w:szCs w:val="24"/>
                <w:lang w:val="en-US" w:eastAsia="zh-CN" w:bidi="ar-SA"/>
              </w:rPr>
              <w:t>；施工</w:t>
            </w:r>
            <w:r>
              <w:rPr>
                <w:rFonts w:hint="default" w:ascii="Times New Roman" w:hAnsi="宋体" w:eastAsia="宋体" w:cs="Times New Roman"/>
                <w:b w:val="0"/>
                <w:bCs/>
                <w:color w:val="auto"/>
                <w:kern w:val="2"/>
                <w:sz w:val="24"/>
                <w:szCs w:val="24"/>
                <w:lang w:val="en-US" w:eastAsia="zh-CN" w:bidi="ar-SA"/>
              </w:rPr>
              <w:t>过程中产生的建筑垃圾，如包装袋、施工弃土等。建筑垃圾部分回用，其他由环卫清运。</w:t>
            </w:r>
          </w:p>
          <w:p w14:paraId="16EF63F0">
            <w:pPr>
              <w:adjustRightInd w:val="0"/>
              <w:snapToGrid w:val="0"/>
              <w:rPr>
                <w:rFonts w:hint="eastAsia"/>
                <w:b/>
                <w:color w:val="auto"/>
                <w:sz w:val="24"/>
              </w:rPr>
            </w:pPr>
            <w:r>
              <w:rPr>
                <w:rFonts w:hint="eastAsia"/>
                <w:b/>
                <w:color w:val="auto"/>
                <w:sz w:val="24"/>
                <w:lang w:val="en-US" w:eastAsia="zh-CN"/>
              </w:rPr>
              <w:t>1.2</w:t>
            </w:r>
            <w:r>
              <w:rPr>
                <w:rFonts w:hint="eastAsia"/>
                <w:b/>
                <w:color w:val="auto"/>
                <w:sz w:val="24"/>
              </w:rPr>
              <w:t>运营期工艺流程及排污环节</w:t>
            </w:r>
          </w:p>
          <w:p w14:paraId="11B60F65">
            <w:pPr>
              <w:autoSpaceDE w:val="0"/>
              <w:autoSpaceDN w:val="0"/>
              <w:adjustRightInd w:val="0"/>
              <w:snapToGrid w:val="0"/>
              <w:spacing w:line="360" w:lineRule="auto"/>
              <w:ind w:firstLine="480" w:firstLineChars="200"/>
              <w:jc w:val="left"/>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本项目主要是对本厂区生活垃圾焚烧发电项目经稳</w:t>
            </w:r>
            <w:r>
              <w:rPr>
                <w:rFonts w:hint="eastAsia" w:hAnsi="宋体" w:cs="Times New Roman"/>
                <w:b w:val="0"/>
                <w:bCs/>
                <w:color w:val="auto"/>
                <w:kern w:val="2"/>
                <w:sz w:val="24"/>
                <w:szCs w:val="24"/>
                <w:lang w:val="en-US" w:eastAsia="zh-CN" w:bidi="ar-SA"/>
              </w:rPr>
              <w:t>固</w:t>
            </w:r>
            <w:r>
              <w:rPr>
                <w:rFonts w:hint="eastAsia" w:ascii="Times New Roman" w:hAnsi="宋体" w:eastAsia="宋体" w:cs="Times New Roman"/>
                <w:b w:val="0"/>
                <w:bCs/>
                <w:color w:val="auto"/>
                <w:kern w:val="2"/>
                <w:sz w:val="24"/>
                <w:szCs w:val="24"/>
                <w:lang w:val="en-US" w:eastAsia="zh-CN" w:bidi="ar-SA"/>
              </w:rPr>
              <w:t>化处理后的飞灰进行暂存，不进行集中处置，根据建设单位提供资料可知，飞灰在</w:t>
            </w:r>
            <w:r>
              <w:rPr>
                <w:rFonts w:hint="eastAsia" w:hAnsi="宋体" w:cs="Times New Roman"/>
                <w:b w:val="0"/>
                <w:bCs/>
                <w:color w:val="auto"/>
                <w:kern w:val="2"/>
                <w:sz w:val="24"/>
                <w:szCs w:val="24"/>
                <w:lang w:val="en-US" w:eastAsia="zh-CN" w:bidi="ar-SA"/>
              </w:rPr>
              <w:t>垃圾焚烧厂</w:t>
            </w:r>
            <w:r>
              <w:rPr>
                <w:rFonts w:hint="eastAsia" w:ascii="Times New Roman" w:hAnsi="宋体" w:eastAsia="宋体" w:cs="Times New Roman"/>
                <w:b w:val="0"/>
                <w:bCs/>
                <w:color w:val="auto"/>
                <w:kern w:val="2"/>
                <w:sz w:val="24"/>
                <w:szCs w:val="24"/>
                <w:lang w:val="en-US" w:eastAsia="zh-CN" w:bidi="ar-SA"/>
              </w:rPr>
              <w:t>内稳定化，稳定化后的飞灰用防水吨袋包装，运输至本项目贮存库、最终进</w:t>
            </w:r>
            <w:bookmarkStart w:id="5" w:name="OLE_LINK1"/>
            <w:r>
              <w:rPr>
                <w:rFonts w:hint="eastAsia" w:ascii="Times New Roman" w:hAnsi="宋体" w:eastAsia="宋体" w:cs="Times New Roman"/>
                <w:b w:val="0"/>
                <w:bCs/>
                <w:color w:val="auto"/>
                <w:kern w:val="2"/>
                <w:sz w:val="24"/>
                <w:szCs w:val="24"/>
                <w:lang w:val="en-US" w:eastAsia="zh-CN" w:bidi="ar-SA"/>
              </w:rPr>
              <w:t>入生活垃圾填埋场</w:t>
            </w:r>
            <w:bookmarkEnd w:id="5"/>
            <w:r>
              <w:rPr>
                <w:rFonts w:hint="eastAsia" w:ascii="Times New Roman" w:hAnsi="宋体" w:eastAsia="宋体" w:cs="Times New Roman"/>
                <w:b w:val="0"/>
                <w:bCs/>
                <w:color w:val="auto"/>
                <w:kern w:val="2"/>
                <w:sz w:val="24"/>
                <w:szCs w:val="24"/>
                <w:lang w:val="en-US" w:eastAsia="zh-CN" w:bidi="ar-SA"/>
              </w:rPr>
              <w:t>填埋处理，本项目仅对暂存工序进行评价，具体流程如下。</w:t>
            </w:r>
          </w:p>
          <w:p w14:paraId="0A385CAB">
            <w:pPr>
              <w:jc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eastAsia="zh-CN"/>
              </w:rPr>
              <w:object>
                <v:shape id="_x0000_i1025" o:spt="75" type="#_x0000_t75" style="height:292.4pt;width:421.7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r>
              <w:rPr>
                <w:rFonts w:hint="eastAsia" w:ascii="Times New Roman" w:hAnsi="Times New Roman" w:eastAsia="宋体" w:cs="Times New Roman"/>
                <w:b/>
                <w:color w:val="auto"/>
                <w:sz w:val="24"/>
                <w:lang w:eastAsia="zh-CN"/>
              </w:rPr>
              <w:t>图</w:t>
            </w:r>
            <w:r>
              <w:rPr>
                <w:rFonts w:hint="eastAsia" w:ascii="Times New Roman" w:hAnsi="Times New Roman" w:eastAsia="宋体" w:cs="Times New Roman"/>
                <w:b/>
                <w:color w:val="auto"/>
                <w:sz w:val="24"/>
                <w:lang w:val="en-US" w:eastAsia="zh-CN"/>
              </w:rPr>
              <w:t>2-</w:t>
            </w:r>
            <w:r>
              <w:rPr>
                <w:rFonts w:hint="eastAsia" w:cs="Times New Roman"/>
                <w:b/>
                <w:color w:val="auto"/>
                <w:sz w:val="24"/>
                <w:lang w:val="en-US" w:eastAsia="zh-CN"/>
              </w:rPr>
              <w:t>1</w:t>
            </w:r>
            <w:r>
              <w:rPr>
                <w:rFonts w:hint="eastAsia" w:ascii="Times New Roman" w:hAnsi="Times New Roman" w:eastAsia="宋体" w:cs="Times New Roman"/>
                <w:b/>
                <w:color w:val="auto"/>
                <w:sz w:val="24"/>
                <w:lang w:val="en-US" w:eastAsia="zh-CN"/>
              </w:rPr>
              <w:t xml:space="preserve"> 飞灰暂存流程示意图</w:t>
            </w:r>
          </w:p>
          <w:p w14:paraId="7A4F31B5">
            <w:pPr>
              <w:autoSpaceDE w:val="0"/>
              <w:autoSpaceDN w:val="0"/>
              <w:adjustRightInd w:val="0"/>
              <w:snapToGrid w:val="0"/>
              <w:spacing w:line="360" w:lineRule="auto"/>
              <w:ind w:firstLine="480" w:firstLineChars="200"/>
              <w:jc w:val="left"/>
              <w:rPr>
                <w:color w:val="auto"/>
              </w:rPr>
            </w:pPr>
            <w:r>
              <w:rPr>
                <w:rFonts w:hint="eastAsia" w:ascii="Times New Roman" w:hAnsi="宋体" w:eastAsia="宋体" w:cs="Times New Roman"/>
                <w:b w:val="0"/>
                <w:bCs/>
                <w:color w:val="auto"/>
                <w:kern w:val="2"/>
                <w:sz w:val="24"/>
                <w:szCs w:val="24"/>
                <w:lang w:val="en-US" w:eastAsia="zh-CN" w:bidi="ar-SA"/>
              </w:rPr>
              <w:t>主要流程分析</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1</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在焚烧厂飞灰</w:t>
            </w:r>
            <w:r>
              <w:rPr>
                <w:rFonts w:hint="eastAsia" w:hAnsi="宋体" w:cs="Times New Roman"/>
                <w:b w:val="0"/>
                <w:bCs/>
                <w:color w:val="auto"/>
                <w:kern w:val="2"/>
                <w:sz w:val="24"/>
                <w:szCs w:val="24"/>
                <w:lang w:val="en-US" w:eastAsia="zh-CN" w:bidi="ar-SA"/>
              </w:rPr>
              <w:t>稳定化</w:t>
            </w:r>
            <w:r>
              <w:rPr>
                <w:rFonts w:hint="eastAsia" w:ascii="Times New Roman" w:hAnsi="宋体" w:eastAsia="宋体" w:cs="Times New Roman"/>
                <w:b w:val="0"/>
                <w:bCs/>
                <w:color w:val="auto"/>
                <w:kern w:val="2"/>
                <w:sz w:val="24"/>
                <w:szCs w:val="24"/>
                <w:lang w:val="en-US" w:eastAsia="zh-CN" w:bidi="ar-SA"/>
              </w:rPr>
              <w:t>车间将整合稳定化处理后的飞灰通过吨袋包装</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2</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检查吨袋完整、无破损后，在台账上记录吨袋数量、重量、批次、出厂时间等信息，使用专用运输车运输至本项目暂存库</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3</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到达暂存库在入场台账上记录吨袋数量、重量、批次、入库时间等信息，检查吨袋内容物、标签、外包装是否完好</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4</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运输车开</w:t>
            </w:r>
            <w:r>
              <w:rPr>
                <w:rFonts w:hint="eastAsia" w:hAnsi="宋体" w:cs="Times New Roman"/>
                <w:b w:val="0"/>
                <w:bCs/>
                <w:color w:val="auto"/>
                <w:kern w:val="2"/>
                <w:sz w:val="24"/>
                <w:szCs w:val="24"/>
                <w:lang w:val="en-US" w:eastAsia="zh-CN" w:bidi="ar-SA"/>
              </w:rPr>
              <w:t>到</w:t>
            </w:r>
            <w:r>
              <w:rPr>
                <w:rFonts w:hint="eastAsia" w:ascii="Times New Roman" w:hAnsi="宋体" w:eastAsia="宋体" w:cs="Times New Roman"/>
                <w:b w:val="0"/>
                <w:bCs/>
                <w:color w:val="auto"/>
                <w:kern w:val="2"/>
                <w:sz w:val="24"/>
                <w:szCs w:val="24"/>
                <w:lang w:val="en-US" w:eastAsia="zh-CN" w:bidi="ar-SA"/>
              </w:rPr>
              <w:t>暂存库</w:t>
            </w:r>
            <w:r>
              <w:rPr>
                <w:rFonts w:hint="eastAsia" w:hAnsi="宋体" w:cs="Times New Roman"/>
                <w:b w:val="0"/>
                <w:bCs/>
                <w:color w:val="auto"/>
                <w:kern w:val="2"/>
                <w:sz w:val="24"/>
                <w:szCs w:val="24"/>
                <w:lang w:val="en-US" w:eastAsia="zh-CN" w:bidi="ar-SA"/>
              </w:rPr>
              <w:t>门口</w:t>
            </w:r>
            <w:r>
              <w:rPr>
                <w:rFonts w:hint="eastAsia" w:ascii="Times New Roman" w:hAnsi="宋体" w:eastAsia="宋体" w:cs="Times New Roman"/>
                <w:b w:val="0"/>
                <w:bCs/>
                <w:color w:val="auto"/>
                <w:kern w:val="2"/>
                <w:sz w:val="24"/>
                <w:szCs w:val="24"/>
                <w:lang w:val="en-US" w:eastAsia="zh-CN" w:bidi="ar-SA"/>
              </w:rPr>
              <w:t>，使用</w:t>
            </w:r>
            <w:r>
              <w:rPr>
                <w:rFonts w:hint="eastAsia" w:hAnsi="宋体" w:cs="Times New Roman"/>
                <w:b w:val="0"/>
                <w:bCs/>
                <w:color w:val="auto"/>
                <w:kern w:val="2"/>
                <w:sz w:val="24"/>
                <w:szCs w:val="24"/>
                <w:lang w:val="en-US" w:eastAsia="zh-CN" w:bidi="ar-SA"/>
              </w:rPr>
              <w:t>叉车</w:t>
            </w:r>
            <w:r>
              <w:rPr>
                <w:rFonts w:hint="eastAsia" w:ascii="Times New Roman" w:hAnsi="宋体" w:eastAsia="宋体" w:cs="Times New Roman"/>
                <w:b w:val="0"/>
                <w:bCs/>
                <w:color w:val="auto"/>
                <w:kern w:val="2"/>
                <w:sz w:val="24"/>
                <w:szCs w:val="24"/>
                <w:lang w:val="en-US" w:eastAsia="zh-CN" w:bidi="ar-SA"/>
              </w:rPr>
              <w:t>将吨袋吊装，分层码放至库内，堆放区域边缘距墙0.5m，堆放高度不超过</w:t>
            </w:r>
            <w:r>
              <w:rPr>
                <w:rFonts w:hint="eastAsia" w:hAnsi="宋体" w:cs="Times New Roman"/>
                <w:b w:val="0"/>
                <w:bCs/>
                <w:color w:val="auto"/>
                <w:kern w:val="2"/>
                <w:sz w:val="24"/>
                <w:szCs w:val="24"/>
                <w:lang w:val="en-US" w:eastAsia="zh-CN" w:bidi="ar-SA"/>
              </w:rPr>
              <w:t>3</w:t>
            </w:r>
            <w:r>
              <w:rPr>
                <w:rFonts w:hint="eastAsia" w:ascii="Times New Roman" w:hAnsi="宋体" w:eastAsia="宋体" w:cs="Times New Roman"/>
                <w:b w:val="0"/>
                <w:bCs/>
                <w:color w:val="auto"/>
                <w:kern w:val="2"/>
                <w:sz w:val="24"/>
                <w:szCs w:val="24"/>
                <w:lang w:val="en-US" w:eastAsia="zh-CN" w:bidi="ar-SA"/>
              </w:rPr>
              <w:t>m，</w:t>
            </w:r>
            <w:r>
              <w:rPr>
                <w:rFonts w:hint="eastAsia" w:hAnsi="宋体" w:cs="Times New Roman"/>
                <w:b w:val="0"/>
                <w:bCs/>
                <w:color w:val="auto"/>
                <w:kern w:val="2"/>
                <w:sz w:val="24"/>
                <w:szCs w:val="24"/>
                <w:lang w:val="en-US" w:eastAsia="zh-CN" w:bidi="ar-SA"/>
              </w:rPr>
              <w:t>堆放3层</w:t>
            </w:r>
            <w:r>
              <w:rPr>
                <w:rFonts w:hint="eastAsia" w:ascii="Times New Roman" w:hAnsi="宋体" w:eastAsia="宋体" w:cs="Times New Roman"/>
                <w:b w:val="0"/>
                <w:bCs/>
                <w:color w:val="auto"/>
                <w:kern w:val="2"/>
                <w:sz w:val="24"/>
                <w:szCs w:val="24"/>
                <w:lang w:val="en-US" w:eastAsia="zh-CN" w:bidi="ar-SA"/>
              </w:rPr>
              <w:t>。本项目仅对飞灰吨袋进行运输和暂存，不进行其他处理</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主要排污环节</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飞灰在运输过程中运输车辆将产生少量尾气、扬尘及车辆噪声，暂存仓库内使用随车吊吊装、码放将产生运行噪声</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飞灰暂存挥发出少</w:t>
            </w:r>
            <w:r>
              <w:rPr>
                <w:rFonts w:hint="eastAsia" w:hAnsi="宋体" w:cs="Times New Roman"/>
                <w:b w:val="0"/>
                <w:bCs/>
                <w:color w:val="auto"/>
                <w:kern w:val="2"/>
                <w:sz w:val="24"/>
                <w:szCs w:val="24"/>
                <w:lang w:val="en-US" w:eastAsia="zh-CN" w:bidi="ar-SA"/>
              </w:rPr>
              <w:t>量</w:t>
            </w:r>
            <w:r>
              <w:rPr>
                <w:rFonts w:hint="eastAsia" w:ascii="Times New Roman" w:hAnsi="宋体" w:eastAsia="宋体" w:cs="Times New Roman"/>
                <w:b w:val="0"/>
                <w:bCs/>
                <w:color w:val="auto"/>
                <w:kern w:val="2"/>
                <w:sz w:val="24"/>
                <w:szCs w:val="24"/>
                <w:lang w:val="en-US" w:eastAsia="zh-CN" w:bidi="ar-SA"/>
              </w:rPr>
              <w:t>NH</w:t>
            </w:r>
            <w:r>
              <w:rPr>
                <w:rFonts w:hint="eastAsia" w:hAnsi="宋体" w:cs="Times New Roman"/>
                <w:b w:val="0"/>
                <w:bCs/>
                <w:color w:val="auto"/>
                <w:kern w:val="2"/>
                <w:sz w:val="24"/>
                <w:szCs w:val="24"/>
                <w:vertAlign w:val="subscript"/>
                <w:lang w:val="en-US" w:eastAsia="zh-CN" w:bidi="ar-SA"/>
              </w:rPr>
              <w:t>3</w:t>
            </w:r>
            <w:r>
              <w:rPr>
                <w:rFonts w:hint="eastAsia"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运行期喷淋塔运行噪声。</w:t>
            </w:r>
          </w:p>
        </w:tc>
      </w:tr>
    </w:tbl>
    <w:p w14:paraId="2E6940EF">
      <w:pPr>
        <w:pStyle w:val="29"/>
        <w:adjustRightInd w:val="0"/>
        <w:snapToGrid w:val="0"/>
        <w:spacing w:before="0" w:beforeAutospacing="0" w:after="0" w:afterAutospacing="0"/>
        <w:jc w:val="center"/>
        <w:rPr>
          <w:rFonts w:ascii="Times New Roman" w:hAnsi="Times New Roman"/>
          <w:color w:val="auto"/>
        </w:rPr>
      </w:pPr>
      <w:r>
        <w:rPr>
          <w:rFonts w:ascii="Times New Roman" w:hAnsi="Times New Roman"/>
          <w:color w:val="auto"/>
        </w:rPr>
        <w:br w:type="page"/>
      </w:r>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4"/>
      </w:tblGrid>
      <w:tr w14:paraId="4818E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4" w:hRule="atLeast"/>
          <w:jc w:val="center"/>
        </w:trPr>
        <w:tc>
          <w:tcPr>
            <w:tcW w:w="362" w:type="dxa"/>
            <w:vAlign w:val="center"/>
          </w:tcPr>
          <w:p w14:paraId="79EB417E">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hAnsi="Times New Roman"/>
                <w:color w:val="auto"/>
              </w:rPr>
              <w:br w:type="page"/>
            </w:r>
            <w:r>
              <w:rPr>
                <w:rFonts w:ascii="Times New Roman" w:hAnsi="Times New Roman"/>
                <w:color w:val="auto"/>
                <w:kern w:val="2"/>
                <w:sz w:val="21"/>
                <w:szCs w:val="24"/>
              </w:rPr>
              <w:br w:type="page"/>
            </w:r>
            <w:r>
              <w:rPr>
                <w:rFonts w:ascii="Times New Roman"/>
                <w:b/>
                <w:bCs/>
                <w:color w:val="auto"/>
                <w:kern w:val="2"/>
                <w:sz w:val="21"/>
                <w:szCs w:val="21"/>
              </w:rPr>
              <w:t>与项目有关的原有环境污染问题</w:t>
            </w:r>
          </w:p>
        </w:tc>
        <w:tc>
          <w:tcPr>
            <w:tcW w:w="8699" w:type="dxa"/>
          </w:tcPr>
          <w:p w14:paraId="7E4E5FAC">
            <w:pPr>
              <w:widowControl/>
              <w:adjustRightInd w:val="0"/>
              <w:snapToGrid w:val="0"/>
              <w:spacing w:before="120" w:beforeLines="50" w:line="360" w:lineRule="auto"/>
              <w:ind w:firstLine="482" w:firstLineChars="200"/>
              <w:rPr>
                <w:b/>
                <w:color w:val="auto"/>
                <w:sz w:val="24"/>
              </w:rPr>
            </w:pPr>
            <w:r>
              <w:rPr>
                <w:b/>
                <w:color w:val="auto"/>
                <w:sz w:val="24"/>
              </w:rPr>
              <w:t>1.</w:t>
            </w:r>
            <w:r>
              <w:rPr>
                <w:rFonts w:hAnsi="宋体"/>
                <w:b/>
                <w:color w:val="auto"/>
                <w:sz w:val="24"/>
              </w:rPr>
              <w:t>现有项目概况</w:t>
            </w:r>
          </w:p>
          <w:p w14:paraId="35E1146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b w:val="0"/>
                <w:bCs/>
                <w:color w:val="auto"/>
                <w:kern w:val="2"/>
                <w:sz w:val="24"/>
                <w:szCs w:val="24"/>
                <w:lang w:val="en-US" w:eastAsia="zh-CN" w:bidi="ar-SA"/>
              </w:rPr>
              <w:t>淮安零碳能源环保科技有限公司曾用名为涟水桑德环保能源有限公司，成立于2012年12月21日，厂址</w:t>
            </w:r>
            <w:r>
              <w:rPr>
                <w:rFonts w:hint="default" w:ascii="Times New Roman" w:hAnsi="Times New Roman" w:eastAsia="宋体" w:cs="Times New Roman"/>
                <w:color w:val="auto"/>
                <w:sz w:val="24"/>
                <w:szCs w:val="24"/>
                <w:highlight w:val="none"/>
                <w:shd w:val="clear" w:color="auto" w:fill="FFFFFF" w:themeFill="background1"/>
              </w:rPr>
              <w:t>位于涟水县大东镇马棚农场。</w:t>
            </w:r>
            <w:r>
              <w:rPr>
                <w:rFonts w:hint="eastAsia" w:cs="Times New Roman"/>
                <w:color w:val="auto"/>
                <w:sz w:val="24"/>
                <w:szCs w:val="24"/>
                <w:highlight w:val="none"/>
                <w:shd w:val="clear" w:color="auto" w:fill="FFFFFF" w:themeFill="background1"/>
                <w:lang w:eastAsia="zh-CN"/>
              </w:rPr>
              <w:t>2020</w:t>
            </w:r>
            <w:r>
              <w:rPr>
                <w:rFonts w:hint="eastAsia" w:cs="Times New Roman"/>
                <w:color w:val="auto"/>
                <w:sz w:val="24"/>
                <w:szCs w:val="24"/>
                <w:highlight w:val="none"/>
                <w:shd w:val="clear" w:color="auto" w:fill="FFFFFF" w:themeFill="background1"/>
                <w:lang w:val="en-US" w:eastAsia="zh-CN"/>
              </w:rPr>
              <w:t>年3月23日，名称变更为</w:t>
            </w:r>
            <w:r>
              <w:rPr>
                <w:rFonts w:hint="default" w:ascii="Times New Roman" w:hAnsi="Times New Roman" w:eastAsia="宋体" w:cs="Times New Roman"/>
                <w:b w:val="0"/>
                <w:bCs/>
                <w:color w:val="auto"/>
                <w:kern w:val="2"/>
                <w:sz w:val="24"/>
                <w:szCs w:val="24"/>
                <w:lang w:val="en-US" w:eastAsia="zh-CN" w:bidi="ar-SA"/>
              </w:rPr>
              <w:t>淮安零碳能源环保科技有限公司</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color w:val="auto"/>
                <w:sz w:val="24"/>
                <w:szCs w:val="24"/>
                <w:highlight w:val="none"/>
                <w:shd w:val="clear" w:color="auto" w:fill="FFFFFF" w:themeFill="background1"/>
              </w:rPr>
              <w:t>企业</w:t>
            </w:r>
            <w:r>
              <w:rPr>
                <w:rFonts w:hint="eastAsia" w:cs="Times New Roman"/>
                <w:color w:val="auto"/>
                <w:sz w:val="24"/>
                <w:szCs w:val="24"/>
                <w:highlight w:val="none"/>
                <w:shd w:val="clear" w:color="auto" w:fill="FFFFFF" w:themeFill="background1"/>
                <w:lang w:eastAsia="zh-CN"/>
              </w:rPr>
              <w:t>现状是：</w:t>
            </w:r>
            <w:r>
              <w:rPr>
                <w:rFonts w:hint="default" w:ascii="Times New Roman" w:hAnsi="Times New Roman" w:eastAsia="宋体" w:cs="Times New Roman"/>
                <w:color w:val="auto"/>
                <w:sz w:val="24"/>
                <w:szCs w:val="24"/>
                <w:highlight w:val="none"/>
                <w:shd w:val="clear" w:color="auto" w:fill="FFFFFF" w:themeFill="background1"/>
              </w:rPr>
              <w:t>已建设生活垃圾填埋场及生活垃圾焚烧工程</w:t>
            </w:r>
            <w:r>
              <w:rPr>
                <w:rFonts w:hint="eastAsia" w:cs="Times New Roman"/>
                <w:color w:val="auto"/>
                <w:sz w:val="24"/>
                <w:szCs w:val="24"/>
                <w:highlight w:val="none"/>
                <w:shd w:val="clear" w:color="auto" w:fill="FFFFFF" w:themeFill="background1"/>
                <w:lang w:eastAsia="zh-CN"/>
              </w:rPr>
              <w:t>两个项目：生活垃圾填埋场（</w:t>
            </w:r>
            <w:r>
              <w:rPr>
                <w:rFonts w:hint="default" w:ascii="Times New Roman" w:hAnsi="Times New Roman" w:eastAsia="宋体" w:cs="Times New Roman"/>
                <w:color w:val="auto"/>
                <w:sz w:val="24"/>
                <w:szCs w:val="24"/>
                <w:highlight w:val="none"/>
                <w:shd w:val="clear" w:color="auto" w:fill="FFFFFF" w:themeFill="background1"/>
              </w:rPr>
              <w:t>日处理生活垃圾680吨、一般工业固废120吨</w:t>
            </w:r>
            <w:r>
              <w:rPr>
                <w:rFonts w:hint="eastAsia" w:cs="Times New Roman"/>
                <w:color w:val="auto"/>
                <w:sz w:val="24"/>
                <w:szCs w:val="24"/>
                <w:highlight w:val="none"/>
                <w:shd w:val="clear" w:color="auto" w:fill="FFFFFF" w:themeFill="background1"/>
                <w:lang w:eastAsia="zh-CN"/>
              </w:rPr>
              <w:t>），</w:t>
            </w:r>
            <w:r>
              <w:rPr>
                <w:rFonts w:hint="eastAsia" w:ascii="Times New Roman" w:hAnsi="Times New Roman" w:eastAsia="宋体" w:cs="Times New Roman"/>
                <w:color w:val="auto"/>
                <w:sz w:val="24"/>
                <w:szCs w:val="24"/>
                <w:highlight w:val="none"/>
                <w:shd w:val="clear" w:color="auto" w:fill="FFFFFF" w:themeFill="background1"/>
              </w:rPr>
              <w:t>由于焚烧厂2</w:t>
            </w:r>
            <w:r>
              <w:rPr>
                <w:rFonts w:hint="default" w:ascii="Times New Roman" w:hAnsi="Times New Roman" w:eastAsia="宋体" w:cs="Times New Roman"/>
                <w:color w:val="auto"/>
                <w:sz w:val="24"/>
                <w:szCs w:val="24"/>
                <w:highlight w:val="none"/>
                <w:shd w:val="clear" w:color="auto" w:fill="FFFFFF" w:themeFill="background1"/>
              </w:rPr>
              <w:t>020</w:t>
            </w:r>
            <w:r>
              <w:rPr>
                <w:rFonts w:hint="eastAsia" w:ascii="Times New Roman" w:hAnsi="Times New Roman" w:eastAsia="宋体" w:cs="Times New Roman"/>
                <w:color w:val="auto"/>
                <w:sz w:val="24"/>
                <w:szCs w:val="24"/>
                <w:highlight w:val="none"/>
                <w:shd w:val="clear" w:color="auto" w:fill="FFFFFF" w:themeFill="background1"/>
              </w:rPr>
              <w:t>年建成后垃圾量一直焚烧不足，零碳公司对现有填埋场填埋库区垃圾开挖后运送至焚烧厂焚烧</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目前填埋场不再接受生活垃圾填埋</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lang w:eastAsia="zh-CN"/>
              </w:rPr>
              <w:t>已</w:t>
            </w:r>
            <w:r>
              <w:rPr>
                <w:rFonts w:hint="default" w:ascii="Times New Roman" w:hAnsi="Times New Roman" w:eastAsia="宋体" w:cs="Times New Roman"/>
                <w:color w:val="auto"/>
                <w:sz w:val="24"/>
                <w:szCs w:val="24"/>
                <w:highlight w:val="none"/>
                <w:shd w:val="clear" w:color="auto" w:fill="FFFFFF" w:themeFill="background1"/>
                <w:lang w:val="en-US" w:eastAsia="zh-CN"/>
              </w:rPr>
              <w:t>采取膜覆盖措施</w:t>
            </w:r>
            <w:r>
              <w:rPr>
                <w:rFonts w:hint="default" w:ascii="Times New Roman" w:hAnsi="Times New Roman" w:eastAsia="宋体" w:cs="Times New Roman"/>
                <w:color w:val="auto"/>
                <w:sz w:val="24"/>
                <w:szCs w:val="24"/>
                <w:highlight w:val="none"/>
                <w:shd w:val="clear" w:color="auto" w:fill="FFFFFF" w:themeFill="background1"/>
              </w:rPr>
              <w:t>；生活垃圾焚烧工程</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建设2条400吨/日的炉排焚烧炉处理线</w:t>
            </w:r>
            <w:r>
              <w:rPr>
                <w:rFonts w:hint="eastAsia" w:cs="Times New Roman"/>
                <w:color w:val="auto"/>
                <w:sz w:val="24"/>
                <w:szCs w:val="24"/>
                <w:highlight w:val="none"/>
                <w:shd w:val="clear" w:color="auto" w:fill="FFFFFF" w:themeFill="background1"/>
                <w:lang w:eastAsia="zh-CN"/>
              </w:rPr>
              <w:t>）。</w:t>
            </w:r>
          </w:p>
          <w:p w14:paraId="42120B1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US" w:eastAsia="zh-CN"/>
              </w:rPr>
            </w:pPr>
            <w:r>
              <w:rPr>
                <w:rFonts w:hint="eastAsia" w:cs="Times New Roman"/>
                <w:color w:val="auto"/>
                <w:sz w:val="24"/>
                <w:szCs w:val="24"/>
                <w:highlight w:val="none"/>
                <w:shd w:val="clear" w:color="auto" w:fill="FFFFFF" w:themeFill="background1"/>
                <w:lang w:eastAsia="zh-CN"/>
              </w:rPr>
              <w:t>企业从建厂以来至今环保手续如下：</w:t>
            </w:r>
          </w:p>
          <w:p w14:paraId="16D8FBDB">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eastAsia" w:cs="Times New Roman"/>
                <w:color w:val="auto"/>
                <w:sz w:val="24"/>
                <w:szCs w:val="24"/>
                <w:highlight w:val="none"/>
                <w:shd w:val="clear" w:color="auto" w:fill="FFFFFF" w:themeFill="background1"/>
                <w:lang w:val="en-US" w:eastAsia="zh-CN"/>
              </w:rPr>
              <w:t>1.</w:t>
            </w:r>
            <w:r>
              <w:rPr>
                <w:rFonts w:hint="default" w:ascii="Times New Roman" w:hAnsi="Times New Roman" w:eastAsia="宋体" w:cs="Times New Roman"/>
                <w:color w:val="auto"/>
                <w:sz w:val="24"/>
                <w:szCs w:val="24"/>
                <w:highlight w:val="none"/>
                <w:shd w:val="clear" w:color="auto" w:fill="FFFFFF" w:themeFill="background1"/>
              </w:rPr>
              <w:t>该公司《日处理垃圾300吨项目环境影响报告书》于2011年10月取得原涟水县环境保护局出具的环评批复（涟环发〔2011〕94号），生活垃圾填埋场于2015年9月建成，于2016年1月通过原涟水县环境保护局组织的竣工环保验收。</w:t>
            </w:r>
          </w:p>
          <w:p w14:paraId="01D101E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eastAsia="zh-CN"/>
              </w:rPr>
            </w:pPr>
            <w:r>
              <w:rPr>
                <w:rFonts w:hint="eastAsia" w:cs="Times New Roman"/>
                <w:color w:val="auto"/>
                <w:sz w:val="24"/>
                <w:szCs w:val="24"/>
                <w:highlight w:val="none"/>
                <w:shd w:val="clear" w:color="auto" w:fill="FFFFFF" w:themeFill="background1"/>
                <w:lang w:val="en-US" w:eastAsia="zh-CN"/>
              </w:rPr>
              <w:t>2.</w:t>
            </w:r>
            <w:r>
              <w:rPr>
                <w:rFonts w:hint="default" w:ascii="Times New Roman" w:hAnsi="Times New Roman" w:eastAsia="宋体" w:cs="Times New Roman"/>
                <w:color w:val="auto"/>
                <w:sz w:val="24"/>
                <w:szCs w:val="24"/>
                <w:highlight w:val="none"/>
                <w:shd w:val="clear" w:color="auto" w:fill="FFFFFF" w:themeFill="background1"/>
              </w:rPr>
              <w:t>该公司《涟水县生活垃圾焚烧发电项目环境影响报告书》于2017年2月取得原涟水县环境保护局出具的环评批复（涟环发〔2017〕10号），生活垃圾焚烧工程于2020年8月建成，</w:t>
            </w:r>
            <w:r>
              <w:rPr>
                <w:rFonts w:hint="default" w:ascii="Times New Roman" w:hAnsi="Times New Roman" w:eastAsia="宋体" w:cs="Times New Roman"/>
                <w:color w:val="auto"/>
                <w:sz w:val="24"/>
                <w:szCs w:val="24"/>
                <w:highlight w:val="none"/>
                <w:shd w:val="clear" w:color="auto" w:fill="FFFFFF" w:themeFill="background1"/>
                <w:lang w:eastAsia="zh-CN"/>
              </w:rPr>
              <w:t>于2020年12月通过企业自主竣工环保验收。</w:t>
            </w:r>
          </w:p>
          <w:p w14:paraId="1FD301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eastAsia="zh-CN"/>
              </w:rPr>
            </w:pPr>
            <w:r>
              <w:rPr>
                <w:rFonts w:hint="eastAsia" w:ascii="Times New Roman" w:hAnsi="Times New Roman" w:eastAsia="宋体" w:cs="Times New Roman"/>
                <w:color w:val="auto"/>
                <w:sz w:val="24"/>
                <w:szCs w:val="24"/>
                <w:highlight w:val="none"/>
                <w:shd w:val="clear" w:color="auto" w:fill="FFFFFF" w:themeFill="background1"/>
                <w:lang w:val="en-US" w:eastAsia="zh-CN"/>
              </w:rPr>
              <w:t>3.</w:t>
            </w:r>
            <w:r>
              <w:rPr>
                <w:rFonts w:hint="default" w:ascii="Times New Roman" w:hAnsi="Times New Roman" w:eastAsia="宋体" w:cs="Times New Roman"/>
                <w:color w:val="auto"/>
                <w:sz w:val="24"/>
                <w:szCs w:val="24"/>
                <w:highlight w:val="none"/>
                <w:shd w:val="clear" w:color="auto" w:fill="FFFFFF" w:themeFill="background1"/>
                <w:lang w:eastAsia="zh-CN"/>
              </w:rPr>
              <w:t>该公司《涟水县生活垃圾焚烧发电技改项目环境影响报告书》，于2024年1月取得淮安市生态环境局出具的环评批复（淮（涟）环发〔2024〕1号），于2024年12月建成，于2025年5月通过企业自主竣工环保验收。</w:t>
            </w:r>
          </w:p>
          <w:p w14:paraId="14DC1AC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lang w:eastAsia="zh-CN"/>
              </w:rPr>
              <w:t>该项目现有项目环保手续见下表</w:t>
            </w:r>
            <w:r>
              <w:rPr>
                <w:rFonts w:hint="eastAsia" w:ascii="Times New Roman" w:hAnsi="Times New Roman" w:eastAsia="宋体" w:cs="Times New Roman"/>
                <w:color w:val="auto"/>
                <w:sz w:val="24"/>
                <w:szCs w:val="24"/>
                <w:highlight w:val="none"/>
                <w:shd w:val="clear" w:color="auto" w:fill="FFFFFF" w:themeFill="background1"/>
                <w:lang w:val="en-US" w:eastAsia="zh-CN"/>
              </w:rPr>
              <w:t>2-5</w:t>
            </w:r>
            <w:r>
              <w:rPr>
                <w:rFonts w:hint="default" w:ascii="Times New Roman" w:hAnsi="Times New Roman" w:eastAsia="宋体" w:cs="Times New Roman"/>
                <w:color w:val="auto"/>
                <w:sz w:val="24"/>
                <w:szCs w:val="24"/>
                <w:highlight w:val="none"/>
                <w:shd w:val="clear" w:color="auto" w:fill="FFFFFF" w:themeFill="background1"/>
                <w:lang w:eastAsia="zh-CN"/>
              </w:rPr>
              <w:t>，</w:t>
            </w:r>
          </w:p>
          <w:p w14:paraId="5B06A893">
            <w:pPr>
              <w:widowControl/>
              <w:adjustRightInd w:val="0"/>
              <w:snapToGrid w:val="0"/>
              <w:jc w:val="center"/>
              <w:rPr>
                <w:b/>
                <w:color w:val="auto"/>
                <w:kern w:val="0"/>
                <w:sz w:val="24"/>
              </w:rPr>
            </w:pPr>
            <w:r>
              <w:rPr>
                <w:rFonts w:hAnsi="宋体"/>
                <w:b/>
                <w:bCs/>
                <w:color w:val="auto"/>
                <w:kern w:val="0"/>
                <w:sz w:val="24"/>
              </w:rPr>
              <w:t>表</w:t>
            </w:r>
            <w:r>
              <w:rPr>
                <w:b/>
                <w:bCs/>
                <w:color w:val="auto"/>
                <w:kern w:val="0"/>
                <w:sz w:val="24"/>
              </w:rPr>
              <w:t>2-</w:t>
            </w:r>
            <w:r>
              <w:rPr>
                <w:rFonts w:hint="eastAsia"/>
                <w:b/>
                <w:bCs/>
                <w:color w:val="auto"/>
                <w:kern w:val="0"/>
                <w:sz w:val="24"/>
                <w:lang w:val="en-US" w:eastAsia="zh-CN"/>
              </w:rPr>
              <w:t>5</w:t>
            </w:r>
            <w:r>
              <w:rPr>
                <w:rFonts w:hAnsi="宋体"/>
                <w:b/>
                <w:bCs/>
                <w:color w:val="auto"/>
                <w:kern w:val="0"/>
                <w:sz w:val="24"/>
              </w:rPr>
              <w:t>现有项目环保手续履行情况汇总</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575"/>
              <w:gridCol w:w="1934"/>
              <w:gridCol w:w="1806"/>
              <w:gridCol w:w="1102"/>
              <w:gridCol w:w="913"/>
            </w:tblGrid>
            <w:tr w14:paraId="22ACE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6" w:type="pct"/>
                  <w:vAlign w:val="center"/>
                </w:tcPr>
                <w:p w14:paraId="78AC6609">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项目名称</w:t>
                  </w:r>
                </w:p>
              </w:tc>
              <w:tc>
                <w:tcPr>
                  <w:tcW w:w="935" w:type="pct"/>
                  <w:vAlign w:val="center"/>
                </w:tcPr>
                <w:p w14:paraId="08D3538B">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环评批复</w:t>
                  </w:r>
                </w:p>
              </w:tc>
              <w:tc>
                <w:tcPr>
                  <w:tcW w:w="1148" w:type="pct"/>
                  <w:vAlign w:val="center"/>
                </w:tcPr>
                <w:p w14:paraId="2E38C11B">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批复内容</w:t>
                  </w:r>
                </w:p>
              </w:tc>
              <w:tc>
                <w:tcPr>
                  <w:tcW w:w="1072" w:type="pct"/>
                  <w:vAlign w:val="center"/>
                </w:tcPr>
                <w:p w14:paraId="5254F8D5">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实际建设内容</w:t>
                  </w:r>
                </w:p>
              </w:tc>
              <w:tc>
                <w:tcPr>
                  <w:tcW w:w="654" w:type="pct"/>
                  <w:vAlign w:val="center"/>
                </w:tcPr>
                <w:p w14:paraId="20DADCEC">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批建相符性分析</w:t>
                  </w:r>
                </w:p>
              </w:tc>
              <w:tc>
                <w:tcPr>
                  <w:tcW w:w="542" w:type="pct"/>
                  <w:vAlign w:val="center"/>
                </w:tcPr>
                <w:p w14:paraId="0759FF89">
                  <w:pPr>
                    <w:adjustRightInd w:val="0"/>
                    <w:snapToGrid w:val="0"/>
                    <w:jc w:val="center"/>
                    <w:rPr>
                      <w:rFonts w:hint="default" w:ascii="Times New Roman" w:hAnsi="Times New Roman" w:eastAsia="宋体" w:cs="Times New Roman"/>
                      <w:b/>
                      <w:bCs/>
                      <w:color w:val="auto"/>
                      <w:kern w:val="44"/>
                      <w:sz w:val="21"/>
                      <w:szCs w:val="21"/>
                      <w:highlight w:val="none"/>
                      <w:shd w:val="clear" w:color="auto" w:fill="FFFFFF" w:themeFill="background1"/>
                    </w:rPr>
                  </w:pPr>
                  <w:r>
                    <w:rPr>
                      <w:rFonts w:hint="default" w:ascii="Times New Roman" w:hAnsi="Times New Roman" w:eastAsia="宋体" w:cs="Times New Roman"/>
                      <w:b/>
                      <w:bCs/>
                      <w:color w:val="auto"/>
                      <w:kern w:val="44"/>
                      <w:sz w:val="21"/>
                      <w:szCs w:val="21"/>
                      <w:highlight w:val="none"/>
                      <w:shd w:val="clear" w:color="auto" w:fill="FFFFFF" w:themeFill="background1"/>
                    </w:rPr>
                    <w:t>环保竣工验收</w:t>
                  </w:r>
                </w:p>
              </w:tc>
            </w:tr>
            <w:tr w14:paraId="6E94D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6" w:type="pct"/>
                  <w:vAlign w:val="center"/>
                </w:tcPr>
                <w:p w14:paraId="5F3E0CE2">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snapToGrid w:val="0"/>
                      <w:color w:val="auto"/>
                      <w:sz w:val="21"/>
                      <w:szCs w:val="21"/>
                      <w:highlight w:val="none"/>
                      <w:shd w:val="clear" w:color="auto" w:fill="FFFFFF" w:themeFill="background1"/>
                    </w:rPr>
                    <w:t>日处理垃圾300吨项目</w:t>
                  </w:r>
                </w:p>
              </w:tc>
              <w:tc>
                <w:tcPr>
                  <w:tcW w:w="935" w:type="pct"/>
                  <w:vAlign w:val="center"/>
                </w:tcPr>
                <w:p w14:paraId="6A8113F0">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涟环发〔2011〕94号，原涟水县环境保护局</w:t>
                  </w:r>
                </w:p>
              </w:tc>
              <w:tc>
                <w:tcPr>
                  <w:tcW w:w="1148" w:type="pct"/>
                  <w:vAlign w:val="center"/>
                </w:tcPr>
                <w:p w14:paraId="74E6D638">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生活垃圾填埋场工程占地86663m</w:t>
                  </w:r>
                  <w:r>
                    <w:rPr>
                      <w:rFonts w:hint="default" w:ascii="Times New Roman" w:hAnsi="Times New Roman" w:eastAsia="宋体" w:cs="Times New Roman"/>
                      <w:color w:val="auto"/>
                      <w:sz w:val="21"/>
                      <w:szCs w:val="21"/>
                      <w:highlight w:val="none"/>
                      <w:shd w:val="clear" w:color="auto" w:fill="FFFFFF" w:themeFill="background1"/>
                      <w:vertAlign w:val="superscript"/>
                    </w:rPr>
                    <w:t>2</w:t>
                  </w:r>
                  <w:r>
                    <w:rPr>
                      <w:rFonts w:hint="default" w:ascii="Times New Roman" w:hAnsi="Times New Roman" w:eastAsia="宋体" w:cs="Times New Roman"/>
                      <w:color w:val="auto"/>
                      <w:sz w:val="21"/>
                      <w:szCs w:val="21"/>
                      <w:highlight w:val="none"/>
                      <w:shd w:val="clear" w:color="auto" w:fill="FFFFFF" w:themeFill="background1"/>
                    </w:rPr>
                    <w:t>，库容89.47万m</w:t>
                  </w:r>
                  <w:r>
                    <w:rPr>
                      <w:rFonts w:hint="default" w:ascii="Times New Roman" w:hAnsi="Times New Roman" w:eastAsia="宋体" w:cs="Times New Roman"/>
                      <w:color w:val="auto"/>
                      <w:sz w:val="21"/>
                      <w:szCs w:val="21"/>
                      <w:highlight w:val="none"/>
                      <w:shd w:val="clear" w:color="auto" w:fill="FFFFFF" w:themeFill="background1"/>
                      <w:vertAlign w:val="superscript"/>
                    </w:rPr>
                    <w:t>3</w:t>
                  </w:r>
                  <w:r>
                    <w:rPr>
                      <w:rFonts w:hint="default" w:ascii="Times New Roman" w:hAnsi="Times New Roman" w:eastAsia="宋体" w:cs="Times New Roman"/>
                      <w:color w:val="auto"/>
                      <w:sz w:val="21"/>
                      <w:szCs w:val="21"/>
                      <w:highlight w:val="none"/>
                      <w:shd w:val="clear" w:color="auto" w:fill="FFFFFF" w:themeFill="background1"/>
                    </w:rPr>
                    <w:t>，日处理生活垃圾300吨，使用年限为10.2年</w:t>
                  </w:r>
                </w:p>
              </w:tc>
              <w:tc>
                <w:tcPr>
                  <w:tcW w:w="1072" w:type="pct"/>
                  <w:vAlign w:val="center"/>
                </w:tcPr>
                <w:p w14:paraId="56B52218">
                  <w:pPr>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生活垃圾填埋场工程占地86663m</w:t>
                  </w:r>
                  <w:r>
                    <w:rPr>
                      <w:rFonts w:hint="default" w:ascii="Times New Roman" w:hAnsi="Times New Roman" w:eastAsia="宋体" w:cs="Times New Roman"/>
                      <w:color w:val="auto"/>
                      <w:sz w:val="21"/>
                      <w:szCs w:val="21"/>
                      <w:highlight w:val="none"/>
                      <w:shd w:val="clear" w:color="auto" w:fill="FFFFFF" w:themeFill="background1"/>
                      <w:vertAlign w:val="superscript"/>
                    </w:rPr>
                    <w:t>2</w:t>
                  </w:r>
                  <w:r>
                    <w:rPr>
                      <w:rFonts w:hint="default" w:ascii="Times New Roman" w:hAnsi="Times New Roman" w:eastAsia="宋体" w:cs="Times New Roman"/>
                      <w:color w:val="auto"/>
                      <w:sz w:val="21"/>
                      <w:szCs w:val="21"/>
                      <w:highlight w:val="none"/>
                      <w:shd w:val="clear" w:color="auto" w:fill="FFFFFF" w:themeFill="background1"/>
                    </w:rPr>
                    <w:t>，库容89.47万m</w:t>
                  </w:r>
                  <w:r>
                    <w:rPr>
                      <w:rFonts w:hint="default" w:ascii="Times New Roman" w:hAnsi="Times New Roman" w:eastAsia="宋体" w:cs="Times New Roman"/>
                      <w:color w:val="auto"/>
                      <w:sz w:val="21"/>
                      <w:szCs w:val="21"/>
                      <w:highlight w:val="none"/>
                      <w:shd w:val="clear" w:color="auto" w:fill="FFFFFF" w:themeFill="background1"/>
                      <w:vertAlign w:val="superscript"/>
                    </w:rPr>
                    <w:t>3</w:t>
                  </w:r>
                </w:p>
              </w:tc>
              <w:tc>
                <w:tcPr>
                  <w:tcW w:w="654" w:type="pct"/>
                  <w:vAlign w:val="center"/>
                </w:tcPr>
                <w:p w14:paraId="7DE9E761">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kern w:val="44"/>
                      <w:sz w:val="21"/>
                      <w:szCs w:val="21"/>
                      <w:highlight w:val="none"/>
                      <w:shd w:val="clear" w:color="auto" w:fill="FFFFFF" w:themeFill="background1"/>
                    </w:rPr>
                    <w:t>与环评批复一致</w:t>
                  </w:r>
                </w:p>
              </w:tc>
              <w:tc>
                <w:tcPr>
                  <w:tcW w:w="542" w:type="pct"/>
                  <w:vAlign w:val="center"/>
                </w:tcPr>
                <w:p w14:paraId="115E6D53">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2016年1月，原涟水县环境保护局</w:t>
                  </w:r>
                </w:p>
              </w:tc>
            </w:tr>
            <w:tr w14:paraId="3D4D9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6" w:type="pct"/>
                  <w:vAlign w:val="center"/>
                </w:tcPr>
                <w:p w14:paraId="5E231AFB">
                  <w:pPr>
                    <w:adjustRightInd w:val="0"/>
                    <w:snapToGrid w:val="0"/>
                    <w:jc w:val="center"/>
                    <w:rPr>
                      <w:rFonts w:hint="default" w:ascii="Times New Roman" w:hAnsi="Times New Roman" w:eastAsia="宋体" w:cs="Times New Roman"/>
                      <w:snapToGrid w:val="0"/>
                      <w:color w:val="auto"/>
                      <w:sz w:val="21"/>
                      <w:szCs w:val="21"/>
                      <w:highlight w:val="none"/>
                      <w:shd w:val="clear" w:color="auto" w:fill="FFFFFF" w:themeFill="background1"/>
                    </w:rPr>
                  </w:pPr>
                  <w:r>
                    <w:rPr>
                      <w:rFonts w:hint="default" w:ascii="Times New Roman" w:hAnsi="Times New Roman" w:eastAsia="宋体" w:cs="Times New Roman"/>
                      <w:snapToGrid w:val="0"/>
                      <w:color w:val="auto"/>
                      <w:sz w:val="21"/>
                      <w:szCs w:val="21"/>
                      <w:highlight w:val="none"/>
                      <w:shd w:val="clear" w:color="auto" w:fill="FFFFFF" w:themeFill="background1"/>
                    </w:rPr>
                    <w:t>涟水县生活垃圾焚烧发电项目</w:t>
                  </w:r>
                </w:p>
              </w:tc>
              <w:tc>
                <w:tcPr>
                  <w:tcW w:w="935" w:type="pct"/>
                  <w:vAlign w:val="center"/>
                </w:tcPr>
                <w:p w14:paraId="03CF06B3">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涟环发〔2017〕10号，原涟水县环境保护局</w:t>
                  </w:r>
                </w:p>
              </w:tc>
              <w:tc>
                <w:tcPr>
                  <w:tcW w:w="1148" w:type="pct"/>
                  <w:vAlign w:val="center"/>
                </w:tcPr>
                <w:p w14:paraId="3840A9A4">
                  <w:pPr>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建设2条400吨/日的炉排焚烧炉处理线，日处理生活垃圾800吨</w:t>
                  </w:r>
                </w:p>
              </w:tc>
              <w:tc>
                <w:tcPr>
                  <w:tcW w:w="1072" w:type="pct"/>
                  <w:vAlign w:val="center"/>
                </w:tcPr>
                <w:p w14:paraId="23B8BD4A">
                  <w:pPr>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建设2条400吨/日的炉排焚烧炉处理线，日处理生活垃圾800吨</w:t>
                  </w:r>
                </w:p>
              </w:tc>
              <w:tc>
                <w:tcPr>
                  <w:tcW w:w="654" w:type="pct"/>
                  <w:vAlign w:val="center"/>
                </w:tcPr>
                <w:p w14:paraId="01428904">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kern w:val="44"/>
                      <w:sz w:val="21"/>
                      <w:szCs w:val="21"/>
                      <w:highlight w:val="none"/>
                      <w:shd w:val="clear" w:color="auto" w:fill="FFFFFF" w:themeFill="background1"/>
                    </w:rPr>
                    <w:t>与环评批复一致</w:t>
                  </w:r>
                </w:p>
              </w:tc>
              <w:tc>
                <w:tcPr>
                  <w:tcW w:w="542" w:type="pct"/>
                  <w:vAlign w:val="center"/>
                </w:tcPr>
                <w:p w14:paraId="708F1CB7">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2020年12月，企业自主竣工环保验收</w:t>
                  </w:r>
                </w:p>
              </w:tc>
            </w:tr>
            <w:tr w14:paraId="3BA39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6" w:type="pct"/>
                  <w:vAlign w:val="center"/>
                </w:tcPr>
                <w:p w14:paraId="6493F289">
                  <w:pPr>
                    <w:adjustRightInd w:val="0"/>
                    <w:snapToGrid w:val="0"/>
                    <w:jc w:val="center"/>
                    <w:rPr>
                      <w:rFonts w:hint="default" w:ascii="Times New Roman" w:hAnsi="Times New Roman" w:eastAsia="宋体" w:cs="Times New Roman"/>
                      <w:snapToGrid w:val="0"/>
                      <w:color w:val="auto"/>
                      <w:sz w:val="21"/>
                      <w:szCs w:val="21"/>
                      <w:highlight w:val="none"/>
                      <w:shd w:val="clear" w:color="auto" w:fill="FFFFFF" w:themeFill="background1"/>
                    </w:rPr>
                  </w:pPr>
                  <w:r>
                    <w:rPr>
                      <w:rFonts w:hint="default" w:ascii="Times New Roman" w:hAnsi="Times New Roman" w:eastAsia="宋体" w:cs="Times New Roman"/>
                      <w:snapToGrid w:val="0"/>
                      <w:color w:val="auto"/>
                      <w:sz w:val="21"/>
                      <w:szCs w:val="21"/>
                      <w:highlight w:val="none"/>
                      <w:shd w:val="clear" w:color="auto" w:fill="FFFFFF" w:themeFill="background1"/>
                    </w:rPr>
                    <w:t>涟水县生活垃圾焚烧发电技改项目</w:t>
                  </w:r>
                </w:p>
              </w:tc>
              <w:tc>
                <w:tcPr>
                  <w:tcW w:w="935" w:type="pct"/>
                  <w:vAlign w:val="center"/>
                </w:tcPr>
                <w:p w14:paraId="1ACC4E89">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淮（涟）环发〔2024〕1号，淮安市生态环境局</w:t>
                  </w:r>
                </w:p>
              </w:tc>
              <w:tc>
                <w:tcPr>
                  <w:tcW w:w="1148" w:type="pct"/>
                  <w:vAlign w:val="center"/>
                </w:tcPr>
                <w:p w14:paraId="2AED8C4D">
                  <w:pPr>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建设2条400吨/日的炉排焚烧炉处理线，日处理生活垃圾680吨、一般工业固废120吨</w:t>
                  </w:r>
                </w:p>
              </w:tc>
              <w:tc>
                <w:tcPr>
                  <w:tcW w:w="1072" w:type="pct"/>
                  <w:vAlign w:val="center"/>
                </w:tcPr>
                <w:p w14:paraId="762C3817">
                  <w:pPr>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建设2条400吨/日的炉排焚烧炉处理线，日处理生活垃圾680吨、一般工业固废120吨</w:t>
                  </w:r>
                </w:p>
              </w:tc>
              <w:tc>
                <w:tcPr>
                  <w:tcW w:w="654" w:type="pct"/>
                  <w:vAlign w:val="center"/>
                </w:tcPr>
                <w:p w14:paraId="1970CD8F">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kern w:val="44"/>
                      <w:sz w:val="21"/>
                      <w:szCs w:val="21"/>
                      <w:highlight w:val="none"/>
                      <w:shd w:val="clear" w:color="auto" w:fill="FFFFFF" w:themeFill="background1"/>
                    </w:rPr>
                    <w:t>与环评批复一致</w:t>
                  </w:r>
                </w:p>
              </w:tc>
              <w:tc>
                <w:tcPr>
                  <w:tcW w:w="542" w:type="pct"/>
                  <w:vAlign w:val="center"/>
                </w:tcPr>
                <w:p w14:paraId="178A9C87">
                  <w:pPr>
                    <w:adjustRightInd w:val="0"/>
                    <w:snapToGrid w:val="0"/>
                    <w:jc w:val="center"/>
                    <w:rPr>
                      <w:rFonts w:hint="default" w:ascii="Times New Roman" w:hAnsi="Times New Roman" w:eastAsia="宋体" w:cs="Times New Roman"/>
                      <w:color w:val="auto"/>
                      <w:kern w:val="44"/>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2025年5月，企业自主竣工环保验收</w:t>
                  </w:r>
                </w:p>
              </w:tc>
            </w:tr>
          </w:tbl>
          <w:p w14:paraId="5B2D8B50">
            <w:pPr>
              <w:numPr>
                <w:ilvl w:val="0"/>
                <w:numId w:val="3"/>
              </w:numPr>
              <w:autoSpaceDE w:val="0"/>
              <w:autoSpaceDN w:val="0"/>
              <w:adjustRightInd w:val="0"/>
              <w:snapToGrid w:val="0"/>
              <w:spacing w:before="120" w:beforeLines="50" w:line="360" w:lineRule="auto"/>
              <w:ind w:left="0" w:leftChars="0" w:firstLine="482" w:firstLineChars="200"/>
              <w:rPr>
                <w:rFonts w:hint="eastAsia"/>
                <w:b/>
                <w:color w:val="auto"/>
                <w:kern w:val="0"/>
                <w:sz w:val="24"/>
                <w:lang w:val="en-US" w:eastAsia="zh-CN"/>
              </w:rPr>
            </w:pPr>
            <w:r>
              <w:rPr>
                <w:rFonts w:hint="eastAsia"/>
                <w:b/>
                <w:color w:val="auto"/>
                <w:kern w:val="0"/>
                <w:sz w:val="24"/>
                <w:lang w:val="en-US" w:eastAsia="zh-CN"/>
              </w:rPr>
              <w:t>现有项目原辅料及设备情况</w:t>
            </w:r>
          </w:p>
          <w:p w14:paraId="55861FFB">
            <w:pPr>
              <w:adjustRightInd w:val="0"/>
              <w:snapToGrid w:val="0"/>
              <w:spacing w:line="500" w:lineRule="exact"/>
              <w:ind w:firstLine="420" w:firstLineChars="200"/>
              <w:jc w:val="both"/>
              <w:rPr>
                <w:rFonts w:hint="default" w:ascii="Times New Roman" w:hAnsi="Times New Roman" w:eastAsia="宋体" w:cs="Times New Roman"/>
                <w:color w:val="auto"/>
                <w:highlight w:val="none"/>
                <w:shd w:val="clear" w:color="auto" w:fill="FFFFFF" w:themeFill="background1"/>
              </w:rPr>
            </w:pPr>
            <w:bookmarkStart w:id="6" w:name="_Toc63237494"/>
            <w:bookmarkStart w:id="7" w:name="_Toc129614877"/>
            <w:r>
              <w:rPr>
                <w:rFonts w:hint="default" w:ascii="Times New Roman" w:hAnsi="Times New Roman" w:eastAsia="宋体" w:cs="Times New Roman"/>
                <w:color w:val="auto"/>
                <w:highlight w:val="none"/>
                <w:shd w:val="clear" w:color="auto" w:fill="FFFFFF" w:themeFill="background1"/>
              </w:rPr>
              <w:t>现有项目主要设备如下表所示。</w:t>
            </w:r>
          </w:p>
          <w:p w14:paraId="1585CFAE">
            <w:pPr>
              <w:spacing w:line="440" w:lineRule="exact"/>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2-6</w:t>
            </w:r>
            <w:r>
              <w:rPr>
                <w:rFonts w:hint="default" w:ascii="Times New Roman" w:hAnsi="Times New Roman" w:eastAsia="宋体" w:cs="Times New Roman"/>
                <w:b/>
                <w:color w:val="auto"/>
                <w:highlight w:val="none"/>
              </w:rPr>
              <w:t xml:space="preserve"> 现有项目填埋场主要设备一览表</w:t>
            </w:r>
          </w:p>
          <w:tbl>
            <w:tblPr>
              <w:tblStyle w:val="33"/>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2075"/>
              <w:gridCol w:w="1338"/>
              <w:gridCol w:w="937"/>
              <w:gridCol w:w="3341"/>
            </w:tblGrid>
            <w:tr w14:paraId="4C91FF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tcBorders>
                    <w:top w:val="single" w:color="auto" w:sz="12" w:space="0"/>
                    <w:bottom w:val="single" w:color="auto" w:sz="4" w:space="0"/>
                  </w:tcBorders>
                  <w:vAlign w:val="center"/>
                </w:tcPr>
                <w:p w14:paraId="497D047A">
                  <w:pPr>
                    <w:pStyle w:val="155"/>
                    <w:spacing w:line="240" w:lineRule="auto"/>
                    <w:ind w:firstLine="0" w:firstLineChars="0"/>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序号</w:t>
                  </w:r>
                </w:p>
              </w:tc>
              <w:tc>
                <w:tcPr>
                  <w:tcW w:w="1232" w:type="pct"/>
                  <w:tcBorders>
                    <w:top w:val="single" w:color="auto" w:sz="12" w:space="0"/>
                    <w:bottom w:val="single" w:color="auto" w:sz="4" w:space="0"/>
                  </w:tcBorders>
                  <w:vAlign w:val="center"/>
                </w:tcPr>
                <w:p w14:paraId="5C2193FC">
                  <w:pPr>
                    <w:pStyle w:val="155"/>
                    <w:spacing w:line="240" w:lineRule="auto"/>
                    <w:ind w:firstLine="0" w:firstLineChars="0"/>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名称</w:t>
                  </w:r>
                </w:p>
              </w:tc>
              <w:tc>
                <w:tcPr>
                  <w:tcW w:w="794" w:type="pct"/>
                  <w:tcBorders>
                    <w:top w:val="single" w:color="auto" w:sz="12" w:space="0"/>
                    <w:bottom w:val="single" w:color="auto" w:sz="4" w:space="0"/>
                  </w:tcBorders>
                  <w:vAlign w:val="center"/>
                </w:tcPr>
                <w:p w14:paraId="0F371852">
                  <w:pPr>
                    <w:pStyle w:val="155"/>
                    <w:spacing w:line="240" w:lineRule="auto"/>
                    <w:ind w:firstLine="0" w:firstLineChars="0"/>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单位</w:t>
                  </w:r>
                </w:p>
              </w:tc>
              <w:tc>
                <w:tcPr>
                  <w:tcW w:w="556" w:type="pct"/>
                  <w:tcBorders>
                    <w:top w:val="single" w:color="auto" w:sz="12" w:space="0"/>
                    <w:bottom w:val="single" w:color="auto" w:sz="4" w:space="0"/>
                  </w:tcBorders>
                  <w:vAlign w:val="center"/>
                </w:tcPr>
                <w:p w14:paraId="4FACB93C">
                  <w:pPr>
                    <w:pStyle w:val="155"/>
                    <w:spacing w:line="240" w:lineRule="auto"/>
                    <w:ind w:firstLine="0" w:firstLineChars="0"/>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数量</w:t>
                  </w:r>
                </w:p>
              </w:tc>
              <w:tc>
                <w:tcPr>
                  <w:tcW w:w="1983" w:type="pct"/>
                  <w:tcBorders>
                    <w:top w:val="single" w:color="auto" w:sz="12" w:space="0"/>
                    <w:bottom w:val="single" w:color="auto" w:sz="4" w:space="0"/>
                  </w:tcBorders>
                  <w:vAlign w:val="center"/>
                </w:tcPr>
                <w:p w14:paraId="304B1C86">
                  <w:pPr>
                    <w:pStyle w:val="155"/>
                    <w:spacing w:line="240" w:lineRule="auto"/>
                    <w:ind w:firstLine="0" w:firstLineChars="0"/>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型号</w:t>
                  </w:r>
                </w:p>
              </w:tc>
            </w:tr>
            <w:tr w14:paraId="0E79B7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tcBorders>
                    <w:top w:val="single" w:color="auto" w:sz="4" w:space="0"/>
                  </w:tcBorders>
                  <w:vAlign w:val="center"/>
                </w:tcPr>
                <w:p w14:paraId="180280AD">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232" w:type="pct"/>
                  <w:tcBorders>
                    <w:top w:val="single" w:color="auto" w:sz="4" w:space="0"/>
                  </w:tcBorders>
                  <w:vAlign w:val="center"/>
                </w:tcPr>
                <w:p w14:paraId="330F3DC5">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履带式推土机</w:t>
                  </w:r>
                </w:p>
              </w:tc>
              <w:tc>
                <w:tcPr>
                  <w:tcW w:w="794" w:type="pct"/>
                  <w:tcBorders>
                    <w:top w:val="single" w:color="auto" w:sz="4" w:space="0"/>
                  </w:tcBorders>
                  <w:vAlign w:val="center"/>
                </w:tcPr>
                <w:p w14:paraId="6AC18EFF">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台</w:t>
                  </w:r>
                </w:p>
              </w:tc>
              <w:tc>
                <w:tcPr>
                  <w:tcW w:w="556" w:type="pct"/>
                  <w:tcBorders>
                    <w:top w:val="single" w:color="auto" w:sz="4" w:space="0"/>
                  </w:tcBorders>
                  <w:vAlign w:val="center"/>
                </w:tcPr>
                <w:p w14:paraId="1E97C413">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tcBorders>
                    <w:top w:val="single" w:color="auto" w:sz="4" w:space="0"/>
                  </w:tcBorders>
                  <w:vAlign w:val="center"/>
                </w:tcPr>
                <w:p w14:paraId="3F49D4E9">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160马力</w:t>
                  </w:r>
                </w:p>
              </w:tc>
            </w:tr>
            <w:tr w14:paraId="643A99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432" w:type="pct"/>
                  <w:vAlign w:val="center"/>
                </w:tcPr>
                <w:p w14:paraId="6E808C13">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w:t>
                  </w:r>
                </w:p>
              </w:tc>
              <w:tc>
                <w:tcPr>
                  <w:tcW w:w="1232" w:type="pct"/>
                  <w:vAlign w:val="center"/>
                </w:tcPr>
                <w:p w14:paraId="548A9D0D">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装载机</w:t>
                  </w:r>
                </w:p>
              </w:tc>
              <w:tc>
                <w:tcPr>
                  <w:tcW w:w="794" w:type="pct"/>
                  <w:vAlign w:val="center"/>
                </w:tcPr>
                <w:p w14:paraId="64B7E824">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台</w:t>
                  </w:r>
                </w:p>
              </w:tc>
              <w:tc>
                <w:tcPr>
                  <w:tcW w:w="556" w:type="pct"/>
                  <w:vAlign w:val="center"/>
                </w:tcPr>
                <w:p w14:paraId="7E51A6E8">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vAlign w:val="center"/>
                </w:tcPr>
                <w:p w14:paraId="1D7D1FD3">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ZL-30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en-US"/>
                    </w:rPr>
                    <w:t>3m</w:t>
                  </w:r>
                  <w:r>
                    <w:rPr>
                      <w:rFonts w:hint="default" w:ascii="Times New Roman" w:hAnsi="Times New Roman" w:eastAsia="宋体" w:cs="Times New Roman"/>
                      <w:color w:val="auto"/>
                      <w:sz w:val="21"/>
                      <w:szCs w:val="21"/>
                      <w:highlight w:val="none"/>
                      <w:vertAlign w:val="superscript"/>
                      <w:lang w:eastAsia="en-US"/>
                    </w:rPr>
                    <w:t>3</w:t>
                  </w:r>
                </w:p>
              </w:tc>
            </w:tr>
            <w:tr w14:paraId="23E1F2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vAlign w:val="center"/>
                </w:tcPr>
                <w:p w14:paraId="372A1CA5">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3</w:t>
                  </w:r>
                </w:p>
              </w:tc>
              <w:tc>
                <w:tcPr>
                  <w:tcW w:w="1232" w:type="pct"/>
                  <w:vAlign w:val="center"/>
                </w:tcPr>
                <w:p w14:paraId="6599A601">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挖掘机</w:t>
                  </w:r>
                </w:p>
              </w:tc>
              <w:tc>
                <w:tcPr>
                  <w:tcW w:w="794" w:type="pct"/>
                  <w:vAlign w:val="center"/>
                </w:tcPr>
                <w:p w14:paraId="528259D1">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台</w:t>
                  </w:r>
                </w:p>
              </w:tc>
              <w:tc>
                <w:tcPr>
                  <w:tcW w:w="556" w:type="pct"/>
                  <w:vAlign w:val="center"/>
                </w:tcPr>
                <w:p w14:paraId="6DBC7E84">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vAlign w:val="center"/>
                </w:tcPr>
                <w:p w14:paraId="734E74C0">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220型</w:t>
                  </w:r>
                </w:p>
              </w:tc>
            </w:tr>
            <w:tr w14:paraId="6BE474A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vAlign w:val="center"/>
                </w:tcPr>
                <w:p w14:paraId="2E0F796C">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w:t>
                  </w:r>
                </w:p>
              </w:tc>
              <w:tc>
                <w:tcPr>
                  <w:tcW w:w="1232" w:type="pct"/>
                  <w:vAlign w:val="center"/>
                </w:tcPr>
                <w:p w14:paraId="22B1ED84">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自卸卡车</w:t>
                  </w:r>
                </w:p>
              </w:tc>
              <w:tc>
                <w:tcPr>
                  <w:tcW w:w="794" w:type="pct"/>
                  <w:vAlign w:val="center"/>
                </w:tcPr>
                <w:p w14:paraId="1EF1AD28">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辆</w:t>
                  </w:r>
                </w:p>
              </w:tc>
              <w:tc>
                <w:tcPr>
                  <w:tcW w:w="556" w:type="pct"/>
                  <w:vAlign w:val="center"/>
                </w:tcPr>
                <w:p w14:paraId="388CA6F5">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vAlign w:val="center"/>
                </w:tcPr>
                <w:p w14:paraId="06EDCD2A">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TH3090ZLJ</w:t>
                  </w:r>
                </w:p>
              </w:tc>
            </w:tr>
            <w:tr w14:paraId="2B658A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vAlign w:val="center"/>
                </w:tcPr>
                <w:p w14:paraId="365C5E46">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w:t>
                  </w:r>
                </w:p>
              </w:tc>
              <w:tc>
                <w:tcPr>
                  <w:tcW w:w="1232" w:type="pct"/>
                  <w:vAlign w:val="center"/>
                </w:tcPr>
                <w:p w14:paraId="1099660B">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吊车</w:t>
                  </w:r>
                </w:p>
              </w:tc>
              <w:tc>
                <w:tcPr>
                  <w:tcW w:w="794" w:type="pct"/>
                  <w:vAlign w:val="center"/>
                </w:tcPr>
                <w:p w14:paraId="67EC79D4">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6" w:type="pct"/>
                  <w:vAlign w:val="center"/>
                </w:tcPr>
                <w:p w14:paraId="760A9EF1">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vAlign w:val="center"/>
                </w:tcPr>
                <w:p w14:paraId="10807718">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50吨</w:t>
                  </w:r>
                </w:p>
              </w:tc>
            </w:tr>
            <w:tr w14:paraId="12C033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32" w:type="pct"/>
                  <w:vAlign w:val="center"/>
                </w:tcPr>
                <w:p w14:paraId="718A54A0">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w:t>
                  </w:r>
                </w:p>
              </w:tc>
              <w:tc>
                <w:tcPr>
                  <w:tcW w:w="1232" w:type="pct"/>
                  <w:vAlign w:val="center"/>
                </w:tcPr>
                <w:p w14:paraId="62DD77E2">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车辆清洗机</w:t>
                  </w:r>
                </w:p>
              </w:tc>
              <w:tc>
                <w:tcPr>
                  <w:tcW w:w="794" w:type="pct"/>
                  <w:vAlign w:val="center"/>
                </w:tcPr>
                <w:p w14:paraId="654CF962">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台</w:t>
                  </w:r>
                </w:p>
              </w:tc>
              <w:tc>
                <w:tcPr>
                  <w:tcW w:w="556" w:type="pct"/>
                  <w:vAlign w:val="center"/>
                </w:tcPr>
                <w:p w14:paraId="55080E1A">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w:t>
                  </w:r>
                </w:p>
              </w:tc>
              <w:tc>
                <w:tcPr>
                  <w:tcW w:w="1983" w:type="pct"/>
                  <w:vAlign w:val="center"/>
                </w:tcPr>
                <w:p w14:paraId="3111CBB2">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PX-58</w:t>
                  </w:r>
                </w:p>
              </w:tc>
            </w:tr>
            <w:tr w14:paraId="2EE1BD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432" w:type="pct"/>
                  <w:vAlign w:val="center"/>
                </w:tcPr>
                <w:p w14:paraId="728DF62F">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w:t>
                  </w:r>
                </w:p>
              </w:tc>
              <w:tc>
                <w:tcPr>
                  <w:tcW w:w="1232" w:type="pct"/>
                  <w:vAlign w:val="center"/>
                </w:tcPr>
                <w:p w14:paraId="4B2A5412">
                  <w:pPr>
                    <w:pStyle w:val="2"/>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移动雾炮除臭设备</w:t>
                  </w:r>
                </w:p>
              </w:tc>
              <w:tc>
                <w:tcPr>
                  <w:tcW w:w="794" w:type="pct"/>
                  <w:vAlign w:val="center"/>
                </w:tcPr>
                <w:p w14:paraId="31E81F11">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6" w:type="pct"/>
                  <w:vAlign w:val="center"/>
                </w:tcPr>
                <w:p w14:paraId="30FC9190">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983" w:type="pct"/>
                  <w:vAlign w:val="center"/>
                </w:tcPr>
                <w:p w14:paraId="6469189A">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高度3m</w:t>
                  </w:r>
                </w:p>
              </w:tc>
            </w:tr>
            <w:tr w14:paraId="605B79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432" w:type="pct"/>
                  <w:vAlign w:val="center"/>
                </w:tcPr>
                <w:p w14:paraId="25259937">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232" w:type="pct"/>
                  <w:shd w:val="clear" w:color="auto" w:fill="auto"/>
                  <w:vAlign w:val="center"/>
                </w:tcPr>
                <w:p w14:paraId="2E739478">
                  <w:pPr>
                    <w:pStyle w:val="2"/>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防尘喷淋管道及设备</w:t>
                  </w:r>
                </w:p>
              </w:tc>
              <w:tc>
                <w:tcPr>
                  <w:tcW w:w="794" w:type="pct"/>
                  <w:vAlign w:val="center"/>
                </w:tcPr>
                <w:p w14:paraId="23138FFE">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556" w:type="pct"/>
                  <w:vAlign w:val="center"/>
                </w:tcPr>
                <w:p w14:paraId="4087D94B">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83" w:type="pct"/>
                  <w:vAlign w:val="center"/>
                </w:tcPr>
                <w:p w14:paraId="36A7D9CE">
                  <w:pPr>
                    <w:pStyle w:val="155"/>
                    <w:spacing w:line="240" w:lineRule="auto"/>
                    <w:ind w:firstLine="0" w:firstLineChars="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w:t>
                  </w:r>
                </w:p>
              </w:tc>
            </w:tr>
            <w:tr w14:paraId="2DA083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432" w:type="pct"/>
                  <w:tcBorders>
                    <w:bottom w:val="single" w:color="auto" w:sz="12" w:space="0"/>
                  </w:tcBorders>
                  <w:vAlign w:val="center"/>
                </w:tcPr>
                <w:p w14:paraId="30463AD4">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232" w:type="pct"/>
                  <w:tcBorders>
                    <w:bottom w:val="single" w:color="auto" w:sz="12" w:space="0"/>
                  </w:tcBorders>
                  <w:vAlign w:val="center"/>
                </w:tcPr>
                <w:p w14:paraId="114B968F">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地磅、地下水提升泵、渗滤液提升泵、雨水抽排泵</w:t>
                  </w:r>
                </w:p>
              </w:tc>
              <w:tc>
                <w:tcPr>
                  <w:tcW w:w="794" w:type="pct"/>
                  <w:tcBorders>
                    <w:bottom w:val="single" w:color="auto" w:sz="12" w:space="0"/>
                  </w:tcBorders>
                  <w:vAlign w:val="center"/>
                </w:tcPr>
                <w:p w14:paraId="1BDBA0A0">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6" w:type="pct"/>
                  <w:tcBorders>
                    <w:bottom w:val="single" w:color="auto" w:sz="12" w:space="0"/>
                  </w:tcBorders>
                  <w:vAlign w:val="center"/>
                </w:tcPr>
                <w:p w14:paraId="53ADE833">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若干</w:t>
                  </w:r>
                </w:p>
              </w:tc>
              <w:tc>
                <w:tcPr>
                  <w:tcW w:w="1983" w:type="pct"/>
                  <w:tcBorders>
                    <w:bottom w:val="single" w:color="auto" w:sz="12" w:space="0"/>
                  </w:tcBorders>
                  <w:vAlign w:val="center"/>
                </w:tcPr>
                <w:p w14:paraId="51B1D0B5">
                  <w:pPr>
                    <w:pStyle w:val="155"/>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en-US"/>
                    </w:rPr>
                    <w:t>/</w:t>
                  </w:r>
                </w:p>
              </w:tc>
            </w:tr>
          </w:tbl>
          <w:p w14:paraId="01F3C798">
            <w:pPr>
              <w:adjustRightInd w:val="0"/>
              <w:snapToGrid w:val="0"/>
              <w:spacing w:line="500" w:lineRule="exact"/>
              <w:jc w:val="center"/>
              <w:rPr>
                <w:rFonts w:hint="default" w:ascii="Times New Roman" w:hAnsi="Times New Roman" w:eastAsia="宋体" w:cs="Times New Roman"/>
                <w:b/>
                <w:color w:val="auto"/>
                <w:szCs w:val="28"/>
                <w:highlight w:val="none"/>
                <w:shd w:val="clear" w:color="auto" w:fill="FFFFFF" w:themeFill="background1"/>
              </w:rPr>
            </w:pPr>
            <w:r>
              <w:rPr>
                <w:rFonts w:hint="default" w:ascii="Times New Roman" w:hAnsi="Times New Roman" w:eastAsia="宋体" w:cs="Times New Roman"/>
                <w:b/>
                <w:color w:val="auto"/>
                <w:szCs w:val="28"/>
                <w:highlight w:val="none"/>
                <w:shd w:val="clear" w:color="auto" w:fill="FFFFFF" w:themeFill="background1"/>
              </w:rPr>
              <w:t>表</w:t>
            </w:r>
            <w:r>
              <w:rPr>
                <w:rFonts w:hint="eastAsia" w:ascii="Times New Roman" w:hAnsi="Times New Roman" w:eastAsia="宋体" w:cs="Times New Roman"/>
                <w:b/>
                <w:color w:val="auto"/>
                <w:szCs w:val="28"/>
                <w:highlight w:val="none"/>
                <w:shd w:val="clear" w:color="auto" w:fill="FFFFFF" w:themeFill="background1"/>
                <w:lang w:val="en-US" w:eastAsia="zh-CN"/>
              </w:rPr>
              <w:t>2-7</w:t>
            </w:r>
            <w:r>
              <w:rPr>
                <w:rFonts w:hint="default" w:ascii="Times New Roman" w:hAnsi="Times New Roman" w:eastAsia="宋体" w:cs="Times New Roman"/>
                <w:b/>
                <w:color w:val="auto"/>
                <w:szCs w:val="28"/>
                <w:highlight w:val="none"/>
                <w:shd w:val="clear" w:color="auto" w:fill="FFFFFF" w:themeFill="background1"/>
              </w:rPr>
              <w:t xml:space="preserve">  现有项目生活垃圾焚烧工程主要设备一览表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105"/>
              <w:gridCol w:w="4039"/>
              <w:gridCol w:w="1544"/>
            </w:tblGrid>
            <w:tr w14:paraId="53712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tblHeader/>
                <w:jc w:val="center"/>
              </w:trPr>
              <w:tc>
                <w:tcPr>
                  <w:tcW w:w="434" w:type="pct"/>
                  <w:tcBorders>
                    <w:bottom w:val="single" w:color="008000" w:sz="6" w:space="0"/>
                    <w:insideH w:val="single" w:sz="6" w:space="0"/>
                    <w:tl2br w:val="nil"/>
                    <w:tr2bl w:val="nil"/>
                  </w:tcBorders>
                  <w:shd w:val="clear" w:color="auto" w:fill="auto"/>
                  <w:vAlign w:val="center"/>
                </w:tcPr>
                <w:p w14:paraId="003CC76C">
                  <w:pPr>
                    <w:widowControl w:val="0"/>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250" w:type="pct"/>
                  <w:tcBorders>
                    <w:bottom w:val="single" w:color="008000" w:sz="6" w:space="0"/>
                    <w:insideH w:val="single" w:sz="6" w:space="0"/>
                    <w:tl2br w:val="nil"/>
                    <w:tr2bl w:val="nil"/>
                  </w:tcBorders>
                  <w:shd w:val="clear" w:color="auto" w:fill="auto"/>
                  <w:vAlign w:val="center"/>
                </w:tcPr>
                <w:p w14:paraId="36BB2C5D">
                  <w:pPr>
                    <w:widowControl w:val="0"/>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399" w:type="pct"/>
                  <w:tcBorders>
                    <w:bottom w:val="single" w:color="008000" w:sz="6" w:space="0"/>
                    <w:insideH w:val="single" w:sz="6" w:space="0"/>
                    <w:tl2br w:val="nil"/>
                    <w:tr2bl w:val="nil"/>
                  </w:tcBorders>
                  <w:shd w:val="clear" w:color="auto" w:fill="auto"/>
                  <w:vAlign w:val="center"/>
                </w:tcPr>
                <w:p w14:paraId="45A1CA1D">
                  <w:pPr>
                    <w:widowControl w:val="0"/>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w:t>
                  </w:r>
                </w:p>
              </w:tc>
              <w:tc>
                <w:tcPr>
                  <w:tcW w:w="917" w:type="pct"/>
                  <w:tcBorders>
                    <w:bottom w:val="single" w:color="008000" w:sz="6" w:space="0"/>
                    <w:insideH w:val="single" w:sz="6" w:space="0"/>
                    <w:tl2br w:val="nil"/>
                    <w:tr2bl w:val="nil"/>
                  </w:tcBorders>
                  <w:shd w:val="clear" w:color="auto" w:fill="auto"/>
                  <w:vAlign w:val="center"/>
                </w:tcPr>
                <w:p w14:paraId="6AD39E6A">
                  <w:pPr>
                    <w:widowControl w:val="0"/>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设备数量</w:t>
                  </w:r>
                </w:p>
              </w:tc>
            </w:tr>
            <w:tr w14:paraId="05C71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36FA599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50" w:type="pct"/>
                  <w:shd w:val="clear" w:color="auto" w:fill="auto"/>
                  <w:vAlign w:val="center"/>
                </w:tcPr>
                <w:p w14:paraId="3D4C1CA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垃圾池卸料门</w:t>
                  </w:r>
                </w:p>
              </w:tc>
              <w:tc>
                <w:tcPr>
                  <w:tcW w:w="2399" w:type="pct"/>
                  <w:shd w:val="clear" w:color="auto" w:fill="auto"/>
                  <w:vAlign w:val="center"/>
                </w:tcPr>
                <w:p w14:paraId="2BF3CC8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型式：电动提升机，高×宽：6170×3700mm</w:t>
                  </w:r>
                </w:p>
              </w:tc>
              <w:tc>
                <w:tcPr>
                  <w:tcW w:w="917" w:type="pct"/>
                  <w:shd w:val="clear" w:color="auto" w:fill="auto"/>
                  <w:vAlign w:val="center"/>
                </w:tcPr>
                <w:p w14:paraId="42F9D75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14:paraId="71867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42497CF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50" w:type="pct"/>
                  <w:shd w:val="clear" w:color="auto" w:fill="auto"/>
                  <w:vAlign w:val="center"/>
                </w:tcPr>
                <w:p w14:paraId="184C5DB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桥式垃圾抓斗起重机</w:t>
                  </w:r>
                </w:p>
              </w:tc>
              <w:tc>
                <w:tcPr>
                  <w:tcW w:w="2399" w:type="pct"/>
                  <w:shd w:val="clear" w:color="auto" w:fill="auto"/>
                  <w:vAlign w:val="center"/>
                </w:tcPr>
                <w:p w14:paraId="44B3CF4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型式：双梁桥式，起重量：11t</w:t>
                  </w:r>
                </w:p>
              </w:tc>
              <w:tc>
                <w:tcPr>
                  <w:tcW w:w="917" w:type="pct"/>
                  <w:shd w:val="clear" w:color="auto" w:fill="auto"/>
                  <w:vAlign w:val="center"/>
                </w:tcPr>
                <w:p w14:paraId="4122DD0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2A618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4E5FBAD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50" w:type="pct"/>
                  <w:shd w:val="clear" w:color="auto" w:fill="auto"/>
                  <w:vAlign w:val="center"/>
                </w:tcPr>
                <w:p w14:paraId="498F823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垃圾抓斗</w:t>
                  </w:r>
                </w:p>
              </w:tc>
              <w:tc>
                <w:tcPr>
                  <w:tcW w:w="2399" w:type="pct"/>
                  <w:shd w:val="clear" w:color="auto" w:fill="auto"/>
                  <w:vAlign w:val="center"/>
                </w:tcPr>
                <w:p w14:paraId="2183C6C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型式：电动液压多瓣式；传动方式：液压；抓斗容积：6.3m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17" w:type="pct"/>
                  <w:shd w:val="clear" w:color="auto" w:fill="auto"/>
                  <w:vAlign w:val="center"/>
                </w:tcPr>
                <w:p w14:paraId="576DCD1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5D8B1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7A14F13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50" w:type="pct"/>
                  <w:shd w:val="clear" w:color="auto" w:fill="auto"/>
                  <w:vAlign w:val="center"/>
                </w:tcPr>
                <w:p w14:paraId="1076D82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焚烧炉/余热锅炉</w:t>
                  </w:r>
                </w:p>
              </w:tc>
              <w:tc>
                <w:tcPr>
                  <w:tcW w:w="2399" w:type="pct"/>
                  <w:shd w:val="clear" w:color="auto" w:fill="auto"/>
                  <w:vAlign w:val="center"/>
                </w:tcPr>
                <w:p w14:paraId="3A4EE56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式：机械炉排炉；燃料：生活垃圾；额定垃圾处理量：400t/d；燃烧温度：850~900℃；启动燃料：轻柴油；助燃用燃料：轻柴油炉渣热灼减率：＜3%；蒸汽温度：400℃；蒸汽压力：4.0MP；额定蒸汽：34.3t/h；给水温度：130℃；排烟温度：190~230℃；热效率：81%（MCR）</w:t>
                  </w:r>
                </w:p>
              </w:tc>
              <w:tc>
                <w:tcPr>
                  <w:tcW w:w="917" w:type="pct"/>
                  <w:shd w:val="clear" w:color="auto" w:fill="auto"/>
                  <w:vAlign w:val="center"/>
                </w:tcPr>
                <w:p w14:paraId="7FC256D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55EF5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3D21A3F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50" w:type="pct"/>
                  <w:shd w:val="clear" w:color="auto" w:fill="auto"/>
                  <w:vAlign w:val="center"/>
                </w:tcPr>
                <w:p w14:paraId="4E9CAA3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出渣机</w:t>
                  </w:r>
                </w:p>
              </w:tc>
              <w:tc>
                <w:tcPr>
                  <w:tcW w:w="2399" w:type="pct"/>
                  <w:shd w:val="clear" w:color="auto" w:fill="auto"/>
                  <w:vAlign w:val="center"/>
                </w:tcPr>
                <w:p w14:paraId="6B3A547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输送量：8t/h</w:t>
                  </w:r>
                </w:p>
              </w:tc>
              <w:tc>
                <w:tcPr>
                  <w:tcW w:w="917" w:type="pct"/>
                  <w:shd w:val="clear" w:color="auto" w:fill="auto"/>
                  <w:vAlign w:val="center"/>
                </w:tcPr>
                <w:p w14:paraId="37C6852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01CA0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59FDA38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50" w:type="pct"/>
                  <w:shd w:val="clear" w:color="auto" w:fill="auto"/>
                  <w:vAlign w:val="center"/>
                </w:tcPr>
                <w:p w14:paraId="7276F81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炉排漏渣输送机</w:t>
                  </w:r>
                </w:p>
              </w:tc>
              <w:tc>
                <w:tcPr>
                  <w:tcW w:w="2399" w:type="pct"/>
                  <w:shd w:val="clear" w:color="auto" w:fill="auto"/>
                  <w:vAlign w:val="center"/>
                </w:tcPr>
                <w:p w14:paraId="59193F5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输送量：0.85t/h</w:t>
                  </w:r>
                </w:p>
              </w:tc>
              <w:tc>
                <w:tcPr>
                  <w:tcW w:w="917" w:type="pct"/>
                  <w:shd w:val="clear" w:color="auto" w:fill="auto"/>
                  <w:vAlign w:val="center"/>
                </w:tcPr>
                <w:p w14:paraId="38A0898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403FC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3E14A1A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250" w:type="pct"/>
                  <w:shd w:val="clear" w:color="auto" w:fill="auto"/>
                  <w:vAlign w:val="center"/>
                </w:tcPr>
                <w:p w14:paraId="388AFBD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二次风机（1#-2#）</w:t>
                  </w:r>
                </w:p>
              </w:tc>
              <w:tc>
                <w:tcPr>
                  <w:tcW w:w="2399" w:type="pct"/>
                  <w:shd w:val="clear" w:color="auto" w:fill="auto"/>
                  <w:vAlign w:val="center"/>
                </w:tcPr>
                <w:p w14:paraId="46EBFBA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风量：13180Nm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/h，风压：6840Pa</w:t>
                  </w:r>
                </w:p>
                <w:p w14:paraId="66216D3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风机效率：＞80%，电压400kv</w:t>
                  </w:r>
                </w:p>
              </w:tc>
              <w:tc>
                <w:tcPr>
                  <w:tcW w:w="917" w:type="pct"/>
                  <w:shd w:val="clear" w:color="auto" w:fill="auto"/>
                  <w:vAlign w:val="center"/>
                </w:tcPr>
                <w:p w14:paraId="2B67980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6A305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696C81F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250" w:type="pct"/>
                  <w:shd w:val="clear" w:color="auto" w:fill="auto"/>
                  <w:vAlign w:val="center"/>
                </w:tcPr>
                <w:p w14:paraId="02C20C9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一次风机（1#-2#）</w:t>
                  </w:r>
                </w:p>
              </w:tc>
              <w:tc>
                <w:tcPr>
                  <w:tcW w:w="2399" w:type="pct"/>
                  <w:shd w:val="clear" w:color="auto" w:fill="auto"/>
                  <w:vAlign w:val="center"/>
                </w:tcPr>
                <w:p w14:paraId="6969B10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风量：53520Nm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/h，风压：4860Pa</w:t>
                  </w:r>
                </w:p>
                <w:p w14:paraId="16B85D6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风机效率：＞70%，电压220kv</w:t>
                  </w:r>
                </w:p>
              </w:tc>
              <w:tc>
                <w:tcPr>
                  <w:tcW w:w="917" w:type="pct"/>
                  <w:shd w:val="clear" w:color="auto" w:fill="auto"/>
                  <w:vAlign w:val="center"/>
                </w:tcPr>
                <w:p w14:paraId="39E390A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70142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5CC805D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250" w:type="pct"/>
                  <w:shd w:val="clear" w:color="auto" w:fill="auto"/>
                  <w:vAlign w:val="center"/>
                </w:tcPr>
                <w:p w14:paraId="0095281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引风机（1#-2#）</w:t>
                  </w:r>
                </w:p>
              </w:tc>
              <w:tc>
                <w:tcPr>
                  <w:tcW w:w="2399" w:type="pct"/>
                  <w:shd w:val="clear" w:color="auto" w:fill="auto"/>
                  <w:vAlign w:val="center"/>
                </w:tcPr>
                <w:p w14:paraId="7530583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风量：103200 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/h，风压：5700Pa</w:t>
                  </w:r>
                </w:p>
                <w:p w14:paraId="5AB52FF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风机效率：＞80%，电压：400kv</w:t>
                  </w:r>
                </w:p>
              </w:tc>
              <w:tc>
                <w:tcPr>
                  <w:tcW w:w="917" w:type="pct"/>
                  <w:shd w:val="clear" w:color="auto" w:fill="auto"/>
                  <w:vAlign w:val="center"/>
                </w:tcPr>
                <w:p w14:paraId="73FDF10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2F00D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4F66B4D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50" w:type="pct"/>
                  <w:shd w:val="clear" w:color="auto" w:fill="auto"/>
                  <w:vAlign w:val="center"/>
                </w:tcPr>
                <w:p w14:paraId="3234DFB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炉墙冷却风机</w:t>
                  </w:r>
                </w:p>
              </w:tc>
              <w:tc>
                <w:tcPr>
                  <w:tcW w:w="2399" w:type="pct"/>
                  <w:shd w:val="clear" w:color="auto" w:fill="auto"/>
                  <w:vAlign w:val="center"/>
                </w:tcPr>
                <w:p w14:paraId="31785FF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风量：13050Nm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/h，风压：1680Pa</w:t>
                  </w:r>
                </w:p>
                <w:p w14:paraId="7206DF7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风机效率：70%，电压：220kv</w:t>
                  </w:r>
                </w:p>
              </w:tc>
              <w:tc>
                <w:tcPr>
                  <w:tcW w:w="917" w:type="pct"/>
                  <w:shd w:val="clear" w:color="auto" w:fill="auto"/>
                  <w:vAlign w:val="center"/>
                </w:tcPr>
                <w:p w14:paraId="0CB8F7A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08FD6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4F0FE5F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50" w:type="pct"/>
                  <w:shd w:val="clear" w:color="auto" w:fill="auto"/>
                  <w:vAlign w:val="center"/>
                </w:tcPr>
                <w:p w14:paraId="2FF506F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液压控制系统</w:t>
                  </w:r>
                </w:p>
              </w:tc>
              <w:tc>
                <w:tcPr>
                  <w:tcW w:w="2399" w:type="pct"/>
                  <w:shd w:val="clear" w:color="auto" w:fill="auto"/>
                  <w:vAlign w:val="center"/>
                </w:tcPr>
                <w:p w14:paraId="66194FA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17" w:type="pct"/>
                  <w:shd w:val="clear" w:color="auto" w:fill="auto"/>
                  <w:vAlign w:val="center"/>
                </w:tcPr>
                <w:p w14:paraId="74129C2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1007C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7D034DE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250" w:type="pct"/>
                  <w:shd w:val="clear" w:color="auto" w:fill="auto"/>
                  <w:vAlign w:val="center"/>
                </w:tcPr>
                <w:p w14:paraId="02D0F90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点火燃油系统</w:t>
                  </w:r>
                </w:p>
              </w:tc>
              <w:tc>
                <w:tcPr>
                  <w:tcW w:w="2399" w:type="pct"/>
                  <w:shd w:val="clear" w:color="auto" w:fill="auto"/>
                  <w:vAlign w:val="center"/>
                </w:tcPr>
                <w:p w14:paraId="25EF490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17" w:type="pct"/>
                  <w:shd w:val="clear" w:color="auto" w:fill="auto"/>
                  <w:vAlign w:val="center"/>
                </w:tcPr>
                <w:p w14:paraId="67D2760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55B71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1603CFF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50" w:type="pct"/>
                  <w:shd w:val="clear" w:color="auto" w:fill="auto"/>
                  <w:vAlign w:val="center"/>
                </w:tcPr>
                <w:p w14:paraId="2B4EE29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锅炉给水泵</w:t>
                  </w:r>
                </w:p>
              </w:tc>
              <w:tc>
                <w:tcPr>
                  <w:tcW w:w="2399" w:type="pct"/>
                  <w:shd w:val="clear" w:color="auto" w:fill="auto"/>
                  <w:vAlign w:val="center"/>
                </w:tcPr>
                <w:p w14:paraId="0C57B83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流量：50m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p w14:paraId="1C42C50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扬程：640mH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O</w:t>
                  </w:r>
                </w:p>
                <w:p w14:paraId="488DC6C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给水温度：130℃</w:t>
                  </w:r>
                </w:p>
              </w:tc>
              <w:tc>
                <w:tcPr>
                  <w:tcW w:w="917" w:type="pct"/>
                  <w:shd w:val="clear" w:color="auto" w:fill="auto"/>
                  <w:vAlign w:val="center"/>
                </w:tcPr>
                <w:p w14:paraId="0210B33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14:paraId="70C86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6BF7377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250" w:type="pct"/>
                  <w:shd w:val="clear" w:color="auto" w:fill="auto"/>
                  <w:vAlign w:val="center"/>
                </w:tcPr>
                <w:p w14:paraId="06170DD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脱酸反应塔</w:t>
                  </w:r>
                </w:p>
              </w:tc>
              <w:tc>
                <w:tcPr>
                  <w:tcW w:w="2399" w:type="pct"/>
                  <w:shd w:val="clear" w:color="auto" w:fill="auto"/>
                  <w:vAlign w:val="center"/>
                </w:tcPr>
                <w:p w14:paraId="3D7AF40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雾化液滴直径：30-50μm</w:t>
                  </w:r>
                </w:p>
                <w:p w14:paraId="30EFB0B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烟气进/出口温度：230/150℃</w:t>
                  </w:r>
                </w:p>
                <w:p w14:paraId="765B3AF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阻力损失：＜1200Pa</w:t>
                  </w:r>
                </w:p>
              </w:tc>
              <w:tc>
                <w:tcPr>
                  <w:tcW w:w="917" w:type="pct"/>
                  <w:shd w:val="clear" w:color="auto" w:fill="auto"/>
                  <w:vAlign w:val="center"/>
                </w:tcPr>
                <w:p w14:paraId="24F1F17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31192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5276C7C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250" w:type="pct"/>
                  <w:shd w:val="clear" w:color="auto" w:fill="auto"/>
                  <w:vAlign w:val="center"/>
                </w:tcPr>
                <w:p w14:paraId="31DACEA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布袋除尘器</w:t>
                  </w:r>
                </w:p>
              </w:tc>
              <w:tc>
                <w:tcPr>
                  <w:tcW w:w="2399" w:type="pct"/>
                  <w:shd w:val="clear" w:color="auto" w:fill="auto"/>
                  <w:vAlign w:val="center"/>
                </w:tcPr>
                <w:p w14:paraId="32376AD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烟气处理量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76000Nm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p w14:paraId="130B539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进口烟气温度：150℃</w:t>
                  </w:r>
                </w:p>
                <w:p w14:paraId="349371C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vertAlign w:val="superscript"/>
                    </w:rPr>
                  </w:pPr>
                  <w:r>
                    <w:rPr>
                      <w:rFonts w:hint="default" w:ascii="Times New Roman" w:hAnsi="Times New Roman" w:eastAsia="宋体" w:cs="Times New Roman"/>
                      <w:color w:val="auto"/>
                      <w:sz w:val="21"/>
                      <w:szCs w:val="21"/>
                      <w:highlight w:val="none"/>
                    </w:rPr>
                    <w:t>有效过滤面积：2845m</w:t>
                  </w:r>
                  <w:r>
                    <w:rPr>
                      <w:rFonts w:hint="default" w:ascii="Times New Roman" w:hAnsi="Times New Roman" w:eastAsia="宋体" w:cs="Times New Roman"/>
                      <w:color w:val="auto"/>
                      <w:sz w:val="21"/>
                      <w:szCs w:val="21"/>
                      <w:highlight w:val="none"/>
                      <w:vertAlign w:val="superscript"/>
                    </w:rPr>
                    <w:t>2</w:t>
                  </w:r>
                </w:p>
                <w:p w14:paraId="1780743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会都数量：6个</w:t>
                  </w:r>
                </w:p>
                <w:p w14:paraId="35F6960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工作阻力：＜1500Pa</w:t>
                  </w:r>
                </w:p>
              </w:tc>
              <w:tc>
                <w:tcPr>
                  <w:tcW w:w="917" w:type="pct"/>
                  <w:shd w:val="clear" w:color="auto" w:fill="auto"/>
                  <w:vAlign w:val="center"/>
                </w:tcPr>
                <w:p w14:paraId="4FE5772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3F2EE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2E2225F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6F17DF8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w:t>
                  </w:r>
                </w:p>
              </w:tc>
              <w:tc>
                <w:tcPr>
                  <w:tcW w:w="2399" w:type="pct"/>
                  <w:shd w:val="clear" w:color="auto" w:fill="auto"/>
                  <w:vAlign w:val="center"/>
                </w:tcPr>
                <w:p w14:paraId="01E82E7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圆形布袋</w:t>
                  </w:r>
                </w:p>
              </w:tc>
              <w:tc>
                <w:tcPr>
                  <w:tcW w:w="917" w:type="pct"/>
                  <w:shd w:val="clear" w:color="auto" w:fill="auto"/>
                  <w:vAlign w:val="center"/>
                </w:tcPr>
                <w:p w14:paraId="434B6A0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08E45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063A95C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10916AA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布袋滤料</w:t>
                  </w:r>
                </w:p>
              </w:tc>
              <w:tc>
                <w:tcPr>
                  <w:tcW w:w="2399" w:type="pct"/>
                  <w:shd w:val="clear" w:color="auto" w:fill="auto"/>
                  <w:vAlign w:val="center"/>
                </w:tcPr>
                <w:p w14:paraId="35B4932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PTFE+ePTFE覆膜</w:t>
                  </w:r>
                </w:p>
              </w:tc>
              <w:tc>
                <w:tcPr>
                  <w:tcW w:w="917" w:type="pct"/>
                  <w:shd w:val="clear" w:color="auto" w:fill="auto"/>
                  <w:vAlign w:val="center"/>
                </w:tcPr>
                <w:p w14:paraId="6B7F2CB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143B4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3AFCD73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4566" w:type="pct"/>
                  <w:gridSpan w:val="3"/>
                  <w:shd w:val="clear" w:color="auto" w:fill="auto"/>
                </w:tcPr>
                <w:p w14:paraId="10D9F29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活性炭喷射系统</w:t>
                  </w:r>
                </w:p>
              </w:tc>
            </w:tr>
            <w:tr w14:paraId="5DDA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416CFBF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0D0B009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活性炭料仓</w:t>
                  </w:r>
                </w:p>
              </w:tc>
              <w:tc>
                <w:tcPr>
                  <w:tcW w:w="2399" w:type="pct"/>
                  <w:shd w:val="clear" w:color="auto" w:fill="auto"/>
                  <w:vAlign w:val="center"/>
                </w:tcPr>
                <w:p w14:paraId="7A22236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料仓容积：5m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、配仓壁震动器</w:t>
                  </w:r>
                </w:p>
              </w:tc>
              <w:tc>
                <w:tcPr>
                  <w:tcW w:w="917" w:type="pct"/>
                  <w:shd w:val="clear" w:color="auto" w:fill="auto"/>
                  <w:vAlign w:val="center"/>
                </w:tcPr>
                <w:p w14:paraId="0AB5070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FB17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1F2494B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596A690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活性炭定量给料装置</w:t>
                  </w:r>
                </w:p>
              </w:tc>
              <w:tc>
                <w:tcPr>
                  <w:tcW w:w="2399" w:type="pct"/>
                  <w:shd w:val="clear" w:color="auto" w:fill="auto"/>
                  <w:vAlign w:val="center"/>
                </w:tcPr>
                <w:p w14:paraId="624C19F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盘式给料机、33L/h</w:t>
                  </w:r>
                </w:p>
              </w:tc>
              <w:tc>
                <w:tcPr>
                  <w:tcW w:w="917" w:type="pct"/>
                  <w:shd w:val="clear" w:color="auto" w:fill="auto"/>
                  <w:vAlign w:val="center"/>
                </w:tcPr>
                <w:p w14:paraId="1C8E070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1A11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27751C0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52C214A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活性炭喷射风机</w:t>
                  </w:r>
                </w:p>
              </w:tc>
              <w:tc>
                <w:tcPr>
                  <w:tcW w:w="2399" w:type="pct"/>
                  <w:shd w:val="clear" w:color="auto" w:fill="auto"/>
                  <w:vAlign w:val="center"/>
                </w:tcPr>
                <w:p w14:paraId="7A9F6D7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罗茨风机</w:t>
                  </w:r>
                </w:p>
              </w:tc>
              <w:tc>
                <w:tcPr>
                  <w:tcW w:w="917" w:type="pct"/>
                  <w:shd w:val="clear" w:color="auto" w:fill="auto"/>
                  <w:vAlign w:val="center"/>
                </w:tcPr>
                <w:p w14:paraId="513822E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14:paraId="08F48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4B4DA7A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4566" w:type="pct"/>
                  <w:gridSpan w:val="3"/>
                  <w:shd w:val="clear" w:color="auto" w:fill="auto"/>
                </w:tcPr>
                <w:p w14:paraId="7D24D46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石灰浆制备与喷射系统</w:t>
                  </w:r>
                </w:p>
              </w:tc>
            </w:tr>
            <w:tr w14:paraId="7B887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28112351">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3484955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石灰料仓</w:t>
                  </w:r>
                </w:p>
              </w:tc>
              <w:tc>
                <w:tcPr>
                  <w:tcW w:w="2399" w:type="pct"/>
                  <w:shd w:val="clear" w:color="auto" w:fill="auto"/>
                  <w:vAlign w:val="center"/>
                </w:tcPr>
                <w:p w14:paraId="5D613BC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料仓容积：100m</w:t>
                  </w:r>
                  <w:r>
                    <w:rPr>
                      <w:rFonts w:hint="default" w:ascii="Times New Roman" w:hAnsi="Times New Roman" w:eastAsia="宋体" w:cs="Times New Roman"/>
                      <w:color w:val="auto"/>
                      <w:sz w:val="21"/>
                      <w:szCs w:val="21"/>
                      <w:highlight w:val="none"/>
                      <w:vertAlign w:val="superscript"/>
                    </w:rPr>
                    <w:t>3</w:t>
                  </w:r>
                </w:p>
              </w:tc>
              <w:tc>
                <w:tcPr>
                  <w:tcW w:w="917" w:type="pct"/>
                  <w:shd w:val="clear" w:color="auto" w:fill="auto"/>
                  <w:vAlign w:val="center"/>
                </w:tcPr>
                <w:p w14:paraId="763F756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151B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3E3762E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6DD9B78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石灰定量给料装置</w:t>
                  </w:r>
                </w:p>
              </w:tc>
              <w:tc>
                <w:tcPr>
                  <w:tcW w:w="2399" w:type="pct"/>
                  <w:shd w:val="clear" w:color="auto" w:fill="auto"/>
                  <w:vAlign w:val="center"/>
                </w:tcPr>
                <w:p w14:paraId="54632CD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螺旋给料机、4.0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917" w:type="pct"/>
                  <w:shd w:val="clear" w:color="auto" w:fill="auto"/>
                  <w:vAlign w:val="center"/>
                </w:tcPr>
                <w:p w14:paraId="7BBCB3F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8D2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05D9C7B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4566" w:type="pct"/>
                  <w:gridSpan w:val="3"/>
                  <w:shd w:val="clear" w:color="auto" w:fill="auto"/>
                </w:tcPr>
                <w:p w14:paraId="0ED0926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压缩空气系统</w:t>
                  </w:r>
                </w:p>
              </w:tc>
            </w:tr>
            <w:tr w14:paraId="2EE02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2CFA5F2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1C2009E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水冷螺杆空气压缩机</w:t>
                  </w:r>
                </w:p>
              </w:tc>
              <w:tc>
                <w:tcPr>
                  <w:tcW w:w="2399" w:type="pct"/>
                  <w:shd w:val="clear" w:color="auto" w:fill="auto"/>
                  <w:vAlign w:val="center"/>
                </w:tcPr>
                <w:p w14:paraId="142863A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单台供气量：24Nm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/min</w:t>
                  </w:r>
                </w:p>
              </w:tc>
              <w:tc>
                <w:tcPr>
                  <w:tcW w:w="917" w:type="pct"/>
                  <w:shd w:val="clear" w:color="auto" w:fill="auto"/>
                  <w:vAlign w:val="center"/>
                </w:tcPr>
                <w:p w14:paraId="6C8469E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3（2用1备）</w:t>
                  </w:r>
                </w:p>
              </w:tc>
            </w:tr>
            <w:tr w14:paraId="66B96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shd w:val="clear" w:color="auto" w:fill="auto"/>
                  <w:vAlign w:val="center"/>
                </w:tcPr>
                <w:p w14:paraId="68E5FA4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1250" w:type="pct"/>
                  <w:shd w:val="clear" w:color="auto" w:fill="auto"/>
                  <w:vAlign w:val="center"/>
                </w:tcPr>
                <w:p w14:paraId="59C02D5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炉内脱氮系统</w:t>
                  </w:r>
                </w:p>
              </w:tc>
              <w:tc>
                <w:tcPr>
                  <w:tcW w:w="2399" w:type="pct"/>
                  <w:shd w:val="clear" w:color="auto" w:fill="auto"/>
                  <w:vAlign w:val="center"/>
                </w:tcPr>
                <w:p w14:paraId="3C986CD9">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供应量：200kg/h</w:t>
                  </w:r>
                </w:p>
              </w:tc>
              <w:tc>
                <w:tcPr>
                  <w:tcW w:w="917" w:type="pct"/>
                  <w:shd w:val="clear" w:color="auto" w:fill="auto"/>
                  <w:vAlign w:val="center"/>
                </w:tcPr>
                <w:p w14:paraId="3E949F8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FE91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70E7DCD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250" w:type="pct"/>
                  <w:shd w:val="clear" w:color="auto" w:fill="auto"/>
                  <w:vAlign w:val="center"/>
                </w:tcPr>
                <w:p w14:paraId="0A0EFE2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化学水制备系统</w:t>
                  </w:r>
                </w:p>
              </w:tc>
              <w:tc>
                <w:tcPr>
                  <w:tcW w:w="2399" w:type="pct"/>
                  <w:shd w:val="clear" w:color="auto" w:fill="auto"/>
                  <w:vAlign w:val="center"/>
                </w:tcPr>
                <w:p w14:paraId="7C38782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超滤+二级反渗透+EDI</w:t>
                  </w:r>
                </w:p>
              </w:tc>
              <w:tc>
                <w:tcPr>
                  <w:tcW w:w="917" w:type="pct"/>
                  <w:shd w:val="clear" w:color="auto" w:fill="auto"/>
                  <w:vAlign w:val="center"/>
                </w:tcPr>
                <w:p w14:paraId="1D67530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BAEC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4C2329B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7C045AD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多介质过滤器</w:t>
                  </w:r>
                </w:p>
              </w:tc>
              <w:tc>
                <w:tcPr>
                  <w:tcW w:w="2399" w:type="pct"/>
                  <w:shd w:val="clear" w:color="auto" w:fill="auto"/>
                  <w:vAlign w:val="center"/>
                </w:tcPr>
                <w:p w14:paraId="4E1D2878">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最大处理22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917" w:type="pct"/>
                  <w:shd w:val="clear" w:color="auto" w:fill="auto"/>
                  <w:vAlign w:val="center"/>
                </w:tcPr>
                <w:p w14:paraId="4FA658F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44CA4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3ABF0A96">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4E05FA9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超滤装置</w:t>
                  </w:r>
                </w:p>
              </w:tc>
              <w:tc>
                <w:tcPr>
                  <w:tcW w:w="2399" w:type="pct"/>
                  <w:shd w:val="clear" w:color="auto" w:fill="auto"/>
                  <w:vAlign w:val="center"/>
                </w:tcPr>
                <w:p w14:paraId="566BC52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设备处理8m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/h，回收率90%</w:t>
                  </w:r>
                </w:p>
              </w:tc>
              <w:tc>
                <w:tcPr>
                  <w:tcW w:w="917" w:type="pct"/>
                  <w:shd w:val="clear" w:color="auto" w:fill="auto"/>
                  <w:vAlign w:val="center"/>
                </w:tcPr>
                <w:p w14:paraId="7F784A6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697F6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203E913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1B55333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EDI</w:t>
                  </w:r>
                </w:p>
              </w:tc>
              <w:tc>
                <w:tcPr>
                  <w:tcW w:w="2399" w:type="pct"/>
                  <w:shd w:val="clear" w:color="auto" w:fill="auto"/>
                  <w:vAlign w:val="center"/>
                </w:tcPr>
                <w:p w14:paraId="2E9B593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设备处理6m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/h，回收率90%</w:t>
                  </w:r>
                </w:p>
              </w:tc>
              <w:tc>
                <w:tcPr>
                  <w:tcW w:w="917" w:type="pct"/>
                  <w:shd w:val="clear" w:color="auto" w:fill="auto"/>
                  <w:vAlign w:val="center"/>
                </w:tcPr>
                <w:p w14:paraId="18BB6E3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75B97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restart"/>
                  <w:shd w:val="clear" w:color="auto" w:fill="auto"/>
                  <w:vAlign w:val="center"/>
                </w:tcPr>
                <w:p w14:paraId="5807DE2F">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4566" w:type="pct"/>
                  <w:gridSpan w:val="3"/>
                  <w:shd w:val="clear" w:color="auto" w:fill="auto"/>
                </w:tcPr>
                <w:p w14:paraId="40E39434">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循环水系统</w:t>
                  </w:r>
                </w:p>
              </w:tc>
            </w:tr>
            <w:tr w14:paraId="27D51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66BCAB0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6EFA9B63">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机械通风冷却塔</w:t>
                  </w:r>
                </w:p>
              </w:tc>
              <w:tc>
                <w:tcPr>
                  <w:tcW w:w="2399" w:type="pct"/>
                  <w:shd w:val="clear" w:color="auto" w:fill="auto"/>
                  <w:vAlign w:val="center"/>
                </w:tcPr>
                <w:p w14:paraId="1F280F5E">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Q=2500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eastAsia" w:cs="Times New Roman"/>
                      <w:color w:val="auto"/>
                      <w:sz w:val="21"/>
                      <w:szCs w:val="21"/>
                      <w:highlight w:val="none"/>
                      <w:lang w:eastAsia="zh-CN"/>
                    </w:rPr>
                    <w:t xml:space="preserve">, </w:t>
                  </w:r>
                  <w:r>
                    <w:rPr>
                      <w:rFonts w:hint="default" w:ascii="Times New Roman" w:hAnsi="Times New Roman" w:eastAsia="宋体" w:cs="Times New Roman"/>
                      <w:color w:val="auto"/>
                      <w:sz w:val="21"/>
                      <w:szCs w:val="21"/>
                      <w:highlight w:val="none"/>
                    </w:rPr>
                    <w:t>U=380V</w:t>
                  </w:r>
                </w:p>
              </w:tc>
              <w:tc>
                <w:tcPr>
                  <w:tcW w:w="917" w:type="pct"/>
                  <w:shd w:val="clear" w:color="auto" w:fill="auto"/>
                  <w:vAlign w:val="center"/>
                </w:tcPr>
                <w:p w14:paraId="5EE239ED">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14:paraId="7164C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4" w:type="pct"/>
                  <w:vMerge w:val="continue"/>
                  <w:shd w:val="clear" w:color="auto" w:fill="auto"/>
                  <w:vAlign w:val="center"/>
                </w:tcPr>
                <w:p w14:paraId="35B16270">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50" w:type="pct"/>
                  <w:shd w:val="clear" w:color="auto" w:fill="auto"/>
                  <w:vAlign w:val="center"/>
                </w:tcPr>
                <w:p w14:paraId="711A236C">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循环水泵</w:t>
                  </w:r>
                </w:p>
              </w:tc>
              <w:tc>
                <w:tcPr>
                  <w:tcW w:w="2399" w:type="pct"/>
                  <w:shd w:val="clear" w:color="auto" w:fill="auto"/>
                  <w:vAlign w:val="center"/>
                </w:tcPr>
                <w:p w14:paraId="12CDE40B">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Q=1655~2785 m/h</w:t>
                  </w:r>
                  <w:r>
                    <w:rPr>
                      <w:rFonts w:hint="eastAsia" w:cs="Times New Roman"/>
                      <w:color w:val="auto"/>
                      <w:sz w:val="21"/>
                      <w:szCs w:val="21"/>
                      <w:highlight w:val="none"/>
                      <w:lang w:eastAsia="zh-CN"/>
                    </w:rPr>
                    <w:t xml:space="preserve">, </w:t>
                  </w:r>
                  <w:r>
                    <w:rPr>
                      <w:rFonts w:hint="default" w:ascii="Times New Roman" w:hAnsi="Times New Roman" w:eastAsia="宋体" w:cs="Times New Roman"/>
                      <w:color w:val="auto"/>
                      <w:sz w:val="21"/>
                      <w:szCs w:val="21"/>
                      <w:highlight w:val="none"/>
                    </w:rPr>
                    <w:t>U=10KV</w:t>
                  </w:r>
                </w:p>
              </w:tc>
              <w:tc>
                <w:tcPr>
                  <w:tcW w:w="917" w:type="pct"/>
                  <w:shd w:val="clear" w:color="auto" w:fill="auto"/>
                  <w:vAlign w:val="center"/>
                </w:tcPr>
                <w:p w14:paraId="7FB22C9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14:paraId="409DC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34" w:type="pct"/>
                  <w:shd w:val="clear" w:color="auto" w:fill="auto"/>
                  <w:vAlign w:val="center"/>
                </w:tcPr>
                <w:p w14:paraId="43469F57">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250" w:type="pct"/>
                  <w:shd w:val="clear" w:color="auto" w:fill="auto"/>
                  <w:vAlign w:val="center"/>
                </w:tcPr>
                <w:p w14:paraId="075BA45A">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汽轮发电机</w:t>
                  </w:r>
                </w:p>
              </w:tc>
              <w:tc>
                <w:tcPr>
                  <w:tcW w:w="2399" w:type="pct"/>
                  <w:shd w:val="clear" w:color="auto" w:fill="auto"/>
                  <w:vAlign w:val="center"/>
                </w:tcPr>
                <w:p w14:paraId="61BCB8B5">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N12-3.8-15MW</w:t>
                  </w:r>
                </w:p>
              </w:tc>
              <w:tc>
                <w:tcPr>
                  <w:tcW w:w="917" w:type="pct"/>
                  <w:shd w:val="clear" w:color="auto" w:fill="auto"/>
                  <w:vAlign w:val="center"/>
                </w:tcPr>
                <w:p w14:paraId="2006D172">
                  <w:pPr>
                    <w:widowControl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1台纯凝</w:t>
                  </w:r>
                </w:p>
              </w:tc>
            </w:tr>
            <w:bookmarkEnd w:id="6"/>
            <w:bookmarkEnd w:id="7"/>
          </w:tbl>
          <w:p w14:paraId="7FC7816F">
            <w:pPr>
              <w:tabs>
                <w:tab w:val="left" w:pos="5265"/>
              </w:tabs>
              <w:adjustRightInd w:val="0"/>
              <w:snapToGrid w:val="0"/>
              <w:spacing w:line="500" w:lineRule="exact"/>
              <w:ind w:firstLine="420" w:firstLineChars="200"/>
              <w:jc w:val="both"/>
              <w:rPr>
                <w:rFonts w:hint="default" w:ascii="Times New Roman" w:hAnsi="Times New Roman" w:eastAsia="宋体" w:cs="Times New Roman"/>
                <w:b/>
                <w:color w:val="auto"/>
                <w:szCs w:val="20"/>
                <w:highlight w:val="none"/>
                <w:shd w:val="clear" w:color="auto" w:fill="FFFFFF" w:themeFill="background1"/>
              </w:rPr>
            </w:pPr>
            <w:r>
              <w:rPr>
                <w:rFonts w:hint="default" w:ascii="Times New Roman" w:hAnsi="Times New Roman" w:eastAsia="宋体" w:cs="Times New Roman"/>
                <w:color w:val="auto"/>
                <w:szCs w:val="20"/>
                <w:highlight w:val="none"/>
                <w:shd w:val="clear" w:color="auto" w:fill="FFFFFF" w:themeFill="background1"/>
              </w:rPr>
              <w:t>现有项目原辅料及能源消耗见下表</w:t>
            </w:r>
            <w:r>
              <w:rPr>
                <w:rFonts w:hint="eastAsia" w:ascii="Times New Roman" w:hAnsi="Times New Roman" w:eastAsia="宋体" w:cs="Times New Roman"/>
                <w:color w:val="auto"/>
                <w:szCs w:val="20"/>
                <w:highlight w:val="none"/>
                <w:shd w:val="clear" w:color="auto" w:fill="FFFFFF" w:themeFill="background1"/>
                <w:lang w:val="en-US" w:eastAsia="zh-CN"/>
              </w:rPr>
              <w:t>2-8、2-9</w:t>
            </w:r>
            <w:r>
              <w:rPr>
                <w:rFonts w:hint="default" w:ascii="Times New Roman" w:hAnsi="Times New Roman" w:eastAsia="宋体" w:cs="Times New Roman"/>
                <w:color w:val="auto"/>
                <w:szCs w:val="20"/>
                <w:highlight w:val="none"/>
                <w:shd w:val="clear" w:color="auto" w:fill="FFFFFF" w:themeFill="background1"/>
              </w:rPr>
              <w:t>。</w:t>
            </w:r>
          </w:p>
          <w:p w14:paraId="23BD732A">
            <w:pPr>
              <w:spacing w:line="440" w:lineRule="exact"/>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2-8</w:t>
            </w:r>
            <w:r>
              <w:rPr>
                <w:rFonts w:hint="default" w:ascii="Times New Roman" w:hAnsi="Times New Roman" w:eastAsia="宋体" w:cs="Times New Roman"/>
                <w:b/>
                <w:color w:val="auto"/>
                <w:highlight w:val="none"/>
              </w:rPr>
              <w:t xml:space="preserve">  原辅料及能源消耗表（填埋场工程）</w:t>
            </w:r>
          </w:p>
          <w:tbl>
            <w:tblPr>
              <w:tblStyle w:val="33"/>
              <w:tblW w:w="49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12"/>
              <w:gridCol w:w="2644"/>
              <w:gridCol w:w="2257"/>
            </w:tblGrid>
            <w:tr w14:paraId="758CC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554" w:type="pct"/>
                  <w:tcBorders>
                    <w:bottom w:val="single" w:color="auto" w:sz="4" w:space="0"/>
                  </w:tcBorders>
                  <w:vAlign w:val="center"/>
                </w:tcPr>
                <w:p w14:paraId="35F7E53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06" w:type="pct"/>
                  <w:tcBorders>
                    <w:bottom w:val="single" w:color="auto" w:sz="4" w:space="0"/>
                  </w:tcBorders>
                  <w:vAlign w:val="center"/>
                </w:tcPr>
                <w:p w14:paraId="0220D8A8">
                  <w:pPr>
                    <w:adjustRightInd w:val="0"/>
                    <w:snapToGrid w:val="0"/>
                    <w:jc w:val="center"/>
                    <w:rPr>
                      <w:rFonts w:hint="default" w:ascii="Times New Roman" w:hAnsi="Times New Roman" w:eastAsia="宋体" w:cs="Times New Roman"/>
                      <w:b/>
                      <w:color w:val="auto"/>
                      <w:sz w:val="21"/>
                      <w:szCs w:val="21"/>
                      <w:highlight w:val="none"/>
                    </w:rPr>
                  </w:pPr>
                  <w:bookmarkStart w:id="8" w:name="_Hlk81322390"/>
                  <w:r>
                    <w:rPr>
                      <w:rFonts w:hint="default" w:ascii="Times New Roman" w:hAnsi="Times New Roman" w:eastAsia="宋体" w:cs="Times New Roman"/>
                      <w:b/>
                      <w:color w:val="auto"/>
                      <w:sz w:val="21"/>
                      <w:szCs w:val="21"/>
                      <w:highlight w:val="none"/>
                    </w:rPr>
                    <w:t>名称</w:t>
                  </w:r>
                </w:p>
              </w:tc>
              <w:tc>
                <w:tcPr>
                  <w:tcW w:w="1585" w:type="pct"/>
                  <w:tcBorders>
                    <w:bottom w:val="single" w:color="auto" w:sz="4" w:space="0"/>
                  </w:tcBorders>
                </w:tcPr>
                <w:p w14:paraId="4124539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w:t>
                  </w:r>
                </w:p>
              </w:tc>
              <w:tc>
                <w:tcPr>
                  <w:tcW w:w="1353" w:type="pct"/>
                  <w:tcBorders>
                    <w:bottom w:val="single" w:color="auto" w:sz="4" w:space="0"/>
                  </w:tcBorders>
                  <w:vAlign w:val="center"/>
                </w:tcPr>
                <w:p w14:paraId="29A68D7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2024年</w:t>
                  </w:r>
                  <w:r>
                    <w:rPr>
                      <w:rFonts w:hint="default" w:ascii="Times New Roman" w:hAnsi="Times New Roman" w:eastAsia="宋体" w:cs="Times New Roman"/>
                      <w:b/>
                      <w:color w:val="auto"/>
                      <w:sz w:val="21"/>
                      <w:szCs w:val="21"/>
                      <w:highlight w:val="none"/>
                    </w:rPr>
                    <w:t>用量</w:t>
                  </w:r>
                </w:p>
              </w:tc>
            </w:tr>
            <w:tr w14:paraId="781F8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4" w:type="pct"/>
                  <w:tcBorders>
                    <w:top w:val="single" w:color="auto" w:sz="4" w:space="0"/>
                  </w:tcBorders>
                  <w:vAlign w:val="center"/>
                </w:tcPr>
                <w:p w14:paraId="35F4510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06" w:type="pct"/>
                  <w:tcBorders>
                    <w:top w:val="single" w:color="auto" w:sz="4" w:space="0"/>
                  </w:tcBorders>
                  <w:vAlign w:val="center"/>
                </w:tcPr>
                <w:p w14:paraId="78D654F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HDPE膜</w:t>
                  </w:r>
                </w:p>
              </w:tc>
              <w:tc>
                <w:tcPr>
                  <w:tcW w:w="1585" w:type="pct"/>
                  <w:tcBorders>
                    <w:top w:val="single" w:color="auto" w:sz="4" w:space="0"/>
                  </w:tcBorders>
                </w:tcPr>
                <w:p w14:paraId="51872BA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1mm</w:t>
                  </w:r>
                </w:p>
              </w:tc>
              <w:tc>
                <w:tcPr>
                  <w:tcW w:w="1353" w:type="pct"/>
                  <w:tcBorders>
                    <w:top w:val="single" w:color="auto" w:sz="4" w:space="0"/>
                  </w:tcBorders>
                  <w:vAlign w:val="center"/>
                </w:tcPr>
                <w:p w14:paraId="49A272E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3000m</w:t>
                  </w:r>
                  <w:r>
                    <w:rPr>
                      <w:rFonts w:hint="default" w:ascii="Times New Roman" w:hAnsi="Times New Roman" w:eastAsia="宋体" w:cs="Times New Roman"/>
                      <w:color w:val="auto"/>
                      <w:sz w:val="21"/>
                      <w:szCs w:val="21"/>
                      <w:highlight w:val="none"/>
                      <w:vertAlign w:val="superscript"/>
                    </w:rPr>
                    <w:t>2</w:t>
                  </w:r>
                </w:p>
              </w:tc>
            </w:tr>
            <w:tr w14:paraId="66C9B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4" w:type="pct"/>
                  <w:vAlign w:val="center"/>
                </w:tcPr>
                <w:p w14:paraId="6C56264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06" w:type="pct"/>
                  <w:vAlign w:val="center"/>
                </w:tcPr>
                <w:p w14:paraId="4008A72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HDPE土工膜</w:t>
                  </w:r>
                </w:p>
              </w:tc>
              <w:tc>
                <w:tcPr>
                  <w:tcW w:w="1585" w:type="pct"/>
                </w:tcPr>
                <w:p w14:paraId="27013FC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1mm</w:t>
                  </w:r>
                </w:p>
              </w:tc>
              <w:tc>
                <w:tcPr>
                  <w:tcW w:w="1353" w:type="pct"/>
                  <w:vAlign w:val="center"/>
                </w:tcPr>
                <w:p w14:paraId="75F8D9D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bookmarkEnd w:id="8"/>
          </w:tbl>
          <w:p w14:paraId="64416DA2">
            <w:pPr>
              <w:spacing w:line="440" w:lineRule="exact"/>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2-9</w:t>
            </w:r>
            <w:r>
              <w:rPr>
                <w:rFonts w:hint="default" w:ascii="Times New Roman" w:hAnsi="Times New Roman" w:eastAsia="宋体" w:cs="Times New Roman"/>
                <w:b/>
                <w:color w:val="auto"/>
                <w:highlight w:val="none"/>
              </w:rPr>
              <w:t xml:space="preserve">  原辅料及能源消耗表（生活垃圾焚烧工程）</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061"/>
              <w:gridCol w:w="1631"/>
              <w:gridCol w:w="1631"/>
              <w:gridCol w:w="2040"/>
            </w:tblGrid>
            <w:tr w14:paraId="15D34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25" w:type="pct"/>
                  <w:shd w:val="clear" w:color="auto" w:fill="auto"/>
                  <w:vAlign w:val="center"/>
                </w:tcPr>
                <w:p w14:paraId="3D17D14B">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24" w:type="pct"/>
                  <w:shd w:val="clear" w:color="auto" w:fill="auto"/>
                  <w:vAlign w:val="center"/>
                </w:tcPr>
                <w:p w14:paraId="55C5043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69" w:type="pct"/>
                </w:tcPr>
                <w:p w14:paraId="02405169">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2024年用量（t/a）</w:t>
                  </w:r>
                </w:p>
              </w:tc>
              <w:tc>
                <w:tcPr>
                  <w:tcW w:w="969" w:type="pct"/>
                  <w:shd w:val="clear" w:color="auto" w:fill="auto"/>
                  <w:vAlign w:val="center"/>
                </w:tcPr>
                <w:p w14:paraId="787FD3E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存放位置</w:t>
                  </w:r>
                </w:p>
              </w:tc>
              <w:tc>
                <w:tcPr>
                  <w:tcW w:w="1211" w:type="pct"/>
                  <w:shd w:val="clear" w:color="auto" w:fill="auto"/>
                  <w:vAlign w:val="center"/>
                </w:tcPr>
                <w:p w14:paraId="5AF22070">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用途</w:t>
                  </w:r>
                </w:p>
              </w:tc>
            </w:tr>
            <w:tr w14:paraId="17C0B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64F6C35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24" w:type="pct"/>
                  <w:shd w:val="clear" w:color="auto" w:fill="auto"/>
                  <w:vAlign w:val="center"/>
                </w:tcPr>
                <w:p w14:paraId="69B1350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消石灰</w:t>
                  </w:r>
                </w:p>
              </w:tc>
              <w:tc>
                <w:tcPr>
                  <w:tcW w:w="969" w:type="pct"/>
                  <w:vAlign w:val="center"/>
                </w:tcPr>
                <w:p w14:paraId="4E4C258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2"/>
                      <w:highlight w:val="none"/>
                    </w:rPr>
                    <w:t>6194.89</w:t>
                  </w:r>
                </w:p>
              </w:tc>
              <w:tc>
                <w:tcPr>
                  <w:tcW w:w="969" w:type="pct"/>
                  <w:shd w:val="clear" w:color="auto" w:fill="auto"/>
                  <w:vAlign w:val="center"/>
                </w:tcPr>
                <w:p w14:paraId="5A47CF8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石灰浆制备间</w:t>
                  </w:r>
                </w:p>
              </w:tc>
              <w:tc>
                <w:tcPr>
                  <w:tcW w:w="1211" w:type="pct"/>
                  <w:shd w:val="clear" w:color="auto" w:fill="auto"/>
                  <w:vAlign w:val="center"/>
                </w:tcPr>
                <w:p w14:paraId="0FF07B8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半干式反应塔中和酸性气体</w:t>
                  </w:r>
                </w:p>
              </w:tc>
            </w:tr>
            <w:tr w14:paraId="2CEEC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57E3DB7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24" w:type="pct"/>
                  <w:shd w:val="clear" w:color="auto" w:fill="auto"/>
                  <w:vAlign w:val="center"/>
                </w:tcPr>
                <w:p w14:paraId="5B67DA1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w:t>
                  </w:r>
                </w:p>
              </w:tc>
              <w:tc>
                <w:tcPr>
                  <w:tcW w:w="969" w:type="pct"/>
                  <w:vAlign w:val="center"/>
                </w:tcPr>
                <w:p w14:paraId="3A25BCF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2"/>
                      <w:highlight w:val="none"/>
                    </w:rPr>
                    <w:t>100.09</w:t>
                  </w:r>
                </w:p>
              </w:tc>
              <w:tc>
                <w:tcPr>
                  <w:tcW w:w="969" w:type="pct"/>
                  <w:shd w:val="clear" w:color="auto" w:fill="auto"/>
                  <w:vAlign w:val="center"/>
                </w:tcPr>
                <w:p w14:paraId="54CEC3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活性炭间</w:t>
                  </w:r>
                </w:p>
              </w:tc>
              <w:tc>
                <w:tcPr>
                  <w:tcW w:w="1211" w:type="pct"/>
                  <w:shd w:val="clear" w:color="auto" w:fill="auto"/>
                  <w:vAlign w:val="center"/>
                </w:tcPr>
                <w:p w14:paraId="1B29C8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烟气净化</w:t>
                  </w:r>
                </w:p>
              </w:tc>
            </w:tr>
            <w:tr w14:paraId="6230B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5F6DC6E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24" w:type="pct"/>
                  <w:shd w:val="clear" w:color="auto" w:fill="auto"/>
                  <w:vAlign w:val="center"/>
                </w:tcPr>
                <w:p w14:paraId="1173799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尿素</w:t>
                  </w:r>
                </w:p>
              </w:tc>
              <w:tc>
                <w:tcPr>
                  <w:tcW w:w="969" w:type="pct"/>
                  <w:vAlign w:val="center"/>
                </w:tcPr>
                <w:p w14:paraId="160C2CC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2"/>
                      <w:highlight w:val="none"/>
                    </w:rPr>
                    <w:t>266.90</w:t>
                  </w:r>
                </w:p>
              </w:tc>
              <w:tc>
                <w:tcPr>
                  <w:tcW w:w="969" w:type="pct"/>
                  <w:shd w:val="clear" w:color="auto" w:fill="auto"/>
                  <w:vAlign w:val="center"/>
                </w:tcPr>
                <w:p w14:paraId="6C1EE4D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尿素间</w:t>
                  </w:r>
                </w:p>
              </w:tc>
              <w:tc>
                <w:tcPr>
                  <w:tcW w:w="1211" w:type="pct"/>
                  <w:shd w:val="clear" w:color="auto" w:fill="auto"/>
                  <w:vAlign w:val="center"/>
                </w:tcPr>
                <w:p w14:paraId="783D494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炉内脱硝</w:t>
                  </w:r>
                </w:p>
              </w:tc>
            </w:tr>
            <w:tr w14:paraId="7FF8A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019CD89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24" w:type="pct"/>
                  <w:shd w:val="clear" w:color="auto" w:fill="auto"/>
                  <w:vAlign w:val="center"/>
                </w:tcPr>
                <w:p w14:paraId="792D913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0#柴油</w:t>
                  </w:r>
                </w:p>
              </w:tc>
              <w:tc>
                <w:tcPr>
                  <w:tcW w:w="969" w:type="pct"/>
                  <w:vAlign w:val="center"/>
                </w:tcPr>
                <w:p w14:paraId="6428B09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2"/>
                      <w:highlight w:val="none"/>
                    </w:rPr>
                    <w:t>226.02</w:t>
                  </w:r>
                </w:p>
              </w:tc>
              <w:tc>
                <w:tcPr>
                  <w:tcW w:w="969" w:type="pct"/>
                  <w:shd w:val="clear" w:color="auto" w:fill="auto"/>
                  <w:vAlign w:val="center"/>
                </w:tcPr>
                <w:p w14:paraId="080B6C7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油库房</w:t>
                  </w:r>
                </w:p>
              </w:tc>
              <w:tc>
                <w:tcPr>
                  <w:tcW w:w="1211" w:type="pct"/>
                  <w:shd w:val="clear" w:color="auto" w:fill="auto"/>
                  <w:vAlign w:val="center"/>
                </w:tcPr>
                <w:p w14:paraId="394DFD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点火和维持炉内温度（含硫率0.2%）</w:t>
                  </w:r>
                </w:p>
              </w:tc>
            </w:tr>
            <w:tr w14:paraId="75EBE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019EE5F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24" w:type="pct"/>
                  <w:shd w:val="clear" w:color="auto" w:fill="auto"/>
                  <w:vAlign w:val="center"/>
                </w:tcPr>
                <w:p w14:paraId="47E838E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螯合剂</w:t>
                  </w:r>
                </w:p>
              </w:tc>
              <w:tc>
                <w:tcPr>
                  <w:tcW w:w="969" w:type="pct"/>
                  <w:vAlign w:val="center"/>
                </w:tcPr>
                <w:p w14:paraId="32DAB98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2"/>
                      <w:highlight w:val="none"/>
                    </w:rPr>
                    <w:t>200.16</w:t>
                  </w:r>
                </w:p>
              </w:tc>
              <w:tc>
                <w:tcPr>
                  <w:tcW w:w="969" w:type="pct"/>
                  <w:shd w:val="clear" w:color="auto" w:fill="auto"/>
                  <w:vAlign w:val="center"/>
                </w:tcPr>
                <w:p w14:paraId="0C0D22C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飞灰稳定化车间</w:t>
                  </w:r>
                </w:p>
              </w:tc>
              <w:tc>
                <w:tcPr>
                  <w:tcW w:w="1211" w:type="pct"/>
                  <w:shd w:val="clear" w:color="auto" w:fill="auto"/>
                  <w:vAlign w:val="center"/>
                </w:tcPr>
                <w:p w14:paraId="6EFCDE5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飞灰固化</w:t>
                  </w:r>
                </w:p>
              </w:tc>
            </w:tr>
            <w:tr w14:paraId="7A25C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25" w:type="pct"/>
                  <w:shd w:val="clear" w:color="auto" w:fill="auto"/>
                  <w:vAlign w:val="center"/>
                </w:tcPr>
                <w:p w14:paraId="7568380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24" w:type="pct"/>
                  <w:shd w:val="clear" w:color="auto" w:fill="auto"/>
                  <w:vAlign w:val="center"/>
                </w:tcPr>
                <w:p w14:paraId="3A3A138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w:t>
                  </w:r>
                </w:p>
              </w:tc>
              <w:tc>
                <w:tcPr>
                  <w:tcW w:w="969" w:type="pct"/>
                  <w:vAlign w:val="center"/>
                </w:tcPr>
                <w:p w14:paraId="610BD152">
                  <w:pPr>
                    <w:adjustRightInd w:val="0"/>
                    <w:snapToGrid w:val="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147.89</w:t>
                  </w:r>
                </w:p>
              </w:tc>
              <w:tc>
                <w:tcPr>
                  <w:tcW w:w="969" w:type="pct"/>
                  <w:shd w:val="clear" w:color="auto" w:fill="auto"/>
                  <w:vAlign w:val="center"/>
                </w:tcPr>
                <w:p w14:paraId="1D6A28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渗滤液处理站</w:t>
                  </w:r>
                </w:p>
              </w:tc>
              <w:tc>
                <w:tcPr>
                  <w:tcW w:w="1211" w:type="pct"/>
                  <w:shd w:val="clear" w:color="auto" w:fill="auto"/>
                  <w:vAlign w:val="center"/>
                </w:tcPr>
                <w:p w14:paraId="0C96396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w:t>
                  </w:r>
                </w:p>
              </w:tc>
            </w:tr>
          </w:tbl>
          <w:p w14:paraId="1A8E7069">
            <w:pPr>
              <w:autoSpaceDE w:val="0"/>
              <w:autoSpaceDN w:val="0"/>
              <w:adjustRightInd w:val="0"/>
              <w:snapToGrid w:val="0"/>
              <w:spacing w:before="120" w:beforeLines="50" w:line="360" w:lineRule="auto"/>
              <w:ind w:firstLine="482" w:firstLineChars="200"/>
              <w:rPr>
                <w:rFonts w:hAnsi="宋体"/>
                <w:b/>
                <w:color w:val="auto"/>
                <w:kern w:val="0"/>
                <w:sz w:val="24"/>
              </w:rPr>
            </w:pPr>
            <w:r>
              <w:rPr>
                <w:b/>
                <w:color w:val="auto"/>
                <w:kern w:val="0"/>
                <w:sz w:val="24"/>
              </w:rPr>
              <w:t>2.</w:t>
            </w:r>
            <w:r>
              <w:rPr>
                <w:rFonts w:hAnsi="宋体"/>
                <w:b/>
                <w:color w:val="auto"/>
                <w:kern w:val="0"/>
                <w:sz w:val="24"/>
              </w:rPr>
              <w:t>现有项目工艺流程及产污环节图</w:t>
            </w:r>
          </w:p>
          <w:p w14:paraId="35805542">
            <w:pPr>
              <w:spacing w:line="500" w:lineRule="exact"/>
              <w:ind w:firstLine="482" w:firstLineChars="200"/>
              <w:jc w:val="both"/>
              <w:outlineLvl w:val="3"/>
              <w:rPr>
                <w:rFonts w:hint="default" w:ascii="Times New Roman" w:hAnsi="Times New Roman" w:eastAsia="宋体" w:cs="Times New Roman"/>
                <w:color w:val="auto"/>
                <w:sz w:val="24"/>
                <w:szCs w:val="24"/>
                <w:highlight w:val="none"/>
                <w:shd w:val="clear" w:color="auto" w:fill="FFFFFF" w:themeFill="background1"/>
              </w:rPr>
            </w:pPr>
            <w:r>
              <w:rPr>
                <w:rFonts w:hint="eastAsia" w:ascii="Times New Roman" w:hAnsi="Times New Roman" w:eastAsia="宋体" w:cs="Times New Roman"/>
                <w:b/>
                <w:color w:val="auto"/>
                <w:sz w:val="24"/>
                <w:szCs w:val="24"/>
                <w:highlight w:val="none"/>
                <w:shd w:val="clear" w:color="auto" w:fill="FFFFFF" w:themeFill="background1"/>
                <w:lang w:val="en-US" w:eastAsia="zh-CN"/>
              </w:rPr>
              <w:t>2.1</w:t>
            </w:r>
            <w:r>
              <w:rPr>
                <w:rFonts w:hint="default" w:ascii="Times New Roman" w:hAnsi="Times New Roman" w:eastAsia="宋体" w:cs="Times New Roman"/>
                <w:b/>
                <w:color w:val="auto"/>
                <w:sz w:val="24"/>
                <w:szCs w:val="24"/>
                <w:highlight w:val="none"/>
                <w:shd w:val="clear" w:color="auto" w:fill="FFFFFF" w:themeFill="background1"/>
              </w:rPr>
              <w:t>生活垃圾填埋场</w:t>
            </w:r>
          </w:p>
          <w:p w14:paraId="1753953A">
            <w:pPr>
              <w:pStyle w:val="153"/>
              <w:ind w:firstLine="482"/>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eastAsia="zh-CN"/>
              </w:rPr>
              <w:t>1.</w:t>
            </w:r>
            <w:r>
              <w:rPr>
                <w:rFonts w:hint="default" w:ascii="Times New Roman" w:hAnsi="Times New Roman" w:eastAsia="宋体" w:cs="Times New Roman"/>
                <w:b/>
                <w:color w:val="auto"/>
                <w:sz w:val="24"/>
                <w:szCs w:val="24"/>
                <w:highlight w:val="none"/>
              </w:rPr>
              <w:t>工艺流程</w:t>
            </w:r>
          </w:p>
          <w:p w14:paraId="527699F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现有项目生活垃圾填埋场工程占地86663m</w:t>
            </w:r>
            <w:r>
              <w:rPr>
                <w:rFonts w:hint="default" w:ascii="Times New Roman" w:hAnsi="Times New Roman" w:eastAsia="宋体" w:cs="Times New Roman"/>
                <w:color w:val="auto"/>
                <w:sz w:val="24"/>
                <w:szCs w:val="24"/>
                <w:highlight w:val="none"/>
                <w:shd w:val="clear" w:color="auto" w:fill="FFFFFF" w:themeFill="background1"/>
                <w:vertAlign w:val="superscript"/>
              </w:rPr>
              <w:t>2</w:t>
            </w:r>
            <w:r>
              <w:rPr>
                <w:rFonts w:hint="default" w:ascii="Times New Roman" w:hAnsi="Times New Roman" w:eastAsia="宋体" w:cs="Times New Roman"/>
                <w:color w:val="auto"/>
                <w:sz w:val="24"/>
                <w:szCs w:val="24"/>
                <w:highlight w:val="none"/>
                <w:shd w:val="clear" w:color="auto" w:fill="FFFFFF" w:themeFill="background1"/>
              </w:rPr>
              <w:t>，建设填埋库4个（包含3个垃圾填埋库，库容73.47万m</w:t>
            </w:r>
            <w:r>
              <w:rPr>
                <w:rFonts w:hint="default" w:ascii="Times New Roman" w:hAnsi="Times New Roman" w:eastAsia="宋体" w:cs="Times New Roman"/>
                <w:color w:val="auto"/>
                <w:sz w:val="24"/>
                <w:szCs w:val="24"/>
                <w:highlight w:val="none"/>
                <w:shd w:val="clear" w:color="auto" w:fill="FFFFFF" w:themeFill="background1"/>
                <w:vertAlign w:val="superscript"/>
              </w:rPr>
              <w:t>3</w:t>
            </w:r>
            <w:r>
              <w:rPr>
                <w:rFonts w:hint="default" w:ascii="Times New Roman" w:hAnsi="Times New Roman" w:eastAsia="宋体" w:cs="Times New Roman"/>
                <w:color w:val="auto"/>
                <w:sz w:val="24"/>
                <w:szCs w:val="24"/>
                <w:highlight w:val="none"/>
                <w:shd w:val="clear" w:color="auto" w:fill="FFFFFF" w:themeFill="background1"/>
              </w:rPr>
              <w:t>与1个飞灰填埋库，库容16万m</w:t>
            </w:r>
            <w:r>
              <w:rPr>
                <w:rFonts w:hint="default" w:ascii="Times New Roman" w:hAnsi="Times New Roman" w:eastAsia="宋体" w:cs="Times New Roman"/>
                <w:color w:val="auto"/>
                <w:sz w:val="24"/>
                <w:szCs w:val="24"/>
                <w:highlight w:val="none"/>
                <w:shd w:val="clear" w:color="auto" w:fill="FFFFFF" w:themeFill="background1"/>
                <w:vertAlign w:val="superscript"/>
              </w:rPr>
              <w:t>3</w:t>
            </w:r>
            <w:r>
              <w:rPr>
                <w:rFonts w:hint="default" w:ascii="Times New Roman" w:hAnsi="Times New Roman" w:eastAsia="宋体" w:cs="Times New Roman"/>
                <w:color w:val="auto"/>
                <w:sz w:val="24"/>
                <w:szCs w:val="24"/>
                <w:highlight w:val="none"/>
                <w:shd w:val="clear" w:color="auto" w:fill="FFFFFF" w:themeFill="background1"/>
              </w:rPr>
              <w:t>），设计总库容89.47万m</w:t>
            </w:r>
            <w:r>
              <w:rPr>
                <w:rFonts w:hint="default" w:ascii="Times New Roman" w:hAnsi="Times New Roman" w:eastAsia="宋体" w:cs="Times New Roman"/>
                <w:color w:val="auto"/>
                <w:sz w:val="24"/>
                <w:szCs w:val="24"/>
                <w:highlight w:val="none"/>
                <w:shd w:val="clear" w:color="auto" w:fill="FFFFFF" w:themeFill="background1"/>
                <w:vertAlign w:val="superscript"/>
              </w:rPr>
              <w:t>3</w:t>
            </w:r>
            <w:r>
              <w:rPr>
                <w:rFonts w:hint="default" w:ascii="Times New Roman" w:hAnsi="Times New Roman" w:eastAsia="宋体" w:cs="Times New Roman"/>
                <w:color w:val="auto"/>
                <w:sz w:val="24"/>
                <w:szCs w:val="24"/>
                <w:highlight w:val="none"/>
                <w:shd w:val="clear" w:color="auto" w:fill="FFFFFF" w:themeFill="background1"/>
              </w:rPr>
              <w:t>，设计日填埋处理生活垃圾300吨，使用年限为10.2年。</w:t>
            </w:r>
            <w:r>
              <w:rPr>
                <w:rFonts w:hint="eastAsia" w:ascii="Times New Roman" w:hAnsi="Times New Roman" w:eastAsia="宋体" w:cs="Times New Roman"/>
                <w:color w:val="auto"/>
                <w:sz w:val="24"/>
                <w:szCs w:val="24"/>
                <w:highlight w:val="none"/>
                <w:shd w:val="clear" w:color="auto" w:fill="FFFFFF" w:themeFill="background1"/>
              </w:rPr>
              <w:t>由于焚烧厂2</w:t>
            </w:r>
            <w:r>
              <w:rPr>
                <w:rFonts w:hint="default" w:ascii="Times New Roman" w:hAnsi="Times New Roman" w:eastAsia="宋体" w:cs="Times New Roman"/>
                <w:color w:val="auto"/>
                <w:sz w:val="24"/>
                <w:szCs w:val="24"/>
                <w:highlight w:val="none"/>
                <w:shd w:val="clear" w:color="auto" w:fill="FFFFFF" w:themeFill="background1"/>
              </w:rPr>
              <w:t>020</w:t>
            </w:r>
            <w:r>
              <w:rPr>
                <w:rFonts w:hint="eastAsia" w:ascii="Times New Roman" w:hAnsi="Times New Roman" w:eastAsia="宋体" w:cs="Times New Roman"/>
                <w:color w:val="auto"/>
                <w:sz w:val="24"/>
                <w:szCs w:val="24"/>
                <w:highlight w:val="none"/>
                <w:shd w:val="clear" w:color="auto" w:fill="FFFFFF" w:themeFill="background1"/>
              </w:rPr>
              <w:t>年建成后垃圾量一直焚烧不足，零碳公司对现有填埋场填埋库区垃圾开挖后运送至焚烧厂焚烧。</w:t>
            </w:r>
            <w:r>
              <w:rPr>
                <w:rFonts w:hint="default" w:ascii="Times New Roman" w:hAnsi="Times New Roman" w:eastAsia="宋体" w:cs="Times New Roman"/>
                <w:color w:val="auto"/>
                <w:sz w:val="24"/>
                <w:szCs w:val="24"/>
                <w:highlight w:val="none"/>
                <w:shd w:val="clear" w:color="auto" w:fill="FFFFFF" w:themeFill="background1"/>
              </w:rPr>
              <w:t>目前填埋场不再接受生活垃圾填埋</w:t>
            </w:r>
            <w:r>
              <w:rPr>
                <w:rFonts w:hint="eastAsia" w:ascii="Times New Roman" w:hAnsi="Times New Roman" w:eastAsia="宋体" w:cs="Times New Roman"/>
                <w:color w:val="auto"/>
                <w:sz w:val="24"/>
                <w:szCs w:val="24"/>
                <w:highlight w:val="none"/>
                <w:shd w:val="clear" w:color="auto" w:fill="FFFFFF" w:themeFill="background1"/>
                <w:lang w:eastAsia="zh-CN"/>
              </w:rPr>
              <w:t>，</w:t>
            </w:r>
            <w:r>
              <w:rPr>
                <w:rFonts w:hint="eastAsia" w:cs="Times New Roman"/>
                <w:color w:val="auto"/>
                <w:sz w:val="24"/>
                <w:szCs w:val="24"/>
                <w:highlight w:val="none"/>
                <w:shd w:val="clear" w:color="auto" w:fill="FFFFFF" w:themeFill="background1"/>
                <w:lang w:eastAsia="zh-CN"/>
              </w:rPr>
              <w:t>现状</w:t>
            </w:r>
            <w:r>
              <w:rPr>
                <w:rFonts w:hint="eastAsia" w:ascii="Times New Roman" w:hAnsi="Times New Roman" w:eastAsia="宋体"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lang w:eastAsia="zh-CN"/>
              </w:rPr>
              <w:t>已</w:t>
            </w:r>
            <w:r>
              <w:rPr>
                <w:rFonts w:hint="default" w:ascii="Times New Roman" w:hAnsi="Times New Roman" w:eastAsia="宋体" w:cs="Times New Roman"/>
                <w:color w:val="auto"/>
                <w:sz w:val="24"/>
                <w:szCs w:val="24"/>
                <w:highlight w:val="none"/>
                <w:shd w:val="clear" w:color="auto" w:fill="FFFFFF" w:themeFill="background1"/>
                <w:lang w:val="en-US" w:eastAsia="zh-CN"/>
              </w:rPr>
              <w:t>采取膜覆盖措施</w:t>
            </w:r>
            <w:r>
              <w:rPr>
                <w:rFonts w:hint="eastAsia" w:cs="Times New Roman"/>
                <w:color w:val="auto"/>
                <w:sz w:val="24"/>
                <w:szCs w:val="24"/>
                <w:highlight w:val="none"/>
                <w:shd w:val="clear" w:color="auto" w:fill="FFFFFF" w:themeFill="background1"/>
                <w:lang w:eastAsia="zh-CN"/>
              </w:rPr>
              <w:t>。目前对生活垃圾填埋场进行技术改造项目，并</w:t>
            </w:r>
            <w:r>
              <w:rPr>
                <w:rFonts w:hint="default" w:ascii="Times New Roman" w:hAnsi="Times New Roman" w:eastAsia="宋体" w:cs="Times New Roman"/>
                <w:color w:val="auto"/>
                <w:sz w:val="24"/>
                <w:szCs w:val="24"/>
                <w:highlight w:val="none"/>
                <w:shd w:val="clear" w:color="auto" w:fill="FFFFFF" w:themeFill="background1"/>
                <w:lang w:eastAsia="zh-CN"/>
              </w:rPr>
              <w:t>委托江苏环保产业技术研究院股份公司对该项目进行环境影响</w:t>
            </w:r>
            <w:r>
              <w:rPr>
                <w:rFonts w:hint="eastAsia" w:ascii="Times New Roman" w:hAnsi="Times New Roman" w:eastAsia="宋体" w:cs="Times New Roman"/>
                <w:color w:val="auto"/>
                <w:sz w:val="24"/>
                <w:szCs w:val="24"/>
                <w:highlight w:val="none"/>
                <w:shd w:val="clear" w:color="auto" w:fill="FFFFFF" w:themeFill="background1"/>
                <w:lang w:eastAsia="zh-CN"/>
              </w:rPr>
              <w:t>评价工作，项目处于编制中。</w:t>
            </w:r>
          </w:p>
          <w:p w14:paraId="53D0784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w:t>
            </w:r>
            <w:r>
              <w:rPr>
                <w:rFonts w:hint="default" w:ascii="Times New Roman" w:hAnsi="Times New Roman" w:eastAsia="宋体" w:cs="Times New Roman"/>
                <w:color w:val="auto"/>
                <w:sz w:val="24"/>
                <w:szCs w:val="24"/>
                <w:highlight w:val="none"/>
                <w:shd w:val="clear" w:color="auto" w:fill="FFFFFF" w:themeFill="background1"/>
                <w:lang w:val="en-US" w:eastAsia="zh-CN"/>
              </w:rPr>
              <w:t>生活垃圾</w:t>
            </w:r>
            <w:r>
              <w:rPr>
                <w:rFonts w:hint="default" w:ascii="Times New Roman" w:hAnsi="Times New Roman" w:eastAsia="宋体" w:cs="Times New Roman"/>
                <w:color w:val="auto"/>
                <w:sz w:val="24"/>
                <w:szCs w:val="24"/>
                <w:highlight w:val="none"/>
                <w:shd w:val="clear" w:color="auto" w:fill="FFFFFF" w:themeFill="background1"/>
              </w:rPr>
              <w:t>填埋</w:t>
            </w:r>
            <w:r>
              <w:rPr>
                <w:rFonts w:hint="default" w:ascii="Times New Roman" w:hAnsi="Times New Roman" w:eastAsia="宋体" w:cs="Times New Roman"/>
                <w:color w:val="auto"/>
                <w:sz w:val="24"/>
                <w:szCs w:val="24"/>
                <w:highlight w:val="none"/>
                <w:shd w:val="clear" w:color="auto" w:fill="FFFFFF" w:themeFill="background1"/>
                <w:lang w:val="en-US" w:eastAsia="zh-CN"/>
              </w:rPr>
              <w:t>库区停用前</w:t>
            </w:r>
            <w:r>
              <w:rPr>
                <w:rFonts w:hint="default" w:ascii="Times New Roman" w:hAnsi="Times New Roman" w:eastAsia="宋体" w:cs="Times New Roman"/>
                <w:color w:val="auto"/>
                <w:sz w:val="24"/>
                <w:szCs w:val="24"/>
                <w:highlight w:val="none"/>
                <w:shd w:val="clear" w:color="auto" w:fill="FFFFFF" w:themeFill="background1"/>
              </w:rPr>
              <w:t>日常作业包括运输卸料、摊铺、压实、洒水降尘、覆盖以及封场等。</w:t>
            </w:r>
          </w:p>
          <w:p w14:paraId="2AFD83C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填埋物从场底开始逐层倾倒，并开始按单元进行填埋作业。在废物填埋单元逐层推进时，不断安放渗滤液竖向导排井。</w:t>
            </w:r>
          </w:p>
          <w:p w14:paraId="5AB63EF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对于填埋废弃物，用自卸运输车运至规划好的作业单元内卸车，然后用履带式挖掘机摊平、分层压实，最后在每天下班前或作业结束后采用厚度不小于0.5mm的HDPE膜进行临时覆盖，在雨天尽量不进行废物的填埋作业。</w:t>
            </w:r>
          </w:p>
          <w:p w14:paraId="1C9A6E5D">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废物从铺设的衬层之上开始逐层填埋，逐步填高，单层的填埋高度为0.5米。</w:t>
            </w:r>
          </w:p>
          <w:p w14:paraId="6B88971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具体作业工序：</w:t>
            </w:r>
          </w:p>
          <w:p w14:paraId="721914C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（1）临时填埋作业道路连接围堤顶环场道路，临时作业道路在填埋堆体上修建，连接填埋作业面。填埋库区从开始填埋起并随着填埋物的堆高，应在堆体表面修筑半永久性道路，以将填埋物运往填埋作业面。</w:t>
            </w:r>
          </w:p>
          <w:p w14:paraId="473E5AB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2）固废填埋采取分区单元式分层安全填埋方式，按先后顺序由下而上进行，每日作业单元根据实际日处理固废填埋量确定。填埋作业过程包括场地准备、安装导气石笼井、整理临时截洪沟、固废的运输、倾倒、摊铺、压实及覆盖。</w:t>
            </w:r>
          </w:p>
          <w:p w14:paraId="3E2B5BF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3）固废填埋以下推式斜面作业法为主，固废卸车平面沿进场道路布置。卸车平台设置在堆体上，固废从卸车平面推卸后，由履带式挖掘机向下推铺、压实。项目实际填埋过程中根据固废种类的不同按要求进行分区填埋。</w:t>
            </w:r>
          </w:p>
          <w:p w14:paraId="02891C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填埋场主要工艺流程及产污节点如图</w:t>
            </w:r>
            <w:r>
              <w:rPr>
                <w:rFonts w:hint="eastAsia" w:ascii="Times New Roman" w:hAnsi="Times New Roman" w:eastAsia="宋体" w:cs="Times New Roman"/>
                <w:color w:val="auto"/>
                <w:sz w:val="24"/>
                <w:szCs w:val="24"/>
                <w:highlight w:val="none"/>
                <w:shd w:val="clear" w:color="auto" w:fill="FFFFFF" w:themeFill="background1"/>
                <w:lang w:val="en-US" w:eastAsia="zh-CN"/>
              </w:rPr>
              <w:t>2-3</w:t>
            </w:r>
            <w:r>
              <w:rPr>
                <w:rFonts w:hint="default" w:ascii="Times New Roman" w:hAnsi="Times New Roman" w:eastAsia="宋体" w:cs="Times New Roman"/>
                <w:color w:val="auto"/>
                <w:sz w:val="24"/>
                <w:szCs w:val="24"/>
                <w:highlight w:val="none"/>
                <w:shd w:val="clear" w:color="auto" w:fill="FFFFFF" w:themeFill="background1"/>
              </w:rPr>
              <w:t>。</w:t>
            </w:r>
          </w:p>
          <w:p w14:paraId="20744776">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27E631D7">
            <w:pPr>
              <w:pStyle w:val="12"/>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6" o:spt="75" type="#_x0000_t75" style="height:245.95pt;width:402.25pt;" o:ole="t" filled="f" o:preferrelative="t" stroked="f" coordsize="21600,21600">
                  <v:path/>
                  <v:fill on="f" focussize="0,0"/>
                  <v:stroke on="f"/>
                  <v:imagedata r:id="rId14" o:title=""/>
                  <o:lock v:ext="edit" aspectratio="t"/>
                  <w10:wrap type="none"/>
                  <w10:anchorlock/>
                </v:shape>
                <o:OLEObject Type="Embed" ProgID="Visio.Drawing.15" ShapeID="_x0000_i1026" DrawAspect="Content" ObjectID="_1468075726" r:id="rId13">
                  <o:LockedField>false</o:LockedField>
                </o:OLEObject>
              </w:object>
            </w:r>
          </w:p>
          <w:p w14:paraId="4512D2E2">
            <w:pPr>
              <w:spacing w:line="500" w:lineRule="exact"/>
              <w:jc w:val="center"/>
              <w:rPr>
                <w:rFonts w:hint="default" w:ascii="Times New Roman" w:hAnsi="Times New Roman" w:eastAsia="宋体" w:cs="Times New Roman"/>
                <w:b/>
                <w:color w:val="auto"/>
                <w:highlight w:val="none"/>
                <w:shd w:val="clear" w:color="auto" w:fill="FFFFFF" w:themeFill="background1"/>
              </w:rPr>
            </w:pPr>
            <w:r>
              <w:rPr>
                <w:rFonts w:hint="default" w:ascii="Times New Roman" w:hAnsi="Times New Roman" w:eastAsia="宋体" w:cs="Times New Roman"/>
                <w:b/>
                <w:color w:val="auto"/>
                <w:highlight w:val="none"/>
                <w:shd w:val="clear" w:color="auto" w:fill="FFFFFF" w:themeFill="background1"/>
              </w:rPr>
              <w:t>图</w:t>
            </w:r>
            <w:r>
              <w:rPr>
                <w:rFonts w:hint="eastAsia" w:ascii="Times New Roman" w:hAnsi="Times New Roman" w:eastAsia="宋体" w:cs="Times New Roman"/>
                <w:b/>
                <w:color w:val="auto"/>
                <w:highlight w:val="none"/>
                <w:shd w:val="clear" w:color="auto" w:fill="FFFFFF" w:themeFill="background1"/>
                <w:lang w:val="en-US" w:eastAsia="zh-CN"/>
              </w:rPr>
              <w:t>2-3</w:t>
            </w:r>
            <w:r>
              <w:rPr>
                <w:rFonts w:hint="default" w:ascii="Times New Roman" w:hAnsi="Times New Roman" w:eastAsia="宋体" w:cs="Times New Roman"/>
                <w:b/>
                <w:color w:val="auto"/>
                <w:highlight w:val="none"/>
                <w:shd w:val="clear" w:color="auto" w:fill="FFFFFF" w:themeFill="background1"/>
              </w:rPr>
              <w:t xml:space="preserve">  填埋场主要工艺流程及产污节点图</w:t>
            </w:r>
          </w:p>
          <w:p w14:paraId="7E30F067">
            <w:pPr>
              <w:spacing w:line="500" w:lineRule="exact"/>
              <w:ind w:firstLine="482" w:firstLineChars="200"/>
              <w:jc w:val="both"/>
              <w:outlineLvl w:val="3"/>
              <w:rPr>
                <w:rFonts w:hint="default" w:ascii="Times New Roman" w:hAnsi="Times New Roman" w:eastAsia="宋体" w:cs="Times New Roman"/>
                <w:b/>
                <w:color w:val="auto"/>
                <w:sz w:val="24"/>
                <w:szCs w:val="24"/>
                <w:highlight w:val="none"/>
                <w:shd w:val="clear" w:color="auto" w:fill="FFFFFF" w:themeFill="background1"/>
                <w:lang w:val="en-US" w:eastAsia="zh-CN"/>
              </w:rPr>
            </w:pPr>
            <w:r>
              <w:rPr>
                <w:rFonts w:hint="eastAsia" w:cs="Times New Roman"/>
                <w:b/>
                <w:color w:val="auto"/>
                <w:sz w:val="24"/>
                <w:szCs w:val="24"/>
                <w:highlight w:val="none"/>
                <w:shd w:val="clear" w:color="auto" w:fill="FFFFFF" w:themeFill="background1"/>
                <w:lang w:val="en-US" w:eastAsia="zh-CN"/>
              </w:rPr>
              <w:t>2.</w:t>
            </w:r>
            <w:r>
              <w:rPr>
                <w:rFonts w:hint="default" w:ascii="Times New Roman" w:hAnsi="Times New Roman" w:eastAsia="宋体" w:cs="Times New Roman"/>
                <w:b/>
                <w:color w:val="auto"/>
                <w:sz w:val="24"/>
                <w:szCs w:val="24"/>
                <w:highlight w:val="none"/>
                <w:shd w:val="clear" w:color="auto" w:fill="FFFFFF" w:themeFill="background1"/>
                <w:lang w:val="en-US" w:eastAsia="zh-CN"/>
              </w:rPr>
              <w:t>其他辅助工程</w:t>
            </w:r>
          </w:p>
          <w:p w14:paraId="3683AA7C">
            <w:pPr>
              <w:spacing w:line="500" w:lineRule="exact"/>
              <w:ind w:firstLine="482" w:firstLineChars="200"/>
              <w:jc w:val="both"/>
              <w:outlineLvl w:val="3"/>
              <w:rPr>
                <w:rFonts w:hint="default" w:ascii="Times New Roman" w:hAnsi="Times New Roman" w:eastAsia="宋体" w:cs="Times New Roman"/>
                <w:b/>
                <w:color w:val="auto"/>
                <w:sz w:val="24"/>
                <w:szCs w:val="24"/>
                <w:highlight w:val="none"/>
                <w:shd w:val="clear" w:color="auto" w:fill="FFFFFF" w:themeFill="background1"/>
                <w:lang w:val="en-US" w:eastAsia="zh-CN"/>
              </w:rPr>
            </w:pPr>
            <w:r>
              <w:rPr>
                <w:rFonts w:hint="default" w:ascii="Times New Roman" w:hAnsi="Times New Roman" w:eastAsia="宋体" w:cs="Times New Roman"/>
                <w:b/>
                <w:color w:val="auto"/>
                <w:sz w:val="24"/>
                <w:szCs w:val="24"/>
                <w:highlight w:val="none"/>
                <w:shd w:val="clear" w:color="auto" w:fill="FFFFFF" w:themeFill="background1"/>
                <w:lang w:val="en-US" w:eastAsia="zh-CN"/>
              </w:rPr>
              <w:t>（1）截流沟</w:t>
            </w:r>
          </w:p>
          <w:p w14:paraId="743035A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为了排洪，确保垃圾填埋场的安全，同时减少进入垃圾填埋场的径流量，使填埋场的渗滤液量尽可能稳定，少受地面径流的影响，在垃圾库四周修建截洪沟，将地表径流截流后排入填埋场以外｡截洪沟的沟底坡度为0.002。</w:t>
            </w:r>
          </w:p>
          <w:p w14:paraId="78883DDB">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（2）垃圾坝</w:t>
            </w:r>
          </w:p>
          <w:p w14:paraId="1DB9FF4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为了防止垃圾场内垃圾对周围区域造成污染，因此垃圾场在建设过</w:t>
            </w:r>
            <w:r>
              <w:rPr>
                <w:rFonts w:hint="eastAsia" w:cs="Times New Roman"/>
                <w:color w:val="auto"/>
                <w:sz w:val="24"/>
                <w:szCs w:val="24"/>
                <w:highlight w:val="none"/>
                <w:shd w:val="clear" w:color="auto" w:fill="FFFFFF" w:themeFill="background1"/>
                <w:lang w:eastAsia="zh-CN"/>
              </w:rPr>
              <w:t>程中</w:t>
            </w:r>
            <w:r>
              <w:rPr>
                <w:rFonts w:hint="default" w:ascii="Times New Roman" w:hAnsi="Times New Roman" w:eastAsia="宋体" w:cs="Times New Roman"/>
                <w:color w:val="auto"/>
                <w:sz w:val="24"/>
                <w:szCs w:val="24"/>
                <w:highlight w:val="none"/>
                <w:shd w:val="clear" w:color="auto" w:fill="FFFFFF" w:themeFill="background1"/>
              </w:rPr>
              <w:t>应在填埋库区四周建设垃圾坝，垃圾场在建设过程中，垃圾坝的地上高度应高于垃圾设计堆高，坝顶宽5米，外坡斜度1:3，内坡斜度1:2，且垃圾坝应做防渗处理，这样可以有效地防止垃圾溢出场外，防止对周围区域的污染。</w:t>
            </w:r>
          </w:p>
          <w:p w14:paraId="038254D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（3）防渗系统</w:t>
            </w:r>
          </w:p>
          <w:p w14:paraId="39FD184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为了防止对地下水及周围水域造成污染，现有项目填埋场已经进行防渗处理，填埋库区底部和边坡铺设HDPE膜等渗透率低的防渗材料，并且用单层复合防渗系统，即1.5mmHDPE膜+750mm压实粘土防渗系统。</w:t>
            </w:r>
          </w:p>
          <w:p w14:paraId="3D99AF7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场底防渗：现有填埋场项目选用1.5mm双光面HDPE土工膜，场底采用两层600g/m2的针刺长丝土工布作为防渗上保护层；利用750mm粘土</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压实后渗透系数应小于1*10</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vertAlign w:val="superscript"/>
              </w:rPr>
              <w:t>7</w:t>
            </w:r>
            <w:r>
              <w:rPr>
                <w:rFonts w:hint="default" w:ascii="Times New Roman" w:hAnsi="Times New Roman" w:eastAsia="宋体" w:cs="Times New Roman"/>
                <w:color w:val="auto"/>
                <w:sz w:val="24"/>
                <w:szCs w:val="24"/>
                <w:highlight w:val="none"/>
                <w:shd w:val="clear" w:color="auto" w:fill="FFFFFF" w:themeFill="background1"/>
              </w:rPr>
              <w:t>cm/s</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作为防渗下保护层；支持层下铺设300mm碎石\中粗砂作为反滤层，沿场底设置地下水排水盲沟。</w:t>
            </w:r>
          </w:p>
          <w:p w14:paraId="4BED473D">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边坡防渗：坡</w:t>
            </w:r>
            <w:r>
              <w:rPr>
                <w:rFonts w:hint="eastAsia" w:cs="Times New Roman"/>
                <w:color w:val="auto"/>
                <w:sz w:val="24"/>
                <w:szCs w:val="24"/>
                <w:highlight w:val="none"/>
                <w:shd w:val="clear" w:color="auto" w:fill="FFFFFF" w:themeFill="background1"/>
                <w:lang w:eastAsia="zh-CN"/>
              </w:rPr>
              <w:t>面</w:t>
            </w:r>
            <w:r>
              <w:rPr>
                <w:rFonts w:hint="default" w:ascii="Times New Roman" w:hAnsi="Times New Roman" w:eastAsia="宋体" w:cs="Times New Roman"/>
                <w:color w:val="auto"/>
                <w:sz w:val="24"/>
                <w:szCs w:val="24"/>
                <w:highlight w:val="none"/>
                <w:shd w:val="clear" w:color="auto" w:fill="FFFFFF" w:themeFill="background1"/>
              </w:rPr>
              <w:t>采用1.5mm的双光面HDPE土工膜。距场底坡脚1.5m处，坡面HDPE与场底HDPE连接，采用单轨焊接。在堤顶使防渗膜外延40cm，将其埋入预挖的沟槽内，沟深0.5m，宽0.4m。沟内用C15素砼回填，起锚固作用。保护层采用1层600g/m</w:t>
            </w:r>
            <w:r>
              <w:rPr>
                <w:rFonts w:hint="default" w:ascii="Times New Roman" w:hAnsi="Times New Roman" w:eastAsia="宋体" w:cs="Times New Roman"/>
                <w:color w:val="auto"/>
                <w:sz w:val="24"/>
                <w:szCs w:val="24"/>
                <w:highlight w:val="none"/>
                <w:shd w:val="clear" w:color="auto" w:fill="FFFFFF" w:themeFill="background1"/>
                <w:vertAlign w:val="superscript"/>
              </w:rPr>
              <w:t>2</w:t>
            </w:r>
            <w:r>
              <w:rPr>
                <w:rFonts w:hint="default" w:ascii="Times New Roman" w:hAnsi="Times New Roman" w:eastAsia="宋体" w:cs="Times New Roman"/>
                <w:color w:val="auto"/>
                <w:sz w:val="24"/>
                <w:szCs w:val="24"/>
                <w:highlight w:val="none"/>
                <w:shd w:val="clear" w:color="auto" w:fill="FFFFFF" w:themeFill="background1"/>
              </w:rPr>
              <w:t>的针刺长丝土工布。</w:t>
            </w:r>
          </w:p>
          <w:p w14:paraId="68D2D54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（4）渗滤液收集系统</w:t>
            </w:r>
          </w:p>
          <w:p w14:paraId="7B4D417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渗滤液收集导排系统主要由设置在底部防渗层上的排水层、集水盲沟和竖向石笼组成。</w:t>
            </w:r>
          </w:p>
          <w:p w14:paraId="5DD533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排水层：在库底防渗层上铺设一层300mm中粗砂或级配碎石。</w:t>
            </w:r>
          </w:p>
          <w:p w14:paraId="573689ED">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盲沟：盲沟内设置高密度聚乙烯穿孔管，管外填充中粗砂和卵石作过滤层。填充材料粒径应从管周至沟边依次增大。库区底部设置主盲沟一条，主盲沟两侧间隔25</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30m设副盲沟，与主盲沟</w:t>
            </w:r>
            <w:r>
              <w:rPr>
                <w:rFonts w:hint="eastAsia" w:cs="Times New Roman"/>
                <w:color w:val="auto"/>
                <w:sz w:val="24"/>
                <w:szCs w:val="24"/>
                <w:highlight w:val="none"/>
                <w:shd w:val="clear" w:color="auto" w:fill="FFFFFF" w:themeFill="background1"/>
                <w:lang w:eastAsia="zh-CN"/>
              </w:rPr>
              <w:t>呈</w:t>
            </w:r>
            <w:r>
              <w:rPr>
                <w:rFonts w:hint="default" w:ascii="Times New Roman" w:hAnsi="Times New Roman" w:eastAsia="宋体" w:cs="Times New Roman"/>
                <w:color w:val="auto"/>
                <w:sz w:val="24"/>
                <w:szCs w:val="24"/>
                <w:highlight w:val="none"/>
                <w:shd w:val="clear" w:color="auto" w:fill="FFFFFF" w:themeFill="background1"/>
              </w:rPr>
              <w:t>60°夹角。</w:t>
            </w:r>
          </w:p>
          <w:p w14:paraId="6256401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石笼：在整个填埋区域内按50m左右间距设置竖向导气集水石笼。石笼由直径800mm的铁丝网填以级配碎石形成，石笼内设置DN160 HDPE穿孔管。</w:t>
            </w:r>
          </w:p>
          <w:p w14:paraId="21E5508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渗滤液收集导排系统的工作机理：各垃圾层的渗滤液进入附近副盲沟，由副盲沟流入竖向石笼，再经石笼或坡面流入主盲沟，最后经主盲沟排入调节池。</w:t>
            </w:r>
          </w:p>
          <w:p w14:paraId="755012C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（5）填埋气体导排系统</w:t>
            </w:r>
          </w:p>
          <w:p w14:paraId="1BED492B">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利用导气石笼做填埋气体收集系统。导气石笼内径800mm，石笼内碎石粒径32～100mm，外围钢筋φ8，石笼内管道为DN160的HDPE管、表面轴向开孔间距100mm，导气石笼和导气管底部与渗滤液导排盲沟底部平齐，分段构筑，每段顶面均高出相应的覆盖层表面1.0m。在单元内每隔30～50m安装导气石笼。填埋作业时注意石笼不被掩埋、不被机械撞倒或位移，并随着垃圾填埋平面的扩展，随时布设新的石笼。填埋气体通过水平导气盲沟排放至竖向导气石笼。填埋气体经集中收集后通过金属软管引到燃烧塔进行燃烧处理。燃烧塔设置压力控制装置和自动点火装置，当填埋气体压强达到设定数值后通过自动点火装置对LFG进行燃烧处理。在每个竖向石笼顶部接近最终覆盖层处设置一根DN200铸铁气体排放管，排放口高出最终覆盖层1.0m。</w:t>
            </w:r>
          </w:p>
          <w:p w14:paraId="791CA73F">
            <w:pPr>
              <w:adjustRightInd w:val="0"/>
              <w:snapToGrid w:val="0"/>
              <w:spacing w:line="500" w:lineRule="exact"/>
              <w:ind w:firstLine="482" w:firstLineChars="200"/>
              <w:jc w:val="both"/>
              <w:rPr>
                <w:rFonts w:hint="default" w:ascii="Times New Roman" w:hAnsi="Times New Roman" w:eastAsia="宋体" w:cs="Times New Roman"/>
                <w:b/>
                <w:bCs/>
                <w:color w:val="auto"/>
                <w:sz w:val="24"/>
                <w:szCs w:val="24"/>
                <w:highlight w:val="none"/>
                <w:shd w:val="clear" w:color="auto" w:fill="FFFFFF" w:themeFill="background1"/>
              </w:rPr>
            </w:pPr>
            <w:r>
              <w:rPr>
                <w:rFonts w:hint="eastAsia" w:ascii="Times New Roman" w:hAnsi="Times New Roman" w:eastAsia="宋体" w:cs="Times New Roman"/>
                <w:b/>
                <w:bCs/>
                <w:color w:val="auto"/>
                <w:sz w:val="24"/>
                <w:szCs w:val="24"/>
                <w:highlight w:val="none"/>
                <w:shd w:val="clear" w:color="auto" w:fill="FFFFFF" w:themeFill="background1"/>
                <w:lang w:val="en-US" w:eastAsia="zh-CN"/>
              </w:rPr>
              <w:t>2.2</w:t>
            </w:r>
            <w:r>
              <w:rPr>
                <w:rFonts w:hint="default" w:ascii="Times New Roman" w:hAnsi="Times New Roman" w:eastAsia="宋体" w:cs="Times New Roman"/>
                <w:b/>
                <w:bCs/>
                <w:color w:val="auto"/>
                <w:sz w:val="24"/>
                <w:szCs w:val="24"/>
                <w:highlight w:val="none"/>
                <w:shd w:val="clear" w:color="auto" w:fill="FFFFFF" w:themeFill="background1"/>
              </w:rPr>
              <w:t>生活垃圾焚烧工程</w:t>
            </w:r>
          </w:p>
          <w:p w14:paraId="21BE433A">
            <w:pPr>
              <w:adjustRightInd w:val="0"/>
              <w:snapToGrid w:val="0"/>
              <w:spacing w:line="500" w:lineRule="exact"/>
              <w:ind w:firstLine="482" w:firstLineChars="200"/>
              <w:jc w:val="both"/>
              <w:rPr>
                <w:rFonts w:hint="eastAsia" w:cs="Times New Roman"/>
                <w:color w:val="auto"/>
                <w:sz w:val="24"/>
                <w:szCs w:val="24"/>
                <w:highlight w:val="none"/>
                <w:shd w:val="clear" w:color="auto" w:fill="FFFFFF" w:themeFill="background1"/>
                <w:lang w:eastAsia="zh-CN"/>
              </w:rPr>
            </w:pPr>
            <w:r>
              <w:rPr>
                <w:rFonts w:hint="eastAsia" w:cs="Times New Roman"/>
                <w:b/>
                <w:bCs/>
                <w:color w:val="auto"/>
                <w:sz w:val="24"/>
                <w:szCs w:val="24"/>
                <w:highlight w:val="none"/>
                <w:shd w:val="clear" w:color="auto" w:fill="FFFFFF" w:themeFill="background1"/>
                <w:lang w:eastAsia="zh-CN"/>
              </w:rPr>
              <w:t>技改前：</w:t>
            </w:r>
          </w:p>
          <w:p w14:paraId="799CAFDD">
            <w:pPr>
              <w:adjustRightInd w:val="0"/>
              <w:snapToGrid w:val="0"/>
              <w:spacing w:line="500" w:lineRule="exact"/>
              <w:ind w:firstLine="480" w:firstLineChars="200"/>
              <w:jc w:val="both"/>
              <w:rPr>
                <w:rFonts w:hint="eastAsia" w:ascii="Times New Roman" w:hAnsi="Times New Roman" w:eastAsia="宋体" w:cs="Times New Roman"/>
                <w:color w:val="auto"/>
                <w:sz w:val="24"/>
                <w:szCs w:val="24"/>
                <w:highlight w:val="none"/>
                <w:shd w:val="clear" w:color="auto" w:fill="FFFFFF" w:themeFill="background1"/>
                <w:lang w:val="en-US" w:eastAsia="zh-CN"/>
              </w:rPr>
            </w:pPr>
            <w:r>
              <w:rPr>
                <w:rFonts w:hint="default" w:ascii="Times New Roman" w:hAnsi="Times New Roman" w:eastAsia="宋体" w:cs="Times New Roman"/>
                <w:color w:val="auto"/>
                <w:sz w:val="24"/>
                <w:szCs w:val="24"/>
                <w:highlight w:val="none"/>
                <w:shd w:val="clear" w:color="auto" w:fill="FFFFFF" w:themeFill="background1"/>
                <w:lang w:val="en-US" w:eastAsia="zh-CN"/>
              </w:rPr>
              <w:t>建设2套400t/d焚烧系统，配套建设1套15MW发电系统，利用机械炉排炉垃圾焚烧发电技术，生产中压中温过热蒸汽（400℃、4.0MPa），配套凝汽式汽轮机组。整个工艺系统由垃圾接收及供料系统、辅助燃料供应系统、垃圾焚烧系统、烟气净化处理系统、排渣系统、灰渣综合处理系统、汽水系统、仪表控制系统、化水处理系统、电气控制系统、汽轮机及发电系统、空冷系统及电力接入系统等组成。</w:t>
            </w:r>
            <w:r>
              <w:rPr>
                <w:rFonts w:hint="eastAsia" w:ascii="Times New Roman" w:hAnsi="Times New Roman" w:eastAsia="宋体" w:cs="Times New Roman"/>
                <w:color w:val="auto"/>
                <w:sz w:val="24"/>
                <w:szCs w:val="24"/>
                <w:highlight w:val="none"/>
                <w:shd w:val="clear" w:color="auto" w:fill="FFFFFF" w:themeFill="background1"/>
                <w:lang w:val="en-US" w:eastAsia="zh-CN"/>
              </w:rPr>
              <w:t>（焚烧系统未发生改变，与下面工艺一致）</w:t>
            </w:r>
          </w:p>
          <w:p w14:paraId="21628DC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US" w:eastAsia="zh-CN"/>
              </w:rPr>
            </w:pPr>
            <w:r>
              <w:rPr>
                <w:rFonts w:hint="eastAsia" w:ascii="Times New Roman" w:hAnsi="Times New Roman" w:eastAsia="宋体" w:cs="Times New Roman"/>
                <w:color w:val="auto"/>
                <w:sz w:val="24"/>
                <w:szCs w:val="24"/>
                <w:highlight w:val="none"/>
                <w:shd w:val="clear" w:color="auto" w:fill="FFFFFF" w:themeFill="background1"/>
                <w:lang w:val="en-US" w:eastAsia="zh-CN"/>
              </w:rPr>
              <w:t>焚烧处置：生活垃圾（焚烧的生活垃圾中6</w:t>
            </w:r>
            <w:r>
              <w:rPr>
                <w:rFonts w:hint="default" w:ascii="Times New Roman" w:hAnsi="Times New Roman" w:eastAsia="宋体" w:cs="Times New Roman"/>
                <w:color w:val="auto"/>
                <w:sz w:val="24"/>
                <w:szCs w:val="24"/>
                <w:highlight w:val="none"/>
                <w:shd w:val="clear" w:color="auto" w:fill="FFFFFF" w:themeFill="background1"/>
                <w:lang w:val="en-US" w:eastAsia="zh-CN"/>
              </w:rPr>
              <w:t>0</w:t>
            </w:r>
            <w:r>
              <w:rPr>
                <w:rFonts w:hint="eastAsia" w:ascii="Times New Roman" w:hAnsi="Times New Roman" w:eastAsia="宋体" w:cs="Times New Roman"/>
                <w:color w:val="auto"/>
                <w:sz w:val="24"/>
                <w:szCs w:val="24"/>
                <w:highlight w:val="none"/>
                <w:shd w:val="clear" w:color="auto" w:fill="FFFFFF" w:themeFill="background1"/>
                <w:lang w:val="en-US" w:eastAsia="zh-CN"/>
              </w:rPr>
              <w:t>%来自涟水各垃圾站，4</w:t>
            </w:r>
            <w:r>
              <w:rPr>
                <w:rFonts w:hint="default" w:ascii="Times New Roman" w:hAnsi="Times New Roman" w:eastAsia="宋体" w:cs="Times New Roman"/>
                <w:color w:val="auto"/>
                <w:sz w:val="24"/>
                <w:szCs w:val="24"/>
                <w:highlight w:val="none"/>
                <w:shd w:val="clear" w:color="auto" w:fill="FFFFFF" w:themeFill="background1"/>
                <w:lang w:val="en-US" w:eastAsia="zh-CN"/>
              </w:rPr>
              <w:t>0</w:t>
            </w:r>
            <w:r>
              <w:rPr>
                <w:rFonts w:hint="eastAsia" w:ascii="Times New Roman" w:hAnsi="Times New Roman" w:eastAsia="宋体" w:cs="Times New Roman"/>
                <w:color w:val="auto"/>
                <w:sz w:val="24"/>
                <w:szCs w:val="24"/>
                <w:highlight w:val="none"/>
                <w:shd w:val="clear" w:color="auto" w:fill="FFFFFF" w:themeFill="background1"/>
                <w:lang w:val="en-US" w:eastAsia="zh-CN"/>
              </w:rPr>
              <w:t>%来自填埋场垃圾开挖）。</w:t>
            </w:r>
          </w:p>
          <w:p w14:paraId="76C8EE38">
            <w:pPr>
              <w:adjustRightInd w:val="0"/>
              <w:snapToGrid w:val="0"/>
              <w:spacing w:line="500" w:lineRule="exact"/>
              <w:ind w:firstLine="482" w:firstLineChars="200"/>
              <w:jc w:val="both"/>
              <w:rPr>
                <w:rFonts w:hint="eastAsia" w:ascii="Times New Roman" w:hAnsi="Times New Roman" w:eastAsia="宋体" w:cs="Times New Roman"/>
                <w:b/>
                <w:bCs/>
                <w:color w:val="auto"/>
                <w:sz w:val="24"/>
                <w:szCs w:val="24"/>
                <w:highlight w:val="none"/>
                <w:shd w:val="clear" w:color="auto" w:fill="FFFFFF" w:themeFill="background1"/>
                <w:lang w:eastAsia="zh-CN"/>
              </w:rPr>
            </w:pPr>
            <w:r>
              <w:rPr>
                <w:rFonts w:hint="eastAsia" w:ascii="Times New Roman" w:hAnsi="Times New Roman" w:eastAsia="宋体" w:cs="Times New Roman"/>
                <w:b/>
                <w:bCs/>
                <w:color w:val="auto"/>
                <w:sz w:val="24"/>
                <w:szCs w:val="24"/>
                <w:highlight w:val="none"/>
                <w:shd w:val="clear" w:color="auto" w:fill="FFFFFF" w:themeFill="background1"/>
                <w:lang w:eastAsia="zh-CN"/>
              </w:rPr>
              <w:t>技改后</w:t>
            </w:r>
            <w:r>
              <w:rPr>
                <w:rFonts w:hint="eastAsia" w:cs="Times New Roman"/>
                <w:b/>
                <w:bCs/>
                <w:color w:val="auto"/>
                <w:sz w:val="24"/>
                <w:szCs w:val="24"/>
                <w:highlight w:val="none"/>
                <w:shd w:val="clear" w:color="auto" w:fill="FFFFFF" w:themeFill="background1"/>
                <w:lang w:eastAsia="zh-CN"/>
              </w:rPr>
              <w:t>现状</w:t>
            </w:r>
            <w:r>
              <w:rPr>
                <w:rFonts w:hint="eastAsia" w:ascii="Times New Roman" w:hAnsi="Times New Roman" w:eastAsia="宋体" w:cs="Times New Roman"/>
                <w:b/>
                <w:bCs/>
                <w:color w:val="auto"/>
                <w:sz w:val="24"/>
                <w:szCs w:val="24"/>
                <w:highlight w:val="none"/>
                <w:shd w:val="clear" w:color="auto" w:fill="FFFFFF" w:themeFill="background1"/>
                <w:lang w:eastAsia="zh-CN"/>
              </w:rPr>
              <w:t>：</w:t>
            </w:r>
          </w:p>
          <w:p w14:paraId="5B4917AB">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已建设2座400t/d垃圾焚烧机械炉排炉，焚烧处置生活垃圾（包括填埋场内的陈腐垃圾）和一般工业固废（废旧纺织品、废木制品、造纸废渣、纺织品边角料、废纸、废塑料制品等），配套1台15MW纯凝汽轮发电机组，发电的同时生产中压中温过热蒸汽（400℃、4.0MPa）。该工艺系统由垃圾接收及供料系统、辅助燃料供应系统、垃圾焚烧系统、烟气净化处理系统、排渣系统、灰渣综合处理系统、仪表控制系统、电气控制系统、汽轮机及发电系统、空冷系统及电力接入系统等组成。</w:t>
            </w:r>
          </w:p>
          <w:p w14:paraId="1E1DD7A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（1）垃圾接收及供料系统</w:t>
            </w:r>
          </w:p>
          <w:p w14:paraId="79E72E6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垃圾车由物流门</w:t>
            </w:r>
            <w:r>
              <w:rPr>
                <w:rFonts w:hint="eastAsia" w:cs="Times New Roman"/>
                <w:color w:val="auto"/>
                <w:sz w:val="24"/>
                <w:szCs w:val="24"/>
                <w:highlight w:val="none"/>
                <w:shd w:val="clear" w:color="auto" w:fill="FFFFFF" w:themeFill="background1"/>
                <w:lang w:eastAsia="zh-CN"/>
              </w:rPr>
              <w:t>进场</w:t>
            </w:r>
            <w:r>
              <w:rPr>
                <w:rFonts w:hint="default" w:ascii="Times New Roman" w:hAnsi="Times New Roman" w:eastAsia="宋体" w:cs="Times New Roman"/>
                <w:color w:val="auto"/>
                <w:sz w:val="24"/>
                <w:szCs w:val="24"/>
                <w:highlight w:val="none"/>
                <w:shd w:val="clear" w:color="auto" w:fill="FFFFFF" w:themeFill="background1"/>
              </w:rPr>
              <w:t>，经地磅秤重后，车辆依照指示驶入垃圾卸料平台，将垃圾倾倒入垃圾贮坑。垃圾通过吊机抓斗搅拌混合后送至焚烧炉。</w:t>
            </w:r>
          </w:p>
          <w:p w14:paraId="34EB441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1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①</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检视</w:t>
            </w:r>
          </w:p>
          <w:p w14:paraId="409FDBC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地磅入口前设检视平台，垃圾运输车辆及所装垃圾应符合《垃圾供应与运输协议》要求。对于非协议双方认定的车辆、协议规定不可处理废弃物、非双方认定的非许可垃圾为不合格，拒绝入厂。</w:t>
            </w:r>
          </w:p>
          <w:p w14:paraId="4FBF4EB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2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②</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称重系统</w:t>
            </w:r>
          </w:p>
          <w:p w14:paraId="793A974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现有项目设置2套（一台60吨/一台100吨）地磅，进出厂称量地磅一般情况下分开使用，但在同一流向车辆称量拥挤时两台地磅也可共用。</w:t>
            </w:r>
          </w:p>
          <w:p w14:paraId="57CA0A0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3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③</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垃圾卸料大厅</w:t>
            </w:r>
          </w:p>
          <w:p w14:paraId="7CEFB85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垃圾卸料平台布置在主厂房东北面，紧贴垃圾贮坑，卸料平台长61.8m、宽24m、高10.05m。设有专用的垃圾运输车进、出口。进出口车道宽7.0m，设有电动快关门和空气幕墙。</w:t>
            </w:r>
          </w:p>
          <w:p w14:paraId="137F968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4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④</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垃圾自动卸料门</w:t>
            </w:r>
          </w:p>
          <w:p w14:paraId="20BDB5FF">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为防止有害臭气从垃圾贮坑扩散至大气，卸料门采用气密</w:t>
            </w:r>
            <w:r>
              <w:rPr>
                <w:rFonts w:hint="eastAsia" w:cs="Times New Roman"/>
                <w:color w:val="auto"/>
                <w:sz w:val="24"/>
                <w:szCs w:val="24"/>
                <w:highlight w:val="none"/>
                <w:shd w:val="clear" w:color="auto" w:fill="FFFFFF" w:themeFill="background1"/>
                <w:lang w:eastAsia="zh-CN"/>
              </w:rPr>
              <w:t>型</w:t>
            </w:r>
            <w:r>
              <w:rPr>
                <w:rFonts w:hint="default" w:ascii="Times New Roman" w:hAnsi="Times New Roman" w:eastAsia="宋体" w:cs="Times New Roman"/>
                <w:color w:val="auto"/>
                <w:sz w:val="24"/>
                <w:szCs w:val="24"/>
                <w:highlight w:val="none"/>
                <w:shd w:val="clear" w:color="auto" w:fill="FFFFFF" w:themeFill="background1"/>
              </w:rPr>
              <w:t>设计，并能耐磨损与撞击。为保证卸料门开启与垃圾抓斗作业相协调，门的开启信号传至垃圾抓斗操作室。共设置4座电动提升门，卸料门外形尺寸：宽3.6m×高7m。</w:t>
            </w:r>
          </w:p>
          <w:p w14:paraId="28FBB70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5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⑤</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垃圾贮坑</w:t>
            </w:r>
          </w:p>
          <w:p w14:paraId="5BA954A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垃圾贮坑长44m，宽24m，深约13m，半地下式。可储存垃圾约8250t，约10天储存量。垃圾贮坑采用钢筋混凝土结构，具有防渗性能。一般工业固废未设置单独的贮存场所，利用现有的垃圾坑进行分区贮存。</w:t>
            </w:r>
          </w:p>
          <w:p w14:paraId="0A21144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垃圾贮坑上方设抓斗桥式起重机2台，抓斗形式为电动双梁多瓣抓斗。垃圾</w:t>
            </w:r>
            <w:r>
              <w:rPr>
                <w:rFonts w:hint="eastAsia" w:cs="Times New Roman"/>
                <w:color w:val="auto"/>
                <w:sz w:val="24"/>
                <w:szCs w:val="24"/>
                <w:highlight w:val="none"/>
                <w:shd w:val="clear" w:color="auto" w:fill="FFFFFF" w:themeFill="background1"/>
                <w:lang w:eastAsia="zh-CN"/>
              </w:rPr>
              <w:t>贮</w:t>
            </w:r>
            <w:r>
              <w:rPr>
                <w:rFonts w:hint="default" w:ascii="Times New Roman" w:hAnsi="Times New Roman" w:eastAsia="宋体" w:cs="Times New Roman"/>
                <w:color w:val="auto"/>
                <w:sz w:val="24"/>
                <w:szCs w:val="24"/>
                <w:highlight w:val="none"/>
                <w:shd w:val="clear" w:color="auto" w:fill="FFFFFF" w:themeFill="background1"/>
              </w:rPr>
              <w:t>坑底部有2%斜坡，垃圾贮坑底部两侧墙均设渗滤液导排口，可避免渗滤液导排口的堵塞，使垃圾渗滤液能够顺利排出，一方面能减小臭味，另一方面能提高进炉垃圾的热值。</w:t>
            </w:r>
          </w:p>
          <w:p w14:paraId="32130B6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垃圾池上部设有焚烧炉一次风机的吸风口，一次风机从垃圾储坑中抽取空气，用作焚烧炉的助燃空气。这样可维持垃圾储坑中的负压，防止坑内的臭气外溢。</w:t>
            </w:r>
          </w:p>
          <w:p w14:paraId="1FA9700C">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垃圾池屋顶</w:t>
            </w:r>
            <w:r>
              <w:rPr>
                <w:rFonts w:hint="eastAsia" w:cs="Times New Roman"/>
                <w:color w:val="auto"/>
                <w:sz w:val="24"/>
                <w:szCs w:val="24"/>
                <w:highlight w:val="none"/>
                <w:shd w:val="clear" w:color="auto" w:fill="FFFFFF" w:themeFill="background1"/>
                <w:lang w:eastAsia="zh-CN"/>
              </w:rPr>
              <w:t>除设置</w:t>
            </w:r>
            <w:r>
              <w:rPr>
                <w:rFonts w:hint="default" w:ascii="Times New Roman" w:hAnsi="Times New Roman" w:eastAsia="宋体" w:cs="Times New Roman"/>
                <w:color w:val="auto"/>
                <w:sz w:val="24"/>
                <w:szCs w:val="24"/>
                <w:highlight w:val="none"/>
                <w:shd w:val="clear" w:color="auto" w:fill="FFFFFF" w:themeFill="background1"/>
              </w:rPr>
              <w:t>人工采光外，还设置自然采光设施，以增加</w:t>
            </w:r>
            <w:r>
              <w:rPr>
                <w:rFonts w:hint="eastAsia" w:cs="Times New Roman"/>
                <w:color w:val="auto"/>
                <w:sz w:val="24"/>
                <w:szCs w:val="24"/>
                <w:highlight w:val="none"/>
                <w:shd w:val="clear" w:color="auto" w:fill="FFFFFF" w:themeFill="background1"/>
                <w:lang w:eastAsia="zh-CN"/>
              </w:rPr>
              <w:t>垃圾池</w:t>
            </w:r>
            <w:r>
              <w:rPr>
                <w:rFonts w:hint="default" w:ascii="Times New Roman" w:hAnsi="Times New Roman" w:eastAsia="宋体" w:cs="Times New Roman"/>
                <w:color w:val="auto"/>
                <w:sz w:val="24"/>
                <w:szCs w:val="24"/>
                <w:highlight w:val="none"/>
                <w:shd w:val="clear" w:color="auto" w:fill="FFFFFF" w:themeFill="background1"/>
              </w:rPr>
              <w:t>的亮度。垃圾池内设有消防水枪、固定消防炮。垃圾池的固定端留有抓斗的检修场地，可方便起重机抓斗的检修。抓斗起重机配有计量装置，将垃圾装入量传送给控制室进行记录。抓斗吊车运行由控制室进行遥控，控制室与垃圾仓完全隔离，由控制室操作人员控制抓斗吊车运行。</w:t>
            </w:r>
          </w:p>
          <w:p w14:paraId="423C38F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6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⑥</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垃圾抓斗起重机</w:t>
            </w:r>
          </w:p>
          <w:p w14:paraId="1B62A6A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垃圾起重机其关键部件是抓斗和控制装置。现有项目使用桔瓣式抓斗，爪张开时，其尖端垂直向下，便于尽可能深地插入垃圾堆中，其抓深大。抓斗材料是碳钢，爪的材料采用硬的合金，以防止磨损和腐蚀。</w:t>
            </w:r>
          </w:p>
          <w:p w14:paraId="329F908F">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垃圾起重机共设2台，抓斗2台，容积6.3m3。起重机由垃圾抓斗、卷起装置、行走装置、配电装置、称重装置以及控制设备等组成，其型式为半自动控制电动双梁抓斗起重机，能手动运行或半自动，可快速切换。</w:t>
            </w:r>
          </w:p>
          <w:p w14:paraId="2E79938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垃圾接收及供料系统会产生恶臭废气G1、垃圾渗滤液W1、垃圾接收及调运会产生噪声N1。</w:t>
            </w:r>
          </w:p>
          <w:p w14:paraId="091D196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（2）辅助燃料供应系统</w:t>
            </w:r>
          </w:p>
          <w:p w14:paraId="3C6548B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现有项目锅炉点火燃料采用0#轻柴油，每年点火次数为8次，每次点火时间4h。燃油由槽罐车运输，卸至储油罐，现有项目设置两座V=20m3的地埋式储油罐。</w:t>
            </w:r>
          </w:p>
          <w:p w14:paraId="14A326F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（3）垃圾焚烧系统</w:t>
            </w:r>
          </w:p>
          <w:p w14:paraId="521B8C9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AU"/>
              </w:rPr>
            </w:pPr>
            <w:r>
              <w:rPr>
                <w:rFonts w:hint="default" w:ascii="Times New Roman" w:hAnsi="Times New Roman" w:eastAsia="宋体" w:cs="Times New Roman"/>
                <w:color w:val="auto"/>
                <w:sz w:val="24"/>
                <w:szCs w:val="24"/>
                <w:highlight w:val="none"/>
                <w:shd w:val="clear" w:color="auto" w:fill="FFFFFF" w:themeFill="background1"/>
                <w:lang w:val="en-AU"/>
              </w:rPr>
              <w:t>采用顺推式机械炉排炉焚烧装置与锅炉结合在一起，组成垃圾焚烧炉。顺推式机械炉排焚烧炉及锅炉均布置在室内，锅炉采用单锅筒自然循环水管锅炉、立式结构、顶部悬吊，焚烧炉膛为负压燃烧、平衡通风、四通道，其中前三个通道为垂直辐射通道，最后一个通道由烟道及省煤器管束组成。为保证焚烧炉内烟气在 850℃以上停留时间不少于</w:t>
            </w:r>
            <w:r>
              <w:rPr>
                <w:rFonts w:hint="default" w:ascii="Times New Roman" w:hAnsi="Times New Roman" w:eastAsia="宋体" w:cs="Times New Roman"/>
                <w:color w:val="auto"/>
                <w:sz w:val="24"/>
                <w:szCs w:val="24"/>
                <w:highlight w:val="none"/>
                <w:shd w:val="clear" w:color="auto" w:fill="FFFFFF" w:themeFill="background1"/>
              </w:rPr>
              <w:t>2</w:t>
            </w:r>
            <w:r>
              <w:rPr>
                <w:rFonts w:hint="default" w:ascii="Times New Roman" w:hAnsi="Times New Roman" w:eastAsia="宋体" w:cs="Times New Roman"/>
                <w:color w:val="auto"/>
                <w:sz w:val="24"/>
                <w:szCs w:val="24"/>
                <w:highlight w:val="none"/>
                <w:shd w:val="clear" w:color="auto" w:fill="FFFFFF" w:themeFill="background1"/>
                <w:lang w:val="en-AU"/>
              </w:rPr>
              <w:t>秒，焚烧炉燃烧室由耐火砖组成，此区域内未布置锅炉受热面。燃烧室上部及烟气第一、第二通道形成三个垂直辐射通道，由膜式水冷壁组成，由自然循环方式运行。对流受热面由保护管、蒸发器、过热器及省煤器组成。过热器采用三级布置、二级喷水减温的型式，省煤器采用三级布置。</w:t>
            </w:r>
          </w:p>
          <w:p w14:paraId="05ECED5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①焚烧炉</w:t>
            </w:r>
          </w:p>
          <w:p w14:paraId="6D5A322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垃圾抓斗将仓内垃圾提升到给料斗，通过给料槽连续不断加料到炉排入口。给料斗与给料槽之间采用密闭性</w:t>
            </w:r>
            <w:r>
              <w:rPr>
                <w:rFonts w:hint="eastAsia" w:cs="Times New Roman"/>
                <w:color w:val="auto"/>
                <w:sz w:val="24"/>
                <w:szCs w:val="24"/>
                <w:highlight w:val="none"/>
                <w:shd w:val="clear" w:color="auto" w:fill="FFFFFF" w:themeFill="background1"/>
                <w:lang w:eastAsia="zh-CN"/>
              </w:rPr>
              <w:t>良好</w:t>
            </w:r>
            <w:r>
              <w:rPr>
                <w:rFonts w:hint="default" w:ascii="Times New Roman" w:hAnsi="Times New Roman" w:eastAsia="宋体" w:cs="Times New Roman"/>
                <w:color w:val="auto"/>
                <w:sz w:val="24"/>
                <w:szCs w:val="24"/>
                <w:highlight w:val="none"/>
                <w:shd w:val="clear" w:color="auto" w:fill="FFFFFF" w:themeFill="background1"/>
              </w:rPr>
              <w:t>的膨胀结连接，并且利用垃圾本身的厚度形成密封层，防止空气漏入炉内和烟气</w:t>
            </w:r>
            <w:r>
              <w:rPr>
                <w:rFonts w:hint="eastAsia" w:cs="Times New Roman"/>
                <w:color w:val="auto"/>
                <w:sz w:val="24"/>
                <w:szCs w:val="24"/>
                <w:highlight w:val="none"/>
                <w:shd w:val="clear" w:color="auto" w:fill="FFFFFF" w:themeFill="background1"/>
                <w:lang w:eastAsia="zh-CN"/>
              </w:rPr>
              <w:t>外溢</w:t>
            </w:r>
            <w:r>
              <w:rPr>
                <w:rFonts w:hint="default" w:ascii="Times New Roman" w:hAnsi="Times New Roman" w:eastAsia="宋体" w:cs="Times New Roman"/>
                <w:color w:val="auto"/>
                <w:sz w:val="24"/>
                <w:szCs w:val="24"/>
                <w:highlight w:val="none"/>
                <w:shd w:val="clear" w:color="auto" w:fill="FFFFFF" w:themeFill="background1"/>
              </w:rPr>
              <w:t>，起到使焚烧炉炉膛与外界隔离的作用。在推料器的作用下，垃圾首先进入排炉干燥区，通过炉排的动作，垃圾在炉排上往前移动到燃烧区，最后到达燃烬区。</w:t>
            </w:r>
            <w:r>
              <w:rPr>
                <w:rFonts w:hint="default" w:ascii="Times New Roman" w:hAnsi="Times New Roman" w:eastAsia="宋体" w:cs="Times New Roman"/>
                <w:color w:val="auto"/>
                <w:sz w:val="24"/>
                <w:szCs w:val="24"/>
                <w:highlight w:val="none"/>
                <w:shd w:val="clear" w:color="auto" w:fill="FFFFFF" w:themeFill="background1"/>
                <w:lang w:val="en-AU"/>
              </w:rPr>
              <w:t>顺推式</w:t>
            </w:r>
            <w:r>
              <w:rPr>
                <w:rFonts w:hint="default" w:ascii="Times New Roman" w:hAnsi="Times New Roman" w:eastAsia="宋体" w:cs="Times New Roman"/>
                <w:color w:val="auto"/>
                <w:sz w:val="24"/>
                <w:szCs w:val="24"/>
                <w:highlight w:val="none"/>
                <w:shd w:val="clear" w:color="auto" w:fill="FFFFFF" w:themeFill="background1"/>
              </w:rPr>
              <w:t>炉排向下与水平成15°倾斜，由叠置的动、静间隙炉排片组成，炉排的往复运行通过液压连杆机构驱动完成，固定炉排与活动炉排间的相对运动推动垃圾向上翻滚，使垃圾在移动的过程中得以均匀混合，有利于着火和燃烧。</w:t>
            </w:r>
          </w:p>
          <w:p w14:paraId="3843765C">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炉膛的布置能满足烟气温度在大于850℃时，停留的时间不少于2s；炉膛内负压维持在-50Pa~-30Pa。</w:t>
            </w:r>
          </w:p>
          <w:p w14:paraId="0F20801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每台炉有2台燃烧器，分别为启动点火燃烧器1台，辅助燃烧器1台。点火燃料为轻质柴油。辅助燃烧器在炉墙的侧壁，启动燃烧器主燃在炉膛后墙，可有效避免炉膛及锅炉区域内的飞灰软化。</w:t>
            </w:r>
          </w:p>
          <w:p w14:paraId="6CDDBB14">
            <w:pPr>
              <w:adjustRightInd w:val="0"/>
              <w:snapToGrid w:val="0"/>
              <w:spacing w:line="500" w:lineRule="exact"/>
              <w:ind w:firstLine="480" w:firstLineChars="200"/>
              <w:jc w:val="both"/>
              <w:rPr>
                <w:rFonts w:hint="default" w:ascii="Times New Roman" w:hAnsi="Times New Roman" w:eastAsia="宋体" w:cs="Times New Roman"/>
                <w:color w:val="auto"/>
                <w:highlight w:val="none"/>
                <w:lang w:val="en-AU"/>
              </w:rPr>
            </w:pPr>
            <w:r>
              <w:rPr>
                <w:rFonts w:hint="default" w:ascii="Times New Roman" w:hAnsi="Times New Roman" w:eastAsia="宋体" w:cs="Times New Roman"/>
                <w:color w:val="auto"/>
                <w:sz w:val="24"/>
                <w:szCs w:val="24"/>
                <w:highlight w:val="none"/>
                <w:shd w:val="clear" w:color="auto" w:fill="FFFFFF" w:themeFill="background1"/>
                <w:lang w:val="en-AU"/>
              </w:rPr>
              <w:t>焚烧炉及锅炉主要技术参数见表</w:t>
            </w:r>
            <w:r>
              <w:rPr>
                <w:rFonts w:hint="eastAsia" w:ascii="Times New Roman" w:hAnsi="Times New Roman" w:eastAsia="宋体" w:cs="Times New Roman"/>
                <w:color w:val="auto"/>
                <w:sz w:val="24"/>
                <w:szCs w:val="24"/>
                <w:highlight w:val="none"/>
                <w:shd w:val="clear" w:color="auto" w:fill="FFFFFF" w:themeFill="background1"/>
                <w:lang w:val="en-US" w:eastAsia="zh-CN"/>
              </w:rPr>
              <w:t>2</w:t>
            </w:r>
            <w:r>
              <w:rPr>
                <w:rFonts w:hint="eastAsia" w:cs="Times New Roman"/>
                <w:color w:val="auto"/>
                <w:sz w:val="24"/>
                <w:szCs w:val="24"/>
                <w:highlight w:val="none"/>
                <w:shd w:val="clear" w:color="auto" w:fill="FFFFFF" w:themeFill="background1"/>
                <w:lang w:val="en-US" w:eastAsia="zh-CN"/>
              </w:rPr>
              <w:t>-10</w:t>
            </w:r>
            <w:r>
              <w:rPr>
                <w:rFonts w:hint="default" w:ascii="Times New Roman" w:hAnsi="Times New Roman" w:eastAsia="宋体" w:cs="Times New Roman"/>
                <w:color w:val="auto"/>
                <w:sz w:val="24"/>
                <w:szCs w:val="24"/>
                <w:highlight w:val="none"/>
                <w:shd w:val="clear" w:color="auto" w:fill="FFFFFF" w:themeFill="background1"/>
                <w:lang w:val="en-AU"/>
              </w:rPr>
              <w:t>。</w:t>
            </w:r>
          </w:p>
          <w:p w14:paraId="115EE33B">
            <w:pPr>
              <w:pStyle w:val="42"/>
              <w:snapToGrid w:val="0"/>
              <w:spacing w:line="500" w:lineRule="exact"/>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kern w:val="2"/>
                <w:highlight w:val="none"/>
              </w:rPr>
              <w:t>表</w:t>
            </w:r>
            <w:r>
              <w:rPr>
                <w:rFonts w:hint="eastAsia" w:ascii="Times New Roman" w:hAnsi="Times New Roman" w:eastAsia="宋体" w:cs="Times New Roman"/>
                <w:b/>
                <w:color w:val="auto"/>
                <w:kern w:val="2"/>
                <w:highlight w:val="none"/>
                <w:lang w:val="en-US" w:eastAsia="zh-CN"/>
              </w:rPr>
              <w:t>2-10</w:t>
            </w:r>
            <w:r>
              <w:rPr>
                <w:rFonts w:hint="default" w:ascii="Times New Roman" w:hAnsi="Times New Roman" w:eastAsia="宋体" w:cs="Times New Roman"/>
                <w:b/>
                <w:color w:val="auto"/>
                <w:kern w:val="2"/>
                <w:highlight w:val="none"/>
              </w:rPr>
              <w:t xml:space="preserve">  焚烧炉及锅炉主要技术参数</w:t>
            </w:r>
          </w:p>
          <w:tbl>
            <w:tblPr>
              <w:tblStyle w:val="13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9"/>
              <w:gridCol w:w="833"/>
              <w:gridCol w:w="2874"/>
              <w:gridCol w:w="3949"/>
            </w:tblGrid>
            <w:tr w14:paraId="6CD573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blHeader/>
              </w:trPr>
              <w:tc>
                <w:tcPr>
                  <w:tcW w:w="451" w:type="pct"/>
                  <w:vAlign w:val="center"/>
                </w:tcPr>
                <w:p w14:paraId="004016BE">
                  <w:pPr>
                    <w:pStyle w:val="137"/>
                    <w:spacing w:line="240" w:lineRule="auto"/>
                    <w:rPr>
                      <w:rFonts w:hint="default" w:ascii="Times New Roman" w:hAnsi="Times New Roman" w:eastAsia="宋体" w:cs="Times New Roman"/>
                      <w:b/>
                      <w:bCs/>
                      <w:snapToGrid w:val="0"/>
                      <w:color w:val="auto"/>
                      <w:highlight w:val="none"/>
                      <w:lang w:eastAsia="en-US"/>
                    </w:rPr>
                  </w:pPr>
                  <w:r>
                    <w:rPr>
                      <w:rFonts w:hint="default" w:ascii="Times New Roman" w:hAnsi="Times New Roman" w:eastAsia="宋体" w:cs="Times New Roman"/>
                      <w:b/>
                      <w:bCs/>
                      <w:snapToGrid w:val="0"/>
                      <w:color w:val="auto"/>
                      <w:highlight w:val="none"/>
                      <w:lang w:eastAsia="en-US"/>
                    </w:rPr>
                    <w:t>序号</w:t>
                  </w:r>
                </w:p>
              </w:tc>
              <w:tc>
                <w:tcPr>
                  <w:tcW w:w="2202" w:type="pct"/>
                  <w:gridSpan w:val="2"/>
                  <w:vAlign w:val="center"/>
                </w:tcPr>
                <w:p w14:paraId="35B5355D">
                  <w:pPr>
                    <w:pStyle w:val="137"/>
                    <w:spacing w:line="240" w:lineRule="auto"/>
                    <w:rPr>
                      <w:rFonts w:hint="default" w:ascii="Times New Roman" w:hAnsi="Times New Roman" w:eastAsia="宋体" w:cs="Times New Roman"/>
                      <w:b/>
                      <w:bCs/>
                      <w:snapToGrid w:val="0"/>
                      <w:color w:val="auto"/>
                      <w:highlight w:val="none"/>
                      <w:lang w:eastAsia="en-US"/>
                    </w:rPr>
                  </w:pPr>
                  <w:r>
                    <w:rPr>
                      <w:rFonts w:hint="default" w:ascii="Times New Roman" w:hAnsi="Times New Roman" w:eastAsia="宋体" w:cs="Times New Roman"/>
                      <w:b/>
                      <w:bCs/>
                      <w:snapToGrid w:val="0"/>
                      <w:color w:val="auto"/>
                      <w:highlight w:val="none"/>
                      <w:lang w:eastAsia="en-US"/>
                    </w:rPr>
                    <w:t>设计内容</w:t>
                  </w:r>
                </w:p>
              </w:tc>
              <w:tc>
                <w:tcPr>
                  <w:tcW w:w="2346" w:type="pct"/>
                  <w:vAlign w:val="center"/>
                </w:tcPr>
                <w:p w14:paraId="03CD0F6D">
                  <w:pPr>
                    <w:pStyle w:val="137"/>
                    <w:spacing w:line="240" w:lineRule="auto"/>
                    <w:rPr>
                      <w:rFonts w:hint="default" w:ascii="Times New Roman" w:hAnsi="Times New Roman" w:eastAsia="宋体" w:cs="Times New Roman"/>
                      <w:b/>
                      <w:bCs/>
                      <w:snapToGrid w:val="0"/>
                      <w:color w:val="auto"/>
                      <w:highlight w:val="none"/>
                      <w:lang w:eastAsia="en-US"/>
                    </w:rPr>
                  </w:pPr>
                  <w:r>
                    <w:rPr>
                      <w:rFonts w:hint="default" w:ascii="Times New Roman" w:hAnsi="Times New Roman" w:eastAsia="宋体" w:cs="Times New Roman"/>
                      <w:b/>
                      <w:bCs/>
                      <w:snapToGrid w:val="0"/>
                      <w:color w:val="auto"/>
                      <w:highlight w:val="none"/>
                      <w:lang w:eastAsia="en-US"/>
                    </w:rPr>
                    <w:t>设计参数</w:t>
                  </w:r>
                </w:p>
              </w:tc>
            </w:tr>
            <w:tr w14:paraId="3DC99A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Merge w:val="restart"/>
                  <w:vAlign w:val="center"/>
                </w:tcPr>
                <w:p w14:paraId="53CC64AB">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1</w:t>
                  </w:r>
                </w:p>
              </w:tc>
              <w:tc>
                <w:tcPr>
                  <w:tcW w:w="495" w:type="pct"/>
                  <w:vMerge w:val="restart"/>
                  <w:vAlign w:val="center"/>
                </w:tcPr>
                <w:p w14:paraId="633EE8C8">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处理能力</w:t>
                  </w:r>
                </w:p>
              </w:tc>
              <w:tc>
                <w:tcPr>
                  <w:tcW w:w="1706" w:type="pct"/>
                  <w:vAlign w:val="center"/>
                </w:tcPr>
                <w:p w14:paraId="7F7539B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设计处理能力</w:t>
                  </w:r>
                </w:p>
              </w:tc>
              <w:tc>
                <w:tcPr>
                  <w:tcW w:w="2346" w:type="pct"/>
                  <w:vAlign w:val="center"/>
                </w:tcPr>
                <w:p w14:paraId="4F34F5E1">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16.67吨/小时（MCR）</w:t>
                  </w:r>
                </w:p>
              </w:tc>
            </w:tr>
            <w:tr w14:paraId="0370C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Merge w:val="continue"/>
                  <w:vAlign w:val="center"/>
                </w:tcPr>
                <w:p w14:paraId="7A287C80">
                  <w:pPr>
                    <w:pStyle w:val="137"/>
                    <w:spacing w:line="240" w:lineRule="auto"/>
                    <w:rPr>
                      <w:rFonts w:hint="default" w:ascii="Times New Roman" w:hAnsi="Times New Roman" w:eastAsia="宋体" w:cs="Times New Roman"/>
                      <w:snapToGrid w:val="0"/>
                      <w:color w:val="auto"/>
                      <w:highlight w:val="none"/>
                      <w:lang w:eastAsia="en-US"/>
                    </w:rPr>
                  </w:pPr>
                </w:p>
              </w:tc>
              <w:tc>
                <w:tcPr>
                  <w:tcW w:w="495" w:type="pct"/>
                  <w:vMerge w:val="continue"/>
                  <w:vAlign w:val="center"/>
                </w:tcPr>
                <w:p w14:paraId="7E3D4424">
                  <w:pPr>
                    <w:pStyle w:val="137"/>
                    <w:spacing w:line="240" w:lineRule="auto"/>
                    <w:rPr>
                      <w:rFonts w:hint="default" w:ascii="Times New Roman" w:hAnsi="Times New Roman" w:eastAsia="宋体" w:cs="Times New Roman"/>
                      <w:snapToGrid w:val="0"/>
                      <w:color w:val="auto"/>
                      <w:highlight w:val="none"/>
                      <w:lang w:eastAsia="en-US"/>
                    </w:rPr>
                  </w:pPr>
                </w:p>
              </w:tc>
              <w:tc>
                <w:tcPr>
                  <w:tcW w:w="1706" w:type="pct"/>
                  <w:vAlign w:val="center"/>
                </w:tcPr>
                <w:p w14:paraId="0F6C0CD8">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最小处理能力</w:t>
                  </w:r>
                </w:p>
              </w:tc>
              <w:tc>
                <w:tcPr>
                  <w:tcW w:w="2346" w:type="pct"/>
                  <w:vAlign w:val="center"/>
                </w:tcPr>
                <w:p w14:paraId="3F35865F">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10.0吨/小时（60%）</w:t>
                  </w:r>
                </w:p>
              </w:tc>
            </w:tr>
            <w:tr w14:paraId="7488F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Merge w:val="continue"/>
                  <w:vAlign w:val="center"/>
                </w:tcPr>
                <w:p w14:paraId="182C623E">
                  <w:pPr>
                    <w:pStyle w:val="137"/>
                    <w:spacing w:line="240" w:lineRule="auto"/>
                    <w:rPr>
                      <w:rFonts w:hint="default" w:ascii="Times New Roman" w:hAnsi="Times New Roman" w:eastAsia="宋体" w:cs="Times New Roman"/>
                      <w:snapToGrid w:val="0"/>
                      <w:color w:val="auto"/>
                      <w:highlight w:val="none"/>
                      <w:lang w:eastAsia="en-US"/>
                    </w:rPr>
                  </w:pPr>
                </w:p>
              </w:tc>
              <w:tc>
                <w:tcPr>
                  <w:tcW w:w="495" w:type="pct"/>
                  <w:vMerge w:val="continue"/>
                  <w:vAlign w:val="center"/>
                </w:tcPr>
                <w:p w14:paraId="79C1936D">
                  <w:pPr>
                    <w:pStyle w:val="137"/>
                    <w:spacing w:line="240" w:lineRule="auto"/>
                    <w:rPr>
                      <w:rFonts w:hint="default" w:ascii="Times New Roman" w:hAnsi="Times New Roman" w:eastAsia="宋体" w:cs="Times New Roman"/>
                      <w:snapToGrid w:val="0"/>
                      <w:color w:val="auto"/>
                      <w:highlight w:val="none"/>
                      <w:lang w:eastAsia="en-US"/>
                    </w:rPr>
                  </w:pPr>
                </w:p>
              </w:tc>
              <w:tc>
                <w:tcPr>
                  <w:tcW w:w="1706" w:type="pct"/>
                  <w:vAlign w:val="center"/>
                </w:tcPr>
                <w:p w14:paraId="1241B190">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最大处理能力</w:t>
                  </w:r>
                </w:p>
              </w:tc>
              <w:tc>
                <w:tcPr>
                  <w:tcW w:w="2346" w:type="pct"/>
                  <w:vAlign w:val="center"/>
                </w:tcPr>
                <w:p w14:paraId="7D45A99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18.34吨/小时（110%）</w:t>
                  </w:r>
                </w:p>
              </w:tc>
            </w:tr>
            <w:tr w14:paraId="68AA1D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457C7F14">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2</w:t>
                  </w:r>
                </w:p>
              </w:tc>
              <w:tc>
                <w:tcPr>
                  <w:tcW w:w="2202" w:type="pct"/>
                  <w:gridSpan w:val="2"/>
                  <w:vAlign w:val="center"/>
                </w:tcPr>
                <w:p w14:paraId="54240BF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设计垃圾低位热值</w:t>
                  </w:r>
                </w:p>
              </w:tc>
              <w:tc>
                <w:tcPr>
                  <w:tcW w:w="2346" w:type="pct"/>
                  <w:vAlign w:val="center"/>
                </w:tcPr>
                <w:p w14:paraId="05ECCE11">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6280kJ/kg</w:t>
                  </w:r>
                  <w:r>
                    <w:rPr>
                      <w:rFonts w:hint="eastAsia" w:eastAsia="宋体" w:cs="Times New Roman"/>
                      <w:snapToGrid w:val="0"/>
                      <w:color w:val="auto"/>
                      <w:highlight w:val="none"/>
                      <w:lang w:eastAsia="zh-CN"/>
                    </w:rPr>
                    <w:t>(</w:t>
                  </w:r>
                  <w:r>
                    <w:rPr>
                      <w:rFonts w:hint="default" w:ascii="Times New Roman" w:hAnsi="Times New Roman" w:eastAsia="宋体" w:cs="Times New Roman"/>
                      <w:snapToGrid w:val="0"/>
                      <w:color w:val="auto"/>
                      <w:highlight w:val="none"/>
                      <w:lang w:eastAsia="en-US"/>
                    </w:rPr>
                    <w:t>1500kcal/kg</w:t>
                  </w:r>
                  <w:r>
                    <w:rPr>
                      <w:rFonts w:hint="eastAsia" w:eastAsia="宋体" w:cs="Times New Roman"/>
                      <w:snapToGrid w:val="0"/>
                      <w:color w:val="auto"/>
                      <w:highlight w:val="none"/>
                      <w:lang w:eastAsia="zh-CN"/>
                    </w:rPr>
                    <w:t>)</w:t>
                  </w:r>
                </w:p>
              </w:tc>
            </w:tr>
            <w:tr w14:paraId="0B62B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6149AB1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3</w:t>
                  </w:r>
                </w:p>
              </w:tc>
              <w:tc>
                <w:tcPr>
                  <w:tcW w:w="2202" w:type="pct"/>
                  <w:gridSpan w:val="2"/>
                  <w:vAlign w:val="center"/>
                </w:tcPr>
                <w:p w14:paraId="623657F7">
                  <w:pPr>
                    <w:pStyle w:val="137"/>
                    <w:spacing w:line="240" w:lineRule="auto"/>
                    <w:rPr>
                      <w:rFonts w:hint="default" w:ascii="Times New Roman" w:hAnsi="Times New Roman" w:eastAsia="宋体" w:cs="Times New Roman"/>
                      <w:snapToGrid w:val="0"/>
                      <w:color w:val="auto"/>
                      <w:highlight w:val="none"/>
                      <w:lang w:eastAsia="zh-CN"/>
                    </w:rPr>
                  </w:pPr>
                  <w:r>
                    <w:rPr>
                      <w:rFonts w:hint="default" w:ascii="Times New Roman" w:hAnsi="Times New Roman" w:eastAsia="宋体" w:cs="Times New Roman"/>
                      <w:snapToGrid w:val="0"/>
                      <w:color w:val="auto"/>
                      <w:highlight w:val="none"/>
                      <w:lang w:eastAsia="zh-CN"/>
                    </w:rPr>
                    <w:t>垃圾低位热值适应范围</w:t>
                  </w:r>
                </w:p>
              </w:tc>
              <w:tc>
                <w:tcPr>
                  <w:tcW w:w="2346" w:type="pct"/>
                  <w:vAlign w:val="center"/>
                </w:tcPr>
                <w:p w14:paraId="59D9962A">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4190kJ/kg</w:t>
                  </w:r>
                  <w:r>
                    <w:rPr>
                      <w:rFonts w:hint="eastAsia" w:eastAsia="宋体" w:cs="Times New Roman"/>
                      <w:snapToGrid w:val="0"/>
                      <w:color w:val="auto"/>
                      <w:highlight w:val="none"/>
                      <w:lang w:eastAsia="zh-CN"/>
                    </w:rPr>
                    <w:t>~</w:t>
                  </w:r>
                  <w:r>
                    <w:rPr>
                      <w:rFonts w:hint="default" w:ascii="Times New Roman" w:hAnsi="Times New Roman" w:eastAsia="宋体" w:cs="Times New Roman"/>
                      <w:snapToGrid w:val="0"/>
                      <w:color w:val="auto"/>
                      <w:highlight w:val="none"/>
                      <w:lang w:eastAsia="en-US"/>
                    </w:rPr>
                    <w:t>8370kJ/kg</w:t>
                  </w:r>
                  <w:r>
                    <w:rPr>
                      <w:rFonts w:hint="eastAsia" w:eastAsia="宋体" w:cs="Times New Roman"/>
                      <w:snapToGrid w:val="0"/>
                      <w:color w:val="auto"/>
                      <w:highlight w:val="none"/>
                      <w:lang w:eastAsia="zh-CN"/>
                    </w:rPr>
                    <w:t>(</w:t>
                  </w:r>
                  <w:r>
                    <w:rPr>
                      <w:rFonts w:hint="default" w:ascii="Times New Roman" w:hAnsi="Times New Roman" w:eastAsia="宋体" w:cs="Times New Roman"/>
                      <w:snapToGrid w:val="0"/>
                      <w:color w:val="auto"/>
                      <w:highlight w:val="none"/>
                      <w:lang w:eastAsia="en-US"/>
                    </w:rPr>
                    <w:t>1000</w:t>
                  </w:r>
                  <w:r>
                    <w:rPr>
                      <w:rFonts w:hint="eastAsia" w:eastAsia="宋体" w:cs="Times New Roman"/>
                      <w:snapToGrid w:val="0"/>
                      <w:color w:val="auto"/>
                      <w:highlight w:val="none"/>
                      <w:lang w:eastAsia="zh-CN"/>
                    </w:rPr>
                    <w:t>~</w:t>
                  </w:r>
                  <w:r>
                    <w:rPr>
                      <w:rFonts w:hint="default" w:ascii="Times New Roman" w:hAnsi="Times New Roman" w:eastAsia="宋体" w:cs="Times New Roman"/>
                      <w:snapToGrid w:val="0"/>
                      <w:color w:val="auto"/>
                      <w:highlight w:val="none"/>
                      <w:lang w:eastAsia="en-US"/>
                    </w:rPr>
                    <w:t>2000kcal/kg</w:t>
                  </w:r>
                  <w:r>
                    <w:rPr>
                      <w:rFonts w:hint="eastAsia" w:eastAsia="宋体" w:cs="Times New Roman"/>
                      <w:snapToGrid w:val="0"/>
                      <w:color w:val="auto"/>
                      <w:highlight w:val="none"/>
                      <w:lang w:eastAsia="zh-CN"/>
                    </w:rPr>
                    <w:t>)</w:t>
                  </w:r>
                </w:p>
              </w:tc>
            </w:tr>
            <w:tr w14:paraId="7B4108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652B6451">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4</w:t>
                  </w:r>
                </w:p>
              </w:tc>
              <w:tc>
                <w:tcPr>
                  <w:tcW w:w="2202" w:type="pct"/>
                  <w:gridSpan w:val="2"/>
                  <w:vAlign w:val="center"/>
                </w:tcPr>
                <w:p w14:paraId="4CB4668B">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炉排型式</w:t>
                  </w:r>
                </w:p>
              </w:tc>
              <w:tc>
                <w:tcPr>
                  <w:tcW w:w="2346" w:type="pct"/>
                  <w:vAlign w:val="center"/>
                </w:tcPr>
                <w:p w14:paraId="3FCECAA6">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全连续燃烧式炉排</w:t>
                  </w:r>
                </w:p>
              </w:tc>
            </w:tr>
            <w:tr w14:paraId="1ECF63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08E4EB85">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5</w:t>
                  </w:r>
                </w:p>
              </w:tc>
              <w:tc>
                <w:tcPr>
                  <w:tcW w:w="2202" w:type="pct"/>
                  <w:gridSpan w:val="2"/>
                  <w:vAlign w:val="center"/>
                </w:tcPr>
                <w:p w14:paraId="512BF002">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运行负荷范围</w:t>
                  </w:r>
                </w:p>
              </w:tc>
              <w:tc>
                <w:tcPr>
                  <w:tcW w:w="2346" w:type="pct"/>
                  <w:vAlign w:val="center"/>
                </w:tcPr>
                <w:p w14:paraId="1DA35A64">
                  <w:pPr>
                    <w:pStyle w:val="137"/>
                    <w:spacing w:line="240" w:lineRule="auto"/>
                    <w:rPr>
                      <w:rFonts w:hint="default" w:ascii="Times New Roman" w:hAnsi="Times New Roman" w:eastAsia="宋体" w:cs="Times New Roman"/>
                      <w:snapToGrid w:val="0"/>
                      <w:color w:val="auto"/>
                      <w:highlight w:val="none"/>
                      <w:lang w:eastAsia="en-US"/>
                    </w:rPr>
                  </w:pPr>
                  <w:r>
                    <w:rPr>
                      <w:rFonts w:hint="eastAsia" w:eastAsia="宋体" w:cs="Times New Roman"/>
                      <w:snapToGrid w:val="0"/>
                      <w:color w:val="auto"/>
                      <w:highlight w:val="none"/>
                      <w:lang w:eastAsia="zh-CN"/>
                    </w:rPr>
                    <w:t>60％～110％</w:t>
                  </w:r>
                </w:p>
              </w:tc>
            </w:tr>
            <w:tr w14:paraId="5512E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1532AA26">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6</w:t>
                  </w:r>
                </w:p>
              </w:tc>
              <w:tc>
                <w:tcPr>
                  <w:tcW w:w="2202" w:type="pct"/>
                  <w:gridSpan w:val="2"/>
                  <w:vAlign w:val="center"/>
                </w:tcPr>
                <w:p w14:paraId="53B62EC6">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年运行小时</w:t>
                  </w:r>
                </w:p>
              </w:tc>
              <w:tc>
                <w:tcPr>
                  <w:tcW w:w="2346" w:type="pct"/>
                  <w:vAlign w:val="center"/>
                </w:tcPr>
                <w:p w14:paraId="0F2D39E6">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≥8000小时</w:t>
                  </w:r>
                </w:p>
              </w:tc>
            </w:tr>
            <w:tr w14:paraId="350A6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51939448">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7</w:t>
                  </w:r>
                </w:p>
              </w:tc>
              <w:tc>
                <w:tcPr>
                  <w:tcW w:w="2202" w:type="pct"/>
                  <w:gridSpan w:val="2"/>
                  <w:vAlign w:val="center"/>
                </w:tcPr>
                <w:p w14:paraId="25AC7961">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焚烧炉数量</w:t>
                  </w:r>
                </w:p>
              </w:tc>
              <w:tc>
                <w:tcPr>
                  <w:tcW w:w="2346" w:type="pct"/>
                  <w:vAlign w:val="center"/>
                </w:tcPr>
                <w:p w14:paraId="64B9554E">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2台</w:t>
                  </w:r>
                </w:p>
              </w:tc>
            </w:tr>
            <w:tr w14:paraId="347463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6C202A9F">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8</w:t>
                  </w:r>
                </w:p>
              </w:tc>
              <w:tc>
                <w:tcPr>
                  <w:tcW w:w="2202" w:type="pct"/>
                  <w:gridSpan w:val="2"/>
                  <w:vAlign w:val="center"/>
                </w:tcPr>
                <w:p w14:paraId="290FFC7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全厂年处理能力</w:t>
                  </w:r>
                </w:p>
              </w:tc>
              <w:tc>
                <w:tcPr>
                  <w:tcW w:w="2346" w:type="pct"/>
                  <w:vAlign w:val="center"/>
                </w:tcPr>
                <w:p w14:paraId="65562272">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29.20万吨</w:t>
                  </w:r>
                </w:p>
              </w:tc>
            </w:tr>
            <w:tr w14:paraId="4E67E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7027865F">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9</w:t>
                  </w:r>
                </w:p>
              </w:tc>
              <w:tc>
                <w:tcPr>
                  <w:tcW w:w="2202" w:type="pct"/>
                  <w:gridSpan w:val="2"/>
                  <w:vAlign w:val="center"/>
                </w:tcPr>
                <w:p w14:paraId="375AE518">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炉渣热灼减率</w:t>
                  </w:r>
                </w:p>
              </w:tc>
              <w:tc>
                <w:tcPr>
                  <w:tcW w:w="2346" w:type="pct"/>
                  <w:vAlign w:val="center"/>
                </w:tcPr>
                <w:p w14:paraId="3513A9DA">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≤5%</w:t>
                  </w:r>
                </w:p>
              </w:tc>
            </w:tr>
            <w:tr w14:paraId="28675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1" w:type="pct"/>
                  <w:vAlign w:val="center"/>
                </w:tcPr>
                <w:p w14:paraId="03CC49F9">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10</w:t>
                  </w:r>
                </w:p>
              </w:tc>
              <w:tc>
                <w:tcPr>
                  <w:tcW w:w="2202" w:type="pct"/>
                  <w:gridSpan w:val="2"/>
                  <w:vAlign w:val="center"/>
                </w:tcPr>
                <w:p w14:paraId="4F3E766D">
                  <w:pPr>
                    <w:pStyle w:val="137"/>
                    <w:spacing w:line="240" w:lineRule="auto"/>
                    <w:rPr>
                      <w:rFonts w:hint="default" w:ascii="Times New Roman" w:hAnsi="Times New Roman" w:eastAsia="宋体" w:cs="Times New Roman"/>
                      <w:snapToGrid w:val="0"/>
                      <w:color w:val="auto"/>
                      <w:highlight w:val="none"/>
                      <w:lang w:eastAsia="en-US"/>
                    </w:rPr>
                  </w:pPr>
                  <w:r>
                    <w:rPr>
                      <w:rFonts w:hint="default" w:ascii="Times New Roman" w:hAnsi="Times New Roman" w:eastAsia="宋体" w:cs="Times New Roman"/>
                      <w:snapToGrid w:val="0"/>
                      <w:color w:val="auto"/>
                      <w:highlight w:val="none"/>
                      <w:lang w:eastAsia="en-US"/>
                    </w:rPr>
                    <w:t>焚烧烟气温度</w:t>
                  </w:r>
                </w:p>
              </w:tc>
              <w:tc>
                <w:tcPr>
                  <w:tcW w:w="2346" w:type="pct"/>
                  <w:vAlign w:val="center"/>
                </w:tcPr>
                <w:p w14:paraId="2A520A71">
                  <w:pPr>
                    <w:pStyle w:val="137"/>
                    <w:spacing w:line="240" w:lineRule="auto"/>
                    <w:rPr>
                      <w:rFonts w:hint="default" w:ascii="Times New Roman" w:hAnsi="Times New Roman" w:eastAsia="宋体" w:cs="Times New Roman"/>
                      <w:snapToGrid w:val="0"/>
                      <w:color w:val="auto"/>
                      <w:highlight w:val="none"/>
                      <w:lang w:eastAsia="zh-CN"/>
                    </w:rPr>
                  </w:pPr>
                  <w:r>
                    <w:rPr>
                      <w:rFonts w:hint="default" w:ascii="Times New Roman" w:hAnsi="Times New Roman" w:eastAsia="宋体" w:cs="Times New Roman"/>
                      <w:snapToGrid w:val="0"/>
                      <w:color w:val="auto"/>
                      <w:highlight w:val="none"/>
                      <w:lang w:eastAsia="zh-CN"/>
                    </w:rPr>
                    <w:t>≥850℃（停留时间＞2秒）</w:t>
                  </w:r>
                </w:p>
              </w:tc>
            </w:tr>
          </w:tbl>
          <w:p w14:paraId="1FBC3E3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②燃烧空气系统</w:t>
            </w:r>
          </w:p>
          <w:p w14:paraId="13AA76A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一次风机从垃圾贮坑上部吸风，经一次风蒸汽空气预热器加热至220℃，送至炉排下风室，再送入燃烧室。中央控制系统可以通过炉排底部的调节阀对各个区域的送风量进行单独控制，一次风同时具有冷却炉排和干燥垃圾的作用。一次风机采用变频调速控制。每台炉对应一台一次风机，设计风量53520Nm3/h，风压4860Pa。</w:t>
            </w:r>
          </w:p>
          <w:p w14:paraId="0D97B06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二次风机由焚烧间上部吸风，经二次风机加压，送至二次风喷嘴，再送入二次燃烧室。每台炉设一台二次风机，设计风量14000Nm</w:t>
            </w:r>
            <w:r>
              <w:rPr>
                <w:rFonts w:hint="default" w:ascii="Times New Roman" w:hAnsi="Times New Roman" w:eastAsia="宋体" w:cs="Times New Roman"/>
                <w:color w:val="auto"/>
                <w:sz w:val="24"/>
                <w:szCs w:val="24"/>
                <w:highlight w:val="none"/>
                <w:shd w:val="clear" w:color="auto" w:fill="FFFFFF" w:themeFill="background1"/>
                <w:vertAlign w:val="superscript"/>
              </w:rPr>
              <w:t>3</w:t>
            </w:r>
            <w:r>
              <w:rPr>
                <w:rFonts w:hint="default" w:ascii="Times New Roman" w:hAnsi="Times New Roman" w:eastAsia="宋体" w:cs="Times New Roman"/>
                <w:color w:val="auto"/>
                <w:sz w:val="24"/>
                <w:szCs w:val="24"/>
                <w:highlight w:val="none"/>
                <w:shd w:val="clear" w:color="auto" w:fill="FFFFFF" w:themeFill="background1"/>
              </w:rPr>
              <w:t>/h，风压6840Pa。</w:t>
            </w:r>
          </w:p>
          <w:p w14:paraId="0F56317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炉墙冷却风系统主要由冷却风机和风管组成，本系统的作用是冷却炉墙，防止炉渣在炉墙面上结焦。设炉墙冷却风机1台。</w:t>
            </w:r>
          </w:p>
          <w:p w14:paraId="78B3520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③余热回收系统</w:t>
            </w:r>
          </w:p>
          <w:p w14:paraId="125DD2AC">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焚烧炉上部即为锅炉，焚烧炉出来的850℃烟气首先被焚烧炉上部第一通道的水冷壁管吸收部分热量，然后烟气继续冲</w:t>
            </w:r>
            <w:bookmarkStart w:id="65" w:name="_GoBack"/>
            <w:r>
              <w:rPr>
                <w:rFonts w:hint="default" w:ascii="Times New Roman" w:hAnsi="Times New Roman" w:eastAsia="宋体" w:cs="Times New Roman"/>
                <w:color w:val="auto"/>
                <w:sz w:val="24"/>
                <w:szCs w:val="24"/>
                <w:highlight w:val="none"/>
                <w:shd w:val="clear" w:color="auto" w:fill="FFFFFF" w:themeFill="background1"/>
              </w:rPr>
              <w:t>刷屏</w:t>
            </w:r>
            <w:bookmarkEnd w:id="65"/>
            <w:r>
              <w:rPr>
                <w:rFonts w:hint="default" w:ascii="Times New Roman" w:hAnsi="Times New Roman" w:eastAsia="宋体" w:cs="Times New Roman"/>
                <w:color w:val="auto"/>
                <w:sz w:val="24"/>
                <w:szCs w:val="24"/>
                <w:highlight w:val="none"/>
                <w:shd w:val="clear" w:color="auto" w:fill="FFFFFF" w:themeFill="background1"/>
              </w:rPr>
              <w:t>式受热面及过热器，烟气中大部分的热量在这里被吸收，最后经过省煤器时将剩余的热量再吸收一部分，然后排至烟气净化系统。</w:t>
            </w:r>
          </w:p>
          <w:p w14:paraId="3467CFF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锅炉给水经除氧器由给水泵送来，经省煤器预热后送至锅筒，然后经水冷壁和屏式受热面进一步加热，产生出汽水混合物进入锅筒。饱和蒸汽在锅筒内被分离出来，经过过热器进一步加热，最后</w:t>
            </w:r>
            <w:r>
              <w:rPr>
                <w:rFonts w:hint="eastAsia" w:cs="Times New Roman"/>
                <w:color w:val="auto"/>
                <w:sz w:val="24"/>
                <w:szCs w:val="24"/>
                <w:highlight w:val="none"/>
                <w:shd w:val="clear" w:color="auto" w:fill="FFFFFF" w:themeFill="background1"/>
                <w:lang w:eastAsia="zh-CN"/>
              </w:rPr>
              <w:t>产生</w:t>
            </w:r>
            <w:r>
              <w:rPr>
                <w:rFonts w:hint="default" w:ascii="Times New Roman" w:hAnsi="Times New Roman" w:eastAsia="宋体" w:cs="Times New Roman"/>
                <w:color w:val="auto"/>
                <w:sz w:val="24"/>
                <w:szCs w:val="24"/>
                <w:highlight w:val="none"/>
                <w:shd w:val="clear" w:color="auto" w:fill="FFFFFF" w:themeFill="background1"/>
              </w:rPr>
              <w:t>过热蒸汽，送往汽轮机。过热器中部有两个减温器，用减温水来调节蒸汽出口温度。</w:t>
            </w:r>
          </w:p>
          <w:p w14:paraId="0DA1715A">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余热锅炉参数见表</w:t>
            </w:r>
            <w:r>
              <w:rPr>
                <w:rFonts w:hint="eastAsia" w:ascii="Times New Roman" w:hAnsi="Times New Roman" w:eastAsia="宋体" w:cs="Times New Roman"/>
                <w:color w:val="auto"/>
                <w:sz w:val="24"/>
                <w:szCs w:val="24"/>
                <w:highlight w:val="none"/>
                <w:shd w:val="clear" w:color="auto" w:fill="FFFFFF" w:themeFill="background1"/>
                <w:lang w:val="en-US" w:eastAsia="zh-CN"/>
              </w:rPr>
              <w:t>2-</w:t>
            </w:r>
            <w:r>
              <w:rPr>
                <w:rFonts w:hint="eastAsia" w:cs="Times New Roman"/>
                <w:color w:val="auto"/>
                <w:sz w:val="24"/>
                <w:szCs w:val="24"/>
                <w:highlight w:val="none"/>
                <w:shd w:val="clear" w:color="auto" w:fill="FFFFFF" w:themeFill="background1"/>
                <w:lang w:val="en-US" w:eastAsia="zh-CN"/>
              </w:rPr>
              <w:t>11</w:t>
            </w:r>
            <w:r>
              <w:rPr>
                <w:rFonts w:hint="default" w:ascii="Times New Roman" w:hAnsi="Times New Roman" w:eastAsia="宋体" w:cs="Times New Roman"/>
                <w:color w:val="auto"/>
                <w:sz w:val="24"/>
                <w:szCs w:val="24"/>
                <w:highlight w:val="none"/>
                <w:shd w:val="clear" w:color="auto" w:fill="FFFFFF" w:themeFill="background1"/>
              </w:rPr>
              <w:t>。</w:t>
            </w:r>
          </w:p>
          <w:p w14:paraId="05863588">
            <w:pPr>
              <w:pStyle w:val="42"/>
              <w:snapToGrid w:val="0"/>
              <w:spacing w:line="500" w:lineRule="exact"/>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kern w:val="2"/>
                <w:highlight w:val="none"/>
              </w:rPr>
              <w:t>表</w:t>
            </w:r>
            <w:r>
              <w:rPr>
                <w:rFonts w:hint="eastAsia" w:ascii="Times New Roman" w:hAnsi="Times New Roman" w:eastAsia="宋体" w:cs="Times New Roman"/>
                <w:b/>
                <w:color w:val="auto"/>
                <w:kern w:val="2"/>
                <w:highlight w:val="none"/>
                <w:lang w:val="en-US" w:eastAsia="zh-CN"/>
              </w:rPr>
              <w:t>2-11</w:t>
            </w:r>
            <w:r>
              <w:rPr>
                <w:rFonts w:hint="default" w:ascii="Times New Roman" w:hAnsi="Times New Roman" w:eastAsia="宋体" w:cs="Times New Roman"/>
                <w:b/>
                <w:color w:val="auto"/>
                <w:kern w:val="2"/>
                <w:highlight w:val="none"/>
              </w:rPr>
              <w:t xml:space="preserve">  余热锅炉主要技术参数</w:t>
            </w:r>
          </w:p>
          <w:tbl>
            <w:tblPr>
              <w:tblStyle w:val="136"/>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19"/>
              <w:gridCol w:w="4007"/>
              <w:gridCol w:w="2992"/>
            </w:tblGrid>
            <w:tr w14:paraId="5CF323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843" w:type="pct"/>
                  <w:vAlign w:val="center"/>
                </w:tcPr>
                <w:p w14:paraId="08C05FDA">
                  <w:pPr>
                    <w:pStyle w:val="137"/>
                    <w:spacing w:line="240" w:lineRule="auto"/>
                    <w:rPr>
                      <w:rFonts w:hint="default" w:ascii="Times New Roman" w:hAnsi="Times New Roman" w:eastAsia="宋体" w:cs="Times New Roman"/>
                      <w:b/>
                      <w:bCs/>
                      <w:snapToGrid w:val="0"/>
                      <w:color w:val="auto"/>
                      <w:szCs w:val="21"/>
                      <w:highlight w:val="none"/>
                      <w:lang w:eastAsia="en-US"/>
                    </w:rPr>
                  </w:pPr>
                  <w:r>
                    <w:rPr>
                      <w:rFonts w:hint="default" w:ascii="Times New Roman" w:hAnsi="Times New Roman" w:eastAsia="宋体" w:cs="Times New Roman"/>
                      <w:b/>
                      <w:bCs/>
                      <w:snapToGrid w:val="0"/>
                      <w:color w:val="auto"/>
                      <w:szCs w:val="21"/>
                      <w:highlight w:val="none"/>
                      <w:lang w:eastAsia="en-US"/>
                    </w:rPr>
                    <w:t>序号</w:t>
                  </w:r>
                </w:p>
              </w:tc>
              <w:tc>
                <w:tcPr>
                  <w:tcW w:w="2380" w:type="pct"/>
                  <w:vAlign w:val="center"/>
                </w:tcPr>
                <w:p w14:paraId="5729DF92">
                  <w:pPr>
                    <w:pStyle w:val="137"/>
                    <w:spacing w:line="240" w:lineRule="auto"/>
                    <w:rPr>
                      <w:rFonts w:hint="default" w:ascii="Times New Roman" w:hAnsi="Times New Roman" w:eastAsia="宋体" w:cs="Times New Roman"/>
                      <w:b/>
                      <w:bCs/>
                      <w:snapToGrid w:val="0"/>
                      <w:color w:val="auto"/>
                      <w:szCs w:val="21"/>
                      <w:highlight w:val="none"/>
                      <w:lang w:eastAsia="en-US"/>
                    </w:rPr>
                  </w:pPr>
                  <w:r>
                    <w:rPr>
                      <w:rFonts w:hint="default" w:ascii="Times New Roman" w:hAnsi="Times New Roman" w:eastAsia="宋体" w:cs="Times New Roman"/>
                      <w:b/>
                      <w:bCs/>
                      <w:snapToGrid w:val="0"/>
                      <w:color w:val="auto"/>
                      <w:szCs w:val="21"/>
                      <w:highlight w:val="none"/>
                      <w:lang w:eastAsia="en-US"/>
                    </w:rPr>
                    <w:t>设计内容</w:t>
                  </w:r>
                </w:p>
              </w:tc>
              <w:tc>
                <w:tcPr>
                  <w:tcW w:w="1777" w:type="pct"/>
                  <w:vAlign w:val="center"/>
                </w:tcPr>
                <w:p w14:paraId="7C72D8C6">
                  <w:pPr>
                    <w:pStyle w:val="137"/>
                    <w:spacing w:line="240" w:lineRule="auto"/>
                    <w:rPr>
                      <w:rFonts w:hint="default" w:ascii="Times New Roman" w:hAnsi="Times New Roman" w:eastAsia="宋体" w:cs="Times New Roman"/>
                      <w:b/>
                      <w:bCs/>
                      <w:snapToGrid w:val="0"/>
                      <w:color w:val="auto"/>
                      <w:szCs w:val="21"/>
                      <w:highlight w:val="none"/>
                      <w:lang w:eastAsia="en-US"/>
                    </w:rPr>
                  </w:pPr>
                  <w:r>
                    <w:rPr>
                      <w:rFonts w:hint="default" w:ascii="Times New Roman" w:hAnsi="Times New Roman" w:eastAsia="宋体" w:cs="Times New Roman"/>
                      <w:b/>
                      <w:bCs/>
                      <w:snapToGrid w:val="0"/>
                      <w:color w:val="auto"/>
                      <w:szCs w:val="21"/>
                      <w:highlight w:val="none"/>
                      <w:lang w:eastAsia="en-US"/>
                    </w:rPr>
                    <w:t>设计参数</w:t>
                  </w:r>
                </w:p>
              </w:tc>
            </w:tr>
            <w:tr w14:paraId="11A91D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 w:hRule="atLeast"/>
              </w:trPr>
              <w:tc>
                <w:tcPr>
                  <w:tcW w:w="843" w:type="pct"/>
                  <w:vAlign w:val="center"/>
                </w:tcPr>
                <w:p w14:paraId="76B83E5B">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1</w:t>
                  </w:r>
                </w:p>
              </w:tc>
              <w:tc>
                <w:tcPr>
                  <w:tcW w:w="2380" w:type="pct"/>
                  <w:vAlign w:val="center"/>
                </w:tcPr>
                <w:p w14:paraId="153D11A9">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蒸汽温度</w:t>
                  </w:r>
                </w:p>
              </w:tc>
              <w:tc>
                <w:tcPr>
                  <w:tcW w:w="1777" w:type="pct"/>
                  <w:vAlign w:val="center"/>
                </w:tcPr>
                <w:p w14:paraId="62DB49BF">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400℃</w:t>
                  </w:r>
                </w:p>
              </w:tc>
            </w:tr>
            <w:tr w14:paraId="51990F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 w:hRule="atLeast"/>
              </w:trPr>
              <w:tc>
                <w:tcPr>
                  <w:tcW w:w="843" w:type="pct"/>
                  <w:vAlign w:val="center"/>
                </w:tcPr>
                <w:p w14:paraId="1FEDB20A">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2</w:t>
                  </w:r>
                </w:p>
              </w:tc>
              <w:tc>
                <w:tcPr>
                  <w:tcW w:w="2380" w:type="pct"/>
                  <w:vAlign w:val="center"/>
                </w:tcPr>
                <w:p w14:paraId="7CD3F229">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蒸汽压力</w:t>
                  </w:r>
                </w:p>
              </w:tc>
              <w:tc>
                <w:tcPr>
                  <w:tcW w:w="1777" w:type="pct"/>
                  <w:vAlign w:val="center"/>
                </w:tcPr>
                <w:p w14:paraId="69FE0880">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4.0MPa</w:t>
                  </w:r>
                  <w:r>
                    <w:rPr>
                      <w:rFonts w:hint="eastAsia" w:eastAsia="宋体" w:cs="Times New Roman"/>
                      <w:snapToGrid w:val="0"/>
                      <w:color w:val="auto"/>
                      <w:szCs w:val="21"/>
                      <w:highlight w:val="none"/>
                      <w:lang w:eastAsia="zh-CN"/>
                    </w:rPr>
                    <w:t>(</w:t>
                  </w:r>
                  <w:r>
                    <w:rPr>
                      <w:rFonts w:hint="default" w:ascii="Times New Roman" w:hAnsi="Times New Roman" w:eastAsia="宋体" w:cs="Times New Roman"/>
                      <w:snapToGrid w:val="0"/>
                      <w:color w:val="auto"/>
                      <w:szCs w:val="21"/>
                      <w:highlight w:val="none"/>
                      <w:lang w:eastAsia="en-US"/>
                    </w:rPr>
                    <w:t>G</w:t>
                  </w:r>
                  <w:r>
                    <w:rPr>
                      <w:rFonts w:hint="eastAsia" w:eastAsia="宋体" w:cs="Times New Roman"/>
                      <w:snapToGrid w:val="0"/>
                      <w:color w:val="auto"/>
                      <w:szCs w:val="21"/>
                      <w:highlight w:val="none"/>
                      <w:lang w:eastAsia="zh-CN"/>
                    </w:rPr>
                    <w:t>)</w:t>
                  </w:r>
                </w:p>
              </w:tc>
            </w:tr>
            <w:tr w14:paraId="5021029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 w:hRule="atLeast"/>
              </w:trPr>
              <w:tc>
                <w:tcPr>
                  <w:tcW w:w="843" w:type="pct"/>
                  <w:vAlign w:val="center"/>
                </w:tcPr>
                <w:p w14:paraId="77E955FE">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3</w:t>
                  </w:r>
                </w:p>
              </w:tc>
              <w:tc>
                <w:tcPr>
                  <w:tcW w:w="2380" w:type="pct"/>
                  <w:vAlign w:val="center"/>
                </w:tcPr>
                <w:p w14:paraId="4D94E723">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额定蒸发量</w:t>
                  </w:r>
                </w:p>
              </w:tc>
              <w:tc>
                <w:tcPr>
                  <w:tcW w:w="1777" w:type="pct"/>
                  <w:vAlign w:val="center"/>
                </w:tcPr>
                <w:p w14:paraId="6473F8EA">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34.3t/h</w:t>
                  </w:r>
                </w:p>
              </w:tc>
            </w:tr>
            <w:tr w14:paraId="5F2A6A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 w:hRule="atLeast"/>
              </w:trPr>
              <w:tc>
                <w:tcPr>
                  <w:tcW w:w="843" w:type="pct"/>
                  <w:vAlign w:val="center"/>
                </w:tcPr>
                <w:p w14:paraId="1D6E70E5">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4</w:t>
                  </w:r>
                </w:p>
              </w:tc>
              <w:tc>
                <w:tcPr>
                  <w:tcW w:w="2380" w:type="pct"/>
                  <w:vAlign w:val="center"/>
                </w:tcPr>
                <w:p w14:paraId="30EDC095">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锅炉排烟温度</w:t>
                  </w:r>
                </w:p>
              </w:tc>
              <w:tc>
                <w:tcPr>
                  <w:tcW w:w="1777" w:type="pct"/>
                  <w:vAlign w:val="center"/>
                </w:tcPr>
                <w:p w14:paraId="2C01E13B">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190~230℃</w:t>
                  </w:r>
                </w:p>
              </w:tc>
            </w:tr>
            <w:tr w14:paraId="2894B5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 w:hRule="atLeast"/>
              </w:trPr>
              <w:tc>
                <w:tcPr>
                  <w:tcW w:w="843" w:type="pct"/>
                  <w:vAlign w:val="center"/>
                </w:tcPr>
                <w:p w14:paraId="794E2B2D">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5</w:t>
                  </w:r>
                </w:p>
              </w:tc>
              <w:tc>
                <w:tcPr>
                  <w:tcW w:w="2380" w:type="pct"/>
                  <w:vAlign w:val="center"/>
                </w:tcPr>
                <w:p w14:paraId="46DB5EF9">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给水温度</w:t>
                  </w:r>
                </w:p>
              </w:tc>
              <w:tc>
                <w:tcPr>
                  <w:tcW w:w="1777" w:type="pct"/>
                  <w:vAlign w:val="center"/>
                </w:tcPr>
                <w:p w14:paraId="68D75996">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130℃</w:t>
                  </w:r>
                </w:p>
              </w:tc>
            </w:tr>
            <w:tr w14:paraId="7CD983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43" w:type="pct"/>
                  <w:vAlign w:val="center"/>
                </w:tcPr>
                <w:p w14:paraId="6BF9FEFC">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6</w:t>
                  </w:r>
                </w:p>
              </w:tc>
              <w:tc>
                <w:tcPr>
                  <w:tcW w:w="2380" w:type="pct"/>
                  <w:vAlign w:val="center"/>
                </w:tcPr>
                <w:p w14:paraId="70B8063A">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锅炉效率</w:t>
                  </w:r>
                </w:p>
              </w:tc>
              <w:tc>
                <w:tcPr>
                  <w:tcW w:w="1777" w:type="pct"/>
                  <w:vAlign w:val="center"/>
                </w:tcPr>
                <w:p w14:paraId="5ED3C280">
                  <w:pPr>
                    <w:pStyle w:val="137"/>
                    <w:spacing w:line="240" w:lineRule="auto"/>
                    <w:rPr>
                      <w:rFonts w:hint="default" w:ascii="Times New Roman" w:hAnsi="Times New Roman" w:eastAsia="宋体" w:cs="Times New Roman"/>
                      <w:snapToGrid w:val="0"/>
                      <w:color w:val="auto"/>
                      <w:szCs w:val="21"/>
                      <w:highlight w:val="none"/>
                      <w:lang w:eastAsia="en-US"/>
                    </w:rPr>
                  </w:pPr>
                  <w:r>
                    <w:rPr>
                      <w:rFonts w:hint="default" w:ascii="Times New Roman" w:hAnsi="Times New Roman" w:eastAsia="宋体" w:cs="Times New Roman"/>
                      <w:snapToGrid w:val="0"/>
                      <w:color w:val="auto"/>
                      <w:szCs w:val="21"/>
                      <w:highlight w:val="none"/>
                      <w:lang w:eastAsia="en-US"/>
                    </w:rPr>
                    <w:t>79.6%</w:t>
                  </w:r>
                </w:p>
              </w:tc>
            </w:tr>
          </w:tbl>
          <w:p w14:paraId="3FA392B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bookmarkStart w:id="9" w:name="_Toc453594974"/>
            <w:bookmarkStart w:id="10" w:name="_Toc453678249"/>
            <w:r>
              <w:rPr>
                <w:rFonts w:hint="default" w:ascii="Times New Roman" w:hAnsi="Times New Roman" w:eastAsia="宋体" w:cs="Times New Roman"/>
                <w:color w:val="auto"/>
                <w:sz w:val="24"/>
                <w:szCs w:val="24"/>
                <w:highlight w:val="none"/>
                <w:shd w:val="clear" w:color="auto" w:fill="FFFFFF" w:themeFill="background1"/>
              </w:rPr>
              <w:t>（4）汽轮发电系统</w:t>
            </w:r>
            <w:bookmarkEnd w:id="9"/>
            <w:bookmarkEnd w:id="10"/>
          </w:p>
          <w:p w14:paraId="013F642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1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①</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汽轮发电</w:t>
            </w:r>
          </w:p>
          <w:p w14:paraId="77F1C31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焚烧炉产生的热能通过锅炉产生蒸汽，再经汽轮发电机组转化成电能。现有项目汽轮机发电机组的配置为1台12MW中温中压凝汽式汽轮机配1台15MW发电机。额定进汽量约为66t/h，按焚烧炉和汽轮发电机组年工作8000h计，现有项目年发电量约为10000万kWh。自用电率约为15%，年上网电量8500万kWh。</w:t>
            </w:r>
          </w:p>
          <w:p w14:paraId="10D65FE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发电机组设计参数见表</w:t>
            </w:r>
            <w:r>
              <w:rPr>
                <w:rFonts w:hint="eastAsia" w:ascii="Times New Roman" w:hAnsi="Times New Roman" w:eastAsia="宋体" w:cs="Times New Roman"/>
                <w:color w:val="auto"/>
                <w:sz w:val="24"/>
                <w:szCs w:val="24"/>
                <w:highlight w:val="none"/>
                <w:shd w:val="clear" w:color="auto" w:fill="FFFFFF" w:themeFill="background1"/>
                <w:lang w:val="en-US" w:eastAsia="zh-CN"/>
              </w:rPr>
              <w:t>2-</w:t>
            </w:r>
            <w:r>
              <w:rPr>
                <w:rFonts w:hint="eastAsia" w:cs="Times New Roman"/>
                <w:color w:val="auto"/>
                <w:sz w:val="24"/>
                <w:szCs w:val="24"/>
                <w:highlight w:val="none"/>
                <w:shd w:val="clear" w:color="auto" w:fill="FFFFFF" w:themeFill="background1"/>
                <w:lang w:val="en-US" w:eastAsia="zh-CN"/>
              </w:rPr>
              <w:t>12</w:t>
            </w:r>
            <w:r>
              <w:rPr>
                <w:rFonts w:hint="default" w:ascii="Times New Roman" w:hAnsi="Times New Roman" w:eastAsia="宋体" w:cs="Times New Roman"/>
                <w:color w:val="auto"/>
                <w:sz w:val="24"/>
                <w:szCs w:val="24"/>
                <w:highlight w:val="none"/>
                <w:shd w:val="clear" w:color="auto" w:fill="FFFFFF" w:themeFill="background1"/>
              </w:rPr>
              <w:t>。</w:t>
            </w:r>
          </w:p>
          <w:p w14:paraId="0B2969B3">
            <w:pPr>
              <w:pStyle w:val="42"/>
              <w:snapToGrid w:val="0"/>
              <w:spacing w:line="500" w:lineRule="exact"/>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kern w:val="2"/>
                <w:highlight w:val="none"/>
              </w:rPr>
              <w:t>表</w:t>
            </w:r>
            <w:r>
              <w:rPr>
                <w:rFonts w:hint="eastAsia" w:ascii="Times New Roman" w:hAnsi="Times New Roman" w:eastAsia="宋体" w:cs="Times New Roman"/>
                <w:b/>
                <w:color w:val="auto"/>
                <w:kern w:val="2"/>
                <w:highlight w:val="none"/>
                <w:lang w:val="en-US" w:eastAsia="zh-CN"/>
              </w:rPr>
              <w:t>2-12</w:t>
            </w:r>
            <w:r>
              <w:rPr>
                <w:rFonts w:hint="default" w:ascii="Times New Roman" w:hAnsi="Times New Roman" w:eastAsia="宋体" w:cs="Times New Roman"/>
                <w:b/>
                <w:color w:val="auto"/>
                <w:kern w:val="2"/>
                <w:highlight w:val="none"/>
              </w:rPr>
              <w:t xml:space="preserve">  汽轮发电机组设计参数一览表</w:t>
            </w:r>
          </w:p>
          <w:tbl>
            <w:tblPr>
              <w:tblStyle w:val="3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2504"/>
              <w:gridCol w:w="2807"/>
            </w:tblGrid>
            <w:tr w14:paraId="6A615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845" w:type="pct"/>
                  <w:vAlign w:val="center"/>
                </w:tcPr>
                <w:p w14:paraId="4EC8B086">
                  <w:pPr>
                    <w:adjustRightInd w:val="0"/>
                    <w:snapToGrid w:val="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项目</w:t>
                  </w:r>
                </w:p>
              </w:tc>
              <w:tc>
                <w:tcPr>
                  <w:tcW w:w="1487" w:type="pct"/>
                  <w:vAlign w:val="center"/>
                </w:tcPr>
                <w:p w14:paraId="0428DCE0">
                  <w:pPr>
                    <w:adjustRightInd w:val="0"/>
                    <w:snapToGrid w:val="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单位</w:t>
                  </w:r>
                </w:p>
              </w:tc>
              <w:tc>
                <w:tcPr>
                  <w:tcW w:w="1667" w:type="pct"/>
                  <w:vAlign w:val="center"/>
                </w:tcPr>
                <w:p w14:paraId="2EAE28D6">
                  <w:pPr>
                    <w:adjustRightInd w:val="0"/>
                    <w:snapToGrid w:val="0"/>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数据</w:t>
                  </w:r>
                </w:p>
              </w:tc>
            </w:tr>
            <w:tr w14:paraId="4BED4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33E197BD">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型号</w:t>
                  </w:r>
                </w:p>
              </w:tc>
              <w:tc>
                <w:tcPr>
                  <w:tcW w:w="1487" w:type="pct"/>
                  <w:vAlign w:val="center"/>
                </w:tcPr>
                <w:p w14:paraId="7086FA29">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1667" w:type="pct"/>
                  <w:vAlign w:val="center"/>
                </w:tcPr>
                <w:p w14:paraId="0537E232">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N12-3.8</w:t>
                  </w:r>
                </w:p>
              </w:tc>
            </w:tr>
            <w:tr w14:paraId="302D2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6A1C9D01">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额定功率</w:t>
                  </w:r>
                </w:p>
              </w:tc>
              <w:tc>
                <w:tcPr>
                  <w:tcW w:w="1487" w:type="pct"/>
                  <w:vAlign w:val="center"/>
                </w:tcPr>
                <w:p w14:paraId="66C02E84">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MW</w:t>
                  </w:r>
                </w:p>
              </w:tc>
              <w:tc>
                <w:tcPr>
                  <w:tcW w:w="1667" w:type="pct"/>
                  <w:vAlign w:val="center"/>
                </w:tcPr>
                <w:p w14:paraId="75C56128">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12</w:t>
                  </w:r>
                </w:p>
              </w:tc>
            </w:tr>
            <w:tr w14:paraId="65BC4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4F6E0EAB">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额定转速</w:t>
                  </w:r>
                </w:p>
              </w:tc>
              <w:tc>
                <w:tcPr>
                  <w:tcW w:w="1487" w:type="pct"/>
                  <w:vAlign w:val="center"/>
                </w:tcPr>
                <w:p w14:paraId="4C3593C8">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r/min</w:t>
                  </w:r>
                </w:p>
              </w:tc>
              <w:tc>
                <w:tcPr>
                  <w:tcW w:w="1667" w:type="pct"/>
                  <w:vAlign w:val="center"/>
                </w:tcPr>
                <w:p w14:paraId="3E733B72">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3000</w:t>
                  </w:r>
                </w:p>
              </w:tc>
            </w:tr>
            <w:tr w14:paraId="79F63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03A735C0">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进气压力</w:t>
                  </w:r>
                </w:p>
              </w:tc>
              <w:tc>
                <w:tcPr>
                  <w:tcW w:w="1487" w:type="pct"/>
                  <w:vAlign w:val="center"/>
                </w:tcPr>
                <w:p w14:paraId="40C5B85A">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Mpa</w:t>
                  </w:r>
                </w:p>
              </w:tc>
              <w:tc>
                <w:tcPr>
                  <w:tcW w:w="1667" w:type="pct"/>
                  <w:vAlign w:val="center"/>
                </w:tcPr>
                <w:p w14:paraId="7C3E37F9">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3.8</w:t>
                  </w:r>
                </w:p>
              </w:tc>
            </w:tr>
            <w:tr w14:paraId="07D5D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76E159A9">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进汽温度</w:t>
                  </w:r>
                </w:p>
              </w:tc>
              <w:tc>
                <w:tcPr>
                  <w:tcW w:w="1487" w:type="pct"/>
                  <w:vAlign w:val="center"/>
                </w:tcPr>
                <w:p w14:paraId="3E39A5E6">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1667" w:type="pct"/>
                  <w:vAlign w:val="center"/>
                </w:tcPr>
                <w:p w14:paraId="449E4BFC">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390</w:t>
                  </w:r>
                </w:p>
              </w:tc>
            </w:tr>
            <w:tr w14:paraId="15690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32AB312E">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额定进汽流量</w:t>
                  </w:r>
                </w:p>
              </w:tc>
              <w:tc>
                <w:tcPr>
                  <w:tcW w:w="1487" w:type="pct"/>
                  <w:vAlign w:val="center"/>
                </w:tcPr>
                <w:p w14:paraId="6C8A8986">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t/h</w:t>
                  </w:r>
                </w:p>
              </w:tc>
              <w:tc>
                <w:tcPr>
                  <w:tcW w:w="1667" w:type="pct"/>
                  <w:vAlign w:val="center"/>
                </w:tcPr>
                <w:p w14:paraId="19CAD564">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66</w:t>
                  </w:r>
                </w:p>
              </w:tc>
            </w:tr>
            <w:tr w14:paraId="3E71A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7A1587BF">
                  <w:pPr>
                    <w:adjustRightInd w:val="0"/>
                    <w:snapToGrid w:val="0"/>
                    <w:jc w:val="center"/>
                    <w:rPr>
                      <w:rFonts w:hint="default" w:ascii="Times New Roman" w:hAnsi="Times New Roman" w:eastAsia="宋体" w:cs="Times New Roman"/>
                      <w:color w:val="auto"/>
                      <w:sz w:val="21"/>
                      <w:highlight w:val="none"/>
                    </w:rPr>
                  </w:pPr>
                  <w:r>
                    <w:rPr>
                      <w:rFonts w:hint="eastAsia" w:cs="Times New Roman"/>
                      <w:color w:val="auto"/>
                      <w:sz w:val="21"/>
                      <w:highlight w:val="none"/>
                      <w:lang w:eastAsia="zh-CN"/>
                    </w:rPr>
                    <w:t>排气</w:t>
                  </w:r>
                  <w:r>
                    <w:rPr>
                      <w:rFonts w:hint="default" w:ascii="Times New Roman" w:hAnsi="Times New Roman" w:eastAsia="宋体" w:cs="Times New Roman"/>
                      <w:color w:val="auto"/>
                      <w:sz w:val="21"/>
                      <w:highlight w:val="none"/>
                    </w:rPr>
                    <w:t>压力</w:t>
                  </w:r>
                </w:p>
              </w:tc>
              <w:tc>
                <w:tcPr>
                  <w:tcW w:w="1487" w:type="pct"/>
                  <w:vAlign w:val="center"/>
                </w:tcPr>
                <w:p w14:paraId="2705AABE">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Mpa(a)</w:t>
                  </w:r>
                </w:p>
              </w:tc>
              <w:tc>
                <w:tcPr>
                  <w:tcW w:w="1667" w:type="pct"/>
                  <w:vAlign w:val="center"/>
                </w:tcPr>
                <w:p w14:paraId="1F73F459">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0.0049</w:t>
                  </w:r>
                </w:p>
              </w:tc>
            </w:tr>
            <w:tr w14:paraId="48FE2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29E392D9">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发电机数量</w:t>
                  </w:r>
                </w:p>
              </w:tc>
              <w:tc>
                <w:tcPr>
                  <w:tcW w:w="1487" w:type="pct"/>
                  <w:vAlign w:val="center"/>
                </w:tcPr>
                <w:p w14:paraId="1A8553EB">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台</w:t>
                  </w:r>
                </w:p>
              </w:tc>
              <w:tc>
                <w:tcPr>
                  <w:tcW w:w="1667" w:type="pct"/>
                  <w:vAlign w:val="center"/>
                </w:tcPr>
                <w:p w14:paraId="07F123FC">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w:t>
                  </w:r>
                </w:p>
              </w:tc>
            </w:tr>
            <w:tr w14:paraId="6BCE1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58BFDECB">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发电机型号</w:t>
                  </w:r>
                </w:p>
              </w:tc>
              <w:tc>
                <w:tcPr>
                  <w:tcW w:w="1487" w:type="pct"/>
                  <w:vAlign w:val="center"/>
                </w:tcPr>
                <w:p w14:paraId="53D2EDE8">
                  <w:pPr>
                    <w:adjustRightInd w:val="0"/>
                    <w:snapToGrid w:val="0"/>
                    <w:jc w:val="center"/>
                    <w:rPr>
                      <w:rFonts w:hint="default" w:ascii="Times New Roman" w:hAnsi="Times New Roman" w:eastAsia="宋体" w:cs="Times New Roman"/>
                      <w:color w:val="auto"/>
                      <w:sz w:val="21"/>
                      <w:highlight w:val="none"/>
                    </w:rPr>
                  </w:pPr>
                </w:p>
              </w:tc>
              <w:tc>
                <w:tcPr>
                  <w:tcW w:w="1667" w:type="pct"/>
                  <w:vAlign w:val="center"/>
                </w:tcPr>
                <w:p w14:paraId="5DFDC727">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QF-15-2</w:t>
                  </w:r>
                </w:p>
              </w:tc>
            </w:tr>
            <w:tr w14:paraId="7D8D9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5C38BBD0">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额定功率</w:t>
                  </w:r>
                </w:p>
              </w:tc>
              <w:tc>
                <w:tcPr>
                  <w:tcW w:w="1487" w:type="pct"/>
                  <w:vAlign w:val="center"/>
                </w:tcPr>
                <w:p w14:paraId="078A12AD">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MW</w:t>
                  </w:r>
                </w:p>
              </w:tc>
              <w:tc>
                <w:tcPr>
                  <w:tcW w:w="1667" w:type="pct"/>
                  <w:vAlign w:val="center"/>
                </w:tcPr>
                <w:p w14:paraId="56FB30D7">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15</w:t>
                  </w:r>
                </w:p>
              </w:tc>
            </w:tr>
            <w:tr w14:paraId="4921D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3C230B88">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额定转速</w:t>
                  </w:r>
                </w:p>
              </w:tc>
              <w:tc>
                <w:tcPr>
                  <w:tcW w:w="1487" w:type="pct"/>
                  <w:vAlign w:val="center"/>
                </w:tcPr>
                <w:p w14:paraId="277E28DD">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r/min</w:t>
                  </w:r>
                </w:p>
              </w:tc>
              <w:tc>
                <w:tcPr>
                  <w:tcW w:w="1667" w:type="pct"/>
                  <w:vAlign w:val="center"/>
                </w:tcPr>
                <w:p w14:paraId="2DF27290">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3000</w:t>
                  </w:r>
                </w:p>
              </w:tc>
            </w:tr>
            <w:tr w14:paraId="0266C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31E9E7CA">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功率因数</w:t>
                  </w:r>
                </w:p>
              </w:tc>
              <w:tc>
                <w:tcPr>
                  <w:tcW w:w="1487" w:type="pct"/>
                  <w:vAlign w:val="center"/>
                </w:tcPr>
                <w:p w14:paraId="756E0785">
                  <w:pPr>
                    <w:adjustRightInd w:val="0"/>
                    <w:snapToGrid w:val="0"/>
                    <w:jc w:val="center"/>
                    <w:rPr>
                      <w:rFonts w:hint="default" w:ascii="Times New Roman" w:hAnsi="Times New Roman" w:eastAsia="宋体" w:cs="Times New Roman"/>
                      <w:color w:val="auto"/>
                      <w:sz w:val="21"/>
                      <w:highlight w:val="none"/>
                    </w:rPr>
                  </w:pPr>
                </w:p>
              </w:tc>
              <w:tc>
                <w:tcPr>
                  <w:tcW w:w="1667" w:type="pct"/>
                  <w:vAlign w:val="center"/>
                </w:tcPr>
                <w:p w14:paraId="1923830A">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0.8</w:t>
                  </w:r>
                </w:p>
              </w:tc>
            </w:tr>
            <w:tr w14:paraId="09467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3B956F28">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额定电压</w:t>
                  </w:r>
                </w:p>
              </w:tc>
              <w:tc>
                <w:tcPr>
                  <w:tcW w:w="1487" w:type="pct"/>
                  <w:vAlign w:val="center"/>
                </w:tcPr>
                <w:p w14:paraId="6ED620BB">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kV</w:t>
                  </w:r>
                </w:p>
              </w:tc>
              <w:tc>
                <w:tcPr>
                  <w:tcW w:w="1667" w:type="pct"/>
                  <w:vAlign w:val="center"/>
                </w:tcPr>
                <w:p w14:paraId="27B2968D">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10.5</w:t>
                  </w:r>
                </w:p>
              </w:tc>
            </w:tr>
            <w:tr w14:paraId="5218D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6FAAABF7">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冷却方式</w:t>
                  </w:r>
                </w:p>
              </w:tc>
              <w:tc>
                <w:tcPr>
                  <w:tcW w:w="1487" w:type="pct"/>
                  <w:vAlign w:val="center"/>
                </w:tcPr>
                <w:p w14:paraId="01941201">
                  <w:pPr>
                    <w:adjustRightInd w:val="0"/>
                    <w:snapToGrid w:val="0"/>
                    <w:jc w:val="center"/>
                    <w:rPr>
                      <w:rFonts w:hint="default" w:ascii="Times New Roman" w:hAnsi="Times New Roman" w:eastAsia="宋体" w:cs="Times New Roman"/>
                      <w:color w:val="auto"/>
                      <w:sz w:val="21"/>
                      <w:highlight w:val="none"/>
                    </w:rPr>
                  </w:pPr>
                </w:p>
              </w:tc>
              <w:tc>
                <w:tcPr>
                  <w:tcW w:w="1667" w:type="pct"/>
                  <w:vAlign w:val="center"/>
                </w:tcPr>
                <w:p w14:paraId="288359CD">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空冷</w:t>
                  </w:r>
                </w:p>
              </w:tc>
            </w:tr>
            <w:tr w14:paraId="5B518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45" w:type="pct"/>
                  <w:vAlign w:val="center"/>
                </w:tcPr>
                <w:p w14:paraId="1D4149D6">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汽轮发电机组热效率</w:t>
                  </w:r>
                </w:p>
              </w:tc>
              <w:tc>
                <w:tcPr>
                  <w:tcW w:w="1487" w:type="pct"/>
                  <w:vAlign w:val="center"/>
                </w:tcPr>
                <w:p w14:paraId="6CBA67D0">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1667" w:type="pct"/>
                  <w:vAlign w:val="center"/>
                </w:tcPr>
                <w:p w14:paraId="462D84EF">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21.5</w:t>
                  </w:r>
                </w:p>
              </w:tc>
            </w:tr>
          </w:tbl>
          <w:p w14:paraId="62B70EA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2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②</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热力系统</w:t>
            </w:r>
          </w:p>
          <w:p w14:paraId="23BA2710">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锅炉产生的过热蒸汽经汽机主汽门进入凝汽式汽轮机中做功驱动发电机发电后，排汽进入凝汽器冷凝为凝结水，然后由凝结水泵将凝结水加压后进入热力除氧器。除氧后的130℃给水由锅炉给水泵送至垃圾焚烧锅炉循环运行。</w:t>
            </w:r>
          </w:p>
          <w:p w14:paraId="3779571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现有项目设置1台连续排污扩容器和1台定期排污扩容器。连续排污扩容器的二次蒸汽送回除氧器作为加热蒸汽，以回收热量。锅炉排污水排入排污扩容器，排污扩容器的污水排入热井冷却后回用。</w:t>
            </w:r>
          </w:p>
          <w:p w14:paraId="450F1C1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热力系统中设有2台减温减压器，分别为：1台辅助用减温减压器，供除氧器和蒸汽空预器用汽；1台旁路减温减压器，为汽轮机大旁路系统，满足汽轮机启动以及“停机不停炉”的运行要求。同时，除氧器的部分加热用蒸汽也可由此参数的蒸汽再经减压后补充。空气预热器的疏水利用余压送入疏水箱。余热锅炉直接连入现有项目的主蒸汽系统。</w:t>
            </w:r>
          </w:p>
          <w:p w14:paraId="6FB59F8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bookmarkStart w:id="11" w:name="_Toc453594975"/>
            <w:bookmarkStart w:id="12" w:name="_Toc453678250"/>
            <w:r>
              <w:rPr>
                <w:rFonts w:hint="default" w:ascii="Times New Roman" w:hAnsi="Times New Roman" w:eastAsia="宋体" w:cs="Times New Roman"/>
                <w:color w:val="auto"/>
                <w:sz w:val="24"/>
                <w:szCs w:val="24"/>
                <w:highlight w:val="none"/>
                <w:shd w:val="clear" w:color="auto" w:fill="FFFFFF" w:themeFill="background1"/>
              </w:rPr>
              <w:t>（5）烟气净化处理系统</w:t>
            </w:r>
            <w:bookmarkEnd w:id="11"/>
            <w:bookmarkEnd w:id="12"/>
          </w:p>
          <w:p w14:paraId="25B603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垃圾焚烧炉产生的烟气含有粉尘、氯化氢、氟化氢、二氧化硫等酸性有害气体及二噁英、重金属等有毒物质。</w:t>
            </w:r>
          </w:p>
          <w:p w14:paraId="52C1FEC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烟气净化采用“SNCR脱硝+半干式机械旋转喷雾吸收塔+干法脱酸+活性炭吸附+袋式除尘+SCR脱硝+小苏打脱硫”组合净化工艺。烟气净化系统主要有：SNCR脱硝系统、半干式综合反应塔系统、布袋除尘器系统、干粉喷射系统、活性炭喷射系统、SCR脱硝系统、小苏打脱硫系统、烟气排放系统、烟气在线监测系统和飞灰输送系统组成。</w:t>
            </w:r>
          </w:p>
          <w:p w14:paraId="7758FEE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（6）灰渣综合处理系统</w:t>
            </w:r>
          </w:p>
          <w:p w14:paraId="2C37A42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现有项目2台400t/d垃圾焚烧炉，每台锅炉底部带有1台液压驱动的水浴式除渣机，把炉渣直接送至渣坑暂存，渣坑内的炉渣通过液压灰渣抓斗起重机装车外运进行处理。</w:t>
            </w:r>
          </w:p>
          <w:p w14:paraId="6DA0797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fldChar w:fldCharType="begin"/>
            </w:r>
            <w:r>
              <w:rPr>
                <w:rFonts w:hint="default" w:ascii="Times New Roman" w:hAnsi="Times New Roman" w:eastAsia="宋体" w:cs="Times New Roman"/>
                <w:color w:val="auto"/>
                <w:sz w:val="24"/>
                <w:szCs w:val="24"/>
                <w:highlight w:val="none"/>
                <w:shd w:val="clear" w:color="auto" w:fill="FFFFFF" w:themeFill="background1"/>
              </w:rPr>
              <w:instrText xml:space="preserve"> = 1 \* GB3 </w:instrText>
            </w:r>
            <w:r>
              <w:rPr>
                <w:rFonts w:hint="default" w:ascii="Times New Roman" w:hAnsi="Times New Roman" w:eastAsia="宋体" w:cs="Times New Roman"/>
                <w:color w:val="auto"/>
                <w:sz w:val="24"/>
                <w:szCs w:val="24"/>
                <w:highlight w:val="none"/>
                <w:shd w:val="clear" w:color="auto" w:fill="FFFFFF" w:themeFill="background1"/>
              </w:rPr>
              <w:fldChar w:fldCharType="separate"/>
            </w:r>
            <w:r>
              <w:rPr>
                <w:rFonts w:hint="default" w:ascii="Times New Roman" w:hAnsi="Times New Roman" w:eastAsia="宋体" w:cs="Times New Roman"/>
                <w:color w:val="auto"/>
                <w:sz w:val="24"/>
                <w:szCs w:val="24"/>
                <w:highlight w:val="none"/>
                <w:shd w:val="clear" w:color="auto" w:fill="FFFFFF" w:themeFill="background1"/>
              </w:rPr>
              <w:t>①</w:t>
            </w:r>
            <w:r>
              <w:rPr>
                <w:rFonts w:hint="default" w:ascii="Times New Roman" w:hAnsi="Times New Roman" w:eastAsia="宋体" w:cs="Times New Roman"/>
                <w:color w:val="auto"/>
                <w:sz w:val="24"/>
                <w:szCs w:val="24"/>
                <w:highlight w:val="none"/>
                <w:shd w:val="clear" w:color="auto" w:fill="FFFFFF" w:themeFill="background1"/>
              </w:rPr>
              <w:fldChar w:fldCharType="end"/>
            </w:r>
            <w:r>
              <w:rPr>
                <w:rFonts w:hint="default" w:ascii="Times New Roman" w:hAnsi="Times New Roman" w:eastAsia="宋体" w:cs="Times New Roman"/>
                <w:color w:val="auto"/>
                <w:sz w:val="24"/>
                <w:szCs w:val="24"/>
                <w:highlight w:val="none"/>
                <w:shd w:val="clear" w:color="auto" w:fill="FFFFFF" w:themeFill="background1"/>
              </w:rPr>
              <w:t>灰渣处理系统</w:t>
            </w:r>
          </w:p>
          <w:p w14:paraId="40602D7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锅炉排出的底渣落入水冷式排渣机水槽中冷却后，由液压推杆式除渣机直接排入渣池中，经灰渣吊车抓斗装入自卸汽车运送至综合利用厂。在锅炉底部设置除渣机，最大出力为30t/h，该设备与炉底密封有较好的性能，有利于提高锅炉效率。本期工程设置有贮渣坑一座，宽5m，深4.5m，共长34m，可满足本工程规模炉渣贮存4天的量。渣池内设置灰渣吊车抓斗起重机两台，抓斗容积3m3。出渣机冷却水循环使用，补水由冷却水系统供给。</w:t>
            </w:r>
          </w:p>
          <w:p w14:paraId="44BCC4EF">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②飞灰处理系统</w:t>
            </w:r>
          </w:p>
          <w:p w14:paraId="18DBE017">
            <w:pPr>
              <w:autoSpaceDE w:val="0"/>
              <w:autoSpaceDN w:val="0"/>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现有项目飞灰主要来自半干式综合反应塔和布袋除尘器排出的灰尘，其主要成分为CaCl</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、CaSO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、SiO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、CaO、Al</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、Fe</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 xml:space="preserve"> 等，另外还有少量的Hg、Pb、Cr、Ge、Mn、Zn、Mg 等重金属和微量的二噁英等有毒有机物。</w:t>
            </w:r>
          </w:p>
          <w:p w14:paraId="46308EF9">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半干式反应塔和布袋除尘器灰斗的飞灰，采用刮板输送机送至集合刮板输送机，再经斗式提升机送至位于主厂房的灰仓内。</w:t>
            </w:r>
          </w:p>
          <w:p w14:paraId="4FE9BE4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飞灰的处理工艺流程为：首先将焚烧飞灰输送到固化区域的飞灰储仓中；计量加入适量有机螯合剂和水；飞灰通过螺旋给料机将其定量卸入搅拌机中，混合物料经充分搅拌后，倒入定型模具中，料浆在干化区中</w:t>
            </w:r>
            <w:r>
              <w:rPr>
                <w:rFonts w:hint="eastAsia" w:cs="Times New Roman"/>
                <w:color w:val="auto"/>
                <w:sz w:val="24"/>
                <w:szCs w:val="24"/>
                <w:highlight w:val="none"/>
                <w:shd w:val="clear" w:color="auto" w:fill="FFFFFF" w:themeFill="background1"/>
                <w:lang w:eastAsia="zh-CN"/>
              </w:rPr>
              <w:t>稳定</w:t>
            </w:r>
            <w:r>
              <w:rPr>
                <w:rFonts w:hint="default" w:ascii="Times New Roman" w:hAnsi="Times New Roman" w:eastAsia="宋体" w:cs="Times New Roman"/>
                <w:color w:val="auto"/>
                <w:sz w:val="24"/>
                <w:szCs w:val="24"/>
                <w:highlight w:val="none"/>
                <w:shd w:val="clear" w:color="auto" w:fill="FFFFFF" w:themeFill="background1"/>
              </w:rPr>
              <w:t>72小时后</w:t>
            </w:r>
            <w:r>
              <w:rPr>
                <w:rFonts w:hint="eastAsia" w:cs="Times New Roman"/>
                <w:color w:val="auto"/>
                <w:sz w:val="24"/>
                <w:szCs w:val="24"/>
                <w:highlight w:val="none"/>
                <w:shd w:val="clear" w:color="auto" w:fill="FFFFFF" w:themeFill="background1"/>
                <w:lang w:eastAsia="zh-CN"/>
              </w:rPr>
              <w:t>，此过程</w:t>
            </w:r>
            <w:r>
              <w:rPr>
                <w:rFonts w:ascii="Segoe UI" w:hAnsi="Segoe UI" w:eastAsia="Segoe UI" w:cs="Segoe UI"/>
                <w:i w:val="0"/>
                <w:iCs w:val="0"/>
                <w:caps w:val="0"/>
                <w:color w:val="auto"/>
                <w:spacing w:val="0"/>
                <w:sz w:val="24"/>
                <w:szCs w:val="24"/>
                <w:shd w:val="clear" w:fill="FFFFFF"/>
              </w:rPr>
              <w:t>形成稳定的、难溶于水的螯合物，从而将重金属“锁住”，阻止其在环境中迁移</w:t>
            </w:r>
            <w:r>
              <w:rPr>
                <w:rFonts w:hint="eastAsia" w:cs="Times New Roman"/>
                <w:color w:val="auto"/>
                <w:sz w:val="24"/>
                <w:szCs w:val="24"/>
                <w:highlight w:val="none"/>
                <w:shd w:val="clear" w:color="auto" w:fill="FFFFFF" w:themeFill="background1"/>
                <w:lang w:eastAsia="zh-CN"/>
              </w:rPr>
              <w:t>。</w:t>
            </w:r>
            <w:r>
              <w:rPr>
                <w:rFonts w:hint="default" w:ascii="Times New Roman" w:hAnsi="Times New Roman" w:eastAsia="宋体" w:cs="Times New Roman"/>
                <w:color w:val="auto"/>
                <w:sz w:val="24"/>
                <w:szCs w:val="24"/>
                <w:highlight w:val="none"/>
                <w:shd w:val="clear" w:color="auto" w:fill="FFFFFF" w:themeFill="background1"/>
              </w:rPr>
              <w:t>样品进行送检检验，经检测合格后运送至指定填埋场进行填埋处理，不合格品再次进行重新处理。</w:t>
            </w:r>
          </w:p>
          <w:p w14:paraId="553558C6">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飞灰固化工艺流程见图</w:t>
            </w:r>
            <w:r>
              <w:rPr>
                <w:rFonts w:hint="eastAsia" w:ascii="Times New Roman" w:hAnsi="Times New Roman" w:eastAsia="宋体" w:cs="Times New Roman"/>
                <w:color w:val="auto"/>
                <w:sz w:val="24"/>
                <w:szCs w:val="24"/>
                <w:highlight w:val="none"/>
                <w:shd w:val="clear" w:color="auto" w:fill="FFFFFF" w:themeFill="background1"/>
                <w:lang w:val="en-US" w:eastAsia="zh-CN"/>
              </w:rPr>
              <w:t>2-4</w:t>
            </w:r>
            <w:r>
              <w:rPr>
                <w:rFonts w:hint="default" w:ascii="Times New Roman" w:hAnsi="Times New Roman" w:eastAsia="宋体" w:cs="Times New Roman"/>
                <w:color w:val="auto"/>
                <w:sz w:val="24"/>
                <w:szCs w:val="24"/>
                <w:highlight w:val="none"/>
                <w:shd w:val="clear" w:color="auto" w:fill="FFFFFF" w:themeFill="background1"/>
              </w:rPr>
              <w:t>。</w:t>
            </w:r>
          </w:p>
          <w:p w14:paraId="7A9B797F">
            <w:pPr>
              <w:adjustRightInd w:val="0"/>
              <w:snapToGrid w:val="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drawing>
                <wp:inline distT="0" distB="0" distL="0" distR="0">
                  <wp:extent cx="5274310" cy="1982470"/>
                  <wp:effectExtent l="0" t="0" r="2540" b="177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982470"/>
                          </a:xfrm>
                          <a:prstGeom prst="rect">
                            <a:avLst/>
                          </a:prstGeom>
                          <a:noFill/>
                          <a:ln>
                            <a:noFill/>
                          </a:ln>
                        </pic:spPr>
                      </pic:pic>
                    </a:graphicData>
                  </a:graphic>
                </wp:inline>
              </w:drawing>
            </w:r>
          </w:p>
          <w:p w14:paraId="3990E79C">
            <w:pPr>
              <w:pStyle w:val="42"/>
              <w:snapToGrid w:val="0"/>
              <w:spacing w:line="500" w:lineRule="exact"/>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kern w:val="2"/>
                <w:highlight w:val="none"/>
              </w:rPr>
              <w:t>图</w:t>
            </w:r>
            <w:r>
              <w:rPr>
                <w:rFonts w:hint="eastAsia" w:ascii="Times New Roman" w:hAnsi="Times New Roman" w:eastAsia="宋体" w:cs="Times New Roman"/>
                <w:b/>
                <w:color w:val="auto"/>
                <w:kern w:val="2"/>
                <w:highlight w:val="none"/>
                <w:lang w:val="en-US" w:eastAsia="zh-CN"/>
              </w:rPr>
              <w:t>2-4</w:t>
            </w:r>
            <w:r>
              <w:rPr>
                <w:rFonts w:hint="default" w:ascii="Times New Roman" w:hAnsi="Times New Roman" w:eastAsia="宋体" w:cs="Times New Roman"/>
                <w:b/>
                <w:color w:val="auto"/>
                <w:kern w:val="2"/>
                <w:highlight w:val="none"/>
              </w:rPr>
              <w:t xml:space="preserve">   飞灰固化工艺流程图</w:t>
            </w:r>
          </w:p>
          <w:p w14:paraId="071229DC">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（7）渗滤液处理系统</w:t>
            </w:r>
          </w:p>
          <w:p w14:paraId="5EDC9CC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AU"/>
              </w:rPr>
            </w:pPr>
            <w:r>
              <w:rPr>
                <w:rFonts w:hint="default" w:ascii="Times New Roman" w:hAnsi="Times New Roman" w:eastAsia="宋体" w:cs="Times New Roman"/>
                <w:color w:val="auto"/>
                <w:sz w:val="24"/>
                <w:szCs w:val="24"/>
                <w:highlight w:val="none"/>
                <w:shd w:val="clear" w:color="auto" w:fill="FFFFFF" w:themeFill="background1"/>
                <w:lang w:val="en-AU"/>
              </w:rPr>
              <w:t>垃圾运至垃圾坑内堆存，垃圾中所含的水分会逐渐渗滤出来，渗滤液的产量平均约占垃圾处理量的15%左右，而夏季产量则大大提高，约占垃圾处理量的</w:t>
            </w:r>
            <w:r>
              <w:rPr>
                <w:rFonts w:hint="eastAsia" w:cs="Times New Roman"/>
                <w:color w:val="auto"/>
                <w:sz w:val="24"/>
                <w:szCs w:val="24"/>
                <w:highlight w:val="none"/>
                <w:shd w:val="clear" w:color="auto" w:fill="FFFFFF" w:themeFill="background1"/>
                <w:lang w:val="en-AU" w:eastAsia="zh-CN"/>
              </w:rPr>
              <w:t>20%—30%</w:t>
            </w:r>
            <w:r>
              <w:rPr>
                <w:rFonts w:hint="default" w:ascii="Times New Roman" w:hAnsi="Times New Roman" w:eastAsia="宋体" w:cs="Times New Roman"/>
                <w:color w:val="auto"/>
                <w:sz w:val="24"/>
                <w:szCs w:val="24"/>
                <w:highlight w:val="none"/>
                <w:shd w:val="clear" w:color="auto" w:fill="FFFFFF" w:themeFill="background1"/>
                <w:lang w:val="en-AU"/>
              </w:rPr>
              <w:t>。</w:t>
            </w:r>
          </w:p>
          <w:p w14:paraId="5076B56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AU"/>
              </w:rPr>
            </w:pPr>
            <w:r>
              <w:rPr>
                <w:rFonts w:hint="default" w:ascii="Times New Roman" w:hAnsi="Times New Roman" w:eastAsia="宋体" w:cs="Times New Roman"/>
                <w:color w:val="auto"/>
                <w:sz w:val="24"/>
                <w:szCs w:val="24"/>
                <w:highlight w:val="none"/>
                <w:shd w:val="clear" w:color="auto" w:fill="FFFFFF" w:themeFill="background1"/>
                <w:lang w:val="en-AU"/>
              </w:rPr>
              <w:t>垃圾焚烧发电厂生产过</w:t>
            </w:r>
            <w:r>
              <w:rPr>
                <w:rFonts w:hint="eastAsia" w:cs="Times New Roman"/>
                <w:color w:val="auto"/>
                <w:sz w:val="24"/>
                <w:szCs w:val="24"/>
                <w:highlight w:val="none"/>
                <w:shd w:val="clear" w:color="auto" w:fill="FFFFFF" w:themeFill="background1"/>
                <w:lang w:val="en-AU" w:eastAsia="zh-CN"/>
              </w:rPr>
              <w:t>程中</w:t>
            </w:r>
            <w:r>
              <w:rPr>
                <w:rFonts w:hint="default" w:ascii="Times New Roman" w:hAnsi="Times New Roman" w:eastAsia="宋体" w:cs="Times New Roman"/>
                <w:color w:val="auto"/>
                <w:sz w:val="24"/>
                <w:szCs w:val="24"/>
                <w:highlight w:val="none"/>
                <w:shd w:val="clear" w:color="auto" w:fill="FFFFFF" w:themeFill="background1"/>
                <w:lang w:val="en-AU"/>
              </w:rPr>
              <w:t>产生的垃圾渗滤液经过收集后自流</w:t>
            </w:r>
            <w:r>
              <w:rPr>
                <w:rFonts w:hint="eastAsia" w:cs="Times New Roman"/>
                <w:color w:val="auto"/>
                <w:sz w:val="24"/>
                <w:szCs w:val="24"/>
                <w:highlight w:val="none"/>
                <w:shd w:val="clear" w:color="auto" w:fill="FFFFFF" w:themeFill="background1"/>
                <w:lang w:val="en-AU" w:eastAsia="zh-CN"/>
              </w:rPr>
              <w:t>进入</w:t>
            </w:r>
            <w:r>
              <w:rPr>
                <w:rFonts w:hint="default" w:ascii="Times New Roman" w:hAnsi="Times New Roman" w:eastAsia="宋体" w:cs="Times New Roman"/>
                <w:color w:val="auto"/>
                <w:sz w:val="24"/>
                <w:szCs w:val="24"/>
                <w:highlight w:val="none"/>
                <w:shd w:val="clear" w:color="auto" w:fill="FFFFFF" w:themeFill="background1"/>
                <w:lang w:val="en-AU"/>
              </w:rPr>
              <w:t>渗滤液调节池系统，经提升后进入渗滤液处理系统。现有项目渗滤液处理站采取“调节池＋UASB厌氧反应器＋MBR生化处理系统＋NF纳滤膜＋RO反渗透膜处理”处理工艺。渗滤液经处理后达到</w:t>
            </w:r>
            <w:r>
              <w:rPr>
                <w:rFonts w:hint="default" w:ascii="Times New Roman" w:hAnsi="Times New Roman" w:eastAsia="宋体" w:cs="Times New Roman"/>
                <w:color w:val="auto"/>
                <w:sz w:val="24"/>
                <w:szCs w:val="24"/>
                <w:highlight w:val="none"/>
                <w:shd w:val="clear" w:color="auto" w:fill="FFFFFF" w:themeFill="background1"/>
              </w:rPr>
              <w:t>排放</w:t>
            </w:r>
            <w:r>
              <w:rPr>
                <w:rFonts w:hint="default" w:ascii="Times New Roman" w:hAnsi="Times New Roman" w:eastAsia="宋体" w:cs="Times New Roman"/>
                <w:color w:val="auto"/>
                <w:sz w:val="24"/>
                <w:szCs w:val="24"/>
                <w:highlight w:val="none"/>
                <w:shd w:val="clear" w:color="auto" w:fill="FFFFFF" w:themeFill="background1"/>
                <w:lang w:val="en-AU"/>
              </w:rPr>
              <w:t>标准，排入工业园区污水管网，渗滤液浓液进入石灰制浆系统回用。混凝沉淀池、MBR处理系统剩余污泥、UASB反应器剩余污泥与UF超滤剩余污泥一起进入污泥浓缩池进行再次泥水分离，浓缩后的污泥加压送至离心式污泥脱水机脱水，污泥浓缩池上清液及脱水机产生的废液回流至调节池进行再处理，离心污泥脱水机产生的泥饼运至厂内焚烧炉焚烧处理。</w:t>
            </w:r>
          </w:p>
          <w:p w14:paraId="75197AEB">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（8）空冷系统及电力接入系统</w:t>
            </w:r>
          </w:p>
          <w:p w14:paraId="6D8D6F0C">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现有项目装机规模为2×400t/d炉排垃圾焚烧炉+1×N12凝汽式汽轮机配1台15MW发电机。发电机出口电压为10.5kV，采用单母线接线方式，设10kV I段母线，发电机和厂用电接入10kV I段母线，并经1台20MVA主变升压后接入35kV配电装置。</w:t>
            </w:r>
          </w:p>
          <w:p w14:paraId="65EA0BE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现有项目上网电压等级确定为35kV，考虑电厂的经济性和垃圾处理的连续性和可靠性，以及垃圾储坑有限的储存量，兼机组总容量较小。</w:t>
            </w:r>
          </w:p>
          <w:p w14:paraId="5ED88A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因此35kV配电装置采用单母线接线方式，经1回约5km长的35kV线路接入涟水县东湖集镇35KV变电站，向电力系统输送电力。正常运行时输出电量，在机组</w:t>
            </w:r>
            <w:r>
              <w:rPr>
                <w:rFonts w:hint="eastAsia" w:cs="Times New Roman"/>
                <w:color w:val="auto"/>
                <w:sz w:val="24"/>
                <w:szCs w:val="24"/>
                <w:highlight w:val="none"/>
                <w:shd w:val="clear" w:color="auto" w:fill="FFFFFF" w:themeFill="background1"/>
                <w:lang w:eastAsia="zh-CN"/>
              </w:rPr>
              <w:t>启动</w:t>
            </w:r>
            <w:r>
              <w:rPr>
                <w:rFonts w:hint="default" w:ascii="Times New Roman" w:hAnsi="Times New Roman" w:eastAsia="宋体" w:cs="Times New Roman"/>
                <w:color w:val="auto"/>
                <w:sz w:val="24"/>
                <w:szCs w:val="24"/>
                <w:highlight w:val="none"/>
                <w:shd w:val="clear" w:color="auto" w:fill="FFFFFF" w:themeFill="background1"/>
              </w:rPr>
              <w:t>、异常、检修等情况下由系统倒送电。同时就近从附近变电所引一回10kV线路接入电厂10kV系统作为全厂的保安电源。</w:t>
            </w:r>
          </w:p>
          <w:p w14:paraId="3457257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保安电源主要用于因联络线断电等引起的全厂停电情况下，用于锅炉紧急给水，低压应急电源、检修用电，日常办公用电等，负荷容量630kVA。</w:t>
            </w:r>
          </w:p>
          <w:p w14:paraId="0E44AE2F">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主厂房低压厂用系统设2台2000KVA的低压干式变压器，用于全厂的低压负荷。另设1台2000KVA的低压干式变压器作为2台低压厂变的备用电源。</w:t>
            </w:r>
          </w:p>
          <w:p w14:paraId="7BDAE8C8">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35kV配电装置采用内装真空断路器的金属移开式开关设备。35kV联络线主保护采用微机型光纤纵联差动保护。</w:t>
            </w:r>
          </w:p>
          <w:p w14:paraId="18214B34">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（9）仪表控制系统</w:t>
            </w:r>
          </w:p>
          <w:p w14:paraId="504EB7D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lang w:val="en-GB"/>
              </w:rPr>
            </w:pPr>
            <w:r>
              <w:rPr>
                <w:rFonts w:hint="default" w:ascii="Times New Roman" w:hAnsi="Times New Roman" w:eastAsia="宋体" w:cs="Times New Roman"/>
                <w:color w:val="auto"/>
                <w:sz w:val="24"/>
                <w:szCs w:val="24"/>
                <w:highlight w:val="none"/>
                <w:shd w:val="clear" w:color="auto" w:fill="FFFFFF" w:themeFill="background1"/>
              </w:rPr>
              <w:t>现有项目采用DCS作为控制系统，它负责所有设备和系统的控制；PLC和专用控制设备作为辅控系统，主要负责专利商提供的机电一体化设备的控制。不考虑后备手动操作，仅在操作台上设置一些重要信号按钮，如急停按钮等。</w:t>
            </w:r>
          </w:p>
          <w:p w14:paraId="76EEDA63">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（10）电气控制系统</w:t>
            </w:r>
          </w:p>
          <w:p w14:paraId="443D05C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现有项目规模为2炉1机，发电机容量为15MW，发电机出口电压为10.5kV，采用单母线接线方式，设10kV I段母线，发电机和厂用电接入10kV I段母线，并经1台20MVA主变升压后接入35kV配电装置。</w:t>
            </w:r>
          </w:p>
          <w:p w14:paraId="74132F8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35kV配电装置为单母线接线方式，采用内装真空断路器的金属移开式开关设备，户内布置。</w:t>
            </w:r>
          </w:p>
          <w:p w14:paraId="1F12590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首次启动时由地区电网系统通过主变压器倒送电作为启动电源（通过35kV倒送），启动后垃圾焚烧发电厂内发电机投入运行并网发电，除厂用电外，剩余电再通过35kV线路送入地区电网。</w:t>
            </w:r>
          </w:p>
          <w:p w14:paraId="1DED5FFF">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当35kV线路出现故障，垃圾电厂10kV母线出口（主变10kV侧）开关断开，发电机处于孤岛运行状态，汽轮机通过电液调节装置维持运行，发电机发出电力只保证厂用系统的需要。</w:t>
            </w:r>
          </w:p>
          <w:p w14:paraId="36886AF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为保证发电机与系统并列和系统倒换的安全，在电厂整个系统中设3个同期点：发电机出口开关、主变低压侧开关、35kV联络线开关。</w:t>
            </w:r>
          </w:p>
          <w:p w14:paraId="30EF79C7">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783DB442">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br w:type="textWrapping"/>
            </w:r>
          </w:p>
          <w:p w14:paraId="41DDBAC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02FB358E">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00769185">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76D988FD">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63B4E7D1">
            <w:pPr>
              <w:adjustRightInd w:val="0"/>
              <w:snapToGrid w:val="0"/>
              <w:spacing w:line="500" w:lineRule="exact"/>
              <w:ind w:firstLine="480" w:firstLineChars="200"/>
              <w:jc w:val="both"/>
              <w:rPr>
                <w:rFonts w:hint="default" w:ascii="Times New Roman" w:hAnsi="Times New Roman" w:eastAsia="宋体" w:cs="Times New Roman"/>
                <w:color w:val="auto"/>
                <w:sz w:val="24"/>
                <w:szCs w:val="24"/>
                <w:highlight w:val="none"/>
                <w:shd w:val="clear" w:color="auto" w:fill="FFFFFF" w:themeFill="background1"/>
              </w:rPr>
            </w:pPr>
          </w:p>
          <w:p w14:paraId="474B12FE">
            <w:pPr>
              <w:widowControl/>
              <w:adjustRightInd w:val="0"/>
              <w:snapToGrid w:val="0"/>
              <w:spacing w:line="360" w:lineRule="auto"/>
              <w:ind w:firstLine="420" w:firstLineChars="200"/>
              <w:jc w:val="center"/>
              <w:rPr>
                <w:color w:val="auto"/>
              </w:rPr>
            </w:pPr>
          </w:p>
          <w:p w14:paraId="5CA922B5">
            <w:pPr>
              <w:widowControl/>
              <w:adjustRightInd w:val="0"/>
              <w:snapToGrid w:val="0"/>
              <w:spacing w:line="360" w:lineRule="auto"/>
              <w:ind w:firstLine="480" w:firstLineChars="200"/>
              <w:rPr>
                <w:rFonts w:hint="default" w:cs="Times New Roman"/>
                <w:bCs/>
                <w:color w:val="auto"/>
                <w:sz w:val="24"/>
                <w:lang w:val="en-US" w:eastAsia="zh-CN"/>
              </w:rPr>
            </w:pPr>
          </w:p>
        </w:tc>
      </w:tr>
    </w:tbl>
    <w:p w14:paraId="1BF6E86D">
      <w:pPr>
        <w:pStyle w:val="29"/>
        <w:adjustRightInd w:val="0"/>
        <w:snapToGrid w:val="0"/>
        <w:spacing w:before="0" w:beforeAutospacing="0" w:after="0" w:afterAutospacing="0"/>
        <w:jc w:val="center"/>
        <w:rPr>
          <w:rFonts w:ascii="Times New Roman" w:hAnsi="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12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1955"/>
      </w:tblGrid>
      <w:tr w14:paraId="6E536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4" w:hRule="atLeast"/>
          <w:jc w:val="center"/>
        </w:trPr>
        <w:tc>
          <w:tcPr>
            <w:tcW w:w="559" w:type="dxa"/>
            <w:vAlign w:val="center"/>
          </w:tcPr>
          <w:p w14:paraId="6DD42CCA">
            <w:pPr>
              <w:pStyle w:val="29"/>
              <w:adjustRightInd w:val="0"/>
              <w:snapToGrid w:val="0"/>
              <w:spacing w:before="0" w:beforeAutospacing="0" w:after="0" w:afterAutospacing="0"/>
              <w:jc w:val="center"/>
              <w:rPr>
                <w:rFonts w:ascii="Times New Roman" w:hAnsi="Times New Roman"/>
                <w:color w:val="auto"/>
              </w:rPr>
            </w:pPr>
          </w:p>
        </w:tc>
        <w:tc>
          <w:tcPr>
            <w:tcW w:w="11955" w:type="dxa"/>
          </w:tcPr>
          <w:p w14:paraId="7C67022C">
            <w:pPr>
              <w:pStyle w:val="154"/>
              <w:adjustRightInd w:val="0"/>
              <w:snapToGrid w:val="0"/>
              <w:spacing w:line="240" w:lineRule="auto"/>
              <w:ind w:firstLine="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color w:val="auto"/>
                <w:highlight w:val="none"/>
              </w:rPr>
              <w:object>
                <v:shape id="_x0000_i1027" o:spt="75" type="#_x0000_t75" style="height:394.1pt;width:540.5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p>
          <w:p w14:paraId="5A5D792A">
            <w:pPr>
              <w:pStyle w:val="154"/>
              <w:adjustRightInd w:val="0"/>
              <w:snapToGrid w:val="0"/>
              <w:spacing w:line="500" w:lineRule="atLeast"/>
              <w:ind w:firstLine="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color w:val="auto"/>
                <w:sz w:val="24"/>
                <w:szCs w:val="24"/>
                <w:highlight w:val="none"/>
              </w:rPr>
              <w:t>图</w:t>
            </w:r>
            <w:r>
              <w:rPr>
                <w:rFonts w:hint="eastAsia" w:ascii="Times New Roman" w:eastAsia="宋体" w:cs="Times New Roman"/>
                <w:b/>
                <w:color w:val="auto"/>
                <w:sz w:val="24"/>
                <w:szCs w:val="24"/>
                <w:highlight w:val="none"/>
                <w:lang w:val="en-US" w:eastAsia="zh-CN"/>
              </w:rPr>
              <w:t>2-5</w:t>
            </w:r>
            <w:r>
              <w:rPr>
                <w:rFonts w:hint="default" w:ascii="Times New Roman" w:hAnsi="Times New Roman" w:eastAsia="宋体" w:cs="Times New Roman"/>
                <w:b/>
                <w:color w:val="auto"/>
                <w:sz w:val="24"/>
                <w:szCs w:val="24"/>
                <w:highlight w:val="none"/>
              </w:rPr>
              <w:t xml:space="preserve">  垃圾焚烧工艺流程图</w:t>
            </w:r>
          </w:p>
          <w:p w14:paraId="7736A823">
            <w:pPr>
              <w:widowControl/>
              <w:adjustRightInd w:val="0"/>
              <w:snapToGrid w:val="0"/>
              <w:spacing w:line="360" w:lineRule="auto"/>
              <w:ind w:firstLine="480" w:firstLineChars="200"/>
              <w:rPr>
                <w:rFonts w:hint="eastAsia" w:eastAsia="宋体"/>
                <w:color w:val="auto"/>
                <w:sz w:val="24"/>
                <w:lang w:val="en-US" w:eastAsia="zh-CN"/>
              </w:rPr>
            </w:pPr>
          </w:p>
        </w:tc>
      </w:tr>
    </w:tbl>
    <w:p w14:paraId="78E252BE">
      <w:pPr>
        <w:pStyle w:val="29"/>
        <w:adjustRightInd w:val="0"/>
        <w:snapToGrid w:val="0"/>
        <w:spacing w:before="0" w:beforeAutospacing="0" w:after="0" w:afterAutospacing="0"/>
        <w:jc w:val="center"/>
        <w:rPr>
          <w:rFonts w:ascii="Times New Roman" w:hAnsi="Times New Roman"/>
          <w:color w:val="auto"/>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20"/>
        <w:gridCol w:w="8841"/>
      </w:tblGrid>
      <w:tr w14:paraId="4DB9C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6" w:hRule="atLeast"/>
          <w:jc w:val="center"/>
        </w:trPr>
        <w:tc>
          <w:tcPr>
            <w:tcW w:w="220" w:type="dxa"/>
            <w:vAlign w:val="center"/>
          </w:tcPr>
          <w:p w14:paraId="4BC2D151">
            <w:pPr>
              <w:pStyle w:val="29"/>
              <w:adjustRightInd w:val="0"/>
              <w:snapToGrid w:val="0"/>
              <w:spacing w:before="0" w:beforeAutospacing="0" w:after="0" w:afterAutospacing="0"/>
              <w:jc w:val="center"/>
              <w:rPr>
                <w:rFonts w:ascii="Times New Roman" w:hAnsi="Times New Roman"/>
                <w:color w:val="auto"/>
              </w:rPr>
            </w:pPr>
          </w:p>
        </w:tc>
        <w:tc>
          <w:tcPr>
            <w:tcW w:w="8841" w:type="dxa"/>
          </w:tcPr>
          <w:p w14:paraId="5530815C">
            <w:pPr>
              <w:pStyle w:val="42"/>
              <w:numPr>
                <w:ilvl w:val="0"/>
                <w:numId w:val="0"/>
              </w:numPr>
              <w:spacing w:line="360" w:lineRule="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3.1</w:t>
            </w:r>
            <w:r>
              <w:rPr>
                <w:rFonts w:hint="default" w:ascii="Times New Roman" w:hAnsi="Times New Roman" w:eastAsia="宋体" w:cs="Times New Roman"/>
                <w:color w:val="auto"/>
              </w:rPr>
              <w:t>现有项目污染物产生、治理及达标排放情况</w:t>
            </w:r>
          </w:p>
          <w:p w14:paraId="7525AA72">
            <w:pPr>
              <w:keepNext/>
              <w:keepLines/>
              <w:pageBreakBefore w:val="0"/>
              <w:widowControl w:val="0"/>
              <w:kinsoku/>
              <w:wordWrap/>
              <w:overflowPunct/>
              <w:topLinePunct w:val="0"/>
              <w:autoSpaceDE/>
              <w:autoSpaceDN/>
              <w:bidi w:val="0"/>
              <w:adjustRightInd/>
              <w:snapToGrid/>
              <w:spacing w:before="164" w:beforeLines="50" w:line="240" w:lineRule="auto"/>
              <w:jc w:val="both"/>
              <w:textAlignment w:val="auto"/>
              <w:outlineLvl w:val="2"/>
              <w:rPr>
                <w:rFonts w:hint="default" w:ascii="Times New Roman" w:hAnsi="Times New Roman" w:eastAsia="宋体" w:cs="Times New Roman"/>
                <w:b/>
                <w:bCs/>
                <w:color w:val="auto"/>
                <w:sz w:val="24"/>
                <w:szCs w:val="24"/>
                <w:highlight w:val="none"/>
                <w:shd w:val="clear" w:color="auto" w:fill="FFFFFF" w:themeFill="background1"/>
              </w:rPr>
            </w:pPr>
            <w:r>
              <w:rPr>
                <w:rFonts w:hint="default" w:ascii="Times New Roman" w:hAnsi="Times New Roman" w:eastAsia="宋体"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lang w:val="en-US" w:eastAsia="zh-CN"/>
              </w:rPr>
              <w:t>1</w:t>
            </w:r>
            <w:r>
              <w:rPr>
                <w:rFonts w:hint="default" w:ascii="Times New Roman" w:hAnsi="Times New Roman" w:eastAsia="宋体"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rPr>
              <w:t>废气</w:t>
            </w:r>
          </w:p>
          <w:p w14:paraId="4108C975">
            <w:pPr>
              <w:spacing w:line="500" w:lineRule="exact"/>
              <w:jc w:val="both"/>
              <w:outlineLvl w:val="3"/>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b/>
                <w:color w:val="auto"/>
                <w:sz w:val="24"/>
                <w:szCs w:val="24"/>
                <w:highlight w:val="none"/>
                <w:shd w:val="clear" w:color="auto" w:fill="FFFFFF" w:themeFill="background1"/>
              </w:rPr>
              <w:t>生活垃圾填埋场</w:t>
            </w:r>
          </w:p>
          <w:p w14:paraId="092552AB">
            <w:pPr>
              <w:adjustRightInd w:val="0"/>
              <w:snapToGrid w:val="0"/>
              <w:spacing w:line="50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（1）填埋气</w:t>
            </w:r>
          </w:p>
          <w:p w14:paraId="77E11055">
            <w:pPr>
              <w:adjustRightInd w:val="0"/>
              <w:snapToGrid w:val="0"/>
              <w:spacing w:line="500" w:lineRule="exact"/>
              <w:ind w:firstLine="480" w:firstLineChars="200"/>
              <w:rPr>
                <w:rFonts w:hint="default" w:ascii="Times New Roman" w:hAnsi="Times New Roman" w:eastAsia="宋体" w:cs="Times New Roman"/>
                <w:color w:val="auto"/>
                <w:kern w:val="2"/>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rPr>
              <w:t>现有项目填埋场废气主要为生活垃圾库区无组织排放的氨、H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S、颗粒物以及燃烧火炬排放的SO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与NO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shd w:val="clear" w:color="auto" w:fill="FFFFFF" w:themeFill="background1"/>
              </w:rPr>
              <w:t>本工程采用导气石笼井将填埋气体收集进入封闭式火炬系统。导气经过导气石笼最后汇集到主干管道将收集的气体排出，同时设置火炬燃烧系统，并配备自动点火设施；当甲烷浓度达到4%时集中排气口上燃烧装置点火将填埋气体燃烧，带来的环境风险及对周边的大气环境影响均较低。</w:t>
            </w:r>
          </w:p>
          <w:p w14:paraId="103C7F26">
            <w:pPr>
              <w:adjustRightInd w:val="0"/>
              <w:snapToGrid w:val="0"/>
              <w:spacing w:line="50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（2）扬尘</w:t>
            </w:r>
          </w:p>
          <w:p w14:paraId="7BE6886D">
            <w:pPr>
              <w:adjustRightInd w:val="0"/>
              <w:snapToGrid w:val="0"/>
              <w:spacing w:line="50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shd w:val="clear" w:color="auto" w:fill="FFFFFF" w:themeFill="background1"/>
              </w:rPr>
              <w:t>在固废卸运、填埋及车辆行驶过程中易产生的扬尘，如不控制会对周围环境造成一定的影响，建议项目采取防治和保护措施如下。</w:t>
            </w:r>
          </w:p>
          <w:p w14:paraId="560CC392">
            <w:pPr>
              <w:adjustRightInd w:val="0"/>
              <w:snapToGrid w:val="0"/>
              <w:spacing w:line="50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shd w:val="clear" w:color="auto" w:fill="FFFFFF" w:themeFill="background1"/>
              </w:rPr>
              <w:t>①采用密封车运输，运输过程中</w:t>
            </w:r>
            <w:r>
              <w:rPr>
                <w:rFonts w:hint="eastAsia" w:cs="Times New Roman"/>
                <w:color w:val="auto"/>
                <w:sz w:val="24"/>
                <w:szCs w:val="24"/>
                <w:highlight w:val="none"/>
                <w:shd w:val="clear" w:color="auto" w:fill="FFFFFF" w:themeFill="background1"/>
                <w:lang w:eastAsia="zh-CN"/>
              </w:rPr>
              <w:t>不得泄露</w:t>
            </w:r>
            <w:r>
              <w:rPr>
                <w:rFonts w:hint="default" w:ascii="Times New Roman" w:hAnsi="Times New Roman" w:eastAsia="宋体" w:cs="Times New Roman"/>
                <w:color w:val="auto"/>
                <w:sz w:val="24"/>
                <w:szCs w:val="24"/>
                <w:highlight w:val="none"/>
                <w:shd w:val="clear" w:color="auto" w:fill="FFFFFF" w:themeFill="background1"/>
              </w:rPr>
              <w:t>、散落或者飞扬；</w:t>
            </w:r>
          </w:p>
          <w:p w14:paraId="42B78930">
            <w:pPr>
              <w:adjustRightInd w:val="0"/>
              <w:snapToGrid w:val="0"/>
              <w:spacing w:line="50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shd w:val="clear" w:color="auto" w:fill="FFFFFF" w:themeFill="background1"/>
              </w:rPr>
              <w:t>②配备保洁车辆，对场内道路采取定时保洁措施，并按时洒水除尘；</w:t>
            </w:r>
          </w:p>
          <w:p w14:paraId="1616C56A">
            <w:pPr>
              <w:adjustRightInd w:val="0"/>
              <w:snapToGrid w:val="0"/>
              <w:spacing w:line="50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shd w:val="clear" w:color="auto" w:fill="FFFFFF" w:themeFill="background1"/>
              </w:rPr>
              <w:t>③填埋场内作业表面及时覆盖，为保持好的环境，防止雨水进入堆体形成渗滤液，应在不进行作业时对作业面进行及时覆盖。项目采用1.0mm厚HDPE膜进行覆盖。</w:t>
            </w:r>
          </w:p>
          <w:p w14:paraId="02A03839">
            <w:pPr>
              <w:adjustRightInd w:val="0"/>
              <w:snapToGrid w:val="0"/>
              <w:spacing w:line="500" w:lineRule="exact"/>
              <w:ind w:firstLine="480" w:firstLineChars="200"/>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④种植绿化隔离带，控制飞尘扩散。</w:t>
            </w:r>
          </w:p>
          <w:p w14:paraId="57998579">
            <w:pPr>
              <w:spacing w:line="500" w:lineRule="exact"/>
              <w:jc w:val="both"/>
              <w:outlineLvl w:val="3"/>
              <w:rPr>
                <w:rFonts w:hint="default" w:ascii="Times New Roman" w:hAnsi="Times New Roman" w:eastAsia="宋体" w:cs="Times New Roman"/>
                <w:b/>
                <w:color w:val="auto"/>
                <w:sz w:val="24"/>
                <w:szCs w:val="24"/>
                <w:highlight w:val="none"/>
                <w:shd w:val="clear" w:color="auto" w:fill="FFFFFF" w:themeFill="background1"/>
                <w:lang w:val="en-US" w:eastAsia="zh-CN"/>
              </w:rPr>
            </w:pPr>
            <w:r>
              <w:rPr>
                <w:rFonts w:hint="default" w:ascii="Times New Roman" w:hAnsi="Times New Roman" w:eastAsia="宋体" w:cs="Times New Roman"/>
                <w:b/>
                <w:color w:val="auto"/>
                <w:sz w:val="24"/>
                <w:szCs w:val="24"/>
                <w:highlight w:val="none"/>
                <w:shd w:val="clear" w:color="auto" w:fill="FFFFFF" w:themeFill="background1"/>
                <w:lang w:val="en-US" w:eastAsia="zh-CN"/>
              </w:rPr>
              <w:t>生活垃圾焚烧工程</w:t>
            </w:r>
          </w:p>
          <w:p w14:paraId="37A25797">
            <w:pPr>
              <w:adjustRightInd w:val="0"/>
              <w:snapToGrid w:val="0"/>
              <w:spacing w:line="500" w:lineRule="exact"/>
              <w:ind w:firstLine="480" w:firstLineChars="200"/>
              <w:rPr>
                <w:rFonts w:hint="default" w:ascii="Times New Roman" w:hAnsi="Times New Roman" w:eastAsia="宋体" w:cs="Times New Roman"/>
                <w:color w:val="auto"/>
                <w:sz w:val="24"/>
                <w:szCs w:val="24"/>
                <w:highlight w:val="none"/>
                <w:shd w:val="clear" w:color="auto" w:fill="FFFFFF" w:themeFill="background1"/>
              </w:rPr>
            </w:pPr>
            <w:r>
              <w:rPr>
                <w:rFonts w:hint="default" w:ascii="Times New Roman" w:hAnsi="Times New Roman" w:eastAsia="宋体" w:cs="Times New Roman"/>
                <w:color w:val="auto"/>
                <w:sz w:val="24"/>
                <w:szCs w:val="24"/>
                <w:highlight w:val="none"/>
                <w:shd w:val="clear" w:color="auto" w:fill="FFFFFF" w:themeFill="background1"/>
              </w:rPr>
              <w:t>现有生活垃圾焚烧发电工程污染防治措施如下表所示。</w:t>
            </w:r>
          </w:p>
          <w:p w14:paraId="6A070429">
            <w:pPr>
              <w:spacing w:line="500" w:lineRule="exact"/>
              <w:jc w:val="center"/>
              <w:rPr>
                <w:rFonts w:hint="default" w:ascii="Times New Roman" w:hAnsi="Times New Roman" w:eastAsia="宋体" w:cs="Times New Roman"/>
                <w:b/>
                <w:color w:val="auto"/>
                <w:sz w:val="24"/>
                <w:szCs w:val="32"/>
                <w:highlight w:val="none"/>
              </w:rPr>
            </w:pPr>
            <w:r>
              <w:rPr>
                <w:rFonts w:hint="default" w:ascii="Times New Roman" w:hAnsi="Times New Roman" w:eastAsia="宋体" w:cs="Times New Roman"/>
                <w:b/>
                <w:color w:val="auto"/>
                <w:sz w:val="24"/>
                <w:szCs w:val="32"/>
                <w:highlight w:val="none"/>
              </w:rPr>
              <w:t>表</w:t>
            </w:r>
            <w:r>
              <w:rPr>
                <w:rFonts w:hint="eastAsia" w:cs="Times New Roman"/>
                <w:b/>
                <w:color w:val="auto"/>
                <w:sz w:val="24"/>
                <w:szCs w:val="32"/>
                <w:highlight w:val="none"/>
                <w:lang w:val="en-US" w:eastAsia="zh-CN"/>
              </w:rPr>
              <w:t>2-13</w:t>
            </w:r>
            <w:r>
              <w:rPr>
                <w:rFonts w:hint="default" w:ascii="Times New Roman" w:hAnsi="Times New Roman" w:eastAsia="宋体" w:cs="Times New Roman"/>
                <w:b/>
                <w:color w:val="auto"/>
                <w:sz w:val="24"/>
                <w:szCs w:val="32"/>
                <w:highlight w:val="none"/>
              </w:rPr>
              <w:t xml:space="preserve">  现有生活垃圾焚烧发电工程废气污染防治措施</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2305"/>
              <w:gridCol w:w="4423"/>
            </w:tblGrid>
            <w:tr w14:paraId="3A12C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4" w:hRule="atLeast"/>
                <w:jc w:val="center"/>
              </w:trPr>
              <w:tc>
                <w:tcPr>
                  <w:tcW w:w="1100" w:type="pct"/>
                  <w:shd w:val="clear" w:color="auto" w:fill="auto"/>
                  <w:vAlign w:val="center"/>
                </w:tcPr>
                <w:p w14:paraId="2A377D9A">
                  <w:pPr>
                    <w:adjustRightInd w:val="0"/>
                    <w:snapToGrid w:val="0"/>
                    <w:jc w:val="center"/>
                    <w:rPr>
                      <w:rFonts w:hint="default" w:ascii="Times New Roman" w:hAnsi="Times New Roman" w:eastAsia="宋体" w:cs="Times New Roman"/>
                      <w:b/>
                      <w:color w:val="auto"/>
                      <w:position w:val="2"/>
                      <w:sz w:val="21"/>
                      <w:szCs w:val="21"/>
                      <w:highlight w:val="none"/>
                    </w:rPr>
                  </w:pPr>
                  <w:r>
                    <w:rPr>
                      <w:rFonts w:hint="default" w:ascii="Times New Roman" w:hAnsi="Times New Roman" w:eastAsia="宋体" w:cs="Times New Roman"/>
                      <w:b/>
                      <w:color w:val="auto"/>
                      <w:position w:val="2"/>
                      <w:sz w:val="21"/>
                      <w:szCs w:val="21"/>
                      <w:highlight w:val="none"/>
                    </w:rPr>
                    <w:t>产污环节</w:t>
                  </w:r>
                </w:p>
              </w:tc>
              <w:tc>
                <w:tcPr>
                  <w:tcW w:w="1336" w:type="pct"/>
                  <w:shd w:val="clear" w:color="auto" w:fill="auto"/>
                  <w:vAlign w:val="center"/>
                </w:tcPr>
                <w:p w14:paraId="2DDA3538">
                  <w:pPr>
                    <w:adjustRightInd w:val="0"/>
                    <w:snapToGrid w:val="0"/>
                    <w:jc w:val="center"/>
                    <w:rPr>
                      <w:rFonts w:hint="default" w:ascii="Times New Roman" w:hAnsi="Times New Roman" w:eastAsia="宋体" w:cs="Times New Roman"/>
                      <w:b/>
                      <w:color w:val="auto"/>
                      <w:position w:val="2"/>
                      <w:sz w:val="21"/>
                      <w:szCs w:val="21"/>
                      <w:highlight w:val="none"/>
                    </w:rPr>
                  </w:pPr>
                  <w:r>
                    <w:rPr>
                      <w:rFonts w:hint="default" w:ascii="Times New Roman" w:hAnsi="Times New Roman" w:eastAsia="宋体" w:cs="Times New Roman"/>
                      <w:b/>
                      <w:color w:val="auto"/>
                      <w:position w:val="2"/>
                      <w:sz w:val="21"/>
                      <w:szCs w:val="21"/>
                      <w:highlight w:val="none"/>
                    </w:rPr>
                    <w:t>污染物名称</w:t>
                  </w:r>
                </w:p>
              </w:tc>
              <w:tc>
                <w:tcPr>
                  <w:tcW w:w="2564" w:type="pct"/>
                  <w:shd w:val="clear" w:color="auto" w:fill="auto"/>
                  <w:vAlign w:val="center"/>
                </w:tcPr>
                <w:p w14:paraId="273868A2">
                  <w:pPr>
                    <w:adjustRightInd w:val="0"/>
                    <w:snapToGrid w:val="0"/>
                    <w:jc w:val="center"/>
                    <w:rPr>
                      <w:rFonts w:hint="default" w:ascii="Times New Roman" w:hAnsi="Times New Roman" w:eastAsia="宋体" w:cs="Times New Roman"/>
                      <w:b/>
                      <w:color w:val="auto"/>
                      <w:position w:val="2"/>
                      <w:sz w:val="21"/>
                      <w:szCs w:val="21"/>
                      <w:highlight w:val="none"/>
                    </w:rPr>
                  </w:pPr>
                  <w:r>
                    <w:rPr>
                      <w:rFonts w:hint="default" w:ascii="Times New Roman" w:hAnsi="Times New Roman" w:eastAsia="宋体" w:cs="Times New Roman"/>
                      <w:b/>
                      <w:color w:val="auto"/>
                      <w:position w:val="2"/>
                      <w:sz w:val="21"/>
                      <w:szCs w:val="21"/>
                      <w:highlight w:val="none"/>
                    </w:rPr>
                    <w:t>治理措施及排放情况</w:t>
                  </w:r>
                </w:p>
              </w:tc>
            </w:tr>
            <w:tr w14:paraId="6AC86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4" w:hRule="atLeast"/>
                <w:jc w:val="center"/>
              </w:trPr>
              <w:tc>
                <w:tcPr>
                  <w:tcW w:w="1100" w:type="pct"/>
                  <w:shd w:val="clear" w:color="auto" w:fill="auto"/>
                  <w:vAlign w:val="center"/>
                </w:tcPr>
                <w:p w14:paraId="7D5C9AAF">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bCs/>
                      <w:color w:val="auto"/>
                      <w:position w:val="2"/>
                      <w:sz w:val="21"/>
                      <w:szCs w:val="21"/>
                      <w:highlight w:val="none"/>
                    </w:rPr>
                    <w:t>焚烧炉</w:t>
                  </w:r>
                </w:p>
              </w:tc>
              <w:tc>
                <w:tcPr>
                  <w:tcW w:w="1336" w:type="pct"/>
                  <w:shd w:val="clear" w:color="auto" w:fill="auto"/>
                  <w:vAlign w:val="center"/>
                </w:tcPr>
                <w:p w14:paraId="64A7227C">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bCs/>
                      <w:color w:val="auto"/>
                      <w:position w:val="2"/>
                      <w:sz w:val="21"/>
                      <w:szCs w:val="21"/>
                      <w:highlight w:val="none"/>
                    </w:rPr>
                    <w:t>颗粒物、SO</w:t>
                  </w:r>
                  <w:r>
                    <w:rPr>
                      <w:rFonts w:hint="default" w:ascii="Times New Roman" w:hAnsi="Times New Roman" w:eastAsia="宋体" w:cs="Times New Roman"/>
                      <w:bCs/>
                      <w:color w:val="auto"/>
                      <w:position w:val="2"/>
                      <w:sz w:val="21"/>
                      <w:szCs w:val="21"/>
                      <w:highlight w:val="none"/>
                      <w:vertAlign w:val="subscript"/>
                    </w:rPr>
                    <w:t>2</w:t>
                  </w:r>
                  <w:r>
                    <w:rPr>
                      <w:rFonts w:hint="default" w:ascii="Times New Roman" w:hAnsi="Times New Roman" w:eastAsia="宋体" w:cs="Times New Roman"/>
                      <w:bCs/>
                      <w:color w:val="auto"/>
                      <w:position w:val="2"/>
                      <w:sz w:val="21"/>
                      <w:szCs w:val="21"/>
                      <w:highlight w:val="none"/>
                    </w:rPr>
                    <w:t>、NOx、CO、HCl、重金属、二噁英、氨逃逸</w:t>
                  </w:r>
                </w:p>
              </w:tc>
              <w:tc>
                <w:tcPr>
                  <w:tcW w:w="2564" w:type="pct"/>
                  <w:shd w:val="clear" w:color="auto" w:fill="auto"/>
                  <w:vAlign w:val="center"/>
                </w:tcPr>
                <w:p w14:paraId="7AE2D313">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经“SNCR炉内脱硝+半干法脱酸+干法脱酸+活性炭喷射+布袋除尘+SCR脱硝+小苏打脱硫”处理后由2根80米双管集束烟囱排放</w:t>
                  </w:r>
                </w:p>
              </w:tc>
            </w:tr>
            <w:tr w14:paraId="45533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0" w:type="pct"/>
                  <w:shd w:val="clear" w:color="auto" w:fill="auto"/>
                  <w:vAlign w:val="center"/>
                </w:tcPr>
                <w:p w14:paraId="25F91F63">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垃圾贮坑</w:t>
                  </w:r>
                </w:p>
              </w:tc>
              <w:tc>
                <w:tcPr>
                  <w:tcW w:w="1336" w:type="pct"/>
                  <w:shd w:val="clear" w:color="auto" w:fill="auto"/>
                  <w:vAlign w:val="center"/>
                </w:tcPr>
                <w:p w14:paraId="6135DB6D">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恶臭</w:t>
                  </w:r>
                </w:p>
              </w:tc>
              <w:tc>
                <w:tcPr>
                  <w:tcW w:w="2564" w:type="pct"/>
                  <w:shd w:val="clear" w:color="auto" w:fill="auto"/>
                  <w:vAlign w:val="center"/>
                </w:tcPr>
                <w:p w14:paraId="6A2FC2DB">
                  <w:pPr>
                    <w:pStyle w:val="155"/>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卸料大厅设置进口空气幕帘、垃圾池负压，臭气通过除臭风机和管道直接送入焚烧炉焚烧</w:t>
                  </w:r>
                </w:p>
              </w:tc>
            </w:tr>
            <w:tr w14:paraId="4B1AE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0" w:type="pct"/>
                  <w:shd w:val="clear" w:color="auto" w:fill="auto"/>
                  <w:vAlign w:val="center"/>
                </w:tcPr>
                <w:p w14:paraId="24B42A5D">
                  <w:pPr>
                    <w:pStyle w:val="155"/>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渗滤液处理站</w:t>
                  </w:r>
                </w:p>
              </w:tc>
              <w:tc>
                <w:tcPr>
                  <w:tcW w:w="1336" w:type="pct"/>
                  <w:shd w:val="clear" w:color="auto" w:fill="auto"/>
                  <w:vAlign w:val="center"/>
                </w:tcPr>
                <w:p w14:paraId="2EC9EFC1">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恶臭</w:t>
                  </w:r>
                </w:p>
              </w:tc>
              <w:tc>
                <w:tcPr>
                  <w:tcW w:w="2564" w:type="pct"/>
                  <w:shd w:val="clear" w:color="auto" w:fill="auto"/>
                  <w:vAlign w:val="center"/>
                </w:tcPr>
                <w:p w14:paraId="13FF7AE9">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垃圾渗滤液处理主要构筑物加盖密封处理，污水处理产生的甲烷及其他臭气通过除臭风机和管道直接送入焚烧炉焚烧</w:t>
                  </w:r>
                </w:p>
              </w:tc>
            </w:tr>
            <w:tr w14:paraId="16F8F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0" w:type="pct"/>
                  <w:shd w:val="clear" w:color="auto" w:fill="auto"/>
                  <w:vAlign w:val="center"/>
                </w:tcPr>
                <w:p w14:paraId="632FEA4B">
                  <w:pPr>
                    <w:pStyle w:val="155"/>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飞灰固化</w:t>
                  </w:r>
                </w:p>
              </w:tc>
              <w:tc>
                <w:tcPr>
                  <w:tcW w:w="1336" w:type="pct"/>
                  <w:shd w:val="clear" w:color="auto" w:fill="auto"/>
                  <w:vAlign w:val="center"/>
                </w:tcPr>
                <w:p w14:paraId="403C370F">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粉尘</w:t>
                  </w:r>
                </w:p>
              </w:tc>
              <w:tc>
                <w:tcPr>
                  <w:tcW w:w="2564" w:type="pct"/>
                  <w:shd w:val="clear" w:color="auto" w:fill="auto"/>
                  <w:vAlign w:val="center"/>
                </w:tcPr>
                <w:p w14:paraId="6118FEEF">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经飞灰储仓顶部袋除尘处理后无组织排放</w:t>
                  </w:r>
                </w:p>
              </w:tc>
            </w:tr>
            <w:tr w14:paraId="26ED9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0" w:type="pct"/>
                  <w:shd w:val="clear" w:color="auto" w:fill="auto"/>
                  <w:vAlign w:val="center"/>
                </w:tcPr>
                <w:p w14:paraId="67523A22">
                  <w:pPr>
                    <w:pStyle w:val="155"/>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飞灰暂存</w:t>
                  </w:r>
                </w:p>
              </w:tc>
              <w:tc>
                <w:tcPr>
                  <w:tcW w:w="1336" w:type="pct"/>
                  <w:shd w:val="clear" w:color="auto" w:fill="auto"/>
                  <w:vAlign w:val="center"/>
                </w:tcPr>
                <w:p w14:paraId="588D2741">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bCs/>
                      <w:color w:val="auto"/>
                      <w:position w:val="2"/>
                      <w:sz w:val="21"/>
                      <w:szCs w:val="21"/>
                      <w:highlight w:val="none"/>
                    </w:rPr>
                    <w:t>氨气</w:t>
                  </w:r>
                </w:p>
              </w:tc>
              <w:tc>
                <w:tcPr>
                  <w:tcW w:w="2564" w:type="pct"/>
                  <w:shd w:val="clear" w:color="auto" w:fill="auto"/>
                  <w:vAlign w:val="center"/>
                </w:tcPr>
                <w:p w14:paraId="3A27E0F3">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经水喷淋处理后，经1根15米高排气筒排放</w:t>
                  </w:r>
                </w:p>
              </w:tc>
            </w:tr>
            <w:tr w14:paraId="20648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0" w:type="pct"/>
                  <w:shd w:val="clear" w:color="auto" w:fill="auto"/>
                  <w:vAlign w:val="center"/>
                </w:tcPr>
                <w:p w14:paraId="041A3775">
                  <w:pPr>
                    <w:pStyle w:val="155"/>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非正常工况（锅炉停运、检修）垃圾贮坑</w:t>
                  </w:r>
                </w:p>
              </w:tc>
              <w:tc>
                <w:tcPr>
                  <w:tcW w:w="1336" w:type="pct"/>
                  <w:shd w:val="clear" w:color="auto" w:fill="auto"/>
                  <w:vAlign w:val="center"/>
                </w:tcPr>
                <w:p w14:paraId="7CCE2A63">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恶臭</w:t>
                  </w:r>
                </w:p>
              </w:tc>
              <w:tc>
                <w:tcPr>
                  <w:tcW w:w="2564" w:type="pct"/>
                  <w:shd w:val="clear" w:color="auto" w:fill="auto"/>
                  <w:vAlign w:val="center"/>
                </w:tcPr>
                <w:p w14:paraId="0C3D2296">
                  <w:pPr>
                    <w:pStyle w:val="155"/>
                    <w:snapToGrid w:val="0"/>
                    <w:spacing w:line="240" w:lineRule="auto"/>
                    <w:ind w:firstLine="0" w:firstLineChars="0"/>
                    <w:jc w:val="center"/>
                    <w:rPr>
                      <w:rFonts w:hint="default" w:ascii="Times New Roman" w:hAnsi="Times New Roman" w:eastAsia="宋体" w:cs="Times New Roman"/>
                      <w:bCs/>
                      <w:color w:val="auto"/>
                      <w:position w:val="2"/>
                      <w:sz w:val="21"/>
                      <w:szCs w:val="21"/>
                      <w:highlight w:val="none"/>
                    </w:rPr>
                  </w:pPr>
                  <w:r>
                    <w:rPr>
                      <w:rFonts w:hint="default" w:ascii="Times New Roman" w:hAnsi="Times New Roman" w:eastAsia="宋体" w:cs="Times New Roman"/>
                      <w:color w:val="auto"/>
                      <w:sz w:val="21"/>
                      <w:szCs w:val="21"/>
                      <w:highlight w:val="none"/>
                    </w:rPr>
                    <w:t>经活性炭废气净化器装置除臭处理后，由80米高双管集束烟囱排放</w:t>
                  </w:r>
                </w:p>
              </w:tc>
            </w:tr>
          </w:tbl>
          <w:p w14:paraId="4BFA842E">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两台焚烧炉产生的烟气，分别经过2套“SNCR炉内脱硝+半干法脱酸+干法脱酸+活性炭喷射+布袋除尘”净化工艺处理后，通过80米高双管集束烟囱排放。</w:t>
            </w:r>
          </w:p>
          <w:p w14:paraId="64ADAC67">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利用高效雾化器将消石灰浆从塔顶向下喷入干吸收塔中，有效降低气体的温度，中和气体中的酸气。通过喷入活性炭对二噁英类物质的吸附和对重金属的吸附，然后进入袋式除尘器，袋式除尘器通过过滤将烟气中细灰尘粒、中和剂及脱酸反应产物颗粒、吸附有二噁英类和重金属的活性炭颗粒等捕捉后排出。</w:t>
            </w:r>
          </w:p>
          <w:p w14:paraId="75BBE77F">
            <w:pPr>
              <w:keepNext/>
              <w:keepLines/>
              <w:pageBreakBefore w:val="0"/>
              <w:widowControl w:val="0"/>
              <w:kinsoku/>
              <w:wordWrap/>
              <w:overflowPunct/>
              <w:topLinePunct w:val="0"/>
              <w:autoSpaceDE/>
              <w:autoSpaceDN/>
              <w:bidi w:val="0"/>
              <w:adjustRightInd/>
              <w:snapToGrid/>
              <w:spacing w:before="164" w:beforeLines="50" w:line="240" w:lineRule="auto"/>
              <w:jc w:val="both"/>
              <w:textAlignment w:val="auto"/>
              <w:outlineLvl w:val="2"/>
              <w:rPr>
                <w:rFonts w:hint="default" w:ascii="Times New Roman" w:hAnsi="Times New Roman" w:eastAsia="宋体" w:cs="Times New Roman"/>
                <w:b/>
                <w:bCs/>
                <w:color w:val="auto"/>
                <w:sz w:val="24"/>
                <w:szCs w:val="24"/>
                <w:highlight w:val="none"/>
                <w:shd w:val="clear" w:color="auto" w:fill="FFFFFF" w:themeFill="background1"/>
                <w:lang w:eastAsia="zh-CN"/>
              </w:rPr>
            </w:pP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eastAsia" w:ascii="Times New Roman" w:hAnsi="Times New Roman" w:eastAsia="宋体" w:cs="Times New Roman"/>
                <w:b/>
                <w:bCs/>
                <w:color w:val="auto"/>
                <w:sz w:val="24"/>
                <w:szCs w:val="24"/>
                <w:highlight w:val="none"/>
                <w:shd w:val="clear" w:color="auto" w:fill="FFFFFF" w:themeFill="background1"/>
                <w:lang w:val="en-US" w:eastAsia="zh-CN"/>
              </w:rPr>
              <w:t>2</w:t>
            </w: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lang w:eastAsia="zh-CN"/>
              </w:rPr>
              <w:t>废水</w:t>
            </w:r>
          </w:p>
          <w:p w14:paraId="44ACEB8C">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有项目垃圾填埋场渗滤液、生活垃圾焚烧贮坑渗滤液、卸料平台和地坪冲洗废水、生活污水、初期雨水、飞灰暂存车间喷淋废水经收集后排入渗滤液处理站处理，处理达标后最终出水接管薛行污水处理厂，浓水用于厂内石灰浆制备。</w:t>
            </w:r>
          </w:p>
          <w:p w14:paraId="43E93D9F">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渗滤液处理站处理工艺为“调节池+UASB厌氧反应器+MBR生化处理系统+NF纳滤膜+RO反渗透膜处理”，简介如下：垃圾渗滤液经收集池收集后依次进入格栅、初沉池，利用高浊度污水中的物质密度高低实现固液分离，去除SS后通过自流进入调节池中，池底设置潜水搅拌器，对渗滤液进行搅拌，防止悬浮物沉淀，并起到匀质匀量的作用，降低对后续工艺的冲击负荷。之后通过污水提升泵作用，将渗滤液送入厌氧反应池，可去除大部分的有机物，并调节污水B/C比值。出水进入两级A/O池型MBR。经处理后出水用泵抽入管式超滤膜系统，进行泥水分离，截留下来的污泥分为两部分：一部分回流至一级A/O池，另一部分剩余的污泥回流至污泥浓缩池中。由于管式超滤膜具有很高的截留能力，一方面能够截留有机物，另一方面能够截留活性污泥。超滤出水经过纳滤系统进行深度处理，去除渗滤液中的有机腐殖酸、BOD5、氨氮等污染物。纳滤系统清水进入反渗透系统，进一步去除COD、总氮等污染物质，通过反渗透系统对盐分及有机物的高截留能力，进一步去除渗滤液中的可溶性小分子有机物、氯离子、硝酸根离子等污染物最后出水达标接管薛行污水处理厂。</w:t>
            </w:r>
          </w:p>
          <w:p w14:paraId="6597B26C">
            <w:pPr>
              <w:spacing w:line="360" w:lineRule="auto"/>
              <w:rPr>
                <w:rFonts w:hint="default" w:ascii="Times New Roman" w:hAnsi="Times New Roman" w:eastAsia="宋体" w:cs="Times New Roman"/>
                <w:b/>
                <w:bCs/>
                <w:color w:val="auto"/>
                <w:highlight w:val="none"/>
                <w:shd w:val="clear" w:color="auto" w:fill="FFFFFF" w:themeFill="background1"/>
              </w:rPr>
            </w:pPr>
            <w:r>
              <w:rPr>
                <w:rFonts w:hint="default" w:ascii="Times New Roman" w:hAnsi="Times New Roman" w:eastAsia="宋体" w:cs="Times New Roman"/>
                <w:b/>
                <w:bCs/>
                <w:color w:val="auto"/>
                <w:highlight w:val="none"/>
                <w:shd w:val="clear" w:color="auto" w:fill="FFFFFF" w:themeFill="background1"/>
              </w:rPr>
              <w:object>
                <v:shape id="_x0000_i1028" o:spt="75" type="#_x0000_t75" style="height:386.75pt;width:427.2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p>
          <w:p w14:paraId="2A4932C9">
            <w:pPr>
              <w:keepNext/>
              <w:keepLines/>
              <w:pageBreakBefore w:val="0"/>
              <w:widowControl w:val="0"/>
              <w:kinsoku/>
              <w:wordWrap/>
              <w:overflowPunct/>
              <w:topLinePunct w:val="0"/>
              <w:autoSpaceDE/>
              <w:autoSpaceDN/>
              <w:bidi w:val="0"/>
              <w:adjustRightInd/>
              <w:snapToGrid/>
              <w:spacing w:before="164" w:beforeLines="50" w:line="240" w:lineRule="auto"/>
              <w:jc w:val="center"/>
              <w:textAlignment w:val="auto"/>
              <w:outlineLvl w:val="2"/>
              <w:rPr>
                <w:rFonts w:hint="default" w:ascii="Times New Roman" w:hAnsi="Times New Roman" w:eastAsia="宋体" w:cs="Times New Roman"/>
                <w:b/>
                <w:bCs/>
                <w:color w:val="auto"/>
                <w:highlight w:val="none"/>
                <w:shd w:val="clear" w:color="auto" w:fill="FFFFFF" w:themeFill="background1"/>
              </w:rPr>
            </w:pPr>
            <w:r>
              <w:rPr>
                <w:rFonts w:hint="default" w:ascii="Times New Roman" w:hAnsi="Times New Roman" w:eastAsia="宋体" w:cs="Times New Roman"/>
                <w:b/>
                <w:bCs/>
                <w:color w:val="auto"/>
                <w:highlight w:val="none"/>
                <w:shd w:val="clear" w:color="auto" w:fill="FFFFFF" w:themeFill="background1"/>
              </w:rPr>
              <w:t>图</w:t>
            </w:r>
            <w:r>
              <w:rPr>
                <w:rFonts w:hint="eastAsia" w:cs="Times New Roman"/>
                <w:b/>
                <w:bCs/>
                <w:color w:val="auto"/>
                <w:highlight w:val="none"/>
                <w:shd w:val="clear" w:color="auto" w:fill="FFFFFF" w:themeFill="background1"/>
                <w:lang w:val="en-US" w:eastAsia="zh-CN"/>
              </w:rPr>
              <w:t>3-1</w:t>
            </w:r>
            <w:r>
              <w:rPr>
                <w:rFonts w:hint="default" w:ascii="Times New Roman" w:hAnsi="Times New Roman" w:eastAsia="宋体" w:cs="Times New Roman"/>
                <w:b/>
                <w:bCs/>
                <w:color w:val="auto"/>
                <w:highlight w:val="none"/>
                <w:shd w:val="clear" w:color="auto" w:fill="FFFFFF" w:themeFill="background1"/>
              </w:rPr>
              <w:t xml:space="preserve">  现有项目水平衡图</w:t>
            </w:r>
          </w:p>
          <w:p w14:paraId="57C3CB8D">
            <w:pPr>
              <w:keepNext/>
              <w:keepLines/>
              <w:pageBreakBefore w:val="0"/>
              <w:widowControl w:val="0"/>
              <w:kinsoku/>
              <w:wordWrap/>
              <w:overflowPunct/>
              <w:topLinePunct w:val="0"/>
              <w:autoSpaceDE/>
              <w:autoSpaceDN/>
              <w:bidi w:val="0"/>
              <w:adjustRightInd/>
              <w:snapToGrid/>
              <w:spacing w:before="164" w:beforeLines="50" w:line="240" w:lineRule="auto"/>
              <w:jc w:val="both"/>
              <w:textAlignment w:val="auto"/>
              <w:outlineLvl w:val="2"/>
              <w:rPr>
                <w:rFonts w:hint="default" w:ascii="Times New Roman" w:hAnsi="Times New Roman" w:eastAsia="宋体" w:cs="Times New Roman"/>
                <w:b/>
                <w:bCs/>
                <w:color w:val="auto"/>
                <w:sz w:val="24"/>
                <w:szCs w:val="24"/>
                <w:highlight w:val="none"/>
                <w:shd w:val="clear" w:color="auto" w:fill="FFFFFF" w:themeFill="background1"/>
                <w:lang w:eastAsia="zh-CN"/>
              </w:rPr>
            </w:pP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eastAsia" w:ascii="Times New Roman" w:hAnsi="Times New Roman" w:eastAsia="宋体" w:cs="Times New Roman"/>
                <w:b/>
                <w:bCs/>
                <w:color w:val="auto"/>
                <w:sz w:val="24"/>
                <w:szCs w:val="24"/>
                <w:highlight w:val="none"/>
                <w:shd w:val="clear" w:color="auto" w:fill="FFFFFF" w:themeFill="background1"/>
                <w:lang w:val="en-US" w:eastAsia="zh-CN"/>
              </w:rPr>
              <w:t>3</w:t>
            </w: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lang w:eastAsia="zh-CN"/>
              </w:rPr>
              <w:t>噪声</w:t>
            </w:r>
          </w:p>
          <w:p w14:paraId="0D64C9A6">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现有项目噪声源主要来自风机等空气动力设备、大功率水泵以及各类机械设备等。项目将根据设备情况分别采用以下降噪措施：</w:t>
            </w:r>
          </w:p>
          <w:p w14:paraId="6E98AE95">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（1）对锅炉空排气管道控制阀、安全阀选用低噪声型设备，安装排气</w:t>
            </w:r>
            <w:r>
              <w:rPr>
                <w:rFonts w:hint="eastAsia" w:cs="Times New Roman"/>
                <w:color w:val="auto"/>
                <w:sz w:val="24"/>
                <w:szCs w:val="32"/>
                <w:highlight w:val="none"/>
                <w:lang w:eastAsia="zh-CN"/>
              </w:rPr>
              <w:t>消声器</w:t>
            </w:r>
            <w:r>
              <w:rPr>
                <w:rFonts w:hint="default" w:ascii="Times New Roman" w:hAnsi="Times New Roman" w:eastAsia="宋体" w:cs="Times New Roman"/>
                <w:color w:val="auto"/>
                <w:sz w:val="24"/>
                <w:szCs w:val="32"/>
                <w:highlight w:val="none"/>
              </w:rPr>
              <w:t>，对阀与</w:t>
            </w:r>
            <w:r>
              <w:rPr>
                <w:rFonts w:hint="eastAsia" w:cs="Times New Roman"/>
                <w:color w:val="auto"/>
                <w:sz w:val="24"/>
                <w:szCs w:val="32"/>
                <w:highlight w:val="none"/>
                <w:lang w:eastAsia="zh-CN"/>
              </w:rPr>
              <w:t>消声器</w:t>
            </w:r>
            <w:r>
              <w:rPr>
                <w:rFonts w:hint="default" w:ascii="Times New Roman" w:hAnsi="Times New Roman" w:eastAsia="宋体" w:cs="Times New Roman"/>
                <w:color w:val="auto"/>
                <w:sz w:val="24"/>
                <w:szCs w:val="32"/>
                <w:highlight w:val="none"/>
              </w:rPr>
              <w:t>间的管路做减振处理。</w:t>
            </w:r>
          </w:p>
          <w:p w14:paraId="726E7CB1">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（2）对风机做隔音箱，安装排气消音器。</w:t>
            </w:r>
          </w:p>
          <w:p w14:paraId="13B2882B">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（3）对各种泵类采取加装橡胶接头等振动阻尼器；水泵等基础设减振垫。</w:t>
            </w:r>
          </w:p>
          <w:p w14:paraId="431E8275">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（4）锅炉房等选用隔声、消音性能好的建筑材料。</w:t>
            </w:r>
          </w:p>
          <w:p w14:paraId="047F9C1F">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（5）加强管理、机械设备的维护。</w:t>
            </w:r>
          </w:p>
          <w:p w14:paraId="2E950E08">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同时，针对厂区运输车辆所产生的交通噪声，采取限制超载、定期保养车辆、避免厂区禁按喇叭等措施以降低交通噪声。</w:t>
            </w:r>
          </w:p>
          <w:p w14:paraId="2748084C">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通过采取上述治理措施后，可确保厂界噪声均达到《工业企业厂界噪声排放标准》（GB12348-2008）3类标准。</w:t>
            </w:r>
          </w:p>
          <w:p w14:paraId="117318B7">
            <w:pPr>
              <w:keepNext/>
              <w:keepLines/>
              <w:pageBreakBefore w:val="0"/>
              <w:widowControl w:val="0"/>
              <w:kinsoku/>
              <w:wordWrap/>
              <w:overflowPunct/>
              <w:topLinePunct w:val="0"/>
              <w:autoSpaceDE/>
              <w:autoSpaceDN/>
              <w:bidi w:val="0"/>
              <w:adjustRightInd/>
              <w:snapToGrid/>
              <w:spacing w:before="164" w:beforeLines="50" w:line="240" w:lineRule="auto"/>
              <w:jc w:val="both"/>
              <w:textAlignment w:val="auto"/>
              <w:outlineLvl w:val="2"/>
              <w:rPr>
                <w:rFonts w:hint="default" w:ascii="Times New Roman" w:hAnsi="Times New Roman" w:eastAsia="宋体" w:cs="Times New Roman"/>
                <w:b/>
                <w:bCs/>
                <w:color w:val="auto"/>
                <w:sz w:val="24"/>
                <w:szCs w:val="24"/>
                <w:highlight w:val="none"/>
                <w:shd w:val="clear" w:color="auto" w:fill="FFFFFF" w:themeFill="background1"/>
                <w:lang w:eastAsia="zh-CN"/>
              </w:rPr>
            </w:pP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eastAsia" w:ascii="Times New Roman" w:hAnsi="Times New Roman" w:eastAsia="宋体" w:cs="Times New Roman"/>
                <w:b/>
                <w:bCs/>
                <w:color w:val="auto"/>
                <w:sz w:val="24"/>
                <w:szCs w:val="24"/>
                <w:highlight w:val="none"/>
                <w:shd w:val="clear" w:color="auto" w:fill="FFFFFF" w:themeFill="background1"/>
                <w:lang w:val="en-US" w:eastAsia="zh-CN"/>
              </w:rPr>
              <w:t>4</w:t>
            </w:r>
            <w:r>
              <w:rPr>
                <w:rFonts w:hint="eastAsia" w:ascii="Times New Roman" w:hAnsi="Times New Roman" w:eastAsia="宋体"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lang w:eastAsia="zh-CN"/>
              </w:rPr>
              <w:t>固体废物</w:t>
            </w:r>
          </w:p>
          <w:p w14:paraId="0787D470">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企业建立了污染环境防治责任制度，有专门的管理部门及负责人，企业落实了各项危废相关的管理制度，建立了良好的危险废物的管理体系，从危废的产生、贮存、转移、处置均建立了台账、转移联单制度，定期通过“江苏省危险废物全生命周期管理系统”进行危险废物申报登记工作。</w:t>
            </w:r>
          </w:p>
          <w:p w14:paraId="00ED89C2">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现有项目固废2024年产生量和处理方式见表</w:t>
            </w:r>
            <w:r>
              <w:rPr>
                <w:rFonts w:hint="eastAsia" w:cs="Times New Roman"/>
                <w:color w:val="auto"/>
                <w:sz w:val="24"/>
                <w:szCs w:val="32"/>
                <w:highlight w:val="none"/>
                <w:lang w:val="en-US" w:eastAsia="zh-CN"/>
              </w:rPr>
              <w:t>2-14</w:t>
            </w:r>
            <w:r>
              <w:rPr>
                <w:rFonts w:hint="default" w:ascii="Times New Roman" w:hAnsi="Times New Roman" w:eastAsia="宋体" w:cs="Times New Roman"/>
                <w:color w:val="auto"/>
                <w:sz w:val="24"/>
                <w:szCs w:val="32"/>
                <w:highlight w:val="none"/>
              </w:rPr>
              <w:t>。</w:t>
            </w:r>
          </w:p>
          <w:p w14:paraId="33CA8C61">
            <w:pPr>
              <w:pStyle w:val="156"/>
              <w:spacing w:line="50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ascii="Times New Roman" w:eastAsia="宋体" w:cs="Times New Roman"/>
                <w:color w:val="auto"/>
                <w:sz w:val="24"/>
                <w:highlight w:val="none"/>
                <w:lang w:val="en-US" w:eastAsia="zh-CN"/>
              </w:rPr>
              <w:t>2-14</w:t>
            </w:r>
            <w:r>
              <w:rPr>
                <w:rFonts w:hint="default" w:ascii="Times New Roman" w:hAnsi="Times New Roman" w:eastAsia="宋体" w:cs="Times New Roman"/>
                <w:color w:val="auto"/>
                <w:sz w:val="24"/>
                <w:highlight w:val="none"/>
              </w:rPr>
              <w:t xml:space="preserve">  现有项目2024年固体废物产生和处置情况</w:t>
            </w:r>
          </w:p>
          <w:tbl>
            <w:tblPr>
              <w:tblStyle w:val="33"/>
              <w:tblW w:w="0" w:type="auto"/>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76"/>
              <w:gridCol w:w="1216"/>
              <w:gridCol w:w="473"/>
              <w:gridCol w:w="1311"/>
              <w:gridCol w:w="1144"/>
              <w:gridCol w:w="1109"/>
              <w:gridCol w:w="1594"/>
            </w:tblGrid>
            <w:tr w14:paraId="66C1CA9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014" w:type="dxa"/>
                  <w:shd w:val="clear" w:color="auto" w:fill="auto"/>
                  <w:vAlign w:val="center"/>
                </w:tcPr>
                <w:p w14:paraId="7C7821D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固废名称</w:t>
                  </w:r>
                </w:p>
              </w:tc>
              <w:tc>
                <w:tcPr>
                  <w:tcW w:w="705" w:type="dxa"/>
                  <w:shd w:val="clear" w:color="auto" w:fill="auto"/>
                  <w:vAlign w:val="center"/>
                </w:tcPr>
                <w:p w14:paraId="27B7B1E1">
                  <w:pPr>
                    <w:jc w:val="center"/>
                    <w:rPr>
                      <w:rFonts w:hint="default" w:ascii="Times New Roman" w:hAnsi="Times New Roman" w:eastAsia="宋体" w:cs="Times New Roman"/>
                      <w:b/>
                      <w:color w:val="auto"/>
                      <w:sz w:val="21"/>
                      <w:szCs w:val="21"/>
                      <w:highlight w:val="none"/>
                    </w:rPr>
                  </w:pPr>
                  <w:bookmarkStart w:id="13" w:name="RANGE!F29"/>
                  <w:r>
                    <w:rPr>
                      <w:rFonts w:hint="default" w:ascii="Times New Roman" w:hAnsi="Times New Roman" w:eastAsia="宋体" w:cs="Times New Roman"/>
                      <w:b/>
                      <w:color w:val="auto"/>
                      <w:sz w:val="21"/>
                      <w:szCs w:val="21"/>
                      <w:highlight w:val="none"/>
                    </w:rPr>
                    <w:t>属性</w:t>
                  </w:r>
                  <w:bookmarkEnd w:id="13"/>
                </w:p>
              </w:tc>
              <w:tc>
                <w:tcPr>
                  <w:tcW w:w="1216" w:type="dxa"/>
                  <w:shd w:val="clear" w:color="auto" w:fill="auto"/>
                  <w:vAlign w:val="center"/>
                </w:tcPr>
                <w:p w14:paraId="4D2FC267">
                  <w:pPr>
                    <w:jc w:val="center"/>
                    <w:rPr>
                      <w:rFonts w:hint="default" w:ascii="Times New Roman" w:hAnsi="Times New Roman" w:eastAsia="宋体" w:cs="Times New Roman"/>
                      <w:b/>
                      <w:color w:val="auto"/>
                      <w:sz w:val="21"/>
                      <w:szCs w:val="21"/>
                      <w:highlight w:val="none"/>
                    </w:rPr>
                  </w:pPr>
                  <w:bookmarkStart w:id="14" w:name="RANGE!G29"/>
                  <w:r>
                    <w:rPr>
                      <w:rFonts w:hint="default" w:ascii="Times New Roman" w:hAnsi="Times New Roman" w:eastAsia="宋体" w:cs="Times New Roman"/>
                      <w:b/>
                      <w:color w:val="auto"/>
                      <w:sz w:val="21"/>
                      <w:szCs w:val="21"/>
                      <w:highlight w:val="none"/>
                    </w:rPr>
                    <w:t>危废代码</w:t>
                  </w:r>
                  <w:bookmarkEnd w:id="14"/>
                </w:p>
              </w:tc>
              <w:tc>
                <w:tcPr>
                  <w:tcW w:w="474" w:type="dxa"/>
                  <w:shd w:val="clear" w:color="auto" w:fill="auto"/>
                  <w:vAlign w:val="center"/>
                </w:tcPr>
                <w:p w14:paraId="3C41D611">
                  <w:pPr>
                    <w:jc w:val="center"/>
                    <w:rPr>
                      <w:rFonts w:hint="default" w:ascii="Times New Roman" w:hAnsi="Times New Roman" w:eastAsia="宋体" w:cs="Times New Roman"/>
                      <w:b/>
                      <w:color w:val="auto"/>
                      <w:sz w:val="21"/>
                      <w:szCs w:val="21"/>
                      <w:highlight w:val="none"/>
                    </w:rPr>
                  </w:pPr>
                  <w:bookmarkStart w:id="15" w:name="RANGE!H29"/>
                  <w:r>
                    <w:rPr>
                      <w:rFonts w:hint="default" w:ascii="Times New Roman" w:hAnsi="Times New Roman" w:eastAsia="宋体" w:cs="Times New Roman"/>
                      <w:b/>
                      <w:color w:val="auto"/>
                      <w:sz w:val="21"/>
                      <w:szCs w:val="21"/>
                      <w:highlight w:val="none"/>
                    </w:rPr>
                    <w:t>形态</w:t>
                  </w:r>
                  <w:bookmarkEnd w:id="15"/>
                </w:p>
              </w:tc>
              <w:tc>
                <w:tcPr>
                  <w:tcW w:w="1325" w:type="dxa"/>
                  <w:shd w:val="clear" w:color="auto" w:fill="auto"/>
                  <w:vAlign w:val="center"/>
                </w:tcPr>
                <w:p w14:paraId="44BE0C30">
                  <w:pPr>
                    <w:jc w:val="center"/>
                    <w:rPr>
                      <w:rFonts w:hint="default" w:ascii="Times New Roman" w:hAnsi="Times New Roman" w:eastAsia="宋体" w:cs="Times New Roman"/>
                      <w:b/>
                      <w:color w:val="auto"/>
                      <w:sz w:val="21"/>
                      <w:szCs w:val="21"/>
                      <w:highlight w:val="none"/>
                    </w:rPr>
                  </w:pPr>
                  <w:bookmarkStart w:id="16" w:name="RANGE!I29"/>
                  <w:r>
                    <w:rPr>
                      <w:rFonts w:hint="default" w:ascii="Times New Roman" w:hAnsi="Times New Roman" w:eastAsia="宋体" w:cs="Times New Roman"/>
                      <w:b/>
                      <w:color w:val="auto"/>
                      <w:sz w:val="21"/>
                      <w:szCs w:val="21"/>
                      <w:highlight w:val="none"/>
                    </w:rPr>
                    <w:t>产生工序</w:t>
                  </w:r>
                  <w:bookmarkEnd w:id="16"/>
                </w:p>
              </w:tc>
              <w:tc>
                <w:tcPr>
                  <w:tcW w:w="1155" w:type="dxa"/>
                  <w:shd w:val="clear" w:color="auto" w:fill="auto"/>
                  <w:vAlign w:val="center"/>
                </w:tcPr>
                <w:p w14:paraId="49E66840">
                  <w:pPr>
                    <w:jc w:val="center"/>
                    <w:rPr>
                      <w:rFonts w:hint="default" w:ascii="Times New Roman" w:hAnsi="Times New Roman" w:eastAsia="宋体" w:cs="Times New Roman"/>
                      <w:b/>
                      <w:color w:val="auto"/>
                      <w:sz w:val="21"/>
                      <w:szCs w:val="21"/>
                      <w:highlight w:val="none"/>
                    </w:rPr>
                  </w:pPr>
                  <w:bookmarkStart w:id="17" w:name="RANGE!J29"/>
                  <w:r>
                    <w:rPr>
                      <w:rFonts w:hint="default" w:ascii="Times New Roman" w:hAnsi="Times New Roman" w:eastAsia="宋体" w:cs="Times New Roman"/>
                      <w:b/>
                      <w:color w:val="auto"/>
                      <w:sz w:val="21"/>
                      <w:szCs w:val="21"/>
                      <w:highlight w:val="none"/>
                    </w:rPr>
                    <w:t>主要成分</w:t>
                  </w:r>
                  <w:bookmarkEnd w:id="17"/>
                </w:p>
              </w:tc>
              <w:tc>
                <w:tcPr>
                  <w:tcW w:w="978" w:type="dxa"/>
                  <w:shd w:val="clear" w:color="auto" w:fill="auto"/>
                  <w:vAlign w:val="center"/>
                </w:tcPr>
                <w:p w14:paraId="273A3EC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2024年产生量（t/a）</w:t>
                  </w:r>
                </w:p>
              </w:tc>
              <w:tc>
                <w:tcPr>
                  <w:tcW w:w="1614" w:type="dxa"/>
                  <w:shd w:val="clear" w:color="auto" w:fill="auto"/>
                  <w:vAlign w:val="center"/>
                </w:tcPr>
                <w:p w14:paraId="00876F34">
                  <w:pPr>
                    <w:jc w:val="center"/>
                    <w:rPr>
                      <w:rFonts w:hint="default" w:ascii="Times New Roman" w:hAnsi="Times New Roman" w:eastAsia="宋体" w:cs="Times New Roman"/>
                      <w:b/>
                      <w:color w:val="auto"/>
                      <w:sz w:val="21"/>
                      <w:szCs w:val="21"/>
                      <w:highlight w:val="none"/>
                    </w:rPr>
                  </w:pPr>
                  <w:bookmarkStart w:id="18" w:name="RANGE!L29"/>
                  <w:r>
                    <w:rPr>
                      <w:rFonts w:hint="default" w:ascii="Times New Roman" w:hAnsi="Times New Roman" w:eastAsia="宋体" w:cs="Times New Roman"/>
                      <w:b/>
                      <w:color w:val="auto"/>
                      <w:sz w:val="21"/>
                      <w:szCs w:val="21"/>
                      <w:highlight w:val="none"/>
                    </w:rPr>
                    <w:t>处置去向</w:t>
                  </w:r>
                  <w:bookmarkEnd w:id="18"/>
                </w:p>
              </w:tc>
            </w:tr>
            <w:tr w14:paraId="23B3D6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33872076">
                  <w:pPr>
                    <w:jc w:val="center"/>
                    <w:rPr>
                      <w:rFonts w:hint="default" w:ascii="Times New Roman" w:hAnsi="Times New Roman" w:eastAsia="宋体" w:cs="Times New Roman"/>
                      <w:color w:val="auto"/>
                      <w:sz w:val="21"/>
                      <w:szCs w:val="21"/>
                      <w:highlight w:val="none"/>
                    </w:rPr>
                  </w:pPr>
                  <w:bookmarkStart w:id="19" w:name="RANGE!E30"/>
                  <w:r>
                    <w:rPr>
                      <w:rFonts w:hint="default" w:ascii="Times New Roman" w:hAnsi="Times New Roman" w:eastAsia="宋体" w:cs="Times New Roman"/>
                      <w:color w:val="auto"/>
                      <w:sz w:val="21"/>
                      <w:szCs w:val="21"/>
                      <w:highlight w:val="none"/>
                    </w:rPr>
                    <w:t>炉渣</w:t>
                  </w:r>
                  <w:bookmarkEnd w:id="19"/>
                </w:p>
              </w:tc>
              <w:tc>
                <w:tcPr>
                  <w:tcW w:w="705" w:type="dxa"/>
                  <w:shd w:val="clear" w:color="auto" w:fill="auto"/>
                  <w:vAlign w:val="center"/>
                </w:tcPr>
                <w:p w14:paraId="61F526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一般废物</w:t>
                  </w:r>
                </w:p>
              </w:tc>
              <w:tc>
                <w:tcPr>
                  <w:tcW w:w="1216" w:type="dxa"/>
                  <w:shd w:val="clear" w:color="auto" w:fill="auto"/>
                  <w:vAlign w:val="center"/>
                </w:tcPr>
                <w:p w14:paraId="14E55C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 w:type="dxa"/>
                  <w:shd w:val="clear" w:color="auto" w:fill="auto"/>
                  <w:vAlign w:val="center"/>
                </w:tcPr>
                <w:p w14:paraId="3E16A0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05183A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垃圾焚烧</w:t>
                  </w:r>
                </w:p>
              </w:tc>
              <w:tc>
                <w:tcPr>
                  <w:tcW w:w="1155" w:type="dxa"/>
                  <w:shd w:val="clear" w:color="auto" w:fill="auto"/>
                  <w:vAlign w:val="center"/>
                </w:tcPr>
                <w:p w14:paraId="0D8803FC">
                  <w:pPr>
                    <w:jc w:val="center"/>
                    <w:rPr>
                      <w:rFonts w:hint="default" w:ascii="Times New Roman" w:hAnsi="Times New Roman" w:eastAsia="宋体" w:cs="Times New Roman"/>
                      <w:color w:val="auto"/>
                      <w:sz w:val="21"/>
                      <w:szCs w:val="21"/>
                      <w:highlight w:val="none"/>
                    </w:rPr>
                  </w:pPr>
                  <w:bookmarkStart w:id="20" w:name="RANGE!J30"/>
                  <w:r>
                    <w:rPr>
                      <w:rFonts w:hint="default" w:ascii="Times New Roman" w:hAnsi="Times New Roman" w:eastAsia="宋体" w:cs="Times New Roman"/>
                      <w:color w:val="auto"/>
                      <w:sz w:val="21"/>
                      <w:szCs w:val="21"/>
                      <w:highlight w:val="none"/>
                    </w:rPr>
                    <w:t>垃圾焚烧残渣</w:t>
                  </w:r>
                  <w:bookmarkEnd w:id="20"/>
                </w:p>
              </w:tc>
              <w:tc>
                <w:tcPr>
                  <w:tcW w:w="978" w:type="dxa"/>
                  <w:shd w:val="clear" w:color="auto" w:fill="auto"/>
                  <w:vAlign w:val="center"/>
                </w:tcPr>
                <w:p w14:paraId="360D8D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99769.05</w:t>
                  </w:r>
                </w:p>
              </w:tc>
              <w:tc>
                <w:tcPr>
                  <w:tcW w:w="1614" w:type="dxa"/>
                  <w:shd w:val="clear" w:color="auto" w:fill="auto"/>
                  <w:vAlign w:val="center"/>
                </w:tcPr>
                <w:p w14:paraId="4102CE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外售至涟水鑫合源再生资源有限公司综合利用</w:t>
                  </w:r>
                </w:p>
              </w:tc>
            </w:tr>
            <w:tr w14:paraId="399CACC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452670E8">
                  <w:pPr>
                    <w:jc w:val="center"/>
                    <w:rPr>
                      <w:rFonts w:hint="default" w:ascii="Times New Roman" w:hAnsi="Times New Roman" w:eastAsia="宋体" w:cs="Times New Roman"/>
                      <w:color w:val="auto"/>
                      <w:sz w:val="21"/>
                      <w:szCs w:val="21"/>
                      <w:highlight w:val="none"/>
                    </w:rPr>
                  </w:pPr>
                  <w:bookmarkStart w:id="21" w:name="RANGE!E36"/>
                  <w:r>
                    <w:rPr>
                      <w:rFonts w:hint="default" w:ascii="Times New Roman" w:hAnsi="Times New Roman" w:eastAsia="宋体" w:cs="Times New Roman"/>
                      <w:color w:val="auto"/>
                      <w:sz w:val="21"/>
                      <w:szCs w:val="21"/>
                      <w:highlight w:val="none"/>
                    </w:rPr>
                    <w:t>废膜</w:t>
                  </w:r>
                  <w:bookmarkEnd w:id="21"/>
                </w:p>
              </w:tc>
              <w:tc>
                <w:tcPr>
                  <w:tcW w:w="705" w:type="dxa"/>
                  <w:shd w:val="clear" w:color="auto" w:fill="auto"/>
                  <w:vAlign w:val="center"/>
                </w:tcPr>
                <w:p w14:paraId="6EC64E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一般废物</w:t>
                  </w:r>
                </w:p>
              </w:tc>
              <w:tc>
                <w:tcPr>
                  <w:tcW w:w="1216" w:type="dxa"/>
                  <w:shd w:val="clear" w:color="auto" w:fill="auto"/>
                  <w:vAlign w:val="center"/>
                </w:tcPr>
                <w:p w14:paraId="48AFCC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 w:type="dxa"/>
                  <w:shd w:val="clear" w:color="auto" w:fill="auto"/>
                  <w:vAlign w:val="center"/>
                </w:tcPr>
                <w:p w14:paraId="1B55C6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44A7B9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化水系统、废水处理系统</w:t>
                  </w:r>
                </w:p>
              </w:tc>
              <w:tc>
                <w:tcPr>
                  <w:tcW w:w="1155" w:type="dxa"/>
                  <w:shd w:val="clear" w:color="auto" w:fill="auto"/>
                  <w:vAlign w:val="center"/>
                </w:tcPr>
                <w:p w14:paraId="719562C9">
                  <w:pPr>
                    <w:jc w:val="center"/>
                    <w:rPr>
                      <w:rFonts w:hint="default" w:ascii="Times New Roman" w:hAnsi="Times New Roman" w:eastAsia="宋体" w:cs="Times New Roman"/>
                      <w:color w:val="auto"/>
                      <w:sz w:val="21"/>
                      <w:szCs w:val="21"/>
                      <w:highlight w:val="none"/>
                    </w:rPr>
                  </w:pPr>
                  <w:bookmarkStart w:id="22" w:name="RANGE!J36"/>
                  <w:r>
                    <w:rPr>
                      <w:rFonts w:hint="default" w:ascii="Times New Roman" w:hAnsi="Times New Roman" w:eastAsia="宋体" w:cs="Times New Roman"/>
                      <w:color w:val="auto"/>
                      <w:sz w:val="21"/>
                      <w:szCs w:val="21"/>
                      <w:highlight w:val="none"/>
                    </w:rPr>
                    <w:t>有机物、无机物等</w:t>
                  </w:r>
                  <w:bookmarkEnd w:id="22"/>
                </w:p>
              </w:tc>
              <w:tc>
                <w:tcPr>
                  <w:tcW w:w="978" w:type="dxa"/>
                  <w:shd w:val="clear" w:color="auto" w:fill="auto"/>
                  <w:vAlign w:val="center"/>
                </w:tcPr>
                <w:p w14:paraId="0AFBAC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未更换</w:t>
                  </w:r>
                </w:p>
              </w:tc>
              <w:tc>
                <w:tcPr>
                  <w:tcW w:w="1614" w:type="dxa"/>
                  <w:shd w:val="clear" w:color="auto" w:fill="auto"/>
                  <w:vAlign w:val="center"/>
                </w:tcPr>
                <w:p w14:paraId="74068802">
                  <w:pPr>
                    <w:jc w:val="center"/>
                    <w:rPr>
                      <w:rFonts w:hint="default" w:ascii="Times New Roman" w:hAnsi="Times New Roman" w:eastAsia="宋体" w:cs="Times New Roman"/>
                      <w:color w:val="auto"/>
                      <w:sz w:val="21"/>
                      <w:szCs w:val="21"/>
                      <w:highlight w:val="none"/>
                    </w:rPr>
                  </w:pPr>
                  <w:bookmarkStart w:id="23" w:name="RANGE!L36"/>
                  <w:r>
                    <w:rPr>
                      <w:rFonts w:hint="default" w:ascii="Times New Roman" w:hAnsi="Times New Roman" w:eastAsia="宋体" w:cs="Times New Roman"/>
                      <w:color w:val="auto"/>
                      <w:sz w:val="21"/>
                      <w:szCs w:val="21"/>
                      <w:highlight w:val="none"/>
                    </w:rPr>
                    <w:t>送本厂焚烧炉焚烧</w:t>
                  </w:r>
                  <w:bookmarkEnd w:id="23"/>
                </w:p>
              </w:tc>
            </w:tr>
            <w:tr w14:paraId="0653FB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4A9C8E61">
                  <w:pPr>
                    <w:jc w:val="center"/>
                    <w:rPr>
                      <w:rFonts w:hint="default" w:ascii="Times New Roman" w:hAnsi="Times New Roman" w:eastAsia="宋体" w:cs="Times New Roman"/>
                      <w:color w:val="auto"/>
                      <w:sz w:val="21"/>
                      <w:szCs w:val="21"/>
                      <w:highlight w:val="none"/>
                    </w:rPr>
                  </w:pPr>
                  <w:bookmarkStart w:id="24" w:name="RANGE!E37"/>
                  <w:r>
                    <w:rPr>
                      <w:rFonts w:hint="default" w:ascii="Times New Roman" w:hAnsi="Times New Roman" w:eastAsia="宋体" w:cs="Times New Roman"/>
                      <w:color w:val="auto"/>
                      <w:sz w:val="21"/>
                      <w:szCs w:val="21"/>
                      <w:highlight w:val="none"/>
                    </w:rPr>
                    <w:t>废活性炭</w:t>
                  </w:r>
                  <w:bookmarkEnd w:id="24"/>
                </w:p>
              </w:tc>
              <w:tc>
                <w:tcPr>
                  <w:tcW w:w="705" w:type="dxa"/>
                  <w:shd w:val="clear" w:color="auto" w:fill="auto"/>
                  <w:vAlign w:val="center"/>
                </w:tcPr>
                <w:p w14:paraId="730EFB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一般废物</w:t>
                  </w:r>
                </w:p>
              </w:tc>
              <w:tc>
                <w:tcPr>
                  <w:tcW w:w="1216" w:type="dxa"/>
                  <w:shd w:val="clear" w:color="auto" w:fill="auto"/>
                  <w:vAlign w:val="center"/>
                </w:tcPr>
                <w:p w14:paraId="20CF6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 w:type="dxa"/>
                  <w:shd w:val="clear" w:color="auto" w:fill="auto"/>
                  <w:vAlign w:val="center"/>
                </w:tcPr>
                <w:p w14:paraId="4EECB4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69CC4F25">
                  <w:pPr>
                    <w:jc w:val="center"/>
                    <w:rPr>
                      <w:rFonts w:hint="default" w:ascii="Times New Roman" w:hAnsi="Times New Roman" w:eastAsia="宋体" w:cs="Times New Roman"/>
                      <w:color w:val="auto"/>
                      <w:sz w:val="21"/>
                      <w:szCs w:val="21"/>
                      <w:highlight w:val="none"/>
                    </w:rPr>
                  </w:pPr>
                  <w:bookmarkStart w:id="25" w:name="RANGE!I37"/>
                  <w:r>
                    <w:rPr>
                      <w:rFonts w:hint="default" w:ascii="Times New Roman" w:hAnsi="Times New Roman" w:eastAsia="宋体" w:cs="Times New Roman"/>
                      <w:color w:val="auto"/>
                      <w:sz w:val="21"/>
                      <w:szCs w:val="21"/>
                      <w:highlight w:val="none"/>
                    </w:rPr>
                    <w:t>非正常工况除臭装置</w:t>
                  </w:r>
                  <w:bookmarkEnd w:id="25"/>
                </w:p>
              </w:tc>
              <w:tc>
                <w:tcPr>
                  <w:tcW w:w="1155" w:type="dxa"/>
                  <w:shd w:val="clear" w:color="auto" w:fill="auto"/>
                  <w:vAlign w:val="center"/>
                </w:tcPr>
                <w:p w14:paraId="5E05325B">
                  <w:pPr>
                    <w:jc w:val="center"/>
                    <w:rPr>
                      <w:rFonts w:hint="default" w:ascii="Times New Roman" w:hAnsi="Times New Roman" w:eastAsia="宋体" w:cs="Times New Roman"/>
                      <w:color w:val="auto"/>
                      <w:sz w:val="21"/>
                      <w:szCs w:val="21"/>
                      <w:highlight w:val="none"/>
                    </w:rPr>
                  </w:pPr>
                  <w:bookmarkStart w:id="26" w:name="RANGE!J37"/>
                  <w:r>
                    <w:rPr>
                      <w:rFonts w:hint="default" w:ascii="Times New Roman" w:hAnsi="Times New Roman" w:eastAsia="宋体" w:cs="Times New Roman"/>
                      <w:color w:val="auto"/>
                      <w:sz w:val="21"/>
                      <w:szCs w:val="21"/>
                      <w:highlight w:val="none"/>
                    </w:rPr>
                    <w:t>附着恶臭气体</w:t>
                  </w:r>
                  <w:bookmarkEnd w:id="26"/>
                </w:p>
              </w:tc>
              <w:tc>
                <w:tcPr>
                  <w:tcW w:w="978" w:type="dxa"/>
                  <w:shd w:val="clear" w:color="auto" w:fill="auto"/>
                  <w:vAlign w:val="center"/>
                </w:tcPr>
                <w:p w14:paraId="0869A6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未更换</w:t>
                  </w:r>
                </w:p>
              </w:tc>
              <w:tc>
                <w:tcPr>
                  <w:tcW w:w="1614" w:type="dxa"/>
                  <w:shd w:val="clear" w:color="auto" w:fill="auto"/>
                  <w:vAlign w:val="center"/>
                </w:tcPr>
                <w:p w14:paraId="5831B75B">
                  <w:pPr>
                    <w:jc w:val="center"/>
                    <w:rPr>
                      <w:rFonts w:hint="default" w:ascii="Times New Roman" w:hAnsi="Times New Roman" w:eastAsia="宋体" w:cs="Times New Roman"/>
                      <w:color w:val="auto"/>
                      <w:sz w:val="21"/>
                      <w:szCs w:val="21"/>
                      <w:highlight w:val="none"/>
                    </w:rPr>
                  </w:pPr>
                  <w:bookmarkStart w:id="27" w:name="RANGE!L37"/>
                  <w:r>
                    <w:rPr>
                      <w:rFonts w:hint="default" w:ascii="Times New Roman" w:hAnsi="Times New Roman" w:eastAsia="宋体" w:cs="Times New Roman"/>
                      <w:color w:val="auto"/>
                      <w:sz w:val="21"/>
                      <w:szCs w:val="21"/>
                      <w:highlight w:val="none"/>
                    </w:rPr>
                    <w:t>送本厂焚烧炉焚烧</w:t>
                  </w:r>
                  <w:bookmarkEnd w:id="27"/>
                </w:p>
              </w:tc>
            </w:tr>
            <w:tr w14:paraId="46C313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5EE6DDE3">
                  <w:pPr>
                    <w:jc w:val="center"/>
                    <w:rPr>
                      <w:rFonts w:hint="default" w:ascii="Times New Roman" w:hAnsi="Times New Roman" w:eastAsia="宋体" w:cs="Times New Roman"/>
                      <w:color w:val="auto"/>
                      <w:sz w:val="21"/>
                      <w:szCs w:val="21"/>
                      <w:highlight w:val="none"/>
                    </w:rPr>
                  </w:pPr>
                  <w:bookmarkStart w:id="28" w:name="RANGE!E32"/>
                  <w:r>
                    <w:rPr>
                      <w:rFonts w:hint="default" w:ascii="Times New Roman" w:hAnsi="Times New Roman" w:eastAsia="宋体" w:cs="Times New Roman"/>
                      <w:color w:val="auto"/>
                      <w:sz w:val="21"/>
                      <w:szCs w:val="21"/>
                      <w:highlight w:val="none"/>
                    </w:rPr>
                    <w:t>污泥</w:t>
                  </w:r>
                  <w:bookmarkEnd w:id="28"/>
                </w:p>
              </w:tc>
              <w:tc>
                <w:tcPr>
                  <w:tcW w:w="705" w:type="dxa"/>
                  <w:shd w:val="clear" w:color="auto" w:fill="auto"/>
                  <w:vAlign w:val="center"/>
                </w:tcPr>
                <w:p w14:paraId="59DB43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一般废物</w:t>
                  </w:r>
                </w:p>
              </w:tc>
              <w:tc>
                <w:tcPr>
                  <w:tcW w:w="1216" w:type="dxa"/>
                  <w:shd w:val="clear" w:color="auto" w:fill="auto"/>
                  <w:vAlign w:val="center"/>
                </w:tcPr>
                <w:p w14:paraId="4BAA1D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 w:type="dxa"/>
                  <w:shd w:val="clear" w:color="auto" w:fill="auto"/>
                  <w:vAlign w:val="center"/>
                </w:tcPr>
                <w:p w14:paraId="582874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230C2B5A">
                  <w:pPr>
                    <w:jc w:val="center"/>
                    <w:rPr>
                      <w:rFonts w:hint="default" w:ascii="Times New Roman" w:hAnsi="Times New Roman" w:eastAsia="宋体" w:cs="Times New Roman"/>
                      <w:color w:val="auto"/>
                      <w:sz w:val="21"/>
                      <w:szCs w:val="21"/>
                      <w:highlight w:val="none"/>
                    </w:rPr>
                  </w:pPr>
                  <w:bookmarkStart w:id="29" w:name="RANGE!I32"/>
                  <w:r>
                    <w:rPr>
                      <w:rFonts w:hint="default" w:ascii="Times New Roman" w:hAnsi="Times New Roman" w:eastAsia="宋体" w:cs="Times New Roman"/>
                      <w:color w:val="auto"/>
                      <w:sz w:val="21"/>
                      <w:szCs w:val="21"/>
                      <w:highlight w:val="none"/>
                    </w:rPr>
                    <w:t>污水处理</w:t>
                  </w:r>
                  <w:bookmarkEnd w:id="29"/>
                </w:p>
              </w:tc>
              <w:tc>
                <w:tcPr>
                  <w:tcW w:w="1155" w:type="dxa"/>
                  <w:shd w:val="clear" w:color="auto" w:fill="auto"/>
                  <w:vAlign w:val="center"/>
                </w:tcPr>
                <w:p w14:paraId="24E7E547">
                  <w:pPr>
                    <w:jc w:val="center"/>
                    <w:rPr>
                      <w:rFonts w:hint="default" w:ascii="Times New Roman" w:hAnsi="Times New Roman" w:eastAsia="宋体" w:cs="Times New Roman"/>
                      <w:color w:val="auto"/>
                      <w:sz w:val="21"/>
                      <w:szCs w:val="21"/>
                      <w:highlight w:val="none"/>
                    </w:rPr>
                  </w:pPr>
                  <w:bookmarkStart w:id="30" w:name="RANGE!J32"/>
                  <w:r>
                    <w:rPr>
                      <w:rFonts w:hint="default" w:ascii="Times New Roman" w:hAnsi="Times New Roman" w:eastAsia="宋体" w:cs="Times New Roman"/>
                      <w:color w:val="auto"/>
                      <w:sz w:val="21"/>
                      <w:szCs w:val="21"/>
                      <w:highlight w:val="none"/>
                    </w:rPr>
                    <w:t>有机物、无机物等</w:t>
                  </w:r>
                  <w:bookmarkEnd w:id="30"/>
                </w:p>
              </w:tc>
              <w:tc>
                <w:tcPr>
                  <w:tcW w:w="978" w:type="dxa"/>
                  <w:shd w:val="clear" w:color="auto" w:fill="auto"/>
                  <w:vAlign w:val="center"/>
                </w:tcPr>
                <w:p w14:paraId="6F5396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1614" w:type="dxa"/>
                  <w:shd w:val="clear" w:color="auto" w:fill="auto"/>
                  <w:vAlign w:val="center"/>
                </w:tcPr>
                <w:p w14:paraId="74C1B8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送本厂焚烧炉焚烧</w:t>
                  </w:r>
                </w:p>
              </w:tc>
            </w:tr>
            <w:tr w14:paraId="53EF146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44C7538C">
                  <w:pPr>
                    <w:jc w:val="center"/>
                    <w:rPr>
                      <w:rFonts w:hint="default" w:ascii="Times New Roman" w:hAnsi="Times New Roman" w:eastAsia="宋体" w:cs="Times New Roman"/>
                      <w:color w:val="auto"/>
                      <w:sz w:val="21"/>
                      <w:szCs w:val="21"/>
                      <w:highlight w:val="none"/>
                    </w:rPr>
                  </w:pPr>
                  <w:bookmarkStart w:id="31" w:name="RANGE!E33"/>
                  <w:r>
                    <w:rPr>
                      <w:rFonts w:hint="default" w:ascii="Times New Roman" w:hAnsi="Times New Roman" w:eastAsia="宋体" w:cs="Times New Roman"/>
                      <w:color w:val="auto"/>
                      <w:sz w:val="21"/>
                      <w:szCs w:val="21"/>
                      <w:highlight w:val="none"/>
                    </w:rPr>
                    <w:t>生活垃圾</w:t>
                  </w:r>
                  <w:bookmarkEnd w:id="31"/>
                </w:p>
              </w:tc>
              <w:tc>
                <w:tcPr>
                  <w:tcW w:w="705" w:type="dxa"/>
                  <w:shd w:val="clear" w:color="auto" w:fill="auto"/>
                  <w:vAlign w:val="center"/>
                </w:tcPr>
                <w:p w14:paraId="2DDD0A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一般废物</w:t>
                  </w:r>
                </w:p>
              </w:tc>
              <w:tc>
                <w:tcPr>
                  <w:tcW w:w="1216" w:type="dxa"/>
                  <w:shd w:val="clear" w:color="auto" w:fill="auto"/>
                  <w:vAlign w:val="center"/>
                </w:tcPr>
                <w:p w14:paraId="13D5DB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74" w:type="dxa"/>
                  <w:shd w:val="clear" w:color="auto" w:fill="auto"/>
                  <w:vAlign w:val="center"/>
                </w:tcPr>
                <w:p w14:paraId="0E3F54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2E9AD4D3">
                  <w:pPr>
                    <w:jc w:val="center"/>
                    <w:rPr>
                      <w:rFonts w:hint="default" w:ascii="Times New Roman" w:hAnsi="Times New Roman" w:eastAsia="宋体" w:cs="Times New Roman"/>
                      <w:color w:val="auto"/>
                      <w:sz w:val="21"/>
                      <w:szCs w:val="21"/>
                      <w:highlight w:val="none"/>
                    </w:rPr>
                  </w:pPr>
                  <w:bookmarkStart w:id="32" w:name="RANGE!I33"/>
                  <w:r>
                    <w:rPr>
                      <w:rFonts w:hint="default" w:ascii="Times New Roman" w:hAnsi="Times New Roman" w:eastAsia="宋体" w:cs="Times New Roman"/>
                      <w:color w:val="auto"/>
                      <w:sz w:val="21"/>
                      <w:szCs w:val="21"/>
                      <w:highlight w:val="none"/>
                    </w:rPr>
                    <w:t>日常办公</w:t>
                  </w:r>
                  <w:bookmarkEnd w:id="32"/>
                </w:p>
              </w:tc>
              <w:tc>
                <w:tcPr>
                  <w:tcW w:w="1155" w:type="dxa"/>
                  <w:shd w:val="clear" w:color="auto" w:fill="auto"/>
                  <w:vAlign w:val="center"/>
                </w:tcPr>
                <w:p w14:paraId="04E38051">
                  <w:pPr>
                    <w:jc w:val="center"/>
                    <w:rPr>
                      <w:rFonts w:hint="default" w:ascii="Times New Roman" w:hAnsi="Times New Roman" w:eastAsia="宋体" w:cs="Times New Roman"/>
                      <w:color w:val="auto"/>
                      <w:sz w:val="21"/>
                      <w:szCs w:val="21"/>
                      <w:highlight w:val="none"/>
                    </w:rPr>
                  </w:pPr>
                  <w:bookmarkStart w:id="33" w:name="RANGE!J33"/>
                  <w:r>
                    <w:rPr>
                      <w:rFonts w:hint="default" w:ascii="Times New Roman" w:hAnsi="Times New Roman" w:eastAsia="宋体" w:cs="Times New Roman"/>
                      <w:color w:val="auto"/>
                      <w:sz w:val="21"/>
                      <w:szCs w:val="21"/>
                      <w:highlight w:val="none"/>
                    </w:rPr>
                    <w:t>食品废物、纸、纺织物等</w:t>
                  </w:r>
                  <w:bookmarkEnd w:id="33"/>
                </w:p>
              </w:tc>
              <w:tc>
                <w:tcPr>
                  <w:tcW w:w="978" w:type="dxa"/>
                  <w:shd w:val="clear" w:color="auto" w:fill="auto"/>
                  <w:vAlign w:val="center"/>
                </w:tcPr>
                <w:p w14:paraId="26BE58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26.4</w:t>
                  </w:r>
                </w:p>
              </w:tc>
              <w:tc>
                <w:tcPr>
                  <w:tcW w:w="1614" w:type="dxa"/>
                  <w:shd w:val="clear" w:color="auto" w:fill="auto"/>
                  <w:vAlign w:val="center"/>
                </w:tcPr>
                <w:p w14:paraId="6F636A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送本厂焚烧炉焚烧</w:t>
                  </w:r>
                </w:p>
              </w:tc>
            </w:tr>
            <w:tr w14:paraId="19E402B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15EE8B76">
                  <w:pPr>
                    <w:jc w:val="center"/>
                    <w:rPr>
                      <w:rFonts w:hint="default" w:ascii="Times New Roman" w:hAnsi="Times New Roman" w:eastAsia="宋体" w:cs="Times New Roman"/>
                      <w:color w:val="auto"/>
                      <w:sz w:val="21"/>
                      <w:szCs w:val="21"/>
                      <w:highlight w:val="none"/>
                    </w:rPr>
                  </w:pPr>
                  <w:bookmarkStart w:id="34" w:name="RANGE!E31"/>
                  <w:r>
                    <w:rPr>
                      <w:rFonts w:hint="default" w:ascii="Times New Roman" w:hAnsi="Times New Roman" w:eastAsia="宋体" w:cs="Times New Roman"/>
                      <w:color w:val="auto"/>
                      <w:sz w:val="21"/>
                      <w:szCs w:val="21"/>
                      <w:highlight w:val="none"/>
                    </w:rPr>
                    <w:t>飞灰及反应生成物</w:t>
                  </w:r>
                  <w:bookmarkEnd w:id="34"/>
                </w:p>
              </w:tc>
              <w:tc>
                <w:tcPr>
                  <w:tcW w:w="705" w:type="dxa"/>
                  <w:shd w:val="clear" w:color="auto" w:fill="auto"/>
                  <w:vAlign w:val="center"/>
                </w:tcPr>
                <w:p w14:paraId="7B68F1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危险废物HW18</w:t>
                  </w:r>
                </w:p>
              </w:tc>
              <w:tc>
                <w:tcPr>
                  <w:tcW w:w="1216" w:type="dxa"/>
                  <w:shd w:val="clear" w:color="auto" w:fill="auto"/>
                  <w:vAlign w:val="center"/>
                </w:tcPr>
                <w:p w14:paraId="040F42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772-002-18</w:t>
                  </w:r>
                </w:p>
              </w:tc>
              <w:tc>
                <w:tcPr>
                  <w:tcW w:w="474" w:type="dxa"/>
                  <w:shd w:val="clear" w:color="auto" w:fill="auto"/>
                  <w:vAlign w:val="center"/>
                </w:tcPr>
                <w:p w14:paraId="587009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5D19DE98">
                  <w:pPr>
                    <w:jc w:val="center"/>
                    <w:rPr>
                      <w:rFonts w:hint="default" w:ascii="Times New Roman" w:hAnsi="Times New Roman" w:eastAsia="宋体" w:cs="Times New Roman"/>
                      <w:color w:val="auto"/>
                      <w:sz w:val="21"/>
                      <w:szCs w:val="21"/>
                      <w:highlight w:val="none"/>
                    </w:rPr>
                  </w:pPr>
                  <w:bookmarkStart w:id="35" w:name="RANGE!I31"/>
                  <w:r>
                    <w:rPr>
                      <w:rFonts w:hint="default" w:ascii="Times New Roman" w:hAnsi="Times New Roman" w:eastAsia="宋体" w:cs="Times New Roman"/>
                      <w:color w:val="auto"/>
                      <w:sz w:val="21"/>
                      <w:szCs w:val="21"/>
                      <w:highlight w:val="none"/>
                    </w:rPr>
                    <w:t>垃圾焚烧炉、烟气除尘器</w:t>
                  </w:r>
                  <w:bookmarkEnd w:id="35"/>
                </w:p>
              </w:tc>
              <w:tc>
                <w:tcPr>
                  <w:tcW w:w="1155" w:type="dxa"/>
                  <w:shd w:val="clear" w:color="auto" w:fill="auto"/>
                  <w:vAlign w:val="center"/>
                </w:tcPr>
                <w:p w14:paraId="447D57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颗粒物及重金属</w:t>
                  </w:r>
                </w:p>
              </w:tc>
              <w:tc>
                <w:tcPr>
                  <w:tcW w:w="978" w:type="dxa"/>
                  <w:shd w:val="clear" w:color="auto" w:fill="auto"/>
                  <w:vAlign w:val="center"/>
                </w:tcPr>
                <w:p w14:paraId="1788C0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13413.246</w:t>
                  </w:r>
                </w:p>
              </w:tc>
              <w:tc>
                <w:tcPr>
                  <w:tcW w:w="1614" w:type="dxa"/>
                  <w:shd w:val="clear" w:color="auto" w:fill="auto"/>
                  <w:vAlign w:val="center"/>
                </w:tcPr>
                <w:p w14:paraId="7441C3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稳定化固化后送本厂填埋场填埋</w:t>
                  </w:r>
                </w:p>
              </w:tc>
            </w:tr>
            <w:tr w14:paraId="631214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5B4812A5">
                  <w:pPr>
                    <w:jc w:val="center"/>
                    <w:rPr>
                      <w:rFonts w:hint="default" w:ascii="Times New Roman" w:hAnsi="Times New Roman" w:eastAsia="宋体" w:cs="Times New Roman"/>
                      <w:color w:val="auto"/>
                      <w:sz w:val="21"/>
                      <w:szCs w:val="21"/>
                      <w:highlight w:val="none"/>
                    </w:rPr>
                  </w:pPr>
                  <w:bookmarkStart w:id="36" w:name="RANGE!E34"/>
                  <w:r>
                    <w:rPr>
                      <w:rFonts w:hint="default" w:ascii="Times New Roman" w:hAnsi="Times New Roman" w:eastAsia="宋体" w:cs="Times New Roman"/>
                      <w:color w:val="auto"/>
                      <w:sz w:val="21"/>
                      <w:szCs w:val="21"/>
                      <w:highlight w:val="none"/>
                    </w:rPr>
                    <w:t>废机油</w:t>
                  </w:r>
                  <w:bookmarkEnd w:id="36"/>
                </w:p>
              </w:tc>
              <w:tc>
                <w:tcPr>
                  <w:tcW w:w="705" w:type="dxa"/>
                  <w:shd w:val="clear" w:color="auto" w:fill="auto"/>
                  <w:vAlign w:val="center"/>
                </w:tcPr>
                <w:p w14:paraId="770035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危险废物HW08</w:t>
                  </w:r>
                </w:p>
              </w:tc>
              <w:tc>
                <w:tcPr>
                  <w:tcW w:w="1216" w:type="dxa"/>
                  <w:shd w:val="clear" w:color="auto" w:fill="auto"/>
                  <w:vAlign w:val="center"/>
                </w:tcPr>
                <w:p w14:paraId="5E184A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900-217-08</w:t>
                  </w:r>
                </w:p>
              </w:tc>
              <w:tc>
                <w:tcPr>
                  <w:tcW w:w="474" w:type="dxa"/>
                  <w:shd w:val="clear" w:color="auto" w:fill="auto"/>
                  <w:vAlign w:val="center"/>
                </w:tcPr>
                <w:p w14:paraId="64DE8A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液态</w:t>
                  </w:r>
                </w:p>
              </w:tc>
              <w:tc>
                <w:tcPr>
                  <w:tcW w:w="1325" w:type="dxa"/>
                  <w:shd w:val="clear" w:color="auto" w:fill="auto"/>
                  <w:vAlign w:val="center"/>
                </w:tcPr>
                <w:p w14:paraId="4864E1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设备检修、维护</w:t>
                  </w:r>
                </w:p>
              </w:tc>
              <w:tc>
                <w:tcPr>
                  <w:tcW w:w="1155" w:type="dxa"/>
                  <w:shd w:val="clear" w:color="auto" w:fill="auto"/>
                  <w:vAlign w:val="center"/>
                </w:tcPr>
                <w:p w14:paraId="611ADF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矿物油</w:t>
                  </w:r>
                </w:p>
              </w:tc>
              <w:tc>
                <w:tcPr>
                  <w:tcW w:w="978" w:type="dxa"/>
                  <w:shd w:val="clear" w:color="auto" w:fill="auto"/>
                  <w:vAlign w:val="center"/>
                </w:tcPr>
                <w:p w14:paraId="5F0016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未产生</w:t>
                  </w:r>
                </w:p>
              </w:tc>
              <w:tc>
                <w:tcPr>
                  <w:tcW w:w="1614" w:type="dxa"/>
                  <w:vMerge w:val="restart"/>
                  <w:shd w:val="clear" w:color="auto" w:fill="auto"/>
                  <w:vAlign w:val="center"/>
                </w:tcPr>
                <w:p w14:paraId="216CB9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r>
                    <w:rPr>
                      <w:rFonts w:hint="default" w:ascii="Times New Roman" w:hAnsi="Times New Roman" w:eastAsia="宋体" w:cs="Times New Roman"/>
                      <w:bCs/>
                      <w:color w:val="auto"/>
                      <w:sz w:val="21"/>
                      <w:szCs w:val="21"/>
                      <w:highlight w:val="none"/>
                    </w:rPr>
                    <w:t>淮安华昌固废处置有限公司</w:t>
                  </w:r>
                  <w:r>
                    <w:rPr>
                      <w:rFonts w:hint="default" w:ascii="Times New Roman" w:hAnsi="Times New Roman" w:eastAsia="宋体" w:cs="Times New Roman"/>
                      <w:color w:val="auto"/>
                      <w:sz w:val="21"/>
                      <w:szCs w:val="21"/>
                      <w:highlight w:val="none"/>
                    </w:rPr>
                    <w:t>）</w:t>
                  </w:r>
                </w:p>
              </w:tc>
            </w:tr>
            <w:tr w14:paraId="5265B11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479D58DE">
                  <w:pPr>
                    <w:jc w:val="center"/>
                    <w:rPr>
                      <w:rFonts w:hint="default" w:ascii="Times New Roman" w:hAnsi="Times New Roman" w:eastAsia="宋体" w:cs="Times New Roman"/>
                      <w:color w:val="auto"/>
                      <w:sz w:val="21"/>
                      <w:szCs w:val="21"/>
                      <w:highlight w:val="none"/>
                    </w:rPr>
                  </w:pPr>
                  <w:bookmarkStart w:id="37" w:name="RANGE!E35"/>
                  <w:r>
                    <w:rPr>
                      <w:rFonts w:hint="default" w:ascii="Times New Roman" w:hAnsi="Times New Roman" w:eastAsia="宋体" w:cs="Times New Roman"/>
                      <w:color w:val="auto"/>
                      <w:sz w:val="21"/>
                      <w:szCs w:val="21"/>
                      <w:highlight w:val="none"/>
                    </w:rPr>
                    <w:t>废布袋</w:t>
                  </w:r>
                  <w:bookmarkEnd w:id="37"/>
                </w:p>
              </w:tc>
              <w:tc>
                <w:tcPr>
                  <w:tcW w:w="705" w:type="dxa"/>
                  <w:shd w:val="clear" w:color="auto" w:fill="auto"/>
                  <w:vAlign w:val="center"/>
                </w:tcPr>
                <w:p w14:paraId="7A6717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危险废物HW49</w:t>
                  </w:r>
                </w:p>
              </w:tc>
              <w:tc>
                <w:tcPr>
                  <w:tcW w:w="1216" w:type="dxa"/>
                  <w:shd w:val="clear" w:color="auto" w:fill="auto"/>
                  <w:vAlign w:val="center"/>
                </w:tcPr>
                <w:p w14:paraId="600D28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74" w:type="dxa"/>
                  <w:shd w:val="clear" w:color="auto" w:fill="auto"/>
                  <w:vAlign w:val="center"/>
                </w:tcPr>
                <w:p w14:paraId="73DC5A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677627C3">
                  <w:pPr>
                    <w:jc w:val="center"/>
                    <w:rPr>
                      <w:rFonts w:hint="default" w:ascii="Times New Roman" w:hAnsi="Times New Roman" w:eastAsia="宋体" w:cs="Times New Roman"/>
                      <w:color w:val="auto"/>
                      <w:sz w:val="21"/>
                      <w:szCs w:val="21"/>
                      <w:highlight w:val="none"/>
                    </w:rPr>
                  </w:pPr>
                  <w:bookmarkStart w:id="38" w:name="RANGE!I35"/>
                  <w:r>
                    <w:rPr>
                      <w:rFonts w:hint="default" w:ascii="Times New Roman" w:hAnsi="Times New Roman" w:eastAsia="宋体" w:cs="Times New Roman"/>
                      <w:color w:val="auto"/>
                      <w:sz w:val="21"/>
                      <w:szCs w:val="21"/>
                      <w:highlight w:val="none"/>
                    </w:rPr>
                    <w:t>布袋除尘器</w:t>
                  </w:r>
                  <w:bookmarkEnd w:id="38"/>
                </w:p>
              </w:tc>
              <w:tc>
                <w:tcPr>
                  <w:tcW w:w="1155" w:type="dxa"/>
                  <w:shd w:val="clear" w:color="auto" w:fill="auto"/>
                  <w:vAlign w:val="center"/>
                </w:tcPr>
                <w:p w14:paraId="3AE05BA7">
                  <w:pPr>
                    <w:jc w:val="center"/>
                    <w:rPr>
                      <w:rFonts w:hint="default" w:ascii="Times New Roman" w:hAnsi="Times New Roman" w:eastAsia="宋体" w:cs="Times New Roman"/>
                      <w:color w:val="auto"/>
                      <w:sz w:val="21"/>
                      <w:szCs w:val="21"/>
                      <w:highlight w:val="none"/>
                    </w:rPr>
                  </w:pPr>
                  <w:bookmarkStart w:id="39" w:name="RANGE!J35"/>
                  <w:r>
                    <w:rPr>
                      <w:rFonts w:hint="default" w:ascii="Times New Roman" w:hAnsi="Times New Roman" w:eastAsia="宋体" w:cs="Times New Roman"/>
                      <w:color w:val="auto"/>
                      <w:sz w:val="21"/>
                      <w:szCs w:val="21"/>
                      <w:highlight w:val="none"/>
                    </w:rPr>
                    <w:t>颗粒物及重金属</w:t>
                  </w:r>
                  <w:bookmarkEnd w:id="39"/>
                </w:p>
              </w:tc>
              <w:tc>
                <w:tcPr>
                  <w:tcW w:w="978" w:type="dxa"/>
                  <w:shd w:val="clear" w:color="auto" w:fill="auto"/>
                  <w:vAlign w:val="center"/>
                </w:tcPr>
                <w:p w14:paraId="4C28DA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未更换</w:t>
                  </w:r>
                </w:p>
              </w:tc>
              <w:tc>
                <w:tcPr>
                  <w:tcW w:w="1614" w:type="dxa"/>
                  <w:vMerge w:val="continue"/>
                  <w:shd w:val="clear" w:color="auto" w:fill="auto"/>
                  <w:vAlign w:val="center"/>
                </w:tcPr>
                <w:p w14:paraId="5645E4C1">
                  <w:pPr>
                    <w:jc w:val="center"/>
                    <w:rPr>
                      <w:rFonts w:hint="default" w:ascii="Times New Roman" w:hAnsi="Times New Roman" w:eastAsia="宋体" w:cs="Times New Roman"/>
                      <w:color w:val="auto"/>
                      <w:sz w:val="21"/>
                      <w:szCs w:val="21"/>
                      <w:highlight w:val="none"/>
                    </w:rPr>
                  </w:pPr>
                </w:p>
              </w:tc>
            </w:tr>
            <w:tr w14:paraId="6DED2FB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22482F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705" w:type="dxa"/>
                  <w:shd w:val="clear" w:color="auto" w:fill="auto"/>
                  <w:vAlign w:val="center"/>
                </w:tcPr>
                <w:p w14:paraId="464D61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危险废物HW50</w:t>
                  </w:r>
                </w:p>
              </w:tc>
              <w:tc>
                <w:tcPr>
                  <w:tcW w:w="1216" w:type="dxa"/>
                  <w:shd w:val="clear" w:color="auto" w:fill="auto"/>
                  <w:vAlign w:val="center"/>
                </w:tcPr>
                <w:p w14:paraId="21A8AC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772-007-50</w:t>
                  </w:r>
                </w:p>
              </w:tc>
              <w:tc>
                <w:tcPr>
                  <w:tcW w:w="474" w:type="dxa"/>
                  <w:shd w:val="clear" w:color="auto" w:fill="auto"/>
                  <w:vAlign w:val="center"/>
                </w:tcPr>
                <w:p w14:paraId="5EDC1F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325" w:type="dxa"/>
                  <w:shd w:val="clear" w:color="auto" w:fill="auto"/>
                  <w:vAlign w:val="center"/>
                </w:tcPr>
                <w:p w14:paraId="3DC16D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烟气脱硝</w:t>
                  </w:r>
                </w:p>
              </w:tc>
              <w:tc>
                <w:tcPr>
                  <w:tcW w:w="1155" w:type="dxa"/>
                  <w:shd w:val="clear" w:color="auto" w:fill="auto"/>
                  <w:vAlign w:val="center"/>
                </w:tcPr>
                <w:p w14:paraId="40A540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钒钛等重金属</w:t>
                  </w:r>
                </w:p>
              </w:tc>
              <w:tc>
                <w:tcPr>
                  <w:tcW w:w="978" w:type="dxa"/>
                  <w:shd w:val="clear" w:color="auto" w:fill="auto"/>
                  <w:vAlign w:val="center"/>
                </w:tcPr>
                <w:p w14:paraId="1EB3D3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未更换</w:t>
                  </w:r>
                </w:p>
              </w:tc>
              <w:tc>
                <w:tcPr>
                  <w:tcW w:w="1614" w:type="dxa"/>
                  <w:vMerge w:val="continue"/>
                  <w:shd w:val="clear" w:color="auto" w:fill="auto"/>
                  <w:vAlign w:val="center"/>
                </w:tcPr>
                <w:p w14:paraId="73CBD667">
                  <w:pPr>
                    <w:jc w:val="center"/>
                    <w:rPr>
                      <w:rFonts w:hint="default" w:ascii="Times New Roman" w:hAnsi="Times New Roman" w:eastAsia="宋体" w:cs="Times New Roman"/>
                      <w:color w:val="auto"/>
                      <w:sz w:val="21"/>
                      <w:szCs w:val="21"/>
                      <w:highlight w:val="none"/>
                    </w:rPr>
                  </w:pPr>
                </w:p>
              </w:tc>
            </w:tr>
            <w:tr w14:paraId="225C792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4" w:type="dxa"/>
                  <w:shd w:val="clear" w:color="auto" w:fill="auto"/>
                  <w:vAlign w:val="center"/>
                </w:tcPr>
                <w:p w14:paraId="3F4C7AE3">
                  <w:pPr>
                    <w:jc w:val="center"/>
                    <w:rPr>
                      <w:rFonts w:hint="default" w:ascii="Times New Roman" w:hAnsi="Times New Roman" w:eastAsia="宋体" w:cs="Times New Roman"/>
                      <w:color w:val="auto"/>
                      <w:sz w:val="21"/>
                      <w:szCs w:val="21"/>
                      <w:highlight w:val="none"/>
                    </w:rPr>
                  </w:pPr>
                  <w:bookmarkStart w:id="40" w:name="RANGE!E40"/>
                  <w:r>
                    <w:rPr>
                      <w:rFonts w:hint="default" w:ascii="Times New Roman" w:hAnsi="Times New Roman" w:eastAsia="宋体" w:cs="Times New Roman"/>
                      <w:color w:val="auto"/>
                      <w:sz w:val="21"/>
                      <w:szCs w:val="21"/>
                      <w:highlight w:val="none"/>
                    </w:rPr>
                    <w:t>废液</w:t>
                  </w:r>
                  <w:bookmarkEnd w:id="40"/>
                </w:p>
              </w:tc>
              <w:tc>
                <w:tcPr>
                  <w:tcW w:w="705" w:type="dxa"/>
                  <w:shd w:val="clear" w:color="auto" w:fill="auto"/>
                  <w:vAlign w:val="center"/>
                </w:tcPr>
                <w:p w14:paraId="741336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危险废物HW49</w:t>
                  </w:r>
                </w:p>
              </w:tc>
              <w:tc>
                <w:tcPr>
                  <w:tcW w:w="1216" w:type="dxa"/>
                  <w:shd w:val="clear" w:color="auto" w:fill="auto"/>
                  <w:vAlign w:val="center"/>
                </w:tcPr>
                <w:p w14:paraId="202267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900-047-49</w:t>
                  </w:r>
                </w:p>
              </w:tc>
              <w:tc>
                <w:tcPr>
                  <w:tcW w:w="474" w:type="dxa"/>
                  <w:shd w:val="clear" w:color="auto" w:fill="auto"/>
                  <w:vAlign w:val="center"/>
                </w:tcPr>
                <w:p w14:paraId="62DBCF14">
                  <w:pPr>
                    <w:jc w:val="center"/>
                    <w:rPr>
                      <w:rFonts w:hint="default" w:ascii="Times New Roman" w:hAnsi="Times New Roman" w:eastAsia="宋体" w:cs="Times New Roman"/>
                      <w:color w:val="auto"/>
                      <w:sz w:val="21"/>
                      <w:szCs w:val="21"/>
                      <w:highlight w:val="none"/>
                    </w:rPr>
                  </w:pPr>
                  <w:bookmarkStart w:id="41" w:name="RANGE!H40"/>
                  <w:r>
                    <w:rPr>
                      <w:rFonts w:hint="default" w:ascii="Times New Roman" w:hAnsi="Times New Roman" w:eastAsia="宋体" w:cs="Times New Roman"/>
                      <w:color w:val="auto"/>
                      <w:sz w:val="21"/>
                      <w:szCs w:val="21"/>
                      <w:highlight w:val="none"/>
                    </w:rPr>
                    <w:t>液态</w:t>
                  </w:r>
                  <w:bookmarkEnd w:id="41"/>
                </w:p>
              </w:tc>
              <w:tc>
                <w:tcPr>
                  <w:tcW w:w="1325" w:type="dxa"/>
                  <w:shd w:val="clear" w:color="auto" w:fill="auto"/>
                  <w:vAlign w:val="center"/>
                </w:tcPr>
                <w:p w14:paraId="25A42D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实验室、在线监测</w:t>
                  </w:r>
                </w:p>
              </w:tc>
              <w:tc>
                <w:tcPr>
                  <w:tcW w:w="1155" w:type="dxa"/>
                  <w:shd w:val="clear" w:color="auto" w:fill="auto"/>
                  <w:vAlign w:val="center"/>
                </w:tcPr>
                <w:p w14:paraId="26819F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测试用化学品</w:t>
                  </w:r>
                </w:p>
              </w:tc>
              <w:tc>
                <w:tcPr>
                  <w:tcW w:w="978" w:type="dxa"/>
                  <w:shd w:val="clear" w:color="auto" w:fill="auto"/>
                  <w:vAlign w:val="center"/>
                </w:tcPr>
                <w:p w14:paraId="55C389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0.555</w:t>
                  </w:r>
                </w:p>
              </w:tc>
              <w:tc>
                <w:tcPr>
                  <w:tcW w:w="1614" w:type="dxa"/>
                  <w:vMerge w:val="continue"/>
                  <w:vAlign w:val="center"/>
                </w:tcPr>
                <w:p w14:paraId="4988DB93">
                  <w:pPr>
                    <w:jc w:val="center"/>
                    <w:rPr>
                      <w:rFonts w:hint="default" w:ascii="Times New Roman" w:hAnsi="Times New Roman" w:eastAsia="宋体" w:cs="Times New Roman"/>
                      <w:color w:val="auto"/>
                      <w:sz w:val="21"/>
                      <w:szCs w:val="21"/>
                      <w:highlight w:val="none"/>
                    </w:rPr>
                  </w:pPr>
                </w:p>
              </w:tc>
            </w:tr>
          </w:tbl>
          <w:p w14:paraId="1A8FD2C2">
            <w:pPr>
              <w:keepNext/>
              <w:keepLines/>
              <w:widowControl w:val="0"/>
              <w:adjustRightInd w:val="0"/>
              <w:snapToGrid w:val="0"/>
              <w:spacing w:before="120" w:beforeLines="50" w:after="120" w:afterLines="50" w:line="500" w:lineRule="exact"/>
              <w:jc w:val="both"/>
              <w:outlineLvl w:val="1"/>
              <w:rPr>
                <w:rFonts w:hint="default" w:ascii="Times New Roman" w:hAnsi="Times New Roman" w:eastAsia="宋体" w:cs="Times New Roman"/>
                <w:b/>
                <w:bCs/>
                <w:color w:val="auto"/>
                <w:sz w:val="24"/>
                <w:szCs w:val="24"/>
                <w:highlight w:val="none"/>
                <w:shd w:val="clear" w:color="auto" w:fill="FFFFFF" w:themeFill="background1"/>
              </w:rPr>
            </w:pPr>
            <w:bookmarkStart w:id="42" w:name="_Toc63237498"/>
            <w:bookmarkStart w:id="43" w:name="_Toc5996"/>
            <w:bookmarkStart w:id="44" w:name="_Toc18263"/>
            <w:bookmarkStart w:id="45" w:name="_Toc13282"/>
            <w:bookmarkStart w:id="46" w:name="_Toc129614879"/>
            <w:r>
              <w:rPr>
                <w:rFonts w:hint="default" w:ascii="Times New Roman" w:hAnsi="Times New Roman" w:eastAsia="宋体" w:cs="Times New Roman"/>
                <w:b/>
                <w:bCs/>
                <w:color w:val="auto"/>
                <w:sz w:val="24"/>
                <w:szCs w:val="24"/>
                <w:highlight w:val="none"/>
                <w:shd w:val="clear" w:color="auto" w:fill="FFFFFF" w:themeFill="background1"/>
              </w:rPr>
              <w:t>3.</w:t>
            </w:r>
            <w:bookmarkEnd w:id="42"/>
            <w:bookmarkEnd w:id="43"/>
            <w:r>
              <w:rPr>
                <w:rFonts w:hint="eastAsia" w:cs="Times New Roman"/>
                <w:b/>
                <w:bCs/>
                <w:color w:val="auto"/>
                <w:sz w:val="24"/>
                <w:szCs w:val="24"/>
                <w:highlight w:val="none"/>
                <w:shd w:val="clear" w:color="auto" w:fill="FFFFFF" w:themeFill="background1"/>
                <w:lang w:val="en-US" w:eastAsia="zh-CN"/>
              </w:rPr>
              <w:t>2</w:t>
            </w:r>
            <w:r>
              <w:rPr>
                <w:rFonts w:hint="default" w:ascii="Times New Roman" w:hAnsi="Times New Roman" w:eastAsia="宋体" w:cs="Times New Roman"/>
                <w:b/>
                <w:bCs/>
                <w:color w:val="auto"/>
                <w:sz w:val="24"/>
                <w:szCs w:val="24"/>
                <w:highlight w:val="none"/>
                <w:shd w:val="clear" w:color="auto" w:fill="FFFFFF" w:themeFill="background1"/>
              </w:rPr>
              <w:t xml:space="preserve"> 污染源达标排放情况</w:t>
            </w:r>
            <w:bookmarkEnd w:id="44"/>
            <w:bookmarkEnd w:id="45"/>
            <w:bookmarkEnd w:id="46"/>
          </w:p>
          <w:p w14:paraId="4643AC8B">
            <w:pPr>
              <w:keepNext/>
              <w:keepLines/>
              <w:widowControl w:val="0"/>
              <w:adjustRightInd w:val="0"/>
              <w:snapToGrid w:val="0"/>
              <w:spacing w:before="120" w:beforeLines="50" w:after="120" w:afterLines="50" w:line="500" w:lineRule="exact"/>
              <w:jc w:val="both"/>
              <w:outlineLvl w:val="1"/>
              <w:rPr>
                <w:rFonts w:hint="default" w:ascii="Times New Roman" w:hAnsi="Times New Roman" w:eastAsia="宋体" w:cs="Times New Roman"/>
                <w:b/>
                <w:bCs/>
                <w:color w:val="auto"/>
                <w:sz w:val="24"/>
                <w:szCs w:val="24"/>
                <w:highlight w:val="none"/>
                <w:shd w:val="clear" w:color="auto" w:fill="FFFFFF" w:themeFill="background1"/>
              </w:rPr>
            </w:pPr>
            <w:r>
              <w:rPr>
                <w:rFonts w:hint="eastAsia" w:cs="Times New Roman"/>
                <w:b/>
                <w:bCs/>
                <w:color w:val="auto"/>
                <w:sz w:val="24"/>
                <w:szCs w:val="24"/>
                <w:highlight w:val="none"/>
                <w:shd w:val="clear" w:color="auto" w:fill="FFFFFF" w:themeFill="background1"/>
                <w:lang w:eastAsia="zh-CN"/>
              </w:rPr>
              <w:t>（</w:t>
            </w:r>
            <w:r>
              <w:rPr>
                <w:rFonts w:hint="eastAsia" w:cs="Times New Roman"/>
                <w:b/>
                <w:bCs/>
                <w:color w:val="auto"/>
                <w:sz w:val="24"/>
                <w:szCs w:val="24"/>
                <w:highlight w:val="none"/>
                <w:shd w:val="clear" w:color="auto" w:fill="FFFFFF" w:themeFill="background1"/>
                <w:lang w:val="en-US" w:eastAsia="zh-CN"/>
              </w:rPr>
              <w:t>1</w:t>
            </w:r>
            <w:r>
              <w:rPr>
                <w:rFonts w:hint="eastAsia" w:cs="Times New Roman"/>
                <w:b/>
                <w:bCs/>
                <w:color w:val="auto"/>
                <w:sz w:val="24"/>
                <w:szCs w:val="24"/>
                <w:highlight w:val="none"/>
                <w:shd w:val="clear" w:color="auto" w:fill="FFFFFF" w:themeFill="background1"/>
                <w:lang w:eastAsia="zh-CN"/>
              </w:rPr>
              <w:t>）</w:t>
            </w:r>
            <w:r>
              <w:rPr>
                <w:rFonts w:hint="default" w:ascii="Times New Roman" w:hAnsi="Times New Roman" w:eastAsia="宋体" w:cs="Times New Roman"/>
                <w:b/>
                <w:bCs/>
                <w:color w:val="auto"/>
                <w:sz w:val="24"/>
                <w:szCs w:val="24"/>
                <w:highlight w:val="none"/>
                <w:shd w:val="clear" w:color="auto" w:fill="FFFFFF" w:themeFill="background1"/>
              </w:rPr>
              <w:t>现有项目废水排放监测结果</w:t>
            </w:r>
          </w:p>
          <w:p w14:paraId="2D3F24F1">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江苏蓝天环境检测有限公司出具的2024年现有项目废水处理设施总排口水质检测报告，根据检测结果，废水处理设施总排口各因子浓度满足薛行工业园区污水处理厂接管标准，同时满足《生活垃圾填埋场污染控制标准》（GB 16889-2024）表4间接排放的水污染物排放限值。</w:t>
            </w:r>
          </w:p>
          <w:p w14:paraId="6A790039">
            <w:pPr>
              <w:spacing w:line="500" w:lineRule="exact"/>
              <w:jc w:val="center"/>
              <w:rPr>
                <w:rFonts w:hint="default" w:ascii="Times New Roman" w:hAnsi="Times New Roman" w:eastAsia="宋体" w:cs="Times New Roman"/>
                <w:b/>
                <w:color w:val="auto"/>
                <w:sz w:val="24"/>
                <w:szCs w:val="24"/>
                <w:highlight w:val="none"/>
                <w:shd w:val="clear" w:color="auto" w:fill="FFFFFF" w:themeFill="background1"/>
              </w:rPr>
            </w:pPr>
            <w:r>
              <w:rPr>
                <w:rFonts w:hint="default" w:ascii="Times New Roman" w:hAnsi="Times New Roman" w:eastAsia="宋体" w:cs="Times New Roman"/>
                <w:b/>
                <w:color w:val="auto"/>
                <w:sz w:val="24"/>
                <w:szCs w:val="24"/>
                <w:highlight w:val="none"/>
                <w:shd w:val="clear" w:color="auto" w:fill="FFFFFF" w:themeFill="background1"/>
              </w:rPr>
              <w:t>表</w:t>
            </w:r>
            <w:r>
              <w:rPr>
                <w:rFonts w:hint="eastAsia" w:cs="Times New Roman"/>
                <w:b/>
                <w:color w:val="auto"/>
                <w:sz w:val="24"/>
                <w:szCs w:val="24"/>
                <w:highlight w:val="none"/>
                <w:shd w:val="clear" w:color="auto" w:fill="FFFFFF" w:themeFill="background1"/>
                <w:lang w:val="en-US" w:eastAsia="zh-CN"/>
              </w:rPr>
              <w:t>2-15</w:t>
            </w:r>
            <w:r>
              <w:rPr>
                <w:rFonts w:hint="default" w:ascii="Times New Roman" w:hAnsi="Times New Roman" w:eastAsia="宋体" w:cs="Times New Roman"/>
                <w:b/>
                <w:color w:val="auto"/>
                <w:sz w:val="24"/>
                <w:szCs w:val="24"/>
                <w:highlight w:val="none"/>
                <w:shd w:val="clear" w:color="auto" w:fill="FFFFFF" w:themeFill="background1"/>
              </w:rPr>
              <w:t xml:space="preserve"> 2024年废水总排口水质监测情况</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0"/>
              <w:gridCol w:w="850"/>
              <w:gridCol w:w="899"/>
              <w:gridCol w:w="899"/>
              <w:gridCol w:w="899"/>
              <w:gridCol w:w="956"/>
              <w:gridCol w:w="906"/>
              <w:gridCol w:w="1746"/>
              <w:gridCol w:w="617"/>
            </w:tblGrid>
            <w:tr w14:paraId="62C68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1117" w:type="pct"/>
                  <w:gridSpan w:val="2"/>
                  <w:vMerge w:val="restart"/>
                  <w:tcBorders>
                    <w:left w:val="nil"/>
                  </w:tcBorders>
                  <w:vAlign w:val="center"/>
                </w:tcPr>
                <w:p w14:paraId="3F0A8045">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监测项目</w:t>
                  </w:r>
                </w:p>
              </w:tc>
              <w:tc>
                <w:tcPr>
                  <w:tcW w:w="2414" w:type="pct"/>
                  <w:gridSpan w:val="4"/>
                  <w:vAlign w:val="center"/>
                </w:tcPr>
                <w:p w14:paraId="10E7B0AF">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废水总排口</w:t>
                  </w:r>
                </w:p>
              </w:tc>
              <w:tc>
                <w:tcPr>
                  <w:tcW w:w="599" w:type="pct"/>
                  <w:vMerge w:val="restart"/>
                  <w:vAlign w:val="center"/>
                </w:tcPr>
                <w:p w14:paraId="2371E658">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color w:val="auto"/>
                      <w:sz w:val="21"/>
                      <w:szCs w:val="18"/>
                      <w:highlight w:val="none"/>
                      <w:shd w:val="clear" w:color="auto" w:fill="FFFFFF" w:themeFill="background1"/>
                    </w:rPr>
                    <w:t>薛行污水处理厂接管标准</w:t>
                  </w:r>
                  <w:r>
                    <w:rPr>
                      <w:rFonts w:hint="default" w:ascii="Times New Roman" w:hAnsi="Times New Roman" w:eastAsia="宋体" w:cs="Times New Roman"/>
                      <w:b/>
                      <w:bCs/>
                      <w:color w:val="auto"/>
                      <w:sz w:val="21"/>
                      <w:szCs w:val="21"/>
                      <w:highlight w:val="none"/>
                      <w:shd w:val="clear" w:color="auto" w:fill="FFFFFF" w:themeFill="background1"/>
                    </w:rPr>
                    <w:t>）</w:t>
                  </w:r>
                </w:p>
              </w:tc>
              <w:tc>
                <w:tcPr>
                  <w:tcW w:w="437" w:type="pct"/>
                  <w:vMerge w:val="restart"/>
                  <w:vAlign w:val="center"/>
                </w:tcPr>
                <w:p w14:paraId="639E7D5B">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GB16889-2024）表4</w:t>
                  </w:r>
                </w:p>
              </w:tc>
              <w:tc>
                <w:tcPr>
                  <w:tcW w:w="431" w:type="pct"/>
                  <w:vMerge w:val="restart"/>
                  <w:tcBorders>
                    <w:right w:val="nil"/>
                  </w:tcBorders>
                  <w:vAlign w:val="center"/>
                </w:tcPr>
                <w:p w14:paraId="523BFF86">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达标情况</w:t>
                  </w:r>
                </w:p>
              </w:tc>
            </w:tr>
            <w:tr w14:paraId="3F01F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1117" w:type="pct"/>
                  <w:gridSpan w:val="2"/>
                  <w:vMerge w:val="continue"/>
                  <w:tcBorders>
                    <w:left w:val="nil"/>
                  </w:tcBorders>
                  <w:vAlign w:val="center"/>
                </w:tcPr>
                <w:p w14:paraId="76425310">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p>
              </w:tc>
              <w:tc>
                <w:tcPr>
                  <w:tcW w:w="593" w:type="pct"/>
                  <w:vAlign w:val="center"/>
                </w:tcPr>
                <w:p w14:paraId="69798E70">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一季度</w:t>
                  </w:r>
                </w:p>
              </w:tc>
              <w:tc>
                <w:tcPr>
                  <w:tcW w:w="597" w:type="pct"/>
                  <w:vAlign w:val="center"/>
                </w:tcPr>
                <w:p w14:paraId="775A41D1">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二季度</w:t>
                  </w:r>
                </w:p>
              </w:tc>
              <w:tc>
                <w:tcPr>
                  <w:tcW w:w="580" w:type="pct"/>
                  <w:vAlign w:val="center"/>
                </w:tcPr>
                <w:p w14:paraId="5C9BD4AD">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三季度</w:t>
                  </w:r>
                </w:p>
              </w:tc>
              <w:tc>
                <w:tcPr>
                  <w:tcW w:w="642" w:type="pct"/>
                  <w:vAlign w:val="center"/>
                </w:tcPr>
                <w:p w14:paraId="613AE476">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r>
                    <w:rPr>
                      <w:rFonts w:hint="default" w:ascii="Times New Roman" w:hAnsi="Times New Roman" w:eastAsia="宋体" w:cs="Times New Roman"/>
                      <w:b/>
                      <w:bCs/>
                      <w:color w:val="auto"/>
                      <w:sz w:val="21"/>
                      <w:szCs w:val="21"/>
                      <w:highlight w:val="none"/>
                      <w:shd w:val="clear" w:color="auto" w:fill="FFFFFF" w:themeFill="background1"/>
                    </w:rPr>
                    <w:t>四季度</w:t>
                  </w:r>
                </w:p>
              </w:tc>
              <w:tc>
                <w:tcPr>
                  <w:tcW w:w="599" w:type="pct"/>
                  <w:vMerge w:val="continue"/>
                  <w:vAlign w:val="center"/>
                </w:tcPr>
                <w:p w14:paraId="2B5B671F">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p>
              </w:tc>
              <w:tc>
                <w:tcPr>
                  <w:tcW w:w="437" w:type="pct"/>
                  <w:vMerge w:val="continue"/>
                  <w:vAlign w:val="center"/>
                </w:tcPr>
                <w:p w14:paraId="6C8FEB72">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p>
              </w:tc>
              <w:tc>
                <w:tcPr>
                  <w:tcW w:w="431" w:type="pct"/>
                  <w:vMerge w:val="continue"/>
                  <w:tcBorders>
                    <w:right w:val="nil"/>
                  </w:tcBorders>
                  <w:vAlign w:val="center"/>
                </w:tcPr>
                <w:p w14:paraId="684876CA">
                  <w:pPr>
                    <w:adjustRightInd w:val="0"/>
                    <w:snapToGrid w:val="0"/>
                    <w:jc w:val="center"/>
                    <w:rPr>
                      <w:rFonts w:hint="default" w:ascii="Times New Roman" w:hAnsi="Times New Roman" w:eastAsia="宋体" w:cs="Times New Roman"/>
                      <w:b/>
                      <w:bCs/>
                      <w:color w:val="auto"/>
                      <w:sz w:val="21"/>
                      <w:szCs w:val="21"/>
                      <w:highlight w:val="none"/>
                      <w:shd w:val="clear" w:color="auto" w:fill="FFFFFF" w:themeFill="background1"/>
                    </w:rPr>
                  </w:pPr>
                </w:p>
              </w:tc>
            </w:tr>
            <w:tr w14:paraId="7A46F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4AACC1C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pH值</w:t>
                  </w:r>
                </w:p>
              </w:tc>
              <w:tc>
                <w:tcPr>
                  <w:tcW w:w="566" w:type="pct"/>
                  <w:vAlign w:val="center"/>
                </w:tcPr>
                <w:p w14:paraId="6092089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无量纲</w:t>
                  </w:r>
                </w:p>
              </w:tc>
              <w:tc>
                <w:tcPr>
                  <w:tcW w:w="593" w:type="pct"/>
                  <w:vAlign w:val="center"/>
                </w:tcPr>
                <w:p w14:paraId="5D5F7B6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97" w:type="pct"/>
                  <w:vAlign w:val="center"/>
                </w:tcPr>
                <w:p w14:paraId="330D879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80" w:type="pct"/>
                  <w:vAlign w:val="center"/>
                </w:tcPr>
                <w:p w14:paraId="2916902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7.9</w:t>
                  </w:r>
                </w:p>
              </w:tc>
              <w:tc>
                <w:tcPr>
                  <w:tcW w:w="642" w:type="pct"/>
                  <w:vAlign w:val="center"/>
                </w:tcPr>
                <w:p w14:paraId="61A5172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7.4</w:t>
                  </w:r>
                </w:p>
              </w:tc>
              <w:tc>
                <w:tcPr>
                  <w:tcW w:w="599" w:type="pct"/>
                  <w:vAlign w:val="center"/>
                </w:tcPr>
                <w:p w14:paraId="157573E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6-9</w:t>
                  </w:r>
                </w:p>
              </w:tc>
              <w:tc>
                <w:tcPr>
                  <w:tcW w:w="437" w:type="pct"/>
                  <w:vAlign w:val="center"/>
                </w:tcPr>
                <w:p w14:paraId="55ED3F9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431" w:type="pct"/>
                  <w:tcBorders>
                    <w:right w:val="nil"/>
                  </w:tcBorders>
                  <w:vAlign w:val="center"/>
                </w:tcPr>
                <w:p w14:paraId="09AE2ED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692B4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1099FC7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COD</w:t>
                  </w:r>
                </w:p>
              </w:tc>
              <w:tc>
                <w:tcPr>
                  <w:tcW w:w="566" w:type="pct"/>
                  <w:vAlign w:val="center"/>
                </w:tcPr>
                <w:p w14:paraId="7E7785F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4A5C71E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88</w:t>
                  </w:r>
                </w:p>
              </w:tc>
              <w:tc>
                <w:tcPr>
                  <w:tcW w:w="597" w:type="pct"/>
                  <w:vAlign w:val="center"/>
                </w:tcPr>
                <w:p w14:paraId="5789DAD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84</w:t>
                  </w:r>
                </w:p>
              </w:tc>
              <w:tc>
                <w:tcPr>
                  <w:tcW w:w="580" w:type="pct"/>
                  <w:vAlign w:val="center"/>
                </w:tcPr>
                <w:p w14:paraId="5E9C7D7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86.7</w:t>
                  </w:r>
                </w:p>
              </w:tc>
              <w:tc>
                <w:tcPr>
                  <w:tcW w:w="642" w:type="pct"/>
                  <w:vAlign w:val="center"/>
                </w:tcPr>
                <w:p w14:paraId="3485E32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87</w:t>
                  </w:r>
                </w:p>
              </w:tc>
              <w:tc>
                <w:tcPr>
                  <w:tcW w:w="599" w:type="pct"/>
                  <w:vAlign w:val="center"/>
                </w:tcPr>
                <w:p w14:paraId="0F68D78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200</w:t>
                  </w:r>
                </w:p>
              </w:tc>
              <w:tc>
                <w:tcPr>
                  <w:tcW w:w="437" w:type="pct"/>
                  <w:vAlign w:val="center"/>
                </w:tcPr>
                <w:p w14:paraId="4420B63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500</w:t>
                  </w:r>
                </w:p>
              </w:tc>
              <w:tc>
                <w:tcPr>
                  <w:tcW w:w="431" w:type="pct"/>
                  <w:tcBorders>
                    <w:right w:val="nil"/>
                  </w:tcBorders>
                  <w:vAlign w:val="center"/>
                </w:tcPr>
                <w:p w14:paraId="35FA94C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15814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3B64F1B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BOD</w:t>
                  </w:r>
                  <w:r>
                    <w:rPr>
                      <w:rFonts w:hint="default" w:ascii="Times New Roman" w:hAnsi="Times New Roman" w:eastAsia="宋体" w:cs="Times New Roman"/>
                      <w:color w:val="auto"/>
                      <w:sz w:val="21"/>
                      <w:szCs w:val="21"/>
                      <w:highlight w:val="none"/>
                      <w:shd w:val="clear" w:color="auto" w:fill="FFFFFF" w:themeFill="background1"/>
                      <w:vertAlign w:val="subscript"/>
                    </w:rPr>
                    <w:t>5</w:t>
                  </w:r>
                </w:p>
              </w:tc>
              <w:tc>
                <w:tcPr>
                  <w:tcW w:w="566" w:type="pct"/>
                  <w:vAlign w:val="center"/>
                </w:tcPr>
                <w:p w14:paraId="2A9A14F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7422D12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21.6</w:t>
                  </w:r>
                </w:p>
              </w:tc>
              <w:tc>
                <w:tcPr>
                  <w:tcW w:w="597" w:type="pct"/>
                  <w:vAlign w:val="center"/>
                </w:tcPr>
                <w:p w14:paraId="76BF5A7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20.7</w:t>
                  </w:r>
                </w:p>
              </w:tc>
              <w:tc>
                <w:tcPr>
                  <w:tcW w:w="580" w:type="pct"/>
                  <w:vAlign w:val="center"/>
                </w:tcPr>
                <w:p w14:paraId="25FEDDE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21.4</w:t>
                  </w:r>
                </w:p>
              </w:tc>
              <w:tc>
                <w:tcPr>
                  <w:tcW w:w="642" w:type="pct"/>
                  <w:vAlign w:val="center"/>
                </w:tcPr>
                <w:p w14:paraId="3D93A9D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22.8</w:t>
                  </w:r>
                </w:p>
              </w:tc>
              <w:tc>
                <w:tcPr>
                  <w:tcW w:w="599" w:type="pct"/>
                  <w:vAlign w:val="center"/>
                </w:tcPr>
                <w:p w14:paraId="64E70BB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50</w:t>
                  </w:r>
                </w:p>
              </w:tc>
              <w:tc>
                <w:tcPr>
                  <w:tcW w:w="437" w:type="pct"/>
                  <w:vAlign w:val="center"/>
                </w:tcPr>
                <w:p w14:paraId="0EB98CA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350</w:t>
                  </w:r>
                </w:p>
              </w:tc>
              <w:tc>
                <w:tcPr>
                  <w:tcW w:w="431" w:type="pct"/>
                  <w:tcBorders>
                    <w:right w:val="nil"/>
                  </w:tcBorders>
                  <w:vAlign w:val="center"/>
                </w:tcPr>
                <w:p w14:paraId="7F55B15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4BA81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1C53E75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悬浮物</w:t>
                  </w:r>
                </w:p>
              </w:tc>
              <w:tc>
                <w:tcPr>
                  <w:tcW w:w="566" w:type="pct"/>
                  <w:vAlign w:val="center"/>
                </w:tcPr>
                <w:p w14:paraId="59DDABC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281492B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28</w:t>
                  </w:r>
                </w:p>
              </w:tc>
              <w:tc>
                <w:tcPr>
                  <w:tcW w:w="597" w:type="pct"/>
                  <w:vAlign w:val="center"/>
                </w:tcPr>
                <w:p w14:paraId="384E508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w:t>
                  </w:r>
                </w:p>
              </w:tc>
              <w:tc>
                <w:tcPr>
                  <w:tcW w:w="580" w:type="pct"/>
                  <w:vAlign w:val="center"/>
                </w:tcPr>
                <w:p w14:paraId="2F73114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21.7</w:t>
                  </w:r>
                </w:p>
              </w:tc>
              <w:tc>
                <w:tcPr>
                  <w:tcW w:w="642" w:type="pct"/>
                  <w:vAlign w:val="center"/>
                </w:tcPr>
                <w:p w14:paraId="6C6B5F6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24.3</w:t>
                  </w:r>
                </w:p>
              </w:tc>
              <w:tc>
                <w:tcPr>
                  <w:tcW w:w="599" w:type="pct"/>
                  <w:vAlign w:val="center"/>
                </w:tcPr>
                <w:p w14:paraId="6E39027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100</w:t>
                  </w:r>
                </w:p>
              </w:tc>
              <w:tc>
                <w:tcPr>
                  <w:tcW w:w="437" w:type="pct"/>
                  <w:vAlign w:val="center"/>
                </w:tcPr>
                <w:p w14:paraId="1C203A5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400</w:t>
                  </w:r>
                </w:p>
              </w:tc>
              <w:tc>
                <w:tcPr>
                  <w:tcW w:w="431" w:type="pct"/>
                  <w:tcBorders>
                    <w:right w:val="nil"/>
                  </w:tcBorders>
                  <w:vAlign w:val="center"/>
                </w:tcPr>
                <w:p w14:paraId="1B69F9F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6A187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0AFE445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氨氮</w:t>
                  </w:r>
                </w:p>
              </w:tc>
              <w:tc>
                <w:tcPr>
                  <w:tcW w:w="566" w:type="pct"/>
                  <w:vAlign w:val="center"/>
                </w:tcPr>
                <w:p w14:paraId="578FAE5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3E20346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97" w:type="pct"/>
                  <w:vAlign w:val="center"/>
                </w:tcPr>
                <w:p w14:paraId="7487CD8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80" w:type="pct"/>
                  <w:vAlign w:val="center"/>
                </w:tcPr>
                <w:p w14:paraId="18E49A0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0.285</w:t>
                  </w:r>
                </w:p>
              </w:tc>
              <w:tc>
                <w:tcPr>
                  <w:tcW w:w="642" w:type="pct"/>
                  <w:vAlign w:val="center"/>
                </w:tcPr>
                <w:p w14:paraId="14F593E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0.10</w:t>
                  </w:r>
                </w:p>
              </w:tc>
              <w:tc>
                <w:tcPr>
                  <w:tcW w:w="599" w:type="pct"/>
                  <w:vAlign w:val="center"/>
                </w:tcPr>
                <w:p w14:paraId="2C37AF7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15</w:t>
                  </w:r>
                </w:p>
              </w:tc>
              <w:tc>
                <w:tcPr>
                  <w:tcW w:w="437" w:type="pct"/>
                  <w:vAlign w:val="center"/>
                </w:tcPr>
                <w:p w14:paraId="6F53BBC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45</w:t>
                  </w:r>
                </w:p>
              </w:tc>
              <w:tc>
                <w:tcPr>
                  <w:tcW w:w="431" w:type="pct"/>
                  <w:tcBorders>
                    <w:right w:val="nil"/>
                  </w:tcBorders>
                  <w:vAlign w:val="center"/>
                </w:tcPr>
                <w:p w14:paraId="7A56AC2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3CC8E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47641F0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总磷</w:t>
                  </w:r>
                </w:p>
              </w:tc>
              <w:tc>
                <w:tcPr>
                  <w:tcW w:w="566" w:type="pct"/>
                  <w:vAlign w:val="center"/>
                </w:tcPr>
                <w:p w14:paraId="6708704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49C8D20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0.56</w:t>
                  </w:r>
                </w:p>
              </w:tc>
              <w:tc>
                <w:tcPr>
                  <w:tcW w:w="597" w:type="pct"/>
                  <w:vAlign w:val="center"/>
                </w:tcPr>
                <w:p w14:paraId="382E15C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0.20</w:t>
                  </w:r>
                </w:p>
              </w:tc>
              <w:tc>
                <w:tcPr>
                  <w:tcW w:w="580" w:type="pct"/>
                  <w:vAlign w:val="center"/>
                </w:tcPr>
                <w:p w14:paraId="5B067F2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2.30</w:t>
                  </w:r>
                </w:p>
              </w:tc>
              <w:tc>
                <w:tcPr>
                  <w:tcW w:w="642" w:type="pct"/>
                  <w:vAlign w:val="center"/>
                </w:tcPr>
                <w:p w14:paraId="234A0CA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0.77</w:t>
                  </w:r>
                </w:p>
              </w:tc>
              <w:tc>
                <w:tcPr>
                  <w:tcW w:w="599" w:type="pct"/>
                  <w:vAlign w:val="center"/>
                </w:tcPr>
                <w:p w14:paraId="6AD3858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w:t>
                  </w:r>
                </w:p>
              </w:tc>
              <w:tc>
                <w:tcPr>
                  <w:tcW w:w="437" w:type="pct"/>
                  <w:vAlign w:val="center"/>
                </w:tcPr>
                <w:p w14:paraId="4FB694B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w:t>
                  </w:r>
                </w:p>
              </w:tc>
              <w:tc>
                <w:tcPr>
                  <w:tcW w:w="431" w:type="pct"/>
                  <w:tcBorders>
                    <w:right w:val="nil"/>
                  </w:tcBorders>
                  <w:vAlign w:val="center"/>
                </w:tcPr>
                <w:p w14:paraId="2A73EFF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774D7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02EB97B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总氮</w:t>
                  </w:r>
                </w:p>
              </w:tc>
              <w:tc>
                <w:tcPr>
                  <w:tcW w:w="566" w:type="pct"/>
                  <w:vAlign w:val="center"/>
                </w:tcPr>
                <w:p w14:paraId="232937D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7F4F97C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25</w:t>
                  </w:r>
                </w:p>
              </w:tc>
              <w:tc>
                <w:tcPr>
                  <w:tcW w:w="597" w:type="pct"/>
                  <w:vAlign w:val="center"/>
                </w:tcPr>
                <w:p w14:paraId="2B7DD2D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32.3</w:t>
                  </w:r>
                </w:p>
              </w:tc>
              <w:tc>
                <w:tcPr>
                  <w:tcW w:w="580" w:type="pct"/>
                  <w:vAlign w:val="center"/>
                </w:tcPr>
                <w:p w14:paraId="150EEC4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2.63</w:t>
                  </w:r>
                </w:p>
              </w:tc>
              <w:tc>
                <w:tcPr>
                  <w:tcW w:w="642" w:type="pct"/>
                  <w:vAlign w:val="center"/>
                </w:tcPr>
                <w:p w14:paraId="788A6B8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20.4</w:t>
                  </w:r>
                </w:p>
              </w:tc>
              <w:tc>
                <w:tcPr>
                  <w:tcW w:w="599" w:type="pct"/>
                  <w:vAlign w:val="center"/>
                </w:tcPr>
                <w:p w14:paraId="714B114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40</w:t>
                  </w:r>
                </w:p>
              </w:tc>
              <w:tc>
                <w:tcPr>
                  <w:tcW w:w="437" w:type="pct"/>
                  <w:vAlign w:val="center"/>
                </w:tcPr>
                <w:p w14:paraId="67E37DE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70</w:t>
                  </w:r>
                </w:p>
              </w:tc>
              <w:tc>
                <w:tcPr>
                  <w:tcW w:w="431" w:type="pct"/>
                  <w:tcBorders>
                    <w:right w:val="nil"/>
                  </w:tcBorders>
                  <w:vAlign w:val="center"/>
                </w:tcPr>
                <w:p w14:paraId="1D62EDE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5A86E3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7159067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总铬</w:t>
                  </w:r>
                </w:p>
              </w:tc>
              <w:tc>
                <w:tcPr>
                  <w:tcW w:w="566" w:type="pct"/>
                  <w:vAlign w:val="center"/>
                </w:tcPr>
                <w:p w14:paraId="7F5987C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28BBA07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97" w:type="pct"/>
                  <w:vAlign w:val="center"/>
                </w:tcPr>
                <w:p w14:paraId="4107926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80" w:type="pct"/>
                  <w:vAlign w:val="center"/>
                </w:tcPr>
                <w:p w14:paraId="5A875FF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642" w:type="pct"/>
                  <w:vAlign w:val="center"/>
                </w:tcPr>
                <w:p w14:paraId="1679609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99" w:type="pct"/>
                  <w:vAlign w:val="center"/>
                </w:tcPr>
                <w:p w14:paraId="497A92B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w:t>
                  </w:r>
                </w:p>
              </w:tc>
              <w:tc>
                <w:tcPr>
                  <w:tcW w:w="437" w:type="pct"/>
                  <w:vAlign w:val="center"/>
                </w:tcPr>
                <w:p w14:paraId="7E5B298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w:t>
                  </w:r>
                </w:p>
              </w:tc>
              <w:tc>
                <w:tcPr>
                  <w:tcW w:w="431" w:type="pct"/>
                  <w:tcBorders>
                    <w:right w:val="nil"/>
                  </w:tcBorders>
                  <w:vAlign w:val="center"/>
                </w:tcPr>
                <w:p w14:paraId="0A542E7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66034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03E1942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六价铬</w:t>
                  </w:r>
                </w:p>
              </w:tc>
              <w:tc>
                <w:tcPr>
                  <w:tcW w:w="566" w:type="pct"/>
                  <w:vAlign w:val="center"/>
                </w:tcPr>
                <w:p w14:paraId="7FFE168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51B2276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97" w:type="pct"/>
                  <w:vAlign w:val="center"/>
                </w:tcPr>
                <w:p w14:paraId="3A9DB03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80" w:type="pct"/>
                  <w:vAlign w:val="center"/>
                </w:tcPr>
                <w:p w14:paraId="4E7F2BF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642" w:type="pct"/>
                  <w:vAlign w:val="center"/>
                </w:tcPr>
                <w:p w14:paraId="7FC67CB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599" w:type="pct"/>
                  <w:vAlign w:val="center"/>
                </w:tcPr>
                <w:p w14:paraId="7CAB7E7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w:t>
                  </w:r>
                </w:p>
              </w:tc>
              <w:tc>
                <w:tcPr>
                  <w:tcW w:w="437" w:type="pct"/>
                  <w:vAlign w:val="center"/>
                </w:tcPr>
                <w:p w14:paraId="5A1EF94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0.05</w:t>
                  </w:r>
                </w:p>
              </w:tc>
              <w:tc>
                <w:tcPr>
                  <w:tcW w:w="431" w:type="pct"/>
                  <w:tcBorders>
                    <w:right w:val="nil"/>
                  </w:tcBorders>
                  <w:vAlign w:val="center"/>
                </w:tcPr>
                <w:p w14:paraId="714E5AE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41CD4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27E77006">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镉</w:t>
                  </w:r>
                </w:p>
              </w:tc>
              <w:tc>
                <w:tcPr>
                  <w:tcW w:w="566" w:type="pct"/>
                  <w:vAlign w:val="center"/>
                </w:tcPr>
                <w:p w14:paraId="74C162C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39F6786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0.0004</w:t>
                  </w:r>
                </w:p>
              </w:tc>
              <w:tc>
                <w:tcPr>
                  <w:tcW w:w="597" w:type="pct"/>
                  <w:vAlign w:val="center"/>
                </w:tcPr>
                <w:p w14:paraId="3F74FB3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0.0005</w:t>
                  </w:r>
                </w:p>
              </w:tc>
              <w:tc>
                <w:tcPr>
                  <w:tcW w:w="580" w:type="pct"/>
                  <w:vAlign w:val="center"/>
                </w:tcPr>
                <w:p w14:paraId="05D6BFA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0.00087</w:t>
                  </w:r>
                </w:p>
              </w:tc>
              <w:tc>
                <w:tcPr>
                  <w:tcW w:w="642" w:type="pct"/>
                  <w:vAlign w:val="center"/>
                </w:tcPr>
                <w:p w14:paraId="1A84475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0.0016</w:t>
                  </w:r>
                </w:p>
              </w:tc>
              <w:tc>
                <w:tcPr>
                  <w:tcW w:w="599" w:type="pct"/>
                  <w:vAlign w:val="center"/>
                </w:tcPr>
                <w:p w14:paraId="5FB2636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w:t>
                  </w:r>
                </w:p>
              </w:tc>
              <w:tc>
                <w:tcPr>
                  <w:tcW w:w="437" w:type="pct"/>
                  <w:vAlign w:val="center"/>
                </w:tcPr>
                <w:p w14:paraId="599C04C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0.01</w:t>
                  </w:r>
                </w:p>
              </w:tc>
              <w:tc>
                <w:tcPr>
                  <w:tcW w:w="431" w:type="pct"/>
                  <w:tcBorders>
                    <w:right w:val="nil"/>
                  </w:tcBorders>
                  <w:vAlign w:val="center"/>
                </w:tcPr>
                <w:p w14:paraId="516F9C5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70D51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7C234BE4">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汞</w:t>
                  </w:r>
                </w:p>
              </w:tc>
              <w:tc>
                <w:tcPr>
                  <w:tcW w:w="566" w:type="pct"/>
                  <w:vAlign w:val="center"/>
                </w:tcPr>
                <w:p w14:paraId="7123579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73E4667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0.00026</w:t>
                  </w:r>
                </w:p>
              </w:tc>
              <w:tc>
                <w:tcPr>
                  <w:tcW w:w="597" w:type="pct"/>
                  <w:vAlign w:val="center"/>
                </w:tcPr>
                <w:p w14:paraId="1C3BD40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0.00027</w:t>
                  </w:r>
                </w:p>
              </w:tc>
              <w:tc>
                <w:tcPr>
                  <w:tcW w:w="580" w:type="pct"/>
                  <w:vAlign w:val="center"/>
                </w:tcPr>
                <w:p w14:paraId="3E40C5B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0.00017</w:t>
                  </w:r>
                </w:p>
              </w:tc>
              <w:tc>
                <w:tcPr>
                  <w:tcW w:w="642" w:type="pct"/>
                  <w:vAlign w:val="center"/>
                </w:tcPr>
                <w:p w14:paraId="55EDBC6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0.00018</w:t>
                  </w:r>
                </w:p>
              </w:tc>
              <w:tc>
                <w:tcPr>
                  <w:tcW w:w="599" w:type="pct"/>
                  <w:vAlign w:val="center"/>
                </w:tcPr>
                <w:p w14:paraId="1C6244E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0.01</w:t>
                  </w:r>
                </w:p>
              </w:tc>
              <w:tc>
                <w:tcPr>
                  <w:tcW w:w="437" w:type="pct"/>
                  <w:vAlign w:val="center"/>
                </w:tcPr>
                <w:p w14:paraId="00F9A78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431" w:type="pct"/>
                  <w:tcBorders>
                    <w:right w:val="nil"/>
                  </w:tcBorders>
                  <w:vAlign w:val="center"/>
                </w:tcPr>
                <w:p w14:paraId="049C076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1B183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3900BC01">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砷</w:t>
                  </w:r>
                </w:p>
              </w:tc>
              <w:tc>
                <w:tcPr>
                  <w:tcW w:w="566" w:type="pct"/>
                  <w:vAlign w:val="center"/>
                </w:tcPr>
                <w:p w14:paraId="6C39460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6C41832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597" w:type="pct"/>
                  <w:vAlign w:val="center"/>
                </w:tcPr>
                <w:p w14:paraId="2851DAA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0.003</w:t>
                  </w:r>
                </w:p>
              </w:tc>
              <w:tc>
                <w:tcPr>
                  <w:tcW w:w="580" w:type="pct"/>
                  <w:vAlign w:val="center"/>
                </w:tcPr>
                <w:p w14:paraId="673EA81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0.0027</w:t>
                  </w:r>
                </w:p>
              </w:tc>
              <w:tc>
                <w:tcPr>
                  <w:tcW w:w="642" w:type="pct"/>
                  <w:vAlign w:val="center"/>
                </w:tcPr>
                <w:p w14:paraId="69C254C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0.0031</w:t>
                  </w:r>
                </w:p>
              </w:tc>
              <w:tc>
                <w:tcPr>
                  <w:tcW w:w="599" w:type="pct"/>
                  <w:vAlign w:val="center"/>
                </w:tcPr>
                <w:p w14:paraId="5F3AACB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0.3</w:t>
                  </w:r>
                </w:p>
              </w:tc>
              <w:tc>
                <w:tcPr>
                  <w:tcW w:w="437" w:type="pct"/>
                  <w:vAlign w:val="center"/>
                </w:tcPr>
                <w:p w14:paraId="69007CD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w:t>
                  </w:r>
                </w:p>
              </w:tc>
              <w:tc>
                <w:tcPr>
                  <w:tcW w:w="431" w:type="pct"/>
                  <w:tcBorders>
                    <w:right w:val="nil"/>
                  </w:tcBorders>
                  <w:vAlign w:val="center"/>
                </w:tcPr>
                <w:p w14:paraId="52C2ED5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15DA3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0B40AB3E">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铅</w:t>
                  </w:r>
                </w:p>
              </w:tc>
              <w:tc>
                <w:tcPr>
                  <w:tcW w:w="566" w:type="pct"/>
                  <w:vAlign w:val="center"/>
                </w:tcPr>
                <w:p w14:paraId="4AF6129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5D33CCA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0.002</w:t>
                  </w:r>
                </w:p>
              </w:tc>
              <w:tc>
                <w:tcPr>
                  <w:tcW w:w="597" w:type="pct"/>
                  <w:vAlign w:val="center"/>
                </w:tcPr>
                <w:p w14:paraId="273ED31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0.0043</w:t>
                  </w:r>
                </w:p>
              </w:tc>
              <w:tc>
                <w:tcPr>
                  <w:tcW w:w="580" w:type="pct"/>
                  <w:vAlign w:val="center"/>
                </w:tcPr>
                <w:p w14:paraId="3034406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642" w:type="pct"/>
                  <w:vAlign w:val="center"/>
                </w:tcPr>
                <w:p w14:paraId="5F980B6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599" w:type="pct"/>
                  <w:vAlign w:val="center"/>
                </w:tcPr>
                <w:p w14:paraId="66FA7A0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w:t>
                  </w:r>
                </w:p>
              </w:tc>
              <w:tc>
                <w:tcPr>
                  <w:tcW w:w="437" w:type="pct"/>
                  <w:vAlign w:val="center"/>
                </w:tcPr>
                <w:p w14:paraId="322787C7">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w:t>
                  </w:r>
                </w:p>
              </w:tc>
              <w:tc>
                <w:tcPr>
                  <w:tcW w:w="431" w:type="pct"/>
                  <w:tcBorders>
                    <w:right w:val="nil"/>
                  </w:tcBorders>
                  <w:vAlign w:val="center"/>
                </w:tcPr>
                <w:p w14:paraId="3190AA1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4C22A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702A7797">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全盐量</w:t>
                  </w:r>
                </w:p>
              </w:tc>
              <w:tc>
                <w:tcPr>
                  <w:tcW w:w="566" w:type="pct"/>
                  <w:vAlign w:val="center"/>
                </w:tcPr>
                <w:p w14:paraId="283ADBF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75161D6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97" w:type="pct"/>
                  <w:vAlign w:val="center"/>
                </w:tcPr>
                <w:p w14:paraId="6C72BD8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80" w:type="pct"/>
                  <w:vAlign w:val="center"/>
                </w:tcPr>
                <w:p w14:paraId="08DCC3A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1813</w:t>
                  </w:r>
                </w:p>
              </w:tc>
              <w:tc>
                <w:tcPr>
                  <w:tcW w:w="642" w:type="pct"/>
                  <w:vAlign w:val="center"/>
                </w:tcPr>
                <w:p w14:paraId="184988C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4530</w:t>
                  </w:r>
                </w:p>
              </w:tc>
              <w:tc>
                <w:tcPr>
                  <w:tcW w:w="599" w:type="pct"/>
                  <w:vAlign w:val="center"/>
                </w:tcPr>
                <w:p w14:paraId="5811D26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5000</w:t>
                  </w:r>
                </w:p>
              </w:tc>
              <w:tc>
                <w:tcPr>
                  <w:tcW w:w="437" w:type="pct"/>
                  <w:vAlign w:val="center"/>
                </w:tcPr>
                <w:p w14:paraId="3EC085A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431" w:type="pct"/>
                  <w:tcBorders>
                    <w:right w:val="nil"/>
                  </w:tcBorders>
                  <w:vAlign w:val="center"/>
                </w:tcPr>
                <w:p w14:paraId="7AD4ADF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292AC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67D77269">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色度</w:t>
                  </w:r>
                </w:p>
              </w:tc>
              <w:tc>
                <w:tcPr>
                  <w:tcW w:w="566" w:type="pct"/>
                  <w:vAlign w:val="center"/>
                </w:tcPr>
                <w:p w14:paraId="4F4D03C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倍</w:t>
                  </w:r>
                </w:p>
              </w:tc>
              <w:tc>
                <w:tcPr>
                  <w:tcW w:w="593" w:type="pct"/>
                  <w:vAlign w:val="center"/>
                </w:tcPr>
                <w:p w14:paraId="5897D19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w:t>
                  </w:r>
                </w:p>
              </w:tc>
              <w:tc>
                <w:tcPr>
                  <w:tcW w:w="597" w:type="pct"/>
                  <w:vAlign w:val="center"/>
                </w:tcPr>
                <w:p w14:paraId="5351AE2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w:t>
                  </w:r>
                </w:p>
              </w:tc>
              <w:tc>
                <w:tcPr>
                  <w:tcW w:w="580" w:type="pct"/>
                  <w:vAlign w:val="center"/>
                </w:tcPr>
                <w:p w14:paraId="7F9315D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w:t>
                  </w:r>
                </w:p>
              </w:tc>
              <w:tc>
                <w:tcPr>
                  <w:tcW w:w="642" w:type="pct"/>
                  <w:vAlign w:val="center"/>
                </w:tcPr>
                <w:p w14:paraId="48BA974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w:t>
                  </w:r>
                </w:p>
              </w:tc>
              <w:tc>
                <w:tcPr>
                  <w:tcW w:w="599" w:type="pct"/>
                  <w:vAlign w:val="center"/>
                </w:tcPr>
                <w:p w14:paraId="394955A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30</w:t>
                  </w:r>
                </w:p>
              </w:tc>
              <w:tc>
                <w:tcPr>
                  <w:tcW w:w="437" w:type="pct"/>
                  <w:vAlign w:val="center"/>
                </w:tcPr>
                <w:p w14:paraId="4D68CF7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64</w:t>
                  </w:r>
                </w:p>
              </w:tc>
              <w:tc>
                <w:tcPr>
                  <w:tcW w:w="431" w:type="pct"/>
                  <w:tcBorders>
                    <w:right w:val="nil"/>
                  </w:tcBorders>
                  <w:vAlign w:val="center"/>
                </w:tcPr>
                <w:p w14:paraId="48EC37F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r w14:paraId="393AC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0" w:type="pct"/>
                  <w:tcBorders>
                    <w:left w:val="nil"/>
                  </w:tcBorders>
                  <w:vAlign w:val="center"/>
                </w:tcPr>
                <w:p w14:paraId="69945DB4">
                  <w:pPr>
                    <w:autoSpaceDE w:val="0"/>
                    <w:autoSpaceDN w:val="0"/>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动植物油</w:t>
                  </w:r>
                </w:p>
              </w:tc>
              <w:tc>
                <w:tcPr>
                  <w:tcW w:w="566" w:type="pct"/>
                  <w:vAlign w:val="center"/>
                </w:tcPr>
                <w:p w14:paraId="7BDBBE5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mg/L</w:t>
                  </w:r>
                </w:p>
              </w:tc>
              <w:tc>
                <w:tcPr>
                  <w:tcW w:w="593" w:type="pct"/>
                  <w:vAlign w:val="center"/>
                </w:tcPr>
                <w:p w14:paraId="38213A4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97" w:type="pct"/>
                  <w:vAlign w:val="center"/>
                </w:tcPr>
                <w:p w14:paraId="6DC4FA8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580" w:type="pct"/>
                  <w:vAlign w:val="center"/>
                </w:tcPr>
                <w:p w14:paraId="38CBCCE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1.16</w:t>
                  </w:r>
                </w:p>
              </w:tc>
              <w:tc>
                <w:tcPr>
                  <w:tcW w:w="642" w:type="pct"/>
                  <w:vAlign w:val="center"/>
                </w:tcPr>
                <w:p w14:paraId="7D7FCAA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2.9</w:t>
                  </w:r>
                </w:p>
              </w:tc>
              <w:tc>
                <w:tcPr>
                  <w:tcW w:w="599" w:type="pct"/>
                  <w:vAlign w:val="center"/>
                </w:tcPr>
                <w:p w14:paraId="2A8E264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100</w:t>
                  </w:r>
                </w:p>
              </w:tc>
              <w:tc>
                <w:tcPr>
                  <w:tcW w:w="437" w:type="pct"/>
                  <w:vAlign w:val="center"/>
                </w:tcPr>
                <w:p w14:paraId="2A5E97C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431" w:type="pct"/>
                  <w:tcBorders>
                    <w:right w:val="nil"/>
                  </w:tcBorders>
                  <w:vAlign w:val="center"/>
                </w:tcPr>
                <w:p w14:paraId="09F28DE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达标</w:t>
                  </w:r>
                </w:p>
              </w:tc>
            </w:tr>
          </w:tbl>
          <w:p w14:paraId="20365F21">
            <w:pPr>
              <w:jc w:val="both"/>
              <w:rPr>
                <w:rFonts w:hint="default" w:ascii="Times New Roman" w:hAnsi="Times New Roman" w:eastAsia="宋体" w:cs="Times New Roman"/>
                <w:color w:val="auto"/>
                <w:sz w:val="21"/>
                <w:szCs w:val="18"/>
                <w:highlight w:val="none"/>
                <w:shd w:val="clear" w:color="auto" w:fill="FFFFFF" w:themeFill="background1"/>
              </w:rPr>
            </w:pPr>
            <w:r>
              <w:rPr>
                <w:rFonts w:hint="default" w:ascii="Times New Roman" w:hAnsi="Times New Roman" w:eastAsia="宋体" w:cs="Times New Roman"/>
                <w:color w:val="auto"/>
                <w:sz w:val="21"/>
                <w:szCs w:val="18"/>
                <w:highlight w:val="none"/>
                <w:shd w:val="clear" w:color="auto" w:fill="FFFFFF" w:themeFill="background1"/>
              </w:rPr>
              <w:t>注：ND表示未检出，总铬的检出限为0.03mg/L，六价铬的检出限为0.004mg/L，挥发酚的检出限为0.01mg/L。</w:t>
            </w:r>
          </w:p>
          <w:p w14:paraId="60EC265D">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根据企业废水总排口2024年在线监测数据，废水排放各项因子满足《生活垃圾填埋场污染控制标准》（GB 16889-2024）表4间接排放的水污染物排放限值。</w:t>
            </w:r>
          </w:p>
          <w:p w14:paraId="5E88B286">
            <w:pPr>
              <w:spacing w:line="500" w:lineRule="exact"/>
              <w:jc w:val="center"/>
              <w:rPr>
                <w:rFonts w:hint="default" w:ascii="Times New Roman" w:hAnsi="Times New Roman" w:eastAsia="宋体" w:cs="Times New Roman"/>
                <w:b/>
                <w:color w:val="auto"/>
                <w:szCs w:val="20"/>
                <w:highlight w:val="none"/>
                <w:shd w:val="clear" w:color="auto" w:fill="FFFFFF" w:themeFill="background1"/>
              </w:rPr>
            </w:pPr>
            <w:r>
              <w:rPr>
                <w:rFonts w:hint="default" w:ascii="Times New Roman" w:hAnsi="Times New Roman" w:eastAsia="宋体" w:cs="Times New Roman"/>
                <w:b/>
                <w:color w:val="auto"/>
                <w:szCs w:val="20"/>
                <w:highlight w:val="none"/>
                <w:shd w:val="clear" w:color="auto" w:fill="FFFFFF" w:themeFill="background1"/>
              </w:rPr>
              <w:t>表</w:t>
            </w:r>
            <w:r>
              <w:rPr>
                <w:rFonts w:hint="eastAsia" w:cs="Times New Roman"/>
                <w:b/>
                <w:color w:val="auto"/>
                <w:szCs w:val="20"/>
                <w:highlight w:val="none"/>
                <w:shd w:val="clear" w:color="auto" w:fill="FFFFFF" w:themeFill="background1"/>
                <w:lang w:val="en-US" w:eastAsia="zh-CN"/>
              </w:rPr>
              <w:t>2-16</w:t>
            </w:r>
            <w:r>
              <w:rPr>
                <w:rFonts w:hint="default" w:ascii="Times New Roman" w:hAnsi="Times New Roman" w:eastAsia="宋体" w:cs="Times New Roman"/>
                <w:b/>
                <w:color w:val="auto"/>
                <w:szCs w:val="20"/>
                <w:highlight w:val="none"/>
                <w:shd w:val="clear" w:color="auto" w:fill="FFFFFF" w:themeFill="background1"/>
              </w:rPr>
              <w:t xml:space="preserve">  2024年废水排放口在线监测月统计表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713"/>
              <w:gridCol w:w="1646"/>
              <w:gridCol w:w="1908"/>
              <w:gridCol w:w="1646"/>
            </w:tblGrid>
            <w:tr w14:paraId="6751A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992" w:type="pct"/>
                  <w:vAlign w:val="center"/>
                </w:tcPr>
                <w:p w14:paraId="3D35985F">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月份</w:t>
                  </w:r>
                </w:p>
              </w:tc>
              <w:tc>
                <w:tcPr>
                  <w:tcW w:w="993" w:type="pct"/>
                  <w:vAlign w:val="center"/>
                </w:tcPr>
                <w:p w14:paraId="01FE7CFC">
                  <w:pPr>
                    <w:jc w:val="center"/>
                    <w:rPr>
                      <w:rFonts w:hint="eastAsia" w:ascii="Times New Roman" w:hAnsi="Times New Roman" w:eastAsia="宋体" w:cs="Times New Roman"/>
                      <w:b/>
                      <w:color w:val="auto"/>
                      <w:sz w:val="21"/>
                      <w:szCs w:val="21"/>
                      <w:highlight w:val="none"/>
                      <w:shd w:val="clear" w:color="auto" w:fill="FFFFFF" w:themeFill="background1"/>
                      <w:lang w:val="en-US" w:eastAsia="zh-CN"/>
                    </w:rPr>
                  </w:pPr>
                  <w:r>
                    <w:rPr>
                      <w:rFonts w:hint="eastAsia" w:cs="Times New Roman"/>
                      <w:b/>
                      <w:color w:val="auto"/>
                      <w:sz w:val="21"/>
                      <w:szCs w:val="21"/>
                      <w:highlight w:val="none"/>
                      <w:shd w:val="clear" w:color="auto" w:fill="FFFFFF" w:themeFill="background1"/>
                      <w:lang w:val="en-US" w:eastAsia="zh-CN"/>
                    </w:rPr>
                    <w:t>水量</w:t>
                  </w:r>
                </w:p>
              </w:tc>
              <w:tc>
                <w:tcPr>
                  <w:tcW w:w="954" w:type="pct"/>
                  <w:vAlign w:val="center"/>
                </w:tcPr>
                <w:p w14:paraId="4C23383F">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pH</w:t>
                  </w:r>
                </w:p>
              </w:tc>
              <w:tc>
                <w:tcPr>
                  <w:tcW w:w="1106" w:type="pct"/>
                  <w:vAlign w:val="center"/>
                </w:tcPr>
                <w:p w14:paraId="7E31AA84">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COD</w:t>
                  </w:r>
                  <w:r>
                    <w:rPr>
                      <w:rFonts w:hint="eastAsia" w:cs="Times New Roman"/>
                      <w:b/>
                      <w:color w:val="auto"/>
                      <w:sz w:val="21"/>
                      <w:szCs w:val="21"/>
                      <w:highlight w:val="none"/>
                      <w:shd w:val="clear" w:color="auto" w:fill="FFFFFF" w:themeFill="background1"/>
                      <w:lang w:eastAsia="zh-CN"/>
                    </w:rPr>
                    <w:t>(</w:t>
                  </w:r>
                  <w:r>
                    <w:rPr>
                      <w:rFonts w:hint="default" w:ascii="Times New Roman" w:hAnsi="Times New Roman" w:eastAsia="宋体" w:cs="Times New Roman"/>
                      <w:b/>
                      <w:color w:val="auto"/>
                      <w:sz w:val="21"/>
                      <w:szCs w:val="21"/>
                      <w:highlight w:val="none"/>
                      <w:shd w:val="clear" w:color="auto" w:fill="FFFFFF" w:themeFill="background1"/>
                    </w:rPr>
                    <w:t>mg/L</w:t>
                  </w:r>
                  <w:r>
                    <w:rPr>
                      <w:rFonts w:hint="eastAsia" w:cs="Times New Roman"/>
                      <w:b/>
                      <w:color w:val="auto"/>
                      <w:sz w:val="21"/>
                      <w:szCs w:val="21"/>
                      <w:highlight w:val="none"/>
                      <w:shd w:val="clear" w:color="auto" w:fill="FFFFFF" w:themeFill="background1"/>
                      <w:lang w:eastAsia="zh-CN"/>
                    </w:rPr>
                    <w:t>)</w:t>
                  </w:r>
                </w:p>
              </w:tc>
              <w:tc>
                <w:tcPr>
                  <w:tcW w:w="954" w:type="pct"/>
                  <w:vAlign w:val="center"/>
                </w:tcPr>
                <w:p w14:paraId="52677DCB">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氨氮（mg/L）</w:t>
                  </w:r>
                </w:p>
              </w:tc>
            </w:tr>
            <w:tr w14:paraId="3B64B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429B0E1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2024年1月</w:t>
                  </w:r>
                </w:p>
              </w:tc>
              <w:tc>
                <w:tcPr>
                  <w:tcW w:w="993" w:type="pct"/>
                  <w:vAlign w:val="center"/>
                </w:tcPr>
                <w:p w14:paraId="01C8CD06">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2404</w:t>
                  </w:r>
                </w:p>
              </w:tc>
              <w:tc>
                <w:tcPr>
                  <w:tcW w:w="954" w:type="pct"/>
                  <w:vAlign w:val="center"/>
                </w:tcPr>
                <w:p w14:paraId="517750B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7.11-7.8</w:t>
                  </w:r>
                </w:p>
              </w:tc>
              <w:tc>
                <w:tcPr>
                  <w:tcW w:w="1106" w:type="pct"/>
                  <w:vAlign w:val="center"/>
                </w:tcPr>
                <w:p w14:paraId="696001E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48.6-60.5</w:t>
                  </w:r>
                </w:p>
              </w:tc>
              <w:tc>
                <w:tcPr>
                  <w:tcW w:w="954" w:type="pct"/>
                  <w:vAlign w:val="center"/>
                </w:tcPr>
                <w:p w14:paraId="2334CB3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0.2-1.69</w:t>
                  </w:r>
                </w:p>
              </w:tc>
            </w:tr>
            <w:tr w14:paraId="12784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211FE6B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2024年2月</w:t>
                  </w:r>
                </w:p>
              </w:tc>
              <w:tc>
                <w:tcPr>
                  <w:tcW w:w="993" w:type="pct"/>
                  <w:vAlign w:val="center"/>
                </w:tcPr>
                <w:p w14:paraId="41A47C6F">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1541</w:t>
                  </w:r>
                </w:p>
              </w:tc>
              <w:tc>
                <w:tcPr>
                  <w:tcW w:w="954" w:type="pct"/>
                  <w:vAlign w:val="center"/>
                </w:tcPr>
                <w:p w14:paraId="5FE1A4C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7-8.92</w:t>
                  </w:r>
                </w:p>
              </w:tc>
              <w:tc>
                <w:tcPr>
                  <w:tcW w:w="1106" w:type="pct"/>
                  <w:vAlign w:val="center"/>
                </w:tcPr>
                <w:p w14:paraId="6E7B8B5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59.2-96.3</w:t>
                  </w:r>
                </w:p>
              </w:tc>
              <w:tc>
                <w:tcPr>
                  <w:tcW w:w="954" w:type="pct"/>
                  <w:vAlign w:val="center"/>
                </w:tcPr>
                <w:p w14:paraId="149E282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0.2-2.09</w:t>
                  </w:r>
                </w:p>
              </w:tc>
            </w:tr>
            <w:tr w14:paraId="681DA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2C06579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2024年3月</w:t>
                  </w:r>
                </w:p>
              </w:tc>
              <w:tc>
                <w:tcPr>
                  <w:tcW w:w="993" w:type="pct"/>
                  <w:vAlign w:val="center"/>
                </w:tcPr>
                <w:p w14:paraId="0E063456">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1476</w:t>
                  </w:r>
                </w:p>
              </w:tc>
              <w:tc>
                <w:tcPr>
                  <w:tcW w:w="954" w:type="pct"/>
                  <w:vAlign w:val="center"/>
                </w:tcPr>
                <w:p w14:paraId="0A5AD2B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6.97-7.99</w:t>
                  </w:r>
                </w:p>
              </w:tc>
              <w:tc>
                <w:tcPr>
                  <w:tcW w:w="1106" w:type="pct"/>
                  <w:vAlign w:val="center"/>
                </w:tcPr>
                <w:p w14:paraId="595252F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65.8-240.7</w:t>
                  </w:r>
                </w:p>
              </w:tc>
              <w:tc>
                <w:tcPr>
                  <w:tcW w:w="954" w:type="pct"/>
                  <w:vAlign w:val="center"/>
                </w:tcPr>
                <w:p w14:paraId="4645356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0.2-6.25</w:t>
                  </w:r>
                </w:p>
              </w:tc>
            </w:tr>
            <w:tr w14:paraId="501BF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53FB872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2024年4月</w:t>
                  </w:r>
                </w:p>
              </w:tc>
              <w:tc>
                <w:tcPr>
                  <w:tcW w:w="993" w:type="pct"/>
                  <w:vAlign w:val="center"/>
                </w:tcPr>
                <w:p w14:paraId="276DCE78">
                  <w:pPr>
                    <w:jc w:val="center"/>
                    <w:rPr>
                      <w:rFonts w:hint="default"/>
                      <w:color w:val="auto"/>
                      <w:lang w:val="en-US" w:eastAsia="zh-CN"/>
                    </w:rPr>
                  </w:pPr>
                  <w:r>
                    <w:rPr>
                      <w:rFonts w:hint="eastAsia" w:cs="Times New Roman"/>
                      <w:color w:val="auto"/>
                      <w:sz w:val="21"/>
                      <w:szCs w:val="21"/>
                      <w:highlight w:val="none"/>
                      <w:shd w:val="clear" w:color="auto" w:fill="FFFFFF" w:themeFill="background1"/>
                      <w:lang w:val="en-US" w:eastAsia="zh-CN"/>
                    </w:rPr>
                    <w:t>2199</w:t>
                  </w:r>
                </w:p>
              </w:tc>
              <w:tc>
                <w:tcPr>
                  <w:tcW w:w="954" w:type="pct"/>
                  <w:vAlign w:val="center"/>
                </w:tcPr>
                <w:p w14:paraId="737C1C6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6.73-8.19</w:t>
                  </w:r>
                </w:p>
              </w:tc>
              <w:tc>
                <w:tcPr>
                  <w:tcW w:w="1106" w:type="pct"/>
                  <w:vAlign w:val="center"/>
                </w:tcPr>
                <w:p w14:paraId="7B5BBC8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38.6-167.9</w:t>
                  </w:r>
                </w:p>
              </w:tc>
              <w:tc>
                <w:tcPr>
                  <w:tcW w:w="954" w:type="pct"/>
                  <w:vAlign w:val="center"/>
                </w:tcPr>
                <w:p w14:paraId="095D01D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0.2-2.22</w:t>
                  </w:r>
                </w:p>
              </w:tc>
            </w:tr>
            <w:tr w14:paraId="147CA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5C54D55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2024年5月</w:t>
                  </w:r>
                </w:p>
              </w:tc>
              <w:tc>
                <w:tcPr>
                  <w:tcW w:w="993" w:type="pct"/>
                  <w:vAlign w:val="center"/>
                </w:tcPr>
                <w:p w14:paraId="2ED1042C">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2209</w:t>
                  </w:r>
                </w:p>
              </w:tc>
              <w:tc>
                <w:tcPr>
                  <w:tcW w:w="954" w:type="pct"/>
                  <w:vAlign w:val="center"/>
                </w:tcPr>
                <w:p w14:paraId="3D890D7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6.85-7.95</w:t>
                  </w:r>
                </w:p>
              </w:tc>
              <w:tc>
                <w:tcPr>
                  <w:tcW w:w="1106" w:type="pct"/>
                  <w:vAlign w:val="center"/>
                </w:tcPr>
                <w:p w14:paraId="4DD5BA0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59.7-143.4</w:t>
                  </w:r>
                </w:p>
              </w:tc>
              <w:tc>
                <w:tcPr>
                  <w:tcW w:w="954" w:type="pct"/>
                  <w:vAlign w:val="center"/>
                </w:tcPr>
                <w:p w14:paraId="1B4DD8A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0.2-8.39</w:t>
                  </w:r>
                </w:p>
              </w:tc>
            </w:tr>
            <w:tr w14:paraId="32662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0E058CE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2024年6月</w:t>
                  </w:r>
                </w:p>
              </w:tc>
              <w:tc>
                <w:tcPr>
                  <w:tcW w:w="993" w:type="pct"/>
                  <w:vAlign w:val="center"/>
                </w:tcPr>
                <w:p w14:paraId="1B7C846E">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1968</w:t>
                  </w:r>
                </w:p>
              </w:tc>
              <w:tc>
                <w:tcPr>
                  <w:tcW w:w="954" w:type="pct"/>
                  <w:vAlign w:val="center"/>
                </w:tcPr>
                <w:p w14:paraId="05FC353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6.63-8.75</w:t>
                  </w:r>
                </w:p>
              </w:tc>
              <w:tc>
                <w:tcPr>
                  <w:tcW w:w="1106" w:type="pct"/>
                  <w:vAlign w:val="center"/>
                </w:tcPr>
                <w:p w14:paraId="3792660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68.3-218.7</w:t>
                  </w:r>
                </w:p>
              </w:tc>
              <w:tc>
                <w:tcPr>
                  <w:tcW w:w="954" w:type="pct"/>
                  <w:vAlign w:val="center"/>
                </w:tcPr>
                <w:p w14:paraId="06602B3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0.2-11.52</w:t>
                  </w:r>
                </w:p>
              </w:tc>
            </w:tr>
            <w:tr w14:paraId="38212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12FA2B6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2024年7月</w:t>
                  </w:r>
                </w:p>
              </w:tc>
              <w:tc>
                <w:tcPr>
                  <w:tcW w:w="993" w:type="pct"/>
                  <w:vAlign w:val="center"/>
                </w:tcPr>
                <w:p w14:paraId="194E0947">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2511</w:t>
                  </w:r>
                </w:p>
              </w:tc>
              <w:tc>
                <w:tcPr>
                  <w:tcW w:w="954" w:type="pct"/>
                  <w:vAlign w:val="center"/>
                </w:tcPr>
                <w:p w14:paraId="225F611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6.81-7.89</w:t>
                  </w:r>
                </w:p>
              </w:tc>
              <w:tc>
                <w:tcPr>
                  <w:tcW w:w="1106" w:type="pct"/>
                  <w:vAlign w:val="center"/>
                </w:tcPr>
                <w:p w14:paraId="401C66F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15.5-103</w:t>
                  </w:r>
                </w:p>
              </w:tc>
              <w:tc>
                <w:tcPr>
                  <w:tcW w:w="954" w:type="pct"/>
                  <w:vAlign w:val="center"/>
                </w:tcPr>
                <w:p w14:paraId="1CA66FF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0.2-0.37</w:t>
                  </w:r>
                </w:p>
              </w:tc>
            </w:tr>
            <w:tr w14:paraId="632EF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6AE5CCE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2024年8月</w:t>
                  </w:r>
                </w:p>
              </w:tc>
              <w:tc>
                <w:tcPr>
                  <w:tcW w:w="993" w:type="pct"/>
                  <w:vAlign w:val="center"/>
                </w:tcPr>
                <w:p w14:paraId="4171D35A">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2507</w:t>
                  </w:r>
                </w:p>
              </w:tc>
              <w:tc>
                <w:tcPr>
                  <w:tcW w:w="954" w:type="pct"/>
                  <w:vAlign w:val="center"/>
                </w:tcPr>
                <w:p w14:paraId="0CF2F6E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6.72-7.42</w:t>
                  </w:r>
                </w:p>
              </w:tc>
              <w:tc>
                <w:tcPr>
                  <w:tcW w:w="1106" w:type="pct"/>
                  <w:vAlign w:val="center"/>
                </w:tcPr>
                <w:p w14:paraId="5FF6403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39.3-80.4</w:t>
                  </w:r>
                </w:p>
              </w:tc>
              <w:tc>
                <w:tcPr>
                  <w:tcW w:w="954" w:type="pct"/>
                  <w:vAlign w:val="center"/>
                </w:tcPr>
                <w:p w14:paraId="0509C74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0.2-0.67</w:t>
                  </w:r>
                </w:p>
              </w:tc>
            </w:tr>
            <w:tr w14:paraId="19EE5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1CE3A3A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2024年9月</w:t>
                  </w:r>
                </w:p>
              </w:tc>
              <w:tc>
                <w:tcPr>
                  <w:tcW w:w="993" w:type="pct"/>
                  <w:vAlign w:val="center"/>
                </w:tcPr>
                <w:p w14:paraId="78FD6A8E">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1998</w:t>
                  </w:r>
                </w:p>
              </w:tc>
              <w:tc>
                <w:tcPr>
                  <w:tcW w:w="954" w:type="pct"/>
                  <w:vAlign w:val="center"/>
                </w:tcPr>
                <w:p w14:paraId="640AAB9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6.74-8.73</w:t>
                  </w:r>
                </w:p>
              </w:tc>
              <w:tc>
                <w:tcPr>
                  <w:tcW w:w="1106" w:type="pct"/>
                  <w:vAlign w:val="center"/>
                </w:tcPr>
                <w:p w14:paraId="0864A85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39.8-174</w:t>
                  </w:r>
                </w:p>
              </w:tc>
              <w:tc>
                <w:tcPr>
                  <w:tcW w:w="954" w:type="pct"/>
                  <w:vAlign w:val="center"/>
                </w:tcPr>
                <w:p w14:paraId="189B53E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0.2-0.43</w:t>
                  </w:r>
                </w:p>
              </w:tc>
            </w:tr>
            <w:tr w14:paraId="5378F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66C52EF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2024年10月</w:t>
                  </w:r>
                </w:p>
              </w:tc>
              <w:tc>
                <w:tcPr>
                  <w:tcW w:w="993" w:type="pct"/>
                  <w:vAlign w:val="center"/>
                </w:tcPr>
                <w:p w14:paraId="7395B6FF">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1828</w:t>
                  </w:r>
                </w:p>
              </w:tc>
              <w:tc>
                <w:tcPr>
                  <w:tcW w:w="954" w:type="pct"/>
                  <w:vAlign w:val="center"/>
                </w:tcPr>
                <w:p w14:paraId="35A79F7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7.03-8.86</w:t>
                  </w:r>
                </w:p>
              </w:tc>
              <w:tc>
                <w:tcPr>
                  <w:tcW w:w="1106" w:type="pct"/>
                  <w:vAlign w:val="center"/>
                </w:tcPr>
                <w:p w14:paraId="7A9E252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16.8-83.3</w:t>
                  </w:r>
                </w:p>
              </w:tc>
              <w:tc>
                <w:tcPr>
                  <w:tcW w:w="954" w:type="pct"/>
                  <w:vAlign w:val="center"/>
                </w:tcPr>
                <w:p w14:paraId="2003F92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0.2-1.48</w:t>
                  </w:r>
                </w:p>
              </w:tc>
            </w:tr>
            <w:tr w14:paraId="2E667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63A94A9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2024年11月</w:t>
                  </w:r>
                </w:p>
              </w:tc>
              <w:tc>
                <w:tcPr>
                  <w:tcW w:w="993" w:type="pct"/>
                  <w:vAlign w:val="center"/>
                </w:tcPr>
                <w:p w14:paraId="065BE123">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1346</w:t>
                  </w:r>
                </w:p>
              </w:tc>
              <w:tc>
                <w:tcPr>
                  <w:tcW w:w="954" w:type="pct"/>
                  <w:vAlign w:val="center"/>
                </w:tcPr>
                <w:p w14:paraId="709E594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7.03-8.18</w:t>
                  </w:r>
                </w:p>
              </w:tc>
              <w:tc>
                <w:tcPr>
                  <w:tcW w:w="1106" w:type="pct"/>
                  <w:vAlign w:val="center"/>
                </w:tcPr>
                <w:p w14:paraId="05D46A1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71.6-139.7</w:t>
                  </w:r>
                </w:p>
              </w:tc>
              <w:tc>
                <w:tcPr>
                  <w:tcW w:w="954" w:type="pct"/>
                  <w:vAlign w:val="center"/>
                </w:tcPr>
                <w:p w14:paraId="40F5BD2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0.06-0.34</w:t>
                  </w:r>
                </w:p>
              </w:tc>
            </w:tr>
            <w:tr w14:paraId="08109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vAlign w:val="center"/>
                </w:tcPr>
                <w:p w14:paraId="2CDA128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2024年12月</w:t>
                  </w:r>
                </w:p>
              </w:tc>
              <w:tc>
                <w:tcPr>
                  <w:tcW w:w="993" w:type="pct"/>
                  <w:vAlign w:val="center"/>
                </w:tcPr>
                <w:p w14:paraId="3A0F910A">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1346</w:t>
                  </w:r>
                </w:p>
              </w:tc>
              <w:tc>
                <w:tcPr>
                  <w:tcW w:w="954" w:type="pct"/>
                  <w:vAlign w:val="center"/>
                </w:tcPr>
                <w:p w14:paraId="4506AFB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6.98-8.53</w:t>
                  </w:r>
                </w:p>
              </w:tc>
              <w:tc>
                <w:tcPr>
                  <w:tcW w:w="1106" w:type="pct"/>
                  <w:vAlign w:val="center"/>
                </w:tcPr>
                <w:p w14:paraId="2C8F1EE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81.2-120.1</w:t>
                  </w:r>
                </w:p>
              </w:tc>
              <w:tc>
                <w:tcPr>
                  <w:tcW w:w="954" w:type="pct"/>
                  <w:vAlign w:val="center"/>
                </w:tcPr>
                <w:p w14:paraId="09A1323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0.07-11.05</w:t>
                  </w:r>
                </w:p>
              </w:tc>
            </w:tr>
            <w:tr w14:paraId="1EBE0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2" w:type="pct"/>
                  <w:tcBorders>
                    <w:bottom w:val="single" w:color="auto" w:sz="12" w:space="0"/>
                  </w:tcBorders>
                  <w:vAlign w:val="center"/>
                </w:tcPr>
                <w:p w14:paraId="7FAF11B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标准限值</w:t>
                  </w:r>
                </w:p>
              </w:tc>
              <w:tc>
                <w:tcPr>
                  <w:tcW w:w="993" w:type="pct"/>
                  <w:tcBorders>
                    <w:bottom w:val="single" w:color="auto" w:sz="12" w:space="0"/>
                  </w:tcBorders>
                  <w:vAlign w:val="center"/>
                </w:tcPr>
                <w:p w14:paraId="1D62306D">
                  <w:pPr>
                    <w:jc w:val="center"/>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eastAsia="zh-CN"/>
                    </w:rPr>
                    <w:t>合计：</w:t>
                  </w:r>
                  <w:r>
                    <w:rPr>
                      <w:rFonts w:hint="eastAsia" w:cs="Times New Roman"/>
                      <w:color w:val="auto"/>
                      <w:sz w:val="21"/>
                      <w:szCs w:val="21"/>
                      <w:highlight w:val="none"/>
                      <w:shd w:val="clear" w:color="auto" w:fill="FFFFFF" w:themeFill="background1"/>
                      <w:lang w:val="en-US" w:eastAsia="zh-CN"/>
                    </w:rPr>
                    <w:t>23333</w:t>
                  </w:r>
                </w:p>
              </w:tc>
              <w:tc>
                <w:tcPr>
                  <w:tcW w:w="954" w:type="pct"/>
                  <w:tcBorders>
                    <w:bottom w:val="single" w:color="auto" w:sz="12" w:space="0"/>
                  </w:tcBorders>
                  <w:vAlign w:val="center"/>
                </w:tcPr>
                <w:p w14:paraId="7A479A9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06" w:type="pct"/>
                  <w:tcBorders>
                    <w:bottom w:val="single" w:color="auto" w:sz="12" w:space="0"/>
                  </w:tcBorders>
                  <w:vAlign w:val="center"/>
                </w:tcPr>
                <w:p w14:paraId="28021EC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500</w:t>
                  </w:r>
                </w:p>
              </w:tc>
              <w:tc>
                <w:tcPr>
                  <w:tcW w:w="954" w:type="pct"/>
                  <w:tcBorders>
                    <w:bottom w:val="single" w:color="auto" w:sz="12" w:space="0"/>
                  </w:tcBorders>
                  <w:vAlign w:val="center"/>
                </w:tcPr>
                <w:p w14:paraId="746340E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45</w:t>
                  </w:r>
                </w:p>
              </w:tc>
            </w:tr>
          </w:tbl>
          <w:p w14:paraId="7A1B023D">
            <w:pPr>
              <w:keepNext/>
              <w:keepLines/>
              <w:widowControl w:val="0"/>
              <w:adjustRightInd w:val="0"/>
              <w:snapToGrid w:val="0"/>
              <w:spacing w:before="120" w:beforeLines="50" w:after="120" w:afterLines="50" w:line="500" w:lineRule="exact"/>
              <w:jc w:val="both"/>
              <w:outlineLvl w:val="1"/>
              <w:rPr>
                <w:rFonts w:hint="default" w:cs="Times New Roman"/>
                <w:b/>
                <w:bCs/>
                <w:color w:val="auto"/>
                <w:sz w:val="24"/>
                <w:szCs w:val="24"/>
                <w:highlight w:val="none"/>
                <w:shd w:val="clear" w:color="auto" w:fill="FFFFFF" w:themeFill="background1"/>
                <w:lang w:eastAsia="zh-CN"/>
              </w:rPr>
            </w:pPr>
            <w:r>
              <w:rPr>
                <w:rFonts w:hint="eastAsia" w:cs="Times New Roman"/>
                <w:b/>
                <w:bCs/>
                <w:color w:val="auto"/>
                <w:sz w:val="24"/>
                <w:szCs w:val="24"/>
                <w:highlight w:val="none"/>
                <w:shd w:val="clear" w:color="auto" w:fill="FFFFFF" w:themeFill="background1"/>
                <w:lang w:eastAsia="zh-CN"/>
              </w:rPr>
              <w:t>（</w:t>
            </w:r>
            <w:r>
              <w:rPr>
                <w:rFonts w:hint="eastAsia" w:cs="Times New Roman"/>
                <w:b/>
                <w:bCs/>
                <w:color w:val="auto"/>
                <w:sz w:val="24"/>
                <w:szCs w:val="24"/>
                <w:highlight w:val="none"/>
                <w:shd w:val="clear" w:color="auto" w:fill="FFFFFF" w:themeFill="background1"/>
                <w:lang w:val="en-US" w:eastAsia="zh-CN"/>
              </w:rPr>
              <w:t>2</w:t>
            </w:r>
            <w:r>
              <w:rPr>
                <w:rFonts w:hint="eastAsia" w:cs="Times New Roman"/>
                <w:b/>
                <w:bCs/>
                <w:color w:val="auto"/>
                <w:sz w:val="24"/>
                <w:szCs w:val="24"/>
                <w:highlight w:val="none"/>
                <w:shd w:val="clear" w:color="auto" w:fill="FFFFFF" w:themeFill="background1"/>
                <w:lang w:eastAsia="zh-CN"/>
              </w:rPr>
              <w:t>）</w:t>
            </w:r>
            <w:r>
              <w:rPr>
                <w:rFonts w:hint="default" w:cs="Times New Roman"/>
                <w:b/>
                <w:bCs/>
                <w:color w:val="auto"/>
                <w:sz w:val="24"/>
                <w:szCs w:val="24"/>
                <w:highlight w:val="none"/>
                <w:shd w:val="clear" w:color="auto" w:fill="FFFFFF" w:themeFill="background1"/>
                <w:lang w:eastAsia="zh-CN"/>
              </w:rPr>
              <w:t>现有项目废气排放监测结果</w:t>
            </w:r>
          </w:p>
          <w:p w14:paraId="7931CA34">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（1）在线监测结果</w:t>
            </w:r>
          </w:p>
          <w:p w14:paraId="06272A66">
            <w:pPr>
              <w:spacing w:line="500" w:lineRule="exact"/>
              <w:ind w:firstLine="482"/>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现有项目垃圾焚烧烟气2024年在线监测数据见下表。监测结果表明，1#、2#焚烧炉烟气中的颗粒物、二氧化硫、氮氧化物、一氧化碳、氯化氢排放浓度均符合《生活垃圾焚烧污染控制标准》（GB 18485-2014）要求。</w:t>
            </w:r>
          </w:p>
          <w:p w14:paraId="27924820">
            <w:pPr>
              <w:spacing w:line="500" w:lineRule="exact"/>
              <w:jc w:val="center"/>
              <w:rPr>
                <w:rFonts w:hint="default" w:ascii="Times New Roman" w:hAnsi="Times New Roman" w:eastAsia="宋体" w:cs="Times New Roman"/>
                <w:b/>
                <w:color w:val="auto"/>
                <w:highlight w:val="none"/>
                <w:shd w:val="clear" w:color="auto" w:fill="FFFFFF" w:themeFill="background1"/>
              </w:rPr>
            </w:pPr>
            <w:r>
              <w:rPr>
                <w:rFonts w:hint="default" w:ascii="Times New Roman" w:hAnsi="Times New Roman" w:eastAsia="宋体" w:cs="Times New Roman"/>
                <w:b/>
                <w:color w:val="auto"/>
                <w:highlight w:val="none"/>
                <w:shd w:val="clear" w:color="auto" w:fill="FFFFFF" w:themeFill="background1"/>
              </w:rPr>
              <w:t>表</w:t>
            </w:r>
            <w:r>
              <w:rPr>
                <w:rFonts w:hint="eastAsia" w:cs="Times New Roman"/>
                <w:b/>
                <w:color w:val="auto"/>
                <w:highlight w:val="none"/>
                <w:shd w:val="clear" w:color="auto" w:fill="FFFFFF" w:themeFill="background1"/>
                <w:lang w:val="en-US" w:eastAsia="zh-CN"/>
              </w:rPr>
              <w:t>2-17</w:t>
            </w:r>
            <w:r>
              <w:rPr>
                <w:rFonts w:hint="default" w:ascii="Times New Roman" w:hAnsi="Times New Roman" w:eastAsia="宋体" w:cs="Times New Roman"/>
                <w:b/>
                <w:color w:val="auto"/>
                <w:highlight w:val="none"/>
                <w:shd w:val="clear" w:color="auto" w:fill="FFFFFF" w:themeFill="background1"/>
              </w:rPr>
              <w:t xml:space="preserve">   现有项目垃圾焚烧烟气2024年在线监测统计表</w:t>
            </w:r>
            <w:r>
              <w:rPr>
                <w:rFonts w:hint="eastAsia" w:cs="Times New Roman"/>
                <w:b/>
                <w:color w:val="auto"/>
                <w:highlight w:val="none"/>
                <w:shd w:val="clear" w:color="auto" w:fill="FFFFFF" w:themeFill="background1"/>
                <w:lang w:eastAsia="zh-CN"/>
              </w:rPr>
              <w:t>（</w:t>
            </w:r>
            <w:r>
              <w:rPr>
                <w:rFonts w:hint="default" w:ascii="Times New Roman" w:hAnsi="Times New Roman" w:eastAsia="宋体" w:cs="Times New Roman"/>
                <w:b/>
                <w:color w:val="auto"/>
                <w:highlight w:val="none"/>
                <w:shd w:val="clear" w:color="auto" w:fill="FFFFFF" w:themeFill="background1"/>
              </w:rPr>
              <w:t>mg/Nm</w:t>
            </w:r>
            <w:r>
              <w:rPr>
                <w:rFonts w:hint="default" w:ascii="Times New Roman" w:hAnsi="Times New Roman" w:eastAsia="宋体" w:cs="Times New Roman"/>
                <w:b/>
                <w:color w:val="auto"/>
                <w:highlight w:val="none"/>
                <w:shd w:val="clear" w:color="auto" w:fill="FFFFFF" w:themeFill="background1"/>
                <w:vertAlign w:val="superscript"/>
              </w:rPr>
              <w:t>3</w:t>
            </w:r>
            <w:r>
              <w:rPr>
                <w:rFonts w:hint="eastAsia" w:cs="Times New Roman"/>
                <w:b/>
                <w:color w:val="auto"/>
                <w:highlight w:val="none"/>
                <w:shd w:val="clear" w:color="auto" w:fill="FFFFFF" w:themeFill="background1"/>
                <w:vertAlign w:val="superscript"/>
                <w:lang w:eastAsia="zh-CN"/>
              </w:rPr>
              <w:t>）</w:t>
            </w:r>
          </w:p>
          <w:tbl>
            <w:tblPr>
              <w:tblStyle w:val="33"/>
              <w:tblW w:w="5000" w:type="pct"/>
              <w:tblInd w:w="0" w:type="dxa"/>
              <w:tblLayout w:type="autofit"/>
              <w:tblCellMar>
                <w:top w:w="0" w:type="dxa"/>
                <w:left w:w="108" w:type="dxa"/>
                <w:bottom w:w="0" w:type="dxa"/>
                <w:right w:w="108" w:type="dxa"/>
              </w:tblCellMar>
            </w:tblPr>
            <w:tblGrid>
              <w:gridCol w:w="1009"/>
              <w:gridCol w:w="818"/>
              <w:gridCol w:w="1006"/>
              <w:gridCol w:w="1009"/>
              <w:gridCol w:w="1259"/>
              <w:gridCol w:w="1259"/>
              <w:gridCol w:w="1259"/>
              <w:gridCol w:w="1006"/>
            </w:tblGrid>
            <w:tr w14:paraId="0B14782D">
              <w:tblPrEx>
                <w:tblCellMar>
                  <w:top w:w="0" w:type="dxa"/>
                  <w:left w:w="108" w:type="dxa"/>
                  <w:bottom w:w="0" w:type="dxa"/>
                  <w:right w:w="108" w:type="dxa"/>
                </w:tblCellMar>
              </w:tblPrEx>
              <w:trPr>
                <w:trHeight w:val="285" w:hRule="atLeast"/>
                <w:tblHeader/>
              </w:trPr>
              <w:tc>
                <w:tcPr>
                  <w:tcW w:w="585" w:type="pct"/>
                  <w:tcBorders>
                    <w:top w:val="single" w:color="auto" w:sz="12" w:space="0"/>
                    <w:left w:val="nil"/>
                    <w:bottom w:val="single" w:color="auto" w:sz="4" w:space="0"/>
                    <w:right w:val="single" w:color="auto" w:sz="4" w:space="0"/>
                  </w:tcBorders>
                  <w:vAlign w:val="center"/>
                </w:tcPr>
                <w:p w14:paraId="31E5A88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废气源</w:t>
                  </w:r>
                </w:p>
              </w:tc>
              <w:tc>
                <w:tcPr>
                  <w:tcW w:w="1057" w:type="pct"/>
                  <w:gridSpan w:val="2"/>
                  <w:tcBorders>
                    <w:top w:val="single" w:color="auto" w:sz="12" w:space="0"/>
                    <w:left w:val="single" w:color="auto" w:sz="4" w:space="0"/>
                    <w:bottom w:val="single" w:color="auto" w:sz="4" w:space="0"/>
                    <w:right w:val="single" w:color="auto" w:sz="4" w:space="0"/>
                  </w:tcBorders>
                  <w:noWrap/>
                  <w:vAlign w:val="center"/>
                </w:tcPr>
                <w:p w14:paraId="527EFFA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月份</w:t>
                  </w:r>
                </w:p>
              </w:tc>
              <w:tc>
                <w:tcPr>
                  <w:tcW w:w="585" w:type="pct"/>
                  <w:tcBorders>
                    <w:top w:val="single" w:color="auto" w:sz="12" w:space="0"/>
                    <w:left w:val="single" w:color="auto" w:sz="4" w:space="0"/>
                    <w:bottom w:val="single" w:color="auto" w:sz="4" w:space="0"/>
                    <w:right w:val="single" w:color="auto" w:sz="4" w:space="0"/>
                  </w:tcBorders>
                  <w:noWrap/>
                  <w:vAlign w:val="center"/>
                </w:tcPr>
                <w:p w14:paraId="6D22CE3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颗粒物</w:t>
                  </w:r>
                </w:p>
              </w:tc>
              <w:tc>
                <w:tcPr>
                  <w:tcW w:w="730" w:type="pct"/>
                  <w:tcBorders>
                    <w:top w:val="single" w:color="auto" w:sz="12" w:space="0"/>
                    <w:left w:val="single" w:color="auto" w:sz="4" w:space="0"/>
                    <w:bottom w:val="single" w:color="auto" w:sz="4" w:space="0"/>
                    <w:right w:val="single" w:color="auto" w:sz="4" w:space="0"/>
                  </w:tcBorders>
                  <w:noWrap/>
                  <w:vAlign w:val="center"/>
                </w:tcPr>
                <w:p w14:paraId="6B4DC2F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二氧化硫</w:t>
                  </w:r>
                </w:p>
              </w:tc>
              <w:tc>
                <w:tcPr>
                  <w:tcW w:w="730" w:type="pct"/>
                  <w:tcBorders>
                    <w:top w:val="single" w:color="auto" w:sz="12" w:space="0"/>
                    <w:left w:val="single" w:color="auto" w:sz="4" w:space="0"/>
                    <w:bottom w:val="single" w:color="auto" w:sz="4" w:space="0"/>
                    <w:right w:val="single" w:color="auto" w:sz="4" w:space="0"/>
                  </w:tcBorders>
                  <w:noWrap/>
                  <w:vAlign w:val="center"/>
                </w:tcPr>
                <w:p w14:paraId="213D2D0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氮氧化物</w:t>
                  </w:r>
                </w:p>
              </w:tc>
              <w:tc>
                <w:tcPr>
                  <w:tcW w:w="730" w:type="pct"/>
                  <w:tcBorders>
                    <w:top w:val="single" w:color="auto" w:sz="12" w:space="0"/>
                    <w:left w:val="single" w:color="auto" w:sz="4" w:space="0"/>
                    <w:bottom w:val="single" w:color="auto" w:sz="4" w:space="0"/>
                    <w:right w:val="single" w:color="auto" w:sz="4" w:space="0"/>
                  </w:tcBorders>
                  <w:noWrap/>
                  <w:vAlign w:val="center"/>
                </w:tcPr>
                <w:p w14:paraId="42F4973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一氧化碳</w:t>
                  </w:r>
                </w:p>
              </w:tc>
              <w:tc>
                <w:tcPr>
                  <w:tcW w:w="583" w:type="pct"/>
                  <w:tcBorders>
                    <w:top w:val="single" w:color="auto" w:sz="12" w:space="0"/>
                    <w:left w:val="single" w:color="auto" w:sz="4" w:space="0"/>
                    <w:bottom w:val="single" w:color="auto" w:sz="4" w:space="0"/>
                    <w:right w:val="nil"/>
                  </w:tcBorders>
                  <w:noWrap/>
                  <w:vAlign w:val="center"/>
                </w:tcPr>
                <w:p w14:paraId="3C5B067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氯化氢</w:t>
                  </w:r>
                </w:p>
              </w:tc>
            </w:tr>
            <w:tr w14:paraId="12E7C075">
              <w:tblPrEx>
                <w:tblCellMar>
                  <w:top w:w="0" w:type="dxa"/>
                  <w:left w:w="108" w:type="dxa"/>
                  <w:bottom w:w="0" w:type="dxa"/>
                  <w:right w:w="108" w:type="dxa"/>
                </w:tblCellMar>
              </w:tblPrEx>
              <w:trPr>
                <w:trHeight w:val="285" w:hRule="atLeast"/>
              </w:trPr>
              <w:tc>
                <w:tcPr>
                  <w:tcW w:w="585" w:type="pct"/>
                  <w:vMerge w:val="restart"/>
                  <w:tcBorders>
                    <w:top w:val="single" w:color="auto" w:sz="4" w:space="0"/>
                    <w:left w:val="nil"/>
                    <w:bottom w:val="single" w:color="auto" w:sz="4" w:space="0"/>
                    <w:right w:val="single" w:color="auto" w:sz="4" w:space="0"/>
                  </w:tcBorders>
                  <w:vAlign w:val="center"/>
                </w:tcPr>
                <w:p w14:paraId="2B5301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1#炉</w:t>
                  </w: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2A6DA3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1月</w:t>
                  </w:r>
                </w:p>
              </w:tc>
              <w:tc>
                <w:tcPr>
                  <w:tcW w:w="583" w:type="pct"/>
                  <w:tcBorders>
                    <w:top w:val="single" w:color="auto" w:sz="4" w:space="0"/>
                    <w:left w:val="single" w:color="auto" w:sz="4" w:space="0"/>
                    <w:bottom w:val="single" w:color="auto" w:sz="4" w:space="0"/>
                    <w:right w:val="single" w:color="auto" w:sz="4" w:space="0"/>
                  </w:tcBorders>
                  <w:noWrap/>
                  <w:vAlign w:val="center"/>
                </w:tcPr>
                <w:p w14:paraId="4B2D20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D4B7E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1.163</w:t>
                  </w:r>
                </w:p>
              </w:tc>
              <w:tc>
                <w:tcPr>
                  <w:tcW w:w="730" w:type="pct"/>
                  <w:tcBorders>
                    <w:top w:val="single" w:color="auto" w:sz="4" w:space="0"/>
                    <w:left w:val="single" w:color="auto" w:sz="4" w:space="0"/>
                    <w:bottom w:val="single" w:color="auto" w:sz="4" w:space="0"/>
                    <w:right w:val="single" w:color="auto" w:sz="4" w:space="0"/>
                  </w:tcBorders>
                  <w:noWrap/>
                  <w:vAlign w:val="center"/>
                </w:tcPr>
                <w:p w14:paraId="7435D7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24.34</w:t>
                  </w:r>
                </w:p>
              </w:tc>
              <w:tc>
                <w:tcPr>
                  <w:tcW w:w="730" w:type="pct"/>
                  <w:tcBorders>
                    <w:top w:val="single" w:color="auto" w:sz="4" w:space="0"/>
                    <w:left w:val="single" w:color="auto" w:sz="4" w:space="0"/>
                    <w:bottom w:val="single" w:color="auto" w:sz="4" w:space="0"/>
                    <w:right w:val="single" w:color="auto" w:sz="4" w:space="0"/>
                  </w:tcBorders>
                  <w:noWrap/>
                  <w:vAlign w:val="center"/>
                </w:tcPr>
                <w:p w14:paraId="5085FE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124.566</w:t>
                  </w:r>
                </w:p>
              </w:tc>
              <w:tc>
                <w:tcPr>
                  <w:tcW w:w="730" w:type="pct"/>
                  <w:tcBorders>
                    <w:top w:val="single" w:color="auto" w:sz="4" w:space="0"/>
                    <w:left w:val="single" w:color="auto" w:sz="4" w:space="0"/>
                    <w:bottom w:val="single" w:color="auto" w:sz="4" w:space="0"/>
                    <w:right w:val="single" w:color="auto" w:sz="4" w:space="0"/>
                  </w:tcBorders>
                  <w:noWrap/>
                  <w:vAlign w:val="center"/>
                </w:tcPr>
                <w:p w14:paraId="3F8A1C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2.788</w:t>
                  </w:r>
                </w:p>
              </w:tc>
              <w:tc>
                <w:tcPr>
                  <w:tcW w:w="583" w:type="pct"/>
                  <w:tcBorders>
                    <w:top w:val="single" w:color="auto" w:sz="4" w:space="0"/>
                    <w:left w:val="single" w:color="auto" w:sz="4" w:space="0"/>
                    <w:bottom w:val="single" w:color="auto" w:sz="4" w:space="0"/>
                    <w:right w:val="nil"/>
                  </w:tcBorders>
                  <w:noWrap/>
                  <w:vAlign w:val="center"/>
                </w:tcPr>
                <w:p w14:paraId="307EFE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10.408</w:t>
                  </w:r>
                </w:p>
              </w:tc>
            </w:tr>
            <w:tr w14:paraId="6CB37CF8">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FCF1022">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5AADB12">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6A2F8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52586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1.848</w:t>
                  </w:r>
                </w:p>
              </w:tc>
              <w:tc>
                <w:tcPr>
                  <w:tcW w:w="730" w:type="pct"/>
                  <w:tcBorders>
                    <w:top w:val="single" w:color="auto" w:sz="4" w:space="0"/>
                    <w:left w:val="single" w:color="auto" w:sz="4" w:space="0"/>
                    <w:bottom w:val="single" w:color="auto" w:sz="4" w:space="0"/>
                    <w:right w:val="single" w:color="auto" w:sz="4" w:space="0"/>
                  </w:tcBorders>
                  <w:noWrap/>
                  <w:vAlign w:val="center"/>
                </w:tcPr>
                <w:p w14:paraId="1B9451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30.387</w:t>
                  </w:r>
                </w:p>
              </w:tc>
              <w:tc>
                <w:tcPr>
                  <w:tcW w:w="730" w:type="pct"/>
                  <w:tcBorders>
                    <w:top w:val="single" w:color="auto" w:sz="4" w:space="0"/>
                    <w:left w:val="single" w:color="auto" w:sz="4" w:space="0"/>
                    <w:bottom w:val="single" w:color="auto" w:sz="4" w:space="0"/>
                    <w:right w:val="single" w:color="auto" w:sz="4" w:space="0"/>
                  </w:tcBorders>
                  <w:noWrap/>
                  <w:vAlign w:val="center"/>
                </w:tcPr>
                <w:p w14:paraId="2415DE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132.954</w:t>
                  </w:r>
                </w:p>
              </w:tc>
              <w:tc>
                <w:tcPr>
                  <w:tcW w:w="730" w:type="pct"/>
                  <w:tcBorders>
                    <w:top w:val="single" w:color="auto" w:sz="4" w:space="0"/>
                    <w:left w:val="single" w:color="auto" w:sz="4" w:space="0"/>
                    <w:bottom w:val="single" w:color="auto" w:sz="4" w:space="0"/>
                    <w:right w:val="single" w:color="auto" w:sz="4" w:space="0"/>
                  </w:tcBorders>
                  <w:noWrap/>
                  <w:vAlign w:val="center"/>
                </w:tcPr>
                <w:p w14:paraId="75FA7D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7.193</w:t>
                  </w:r>
                </w:p>
              </w:tc>
              <w:tc>
                <w:tcPr>
                  <w:tcW w:w="583" w:type="pct"/>
                  <w:tcBorders>
                    <w:top w:val="single" w:color="auto" w:sz="4" w:space="0"/>
                    <w:left w:val="single" w:color="auto" w:sz="4" w:space="0"/>
                    <w:bottom w:val="single" w:color="auto" w:sz="4" w:space="0"/>
                    <w:right w:val="nil"/>
                  </w:tcBorders>
                  <w:noWrap/>
                  <w:vAlign w:val="center"/>
                </w:tcPr>
                <w:p w14:paraId="25A602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32.735</w:t>
                  </w:r>
                </w:p>
              </w:tc>
            </w:tr>
            <w:tr w14:paraId="739FC70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CCE21FE">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4AFAD654">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3FD32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737AC4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0.793</w:t>
                  </w:r>
                </w:p>
              </w:tc>
              <w:tc>
                <w:tcPr>
                  <w:tcW w:w="730" w:type="pct"/>
                  <w:tcBorders>
                    <w:top w:val="single" w:color="auto" w:sz="4" w:space="0"/>
                    <w:left w:val="single" w:color="auto" w:sz="4" w:space="0"/>
                    <w:bottom w:val="single" w:color="auto" w:sz="4" w:space="0"/>
                    <w:right w:val="single" w:color="auto" w:sz="4" w:space="0"/>
                  </w:tcBorders>
                  <w:noWrap/>
                  <w:vAlign w:val="center"/>
                </w:tcPr>
                <w:p w14:paraId="47C339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13.246</w:t>
                  </w:r>
                </w:p>
              </w:tc>
              <w:tc>
                <w:tcPr>
                  <w:tcW w:w="730" w:type="pct"/>
                  <w:tcBorders>
                    <w:top w:val="single" w:color="auto" w:sz="4" w:space="0"/>
                    <w:left w:val="single" w:color="auto" w:sz="4" w:space="0"/>
                    <w:bottom w:val="single" w:color="auto" w:sz="4" w:space="0"/>
                    <w:right w:val="single" w:color="auto" w:sz="4" w:space="0"/>
                  </w:tcBorders>
                  <w:noWrap/>
                  <w:vAlign w:val="center"/>
                </w:tcPr>
                <w:p w14:paraId="278B35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114.605</w:t>
                  </w:r>
                </w:p>
              </w:tc>
              <w:tc>
                <w:tcPr>
                  <w:tcW w:w="730" w:type="pct"/>
                  <w:tcBorders>
                    <w:top w:val="single" w:color="auto" w:sz="4" w:space="0"/>
                    <w:left w:val="single" w:color="auto" w:sz="4" w:space="0"/>
                    <w:bottom w:val="single" w:color="auto" w:sz="4" w:space="0"/>
                    <w:right w:val="single" w:color="auto" w:sz="4" w:space="0"/>
                  </w:tcBorders>
                  <w:noWrap/>
                  <w:vAlign w:val="center"/>
                </w:tcPr>
                <w:p w14:paraId="2298AB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0.938</w:t>
                  </w:r>
                </w:p>
              </w:tc>
              <w:tc>
                <w:tcPr>
                  <w:tcW w:w="583" w:type="pct"/>
                  <w:tcBorders>
                    <w:top w:val="single" w:color="auto" w:sz="4" w:space="0"/>
                    <w:left w:val="single" w:color="auto" w:sz="4" w:space="0"/>
                    <w:bottom w:val="single" w:color="auto" w:sz="4" w:space="0"/>
                    <w:right w:val="nil"/>
                  </w:tcBorders>
                  <w:noWrap/>
                  <w:vAlign w:val="center"/>
                </w:tcPr>
                <w:p w14:paraId="560407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w:t>
                  </w:r>
                </w:p>
              </w:tc>
            </w:tr>
            <w:tr w14:paraId="07504E0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3A282F3">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1C867B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E399B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304D4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1.926</w:t>
                  </w:r>
                </w:p>
              </w:tc>
              <w:tc>
                <w:tcPr>
                  <w:tcW w:w="730" w:type="pct"/>
                  <w:tcBorders>
                    <w:top w:val="single" w:color="auto" w:sz="4" w:space="0"/>
                    <w:left w:val="single" w:color="auto" w:sz="4" w:space="0"/>
                    <w:bottom w:val="single" w:color="auto" w:sz="4" w:space="0"/>
                    <w:right w:val="single" w:color="auto" w:sz="4" w:space="0"/>
                  </w:tcBorders>
                  <w:noWrap/>
                  <w:vAlign w:val="center"/>
                </w:tcPr>
                <w:p w14:paraId="5B53DA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23.807</w:t>
                  </w:r>
                </w:p>
              </w:tc>
              <w:tc>
                <w:tcPr>
                  <w:tcW w:w="730" w:type="pct"/>
                  <w:tcBorders>
                    <w:top w:val="single" w:color="auto" w:sz="4" w:space="0"/>
                    <w:left w:val="single" w:color="auto" w:sz="4" w:space="0"/>
                    <w:bottom w:val="single" w:color="auto" w:sz="4" w:space="0"/>
                    <w:right w:val="single" w:color="auto" w:sz="4" w:space="0"/>
                  </w:tcBorders>
                  <w:noWrap/>
                  <w:vAlign w:val="center"/>
                </w:tcPr>
                <w:p w14:paraId="3B03ED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127.572</w:t>
                  </w:r>
                </w:p>
              </w:tc>
              <w:tc>
                <w:tcPr>
                  <w:tcW w:w="730" w:type="pct"/>
                  <w:tcBorders>
                    <w:top w:val="single" w:color="auto" w:sz="4" w:space="0"/>
                    <w:left w:val="single" w:color="auto" w:sz="4" w:space="0"/>
                    <w:bottom w:val="single" w:color="auto" w:sz="4" w:space="0"/>
                    <w:right w:val="single" w:color="auto" w:sz="4" w:space="0"/>
                  </w:tcBorders>
                  <w:noWrap/>
                  <w:vAlign w:val="center"/>
                </w:tcPr>
                <w:p w14:paraId="20C5C0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2.641</w:t>
                  </w:r>
                </w:p>
              </w:tc>
              <w:tc>
                <w:tcPr>
                  <w:tcW w:w="583" w:type="pct"/>
                  <w:tcBorders>
                    <w:top w:val="single" w:color="auto" w:sz="4" w:space="0"/>
                    <w:left w:val="single" w:color="auto" w:sz="4" w:space="0"/>
                    <w:bottom w:val="single" w:color="auto" w:sz="4" w:space="0"/>
                    <w:right w:val="nil"/>
                  </w:tcBorders>
                  <w:noWrap/>
                  <w:vAlign w:val="center"/>
                </w:tcPr>
                <w:p w14:paraId="5D6503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w:t>
                  </w:r>
                </w:p>
              </w:tc>
            </w:tr>
            <w:tr w14:paraId="00291DC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ECD577A">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16A1B85E">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52AA7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075DE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2.562</w:t>
                  </w:r>
                </w:p>
              </w:tc>
              <w:tc>
                <w:tcPr>
                  <w:tcW w:w="730" w:type="pct"/>
                  <w:tcBorders>
                    <w:top w:val="single" w:color="auto" w:sz="4" w:space="0"/>
                    <w:left w:val="single" w:color="auto" w:sz="4" w:space="0"/>
                    <w:bottom w:val="single" w:color="auto" w:sz="4" w:space="0"/>
                    <w:right w:val="single" w:color="auto" w:sz="4" w:space="0"/>
                  </w:tcBorders>
                  <w:noWrap/>
                  <w:vAlign w:val="center"/>
                </w:tcPr>
                <w:p w14:paraId="24D4E8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37.808</w:t>
                  </w:r>
                </w:p>
              </w:tc>
              <w:tc>
                <w:tcPr>
                  <w:tcW w:w="730" w:type="pct"/>
                  <w:tcBorders>
                    <w:top w:val="single" w:color="auto" w:sz="4" w:space="0"/>
                    <w:left w:val="single" w:color="auto" w:sz="4" w:space="0"/>
                    <w:bottom w:val="single" w:color="auto" w:sz="4" w:space="0"/>
                    <w:right w:val="single" w:color="auto" w:sz="4" w:space="0"/>
                  </w:tcBorders>
                  <w:noWrap/>
                  <w:vAlign w:val="center"/>
                </w:tcPr>
                <w:p w14:paraId="16E564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133.918</w:t>
                  </w:r>
                </w:p>
              </w:tc>
              <w:tc>
                <w:tcPr>
                  <w:tcW w:w="730" w:type="pct"/>
                  <w:tcBorders>
                    <w:top w:val="single" w:color="auto" w:sz="4" w:space="0"/>
                    <w:left w:val="single" w:color="auto" w:sz="4" w:space="0"/>
                    <w:bottom w:val="single" w:color="auto" w:sz="4" w:space="0"/>
                    <w:right w:val="single" w:color="auto" w:sz="4" w:space="0"/>
                  </w:tcBorders>
                  <w:noWrap/>
                  <w:vAlign w:val="center"/>
                </w:tcPr>
                <w:p w14:paraId="794F75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7.494</w:t>
                  </w:r>
                </w:p>
              </w:tc>
              <w:tc>
                <w:tcPr>
                  <w:tcW w:w="583" w:type="pct"/>
                  <w:tcBorders>
                    <w:top w:val="single" w:color="auto" w:sz="4" w:space="0"/>
                    <w:left w:val="single" w:color="auto" w:sz="4" w:space="0"/>
                    <w:bottom w:val="single" w:color="auto" w:sz="4" w:space="0"/>
                    <w:right w:val="nil"/>
                  </w:tcBorders>
                  <w:noWrap/>
                  <w:vAlign w:val="center"/>
                </w:tcPr>
                <w:p w14:paraId="786CC7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18.214</w:t>
                  </w:r>
                </w:p>
              </w:tc>
            </w:tr>
            <w:tr w14:paraId="2D3A8AF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467C018">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B413508">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F9C53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B455F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1.259</w:t>
                  </w:r>
                </w:p>
              </w:tc>
              <w:tc>
                <w:tcPr>
                  <w:tcW w:w="730" w:type="pct"/>
                  <w:tcBorders>
                    <w:top w:val="single" w:color="auto" w:sz="4" w:space="0"/>
                    <w:left w:val="single" w:color="auto" w:sz="4" w:space="0"/>
                    <w:bottom w:val="single" w:color="auto" w:sz="4" w:space="0"/>
                    <w:right w:val="single" w:color="auto" w:sz="4" w:space="0"/>
                  </w:tcBorders>
                  <w:noWrap/>
                  <w:vAlign w:val="center"/>
                </w:tcPr>
                <w:p w14:paraId="0F75B2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15.858</w:t>
                  </w:r>
                </w:p>
              </w:tc>
              <w:tc>
                <w:tcPr>
                  <w:tcW w:w="730" w:type="pct"/>
                  <w:tcBorders>
                    <w:top w:val="single" w:color="auto" w:sz="4" w:space="0"/>
                    <w:left w:val="single" w:color="auto" w:sz="4" w:space="0"/>
                    <w:bottom w:val="single" w:color="auto" w:sz="4" w:space="0"/>
                    <w:right w:val="single" w:color="auto" w:sz="4" w:space="0"/>
                  </w:tcBorders>
                  <w:noWrap/>
                  <w:vAlign w:val="center"/>
                </w:tcPr>
                <w:p w14:paraId="3143C8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118.154</w:t>
                  </w:r>
                </w:p>
              </w:tc>
              <w:tc>
                <w:tcPr>
                  <w:tcW w:w="730" w:type="pct"/>
                  <w:tcBorders>
                    <w:top w:val="single" w:color="auto" w:sz="4" w:space="0"/>
                    <w:left w:val="single" w:color="auto" w:sz="4" w:space="0"/>
                    <w:bottom w:val="single" w:color="auto" w:sz="4" w:space="0"/>
                    <w:right w:val="single" w:color="auto" w:sz="4" w:space="0"/>
                  </w:tcBorders>
                  <w:noWrap/>
                  <w:vAlign w:val="center"/>
                </w:tcPr>
                <w:p w14:paraId="1067C1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83" w:type="pct"/>
                  <w:tcBorders>
                    <w:top w:val="single" w:color="auto" w:sz="4" w:space="0"/>
                    <w:left w:val="single" w:color="auto" w:sz="4" w:space="0"/>
                    <w:bottom w:val="single" w:color="auto" w:sz="4" w:space="0"/>
                    <w:right w:val="nil"/>
                  </w:tcBorders>
                  <w:noWrap/>
                  <w:vAlign w:val="center"/>
                </w:tcPr>
                <w:p w14:paraId="7787BB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4.908</w:t>
                  </w:r>
                </w:p>
              </w:tc>
            </w:tr>
            <w:tr w14:paraId="74CFFF2A">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9F30ED0">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3C8C01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2245C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80567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1.751</w:t>
                  </w:r>
                </w:p>
              </w:tc>
              <w:tc>
                <w:tcPr>
                  <w:tcW w:w="730" w:type="pct"/>
                  <w:tcBorders>
                    <w:top w:val="single" w:color="auto" w:sz="4" w:space="0"/>
                    <w:left w:val="single" w:color="auto" w:sz="4" w:space="0"/>
                    <w:bottom w:val="single" w:color="auto" w:sz="4" w:space="0"/>
                    <w:right w:val="single" w:color="auto" w:sz="4" w:space="0"/>
                  </w:tcBorders>
                  <w:noWrap/>
                  <w:vAlign w:val="center"/>
                </w:tcPr>
                <w:p w14:paraId="725F26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23.322</w:t>
                  </w:r>
                </w:p>
              </w:tc>
              <w:tc>
                <w:tcPr>
                  <w:tcW w:w="730" w:type="pct"/>
                  <w:tcBorders>
                    <w:top w:val="single" w:color="auto" w:sz="4" w:space="0"/>
                    <w:left w:val="single" w:color="auto" w:sz="4" w:space="0"/>
                    <w:bottom w:val="single" w:color="auto" w:sz="4" w:space="0"/>
                    <w:right w:val="single" w:color="auto" w:sz="4" w:space="0"/>
                  </w:tcBorders>
                  <w:noWrap/>
                  <w:vAlign w:val="center"/>
                </w:tcPr>
                <w:p w14:paraId="475AE0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126.061</w:t>
                  </w:r>
                </w:p>
              </w:tc>
              <w:tc>
                <w:tcPr>
                  <w:tcW w:w="730" w:type="pct"/>
                  <w:tcBorders>
                    <w:top w:val="single" w:color="auto" w:sz="4" w:space="0"/>
                    <w:left w:val="single" w:color="auto" w:sz="4" w:space="0"/>
                    <w:bottom w:val="single" w:color="auto" w:sz="4" w:space="0"/>
                    <w:right w:val="single" w:color="auto" w:sz="4" w:space="0"/>
                  </w:tcBorders>
                  <w:noWrap/>
                  <w:vAlign w:val="center"/>
                </w:tcPr>
                <w:p w14:paraId="0462CC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3.234</w:t>
                  </w:r>
                </w:p>
              </w:tc>
              <w:tc>
                <w:tcPr>
                  <w:tcW w:w="583" w:type="pct"/>
                  <w:tcBorders>
                    <w:top w:val="single" w:color="auto" w:sz="4" w:space="0"/>
                    <w:left w:val="single" w:color="auto" w:sz="4" w:space="0"/>
                    <w:bottom w:val="single" w:color="auto" w:sz="4" w:space="0"/>
                    <w:right w:val="nil"/>
                  </w:tcBorders>
                  <w:noWrap/>
                  <w:vAlign w:val="center"/>
                </w:tcPr>
                <w:p w14:paraId="5D572F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7.309</w:t>
                  </w:r>
                </w:p>
              </w:tc>
            </w:tr>
            <w:tr w14:paraId="6DC97E46">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6A7CD85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284FCB0">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2DEDF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B3BA8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2.67</w:t>
                  </w:r>
                </w:p>
              </w:tc>
              <w:tc>
                <w:tcPr>
                  <w:tcW w:w="730" w:type="pct"/>
                  <w:tcBorders>
                    <w:top w:val="single" w:color="auto" w:sz="4" w:space="0"/>
                    <w:left w:val="single" w:color="auto" w:sz="4" w:space="0"/>
                    <w:bottom w:val="single" w:color="auto" w:sz="4" w:space="0"/>
                    <w:right w:val="single" w:color="auto" w:sz="4" w:space="0"/>
                  </w:tcBorders>
                  <w:noWrap/>
                  <w:vAlign w:val="center"/>
                </w:tcPr>
                <w:p w14:paraId="4AAC49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30.31</w:t>
                  </w:r>
                </w:p>
              </w:tc>
              <w:tc>
                <w:tcPr>
                  <w:tcW w:w="730" w:type="pct"/>
                  <w:tcBorders>
                    <w:top w:val="single" w:color="auto" w:sz="4" w:space="0"/>
                    <w:left w:val="single" w:color="auto" w:sz="4" w:space="0"/>
                    <w:bottom w:val="single" w:color="auto" w:sz="4" w:space="0"/>
                    <w:right w:val="single" w:color="auto" w:sz="4" w:space="0"/>
                  </w:tcBorders>
                  <w:noWrap/>
                  <w:vAlign w:val="center"/>
                </w:tcPr>
                <w:p w14:paraId="4E8046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135.416</w:t>
                  </w:r>
                </w:p>
              </w:tc>
              <w:tc>
                <w:tcPr>
                  <w:tcW w:w="730" w:type="pct"/>
                  <w:tcBorders>
                    <w:top w:val="single" w:color="auto" w:sz="4" w:space="0"/>
                    <w:left w:val="single" w:color="auto" w:sz="4" w:space="0"/>
                    <w:bottom w:val="single" w:color="auto" w:sz="4" w:space="0"/>
                    <w:right w:val="single" w:color="auto" w:sz="4" w:space="0"/>
                  </w:tcBorders>
                  <w:noWrap/>
                  <w:vAlign w:val="center"/>
                </w:tcPr>
                <w:p w14:paraId="2A2AC4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32.291</w:t>
                  </w:r>
                </w:p>
              </w:tc>
              <w:tc>
                <w:tcPr>
                  <w:tcW w:w="583" w:type="pct"/>
                  <w:tcBorders>
                    <w:top w:val="single" w:color="auto" w:sz="4" w:space="0"/>
                    <w:left w:val="single" w:color="auto" w:sz="4" w:space="0"/>
                    <w:bottom w:val="single" w:color="auto" w:sz="4" w:space="0"/>
                    <w:right w:val="nil"/>
                  </w:tcBorders>
                  <w:noWrap/>
                  <w:vAlign w:val="center"/>
                </w:tcPr>
                <w:p w14:paraId="45B5E2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15.48</w:t>
                  </w:r>
                </w:p>
              </w:tc>
            </w:tr>
            <w:tr w14:paraId="3CEAF448">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65FE340C">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641F8A7F">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91117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FC65D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w:t>
                  </w:r>
                </w:p>
              </w:tc>
              <w:tc>
                <w:tcPr>
                  <w:tcW w:w="730" w:type="pct"/>
                  <w:tcBorders>
                    <w:top w:val="single" w:color="auto" w:sz="4" w:space="0"/>
                    <w:left w:val="single" w:color="auto" w:sz="4" w:space="0"/>
                    <w:bottom w:val="single" w:color="auto" w:sz="4" w:space="0"/>
                    <w:right w:val="single" w:color="auto" w:sz="4" w:space="0"/>
                  </w:tcBorders>
                  <w:noWrap/>
                  <w:vAlign w:val="center"/>
                </w:tcPr>
                <w:p w14:paraId="47FD07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16.889</w:t>
                  </w:r>
                </w:p>
              </w:tc>
              <w:tc>
                <w:tcPr>
                  <w:tcW w:w="730" w:type="pct"/>
                  <w:tcBorders>
                    <w:top w:val="single" w:color="auto" w:sz="4" w:space="0"/>
                    <w:left w:val="single" w:color="auto" w:sz="4" w:space="0"/>
                    <w:bottom w:val="single" w:color="auto" w:sz="4" w:space="0"/>
                    <w:right w:val="single" w:color="auto" w:sz="4" w:space="0"/>
                  </w:tcBorders>
                  <w:noWrap/>
                  <w:vAlign w:val="center"/>
                </w:tcPr>
                <w:p w14:paraId="511204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114.876</w:t>
                  </w:r>
                </w:p>
              </w:tc>
              <w:tc>
                <w:tcPr>
                  <w:tcW w:w="730" w:type="pct"/>
                  <w:tcBorders>
                    <w:top w:val="single" w:color="auto" w:sz="4" w:space="0"/>
                    <w:left w:val="single" w:color="auto" w:sz="4" w:space="0"/>
                    <w:bottom w:val="single" w:color="auto" w:sz="4" w:space="0"/>
                    <w:right w:val="single" w:color="auto" w:sz="4" w:space="0"/>
                  </w:tcBorders>
                  <w:noWrap/>
                  <w:vAlign w:val="center"/>
                </w:tcPr>
                <w:p w14:paraId="3B4F65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0.547</w:t>
                  </w:r>
                </w:p>
              </w:tc>
              <w:tc>
                <w:tcPr>
                  <w:tcW w:w="583" w:type="pct"/>
                  <w:tcBorders>
                    <w:top w:val="single" w:color="auto" w:sz="4" w:space="0"/>
                    <w:left w:val="single" w:color="auto" w:sz="4" w:space="0"/>
                    <w:bottom w:val="single" w:color="auto" w:sz="4" w:space="0"/>
                    <w:right w:val="nil"/>
                  </w:tcBorders>
                  <w:noWrap/>
                  <w:vAlign w:val="center"/>
                </w:tcPr>
                <w:p w14:paraId="7002F7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2.115</w:t>
                  </w:r>
                </w:p>
              </w:tc>
            </w:tr>
            <w:tr w14:paraId="461C6C6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1CAA4DB1">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C7349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4月</w:t>
                  </w:r>
                </w:p>
              </w:tc>
              <w:tc>
                <w:tcPr>
                  <w:tcW w:w="583" w:type="pct"/>
                  <w:tcBorders>
                    <w:top w:val="single" w:color="auto" w:sz="4" w:space="0"/>
                    <w:left w:val="single" w:color="auto" w:sz="4" w:space="0"/>
                    <w:bottom w:val="single" w:color="auto" w:sz="4" w:space="0"/>
                    <w:right w:val="single" w:color="auto" w:sz="4" w:space="0"/>
                  </w:tcBorders>
                  <w:noWrap/>
                  <w:vAlign w:val="center"/>
                </w:tcPr>
                <w:p w14:paraId="7DD6C6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394AA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1.591</w:t>
                  </w:r>
                </w:p>
              </w:tc>
              <w:tc>
                <w:tcPr>
                  <w:tcW w:w="730" w:type="pct"/>
                  <w:tcBorders>
                    <w:top w:val="single" w:color="auto" w:sz="4" w:space="0"/>
                    <w:left w:val="single" w:color="auto" w:sz="4" w:space="0"/>
                    <w:bottom w:val="single" w:color="auto" w:sz="4" w:space="0"/>
                    <w:right w:val="single" w:color="auto" w:sz="4" w:space="0"/>
                  </w:tcBorders>
                  <w:noWrap/>
                  <w:vAlign w:val="center"/>
                </w:tcPr>
                <w:p w14:paraId="69709E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25.928</w:t>
                  </w:r>
                </w:p>
              </w:tc>
              <w:tc>
                <w:tcPr>
                  <w:tcW w:w="730" w:type="pct"/>
                  <w:tcBorders>
                    <w:top w:val="single" w:color="auto" w:sz="4" w:space="0"/>
                    <w:left w:val="single" w:color="auto" w:sz="4" w:space="0"/>
                    <w:bottom w:val="single" w:color="auto" w:sz="4" w:space="0"/>
                    <w:right w:val="single" w:color="auto" w:sz="4" w:space="0"/>
                  </w:tcBorders>
                  <w:noWrap/>
                  <w:vAlign w:val="center"/>
                </w:tcPr>
                <w:p w14:paraId="208DBC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123.133</w:t>
                  </w:r>
                </w:p>
              </w:tc>
              <w:tc>
                <w:tcPr>
                  <w:tcW w:w="730" w:type="pct"/>
                  <w:tcBorders>
                    <w:top w:val="single" w:color="auto" w:sz="4" w:space="0"/>
                    <w:left w:val="single" w:color="auto" w:sz="4" w:space="0"/>
                    <w:bottom w:val="single" w:color="auto" w:sz="4" w:space="0"/>
                    <w:right w:val="single" w:color="auto" w:sz="4" w:space="0"/>
                  </w:tcBorders>
                  <w:noWrap/>
                  <w:vAlign w:val="center"/>
                </w:tcPr>
                <w:p w14:paraId="78974B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1.972</w:t>
                  </w:r>
                </w:p>
              </w:tc>
              <w:tc>
                <w:tcPr>
                  <w:tcW w:w="583" w:type="pct"/>
                  <w:tcBorders>
                    <w:top w:val="single" w:color="auto" w:sz="4" w:space="0"/>
                    <w:left w:val="single" w:color="auto" w:sz="4" w:space="0"/>
                    <w:bottom w:val="single" w:color="auto" w:sz="4" w:space="0"/>
                    <w:right w:val="nil"/>
                  </w:tcBorders>
                  <w:noWrap/>
                  <w:vAlign w:val="center"/>
                </w:tcPr>
                <w:p w14:paraId="5F471C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6.208</w:t>
                  </w:r>
                </w:p>
              </w:tc>
            </w:tr>
            <w:tr w14:paraId="6ABA86D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B789851">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6C784BE4">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E045C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8567E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2.205</w:t>
                  </w:r>
                </w:p>
              </w:tc>
              <w:tc>
                <w:tcPr>
                  <w:tcW w:w="730" w:type="pct"/>
                  <w:tcBorders>
                    <w:top w:val="single" w:color="auto" w:sz="4" w:space="0"/>
                    <w:left w:val="single" w:color="auto" w:sz="4" w:space="0"/>
                    <w:bottom w:val="single" w:color="auto" w:sz="4" w:space="0"/>
                    <w:right w:val="single" w:color="auto" w:sz="4" w:space="0"/>
                  </w:tcBorders>
                  <w:noWrap/>
                  <w:vAlign w:val="center"/>
                </w:tcPr>
                <w:p w14:paraId="593603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32.269</w:t>
                  </w:r>
                </w:p>
              </w:tc>
              <w:tc>
                <w:tcPr>
                  <w:tcW w:w="730" w:type="pct"/>
                  <w:tcBorders>
                    <w:top w:val="single" w:color="auto" w:sz="4" w:space="0"/>
                    <w:left w:val="single" w:color="auto" w:sz="4" w:space="0"/>
                    <w:bottom w:val="single" w:color="auto" w:sz="4" w:space="0"/>
                    <w:right w:val="single" w:color="auto" w:sz="4" w:space="0"/>
                  </w:tcBorders>
                  <w:noWrap/>
                  <w:vAlign w:val="center"/>
                </w:tcPr>
                <w:p w14:paraId="082438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133.987</w:t>
                  </w:r>
                </w:p>
              </w:tc>
              <w:tc>
                <w:tcPr>
                  <w:tcW w:w="730" w:type="pct"/>
                  <w:tcBorders>
                    <w:top w:val="single" w:color="auto" w:sz="4" w:space="0"/>
                    <w:left w:val="single" w:color="auto" w:sz="4" w:space="0"/>
                    <w:bottom w:val="single" w:color="auto" w:sz="4" w:space="0"/>
                    <w:right w:val="single" w:color="auto" w:sz="4" w:space="0"/>
                  </w:tcBorders>
                  <w:noWrap/>
                  <w:vAlign w:val="center"/>
                </w:tcPr>
                <w:p w14:paraId="709E22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4.121</w:t>
                  </w:r>
                </w:p>
              </w:tc>
              <w:tc>
                <w:tcPr>
                  <w:tcW w:w="583" w:type="pct"/>
                  <w:tcBorders>
                    <w:top w:val="single" w:color="auto" w:sz="4" w:space="0"/>
                    <w:left w:val="single" w:color="auto" w:sz="4" w:space="0"/>
                    <w:bottom w:val="single" w:color="auto" w:sz="4" w:space="0"/>
                    <w:right w:val="nil"/>
                  </w:tcBorders>
                  <w:noWrap/>
                  <w:vAlign w:val="center"/>
                </w:tcPr>
                <w:p w14:paraId="7DA62A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11.793</w:t>
                  </w:r>
                </w:p>
              </w:tc>
            </w:tr>
            <w:tr w14:paraId="404FDADF">
              <w:tblPrEx>
                <w:tblCellMar>
                  <w:top w:w="0" w:type="dxa"/>
                  <w:left w:w="108" w:type="dxa"/>
                  <w:bottom w:w="0" w:type="dxa"/>
                  <w:right w:w="108" w:type="dxa"/>
                </w:tblCellMar>
              </w:tblPrEx>
              <w:trPr>
                <w:trHeight w:val="43" w:hRule="atLeast"/>
              </w:trPr>
              <w:tc>
                <w:tcPr>
                  <w:tcW w:w="1009" w:type="dxa"/>
                  <w:vMerge w:val="continue"/>
                  <w:tcBorders>
                    <w:top w:val="single" w:color="auto" w:sz="4" w:space="0"/>
                    <w:left w:val="nil"/>
                    <w:bottom w:val="single" w:color="auto" w:sz="4" w:space="0"/>
                    <w:right w:val="single" w:color="auto" w:sz="4" w:space="0"/>
                  </w:tcBorders>
                  <w:vAlign w:val="center"/>
                </w:tcPr>
                <w:p w14:paraId="10D39B15">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0F13837">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10669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E10E7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0.828</w:t>
                  </w:r>
                </w:p>
              </w:tc>
              <w:tc>
                <w:tcPr>
                  <w:tcW w:w="730" w:type="pct"/>
                  <w:tcBorders>
                    <w:top w:val="single" w:color="auto" w:sz="4" w:space="0"/>
                    <w:left w:val="single" w:color="auto" w:sz="4" w:space="0"/>
                    <w:bottom w:val="single" w:color="auto" w:sz="4" w:space="0"/>
                    <w:right w:val="single" w:color="auto" w:sz="4" w:space="0"/>
                  </w:tcBorders>
                  <w:noWrap/>
                  <w:vAlign w:val="center"/>
                </w:tcPr>
                <w:p w14:paraId="799077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20.401</w:t>
                  </w:r>
                </w:p>
              </w:tc>
              <w:tc>
                <w:tcPr>
                  <w:tcW w:w="730" w:type="pct"/>
                  <w:tcBorders>
                    <w:top w:val="single" w:color="auto" w:sz="4" w:space="0"/>
                    <w:left w:val="single" w:color="auto" w:sz="4" w:space="0"/>
                    <w:bottom w:val="single" w:color="auto" w:sz="4" w:space="0"/>
                    <w:right w:val="single" w:color="auto" w:sz="4" w:space="0"/>
                  </w:tcBorders>
                  <w:noWrap/>
                  <w:vAlign w:val="center"/>
                </w:tcPr>
                <w:p w14:paraId="364DCA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117.35</w:t>
                  </w:r>
                </w:p>
              </w:tc>
              <w:tc>
                <w:tcPr>
                  <w:tcW w:w="730" w:type="pct"/>
                  <w:tcBorders>
                    <w:top w:val="single" w:color="auto" w:sz="4" w:space="0"/>
                    <w:left w:val="single" w:color="auto" w:sz="4" w:space="0"/>
                    <w:bottom w:val="single" w:color="auto" w:sz="4" w:space="0"/>
                    <w:right w:val="single" w:color="auto" w:sz="4" w:space="0"/>
                  </w:tcBorders>
                  <w:noWrap/>
                  <w:vAlign w:val="center"/>
                </w:tcPr>
                <w:p w14:paraId="614E1B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0.968</w:t>
                  </w:r>
                </w:p>
              </w:tc>
              <w:tc>
                <w:tcPr>
                  <w:tcW w:w="583" w:type="pct"/>
                  <w:tcBorders>
                    <w:top w:val="single" w:color="auto" w:sz="4" w:space="0"/>
                    <w:left w:val="single" w:color="auto" w:sz="4" w:space="0"/>
                    <w:bottom w:val="single" w:color="auto" w:sz="4" w:space="0"/>
                    <w:right w:val="nil"/>
                  </w:tcBorders>
                  <w:noWrap/>
                  <w:vAlign w:val="center"/>
                </w:tcPr>
                <w:p w14:paraId="0C7003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2.471</w:t>
                  </w:r>
                </w:p>
              </w:tc>
            </w:tr>
            <w:tr w14:paraId="239E4147">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28C6458">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6EF25A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292A5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ED27B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1.575</w:t>
                  </w:r>
                </w:p>
              </w:tc>
              <w:tc>
                <w:tcPr>
                  <w:tcW w:w="730" w:type="pct"/>
                  <w:tcBorders>
                    <w:top w:val="single" w:color="auto" w:sz="4" w:space="0"/>
                    <w:left w:val="single" w:color="auto" w:sz="4" w:space="0"/>
                    <w:bottom w:val="single" w:color="auto" w:sz="4" w:space="0"/>
                    <w:right w:val="single" w:color="auto" w:sz="4" w:space="0"/>
                  </w:tcBorders>
                  <w:noWrap/>
                  <w:vAlign w:val="center"/>
                </w:tcPr>
                <w:p w14:paraId="5BE900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29.708</w:t>
                  </w:r>
                </w:p>
              </w:tc>
              <w:tc>
                <w:tcPr>
                  <w:tcW w:w="730" w:type="pct"/>
                  <w:tcBorders>
                    <w:top w:val="single" w:color="auto" w:sz="4" w:space="0"/>
                    <w:left w:val="single" w:color="auto" w:sz="4" w:space="0"/>
                    <w:bottom w:val="single" w:color="auto" w:sz="4" w:space="0"/>
                    <w:right w:val="single" w:color="auto" w:sz="4" w:space="0"/>
                  </w:tcBorders>
                  <w:noWrap/>
                  <w:vAlign w:val="center"/>
                </w:tcPr>
                <w:p w14:paraId="14BC5A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129.558</w:t>
                  </w:r>
                </w:p>
              </w:tc>
              <w:tc>
                <w:tcPr>
                  <w:tcW w:w="730" w:type="pct"/>
                  <w:tcBorders>
                    <w:top w:val="single" w:color="auto" w:sz="4" w:space="0"/>
                    <w:left w:val="single" w:color="auto" w:sz="4" w:space="0"/>
                    <w:bottom w:val="single" w:color="auto" w:sz="4" w:space="0"/>
                    <w:right w:val="single" w:color="auto" w:sz="4" w:space="0"/>
                  </w:tcBorders>
                  <w:noWrap/>
                  <w:vAlign w:val="center"/>
                </w:tcPr>
                <w:p w14:paraId="18F0FD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2.814</w:t>
                  </w:r>
                </w:p>
              </w:tc>
              <w:tc>
                <w:tcPr>
                  <w:tcW w:w="583" w:type="pct"/>
                  <w:tcBorders>
                    <w:top w:val="single" w:color="auto" w:sz="4" w:space="0"/>
                    <w:left w:val="single" w:color="auto" w:sz="4" w:space="0"/>
                    <w:bottom w:val="single" w:color="auto" w:sz="4" w:space="0"/>
                    <w:right w:val="nil"/>
                  </w:tcBorders>
                  <w:noWrap/>
                  <w:vAlign w:val="center"/>
                </w:tcPr>
                <w:p w14:paraId="70450A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11.144</w:t>
                  </w:r>
                </w:p>
              </w:tc>
            </w:tr>
            <w:tr w14:paraId="7196614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93B0428">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81B3152">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63FF8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F3B53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2.703</w:t>
                  </w:r>
                </w:p>
              </w:tc>
              <w:tc>
                <w:tcPr>
                  <w:tcW w:w="730" w:type="pct"/>
                  <w:tcBorders>
                    <w:top w:val="single" w:color="auto" w:sz="4" w:space="0"/>
                    <w:left w:val="single" w:color="auto" w:sz="4" w:space="0"/>
                    <w:bottom w:val="single" w:color="auto" w:sz="4" w:space="0"/>
                    <w:right w:val="single" w:color="auto" w:sz="4" w:space="0"/>
                  </w:tcBorders>
                  <w:noWrap/>
                  <w:vAlign w:val="center"/>
                </w:tcPr>
                <w:p w14:paraId="020FD8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43.433</w:t>
                  </w:r>
                </w:p>
              </w:tc>
              <w:tc>
                <w:tcPr>
                  <w:tcW w:w="730" w:type="pct"/>
                  <w:tcBorders>
                    <w:top w:val="single" w:color="auto" w:sz="4" w:space="0"/>
                    <w:left w:val="single" w:color="auto" w:sz="4" w:space="0"/>
                    <w:bottom w:val="single" w:color="auto" w:sz="4" w:space="0"/>
                    <w:right w:val="single" w:color="auto" w:sz="4" w:space="0"/>
                  </w:tcBorders>
                  <w:noWrap/>
                  <w:vAlign w:val="center"/>
                </w:tcPr>
                <w:p w14:paraId="34E82D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141.682</w:t>
                  </w:r>
                </w:p>
              </w:tc>
              <w:tc>
                <w:tcPr>
                  <w:tcW w:w="730" w:type="pct"/>
                  <w:tcBorders>
                    <w:top w:val="single" w:color="auto" w:sz="4" w:space="0"/>
                    <w:left w:val="single" w:color="auto" w:sz="4" w:space="0"/>
                    <w:bottom w:val="single" w:color="auto" w:sz="4" w:space="0"/>
                    <w:right w:val="single" w:color="auto" w:sz="4" w:space="0"/>
                  </w:tcBorders>
                  <w:noWrap/>
                  <w:vAlign w:val="center"/>
                </w:tcPr>
                <w:p w14:paraId="4A1513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11.278</w:t>
                  </w:r>
                </w:p>
              </w:tc>
              <w:tc>
                <w:tcPr>
                  <w:tcW w:w="583" w:type="pct"/>
                  <w:tcBorders>
                    <w:top w:val="single" w:color="auto" w:sz="4" w:space="0"/>
                    <w:left w:val="single" w:color="auto" w:sz="4" w:space="0"/>
                    <w:bottom w:val="single" w:color="auto" w:sz="4" w:space="0"/>
                    <w:right w:val="nil"/>
                  </w:tcBorders>
                  <w:noWrap/>
                  <w:vAlign w:val="center"/>
                </w:tcPr>
                <w:p w14:paraId="25A2CC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17.417</w:t>
                  </w:r>
                </w:p>
              </w:tc>
            </w:tr>
            <w:tr w14:paraId="69C04189">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11DE397">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62B0DDC3">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6386D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DD6B4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0.943</w:t>
                  </w:r>
                </w:p>
              </w:tc>
              <w:tc>
                <w:tcPr>
                  <w:tcW w:w="730" w:type="pct"/>
                  <w:tcBorders>
                    <w:top w:val="single" w:color="auto" w:sz="4" w:space="0"/>
                    <w:left w:val="single" w:color="auto" w:sz="4" w:space="0"/>
                    <w:bottom w:val="single" w:color="auto" w:sz="4" w:space="0"/>
                    <w:right w:val="single" w:color="auto" w:sz="4" w:space="0"/>
                  </w:tcBorders>
                  <w:noWrap/>
                  <w:vAlign w:val="center"/>
                </w:tcPr>
                <w:p w14:paraId="20DFAE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22.276</w:t>
                  </w:r>
                </w:p>
              </w:tc>
              <w:tc>
                <w:tcPr>
                  <w:tcW w:w="730" w:type="pct"/>
                  <w:tcBorders>
                    <w:top w:val="single" w:color="auto" w:sz="4" w:space="0"/>
                    <w:left w:val="single" w:color="auto" w:sz="4" w:space="0"/>
                    <w:bottom w:val="single" w:color="auto" w:sz="4" w:space="0"/>
                    <w:right w:val="single" w:color="auto" w:sz="4" w:space="0"/>
                  </w:tcBorders>
                  <w:noWrap/>
                  <w:vAlign w:val="center"/>
                </w:tcPr>
                <w:p w14:paraId="402876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118.674</w:t>
                  </w:r>
                </w:p>
              </w:tc>
              <w:tc>
                <w:tcPr>
                  <w:tcW w:w="730" w:type="pct"/>
                  <w:tcBorders>
                    <w:top w:val="single" w:color="auto" w:sz="4" w:space="0"/>
                    <w:left w:val="single" w:color="auto" w:sz="4" w:space="0"/>
                    <w:bottom w:val="single" w:color="auto" w:sz="4" w:space="0"/>
                    <w:right w:val="single" w:color="auto" w:sz="4" w:space="0"/>
                  </w:tcBorders>
                  <w:noWrap/>
                  <w:vAlign w:val="center"/>
                </w:tcPr>
                <w:p w14:paraId="6B64E9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0.925</w:t>
                  </w:r>
                </w:p>
              </w:tc>
              <w:tc>
                <w:tcPr>
                  <w:tcW w:w="583" w:type="pct"/>
                  <w:tcBorders>
                    <w:top w:val="single" w:color="auto" w:sz="4" w:space="0"/>
                    <w:left w:val="single" w:color="auto" w:sz="4" w:space="0"/>
                    <w:bottom w:val="single" w:color="auto" w:sz="4" w:space="0"/>
                    <w:right w:val="nil"/>
                  </w:tcBorders>
                  <w:noWrap/>
                  <w:vAlign w:val="center"/>
                </w:tcPr>
                <w:p w14:paraId="196599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5.992</w:t>
                  </w:r>
                </w:p>
              </w:tc>
            </w:tr>
            <w:tr w14:paraId="27911A4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F9F0F05">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640FFC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6月</w:t>
                  </w:r>
                </w:p>
              </w:tc>
              <w:tc>
                <w:tcPr>
                  <w:tcW w:w="583" w:type="pct"/>
                  <w:tcBorders>
                    <w:top w:val="single" w:color="auto" w:sz="4" w:space="0"/>
                    <w:left w:val="single" w:color="auto" w:sz="4" w:space="0"/>
                    <w:bottom w:val="single" w:color="auto" w:sz="4" w:space="0"/>
                    <w:right w:val="single" w:color="auto" w:sz="4" w:space="0"/>
                  </w:tcBorders>
                  <w:noWrap/>
                  <w:vAlign w:val="center"/>
                </w:tcPr>
                <w:p w14:paraId="544437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80EB1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1.488</w:t>
                  </w:r>
                </w:p>
              </w:tc>
              <w:tc>
                <w:tcPr>
                  <w:tcW w:w="730" w:type="pct"/>
                  <w:tcBorders>
                    <w:top w:val="single" w:color="auto" w:sz="4" w:space="0"/>
                    <w:left w:val="single" w:color="auto" w:sz="4" w:space="0"/>
                    <w:bottom w:val="single" w:color="auto" w:sz="4" w:space="0"/>
                    <w:right w:val="single" w:color="auto" w:sz="4" w:space="0"/>
                  </w:tcBorders>
                  <w:noWrap/>
                  <w:vAlign w:val="center"/>
                </w:tcPr>
                <w:p w14:paraId="46AB2D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27.743</w:t>
                  </w:r>
                </w:p>
              </w:tc>
              <w:tc>
                <w:tcPr>
                  <w:tcW w:w="730" w:type="pct"/>
                  <w:tcBorders>
                    <w:top w:val="single" w:color="auto" w:sz="4" w:space="0"/>
                    <w:left w:val="single" w:color="auto" w:sz="4" w:space="0"/>
                    <w:bottom w:val="single" w:color="auto" w:sz="4" w:space="0"/>
                    <w:right w:val="single" w:color="auto" w:sz="4" w:space="0"/>
                  </w:tcBorders>
                  <w:noWrap/>
                  <w:vAlign w:val="center"/>
                </w:tcPr>
                <w:p w14:paraId="300B77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132.37</w:t>
                  </w:r>
                </w:p>
              </w:tc>
              <w:tc>
                <w:tcPr>
                  <w:tcW w:w="730" w:type="pct"/>
                  <w:tcBorders>
                    <w:top w:val="single" w:color="auto" w:sz="4" w:space="0"/>
                    <w:left w:val="single" w:color="auto" w:sz="4" w:space="0"/>
                    <w:bottom w:val="single" w:color="auto" w:sz="4" w:space="0"/>
                    <w:right w:val="single" w:color="auto" w:sz="4" w:space="0"/>
                  </w:tcBorders>
                  <w:noWrap/>
                  <w:vAlign w:val="center"/>
                </w:tcPr>
                <w:p w14:paraId="430507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4.219</w:t>
                  </w:r>
                </w:p>
              </w:tc>
              <w:tc>
                <w:tcPr>
                  <w:tcW w:w="583" w:type="pct"/>
                  <w:tcBorders>
                    <w:top w:val="single" w:color="auto" w:sz="4" w:space="0"/>
                    <w:left w:val="single" w:color="auto" w:sz="4" w:space="0"/>
                    <w:bottom w:val="single" w:color="auto" w:sz="4" w:space="0"/>
                    <w:right w:val="nil"/>
                  </w:tcBorders>
                  <w:noWrap/>
                  <w:vAlign w:val="center"/>
                </w:tcPr>
                <w:p w14:paraId="32F622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14.35</w:t>
                  </w:r>
                </w:p>
              </w:tc>
            </w:tr>
            <w:tr w14:paraId="0AB0E26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4A932F7">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6A14F12A">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074C4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A9E9B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1.979</w:t>
                  </w:r>
                </w:p>
              </w:tc>
              <w:tc>
                <w:tcPr>
                  <w:tcW w:w="730" w:type="pct"/>
                  <w:tcBorders>
                    <w:top w:val="single" w:color="auto" w:sz="4" w:space="0"/>
                    <w:left w:val="single" w:color="auto" w:sz="4" w:space="0"/>
                    <w:bottom w:val="single" w:color="auto" w:sz="4" w:space="0"/>
                    <w:right w:val="single" w:color="auto" w:sz="4" w:space="0"/>
                  </w:tcBorders>
                  <w:noWrap/>
                  <w:vAlign w:val="center"/>
                </w:tcPr>
                <w:p w14:paraId="11B4C4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38.721</w:t>
                  </w:r>
                </w:p>
              </w:tc>
              <w:tc>
                <w:tcPr>
                  <w:tcW w:w="730" w:type="pct"/>
                  <w:tcBorders>
                    <w:top w:val="single" w:color="auto" w:sz="4" w:space="0"/>
                    <w:left w:val="single" w:color="auto" w:sz="4" w:space="0"/>
                    <w:bottom w:val="single" w:color="auto" w:sz="4" w:space="0"/>
                    <w:right w:val="single" w:color="auto" w:sz="4" w:space="0"/>
                  </w:tcBorders>
                  <w:noWrap/>
                  <w:vAlign w:val="center"/>
                </w:tcPr>
                <w:p w14:paraId="5EEFAF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145.911</w:t>
                  </w:r>
                </w:p>
              </w:tc>
              <w:tc>
                <w:tcPr>
                  <w:tcW w:w="730" w:type="pct"/>
                  <w:tcBorders>
                    <w:top w:val="single" w:color="auto" w:sz="4" w:space="0"/>
                    <w:left w:val="single" w:color="auto" w:sz="4" w:space="0"/>
                    <w:bottom w:val="single" w:color="auto" w:sz="4" w:space="0"/>
                    <w:right w:val="single" w:color="auto" w:sz="4" w:space="0"/>
                  </w:tcBorders>
                  <w:noWrap/>
                  <w:vAlign w:val="center"/>
                </w:tcPr>
                <w:p w14:paraId="2C2F0A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14.589</w:t>
                  </w:r>
                </w:p>
              </w:tc>
              <w:tc>
                <w:tcPr>
                  <w:tcW w:w="583" w:type="pct"/>
                  <w:tcBorders>
                    <w:top w:val="single" w:color="auto" w:sz="4" w:space="0"/>
                    <w:left w:val="single" w:color="auto" w:sz="4" w:space="0"/>
                    <w:bottom w:val="single" w:color="auto" w:sz="4" w:space="0"/>
                    <w:right w:val="nil"/>
                  </w:tcBorders>
                  <w:noWrap/>
                  <w:vAlign w:val="center"/>
                </w:tcPr>
                <w:p w14:paraId="23A4F7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20.458</w:t>
                  </w:r>
                </w:p>
              </w:tc>
            </w:tr>
            <w:tr w14:paraId="3C8CDAD2">
              <w:tblPrEx>
                <w:tblCellMar>
                  <w:top w:w="0" w:type="dxa"/>
                  <w:left w:w="108" w:type="dxa"/>
                  <w:bottom w:w="0" w:type="dxa"/>
                  <w:right w:w="108" w:type="dxa"/>
                </w:tblCellMar>
              </w:tblPrEx>
              <w:trPr>
                <w:trHeight w:val="43" w:hRule="atLeast"/>
              </w:trPr>
              <w:tc>
                <w:tcPr>
                  <w:tcW w:w="1009" w:type="dxa"/>
                  <w:vMerge w:val="continue"/>
                  <w:tcBorders>
                    <w:top w:val="single" w:color="auto" w:sz="4" w:space="0"/>
                    <w:left w:val="nil"/>
                    <w:bottom w:val="single" w:color="auto" w:sz="4" w:space="0"/>
                    <w:right w:val="single" w:color="auto" w:sz="4" w:space="0"/>
                  </w:tcBorders>
                  <w:vAlign w:val="center"/>
                </w:tcPr>
                <w:p w14:paraId="3EE951B2">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17EFE4D2">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92A06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C56E7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1.052</w:t>
                  </w:r>
                </w:p>
              </w:tc>
              <w:tc>
                <w:tcPr>
                  <w:tcW w:w="730" w:type="pct"/>
                  <w:tcBorders>
                    <w:top w:val="single" w:color="auto" w:sz="4" w:space="0"/>
                    <w:left w:val="single" w:color="auto" w:sz="4" w:space="0"/>
                    <w:bottom w:val="single" w:color="auto" w:sz="4" w:space="0"/>
                    <w:right w:val="single" w:color="auto" w:sz="4" w:space="0"/>
                  </w:tcBorders>
                  <w:noWrap/>
                  <w:vAlign w:val="center"/>
                </w:tcPr>
                <w:p w14:paraId="7CFF5D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19.849</w:t>
                  </w:r>
                </w:p>
              </w:tc>
              <w:tc>
                <w:tcPr>
                  <w:tcW w:w="730" w:type="pct"/>
                  <w:tcBorders>
                    <w:top w:val="single" w:color="auto" w:sz="4" w:space="0"/>
                    <w:left w:val="single" w:color="auto" w:sz="4" w:space="0"/>
                    <w:bottom w:val="single" w:color="auto" w:sz="4" w:space="0"/>
                    <w:right w:val="single" w:color="auto" w:sz="4" w:space="0"/>
                  </w:tcBorders>
                  <w:noWrap/>
                  <w:vAlign w:val="center"/>
                </w:tcPr>
                <w:p w14:paraId="6BAE1D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122.918</w:t>
                  </w:r>
                </w:p>
              </w:tc>
              <w:tc>
                <w:tcPr>
                  <w:tcW w:w="730" w:type="pct"/>
                  <w:tcBorders>
                    <w:top w:val="single" w:color="auto" w:sz="4" w:space="0"/>
                    <w:left w:val="single" w:color="auto" w:sz="4" w:space="0"/>
                    <w:bottom w:val="single" w:color="auto" w:sz="4" w:space="0"/>
                    <w:right w:val="single" w:color="auto" w:sz="4" w:space="0"/>
                  </w:tcBorders>
                  <w:noWrap/>
                  <w:vAlign w:val="center"/>
                </w:tcPr>
                <w:p w14:paraId="11B5E5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2.546</w:t>
                  </w:r>
                </w:p>
              </w:tc>
              <w:tc>
                <w:tcPr>
                  <w:tcW w:w="583" w:type="pct"/>
                  <w:tcBorders>
                    <w:top w:val="single" w:color="auto" w:sz="4" w:space="0"/>
                    <w:left w:val="single" w:color="auto" w:sz="4" w:space="0"/>
                    <w:bottom w:val="single" w:color="auto" w:sz="4" w:space="0"/>
                    <w:right w:val="nil"/>
                  </w:tcBorders>
                  <w:noWrap/>
                  <w:vAlign w:val="center"/>
                </w:tcPr>
                <w:p w14:paraId="0A3F61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6.871</w:t>
                  </w:r>
                </w:p>
              </w:tc>
            </w:tr>
            <w:tr w14:paraId="27498CE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2B38A47">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3CCC6D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7月</w:t>
                  </w:r>
                </w:p>
              </w:tc>
              <w:tc>
                <w:tcPr>
                  <w:tcW w:w="583" w:type="pct"/>
                  <w:tcBorders>
                    <w:top w:val="single" w:color="auto" w:sz="4" w:space="0"/>
                    <w:left w:val="single" w:color="auto" w:sz="4" w:space="0"/>
                    <w:bottom w:val="single" w:color="auto" w:sz="4" w:space="0"/>
                    <w:right w:val="single" w:color="auto" w:sz="4" w:space="0"/>
                  </w:tcBorders>
                  <w:noWrap/>
                  <w:vAlign w:val="center"/>
                </w:tcPr>
                <w:p w14:paraId="098092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48D5F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1.703</w:t>
                  </w:r>
                </w:p>
              </w:tc>
              <w:tc>
                <w:tcPr>
                  <w:tcW w:w="730" w:type="pct"/>
                  <w:tcBorders>
                    <w:top w:val="single" w:color="auto" w:sz="4" w:space="0"/>
                    <w:left w:val="single" w:color="auto" w:sz="4" w:space="0"/>
                    <w:bottom w:val="single" w:color="auto" w:sz="4" w:space="0"/>
                    <w:right w:val="single" w:color="auto" w:sz="4" w:space="0"/>
                  </w:tcBorders>
                  <w:noWrap/>
                  <w:vAlign w:val="center"/>
                </w:tcPr>
                <w:p w14:paraId="5EA3E9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27.175</w:t>
                  </w:r>
                </w:p>
              </w:tc>
              <w:tc>
                <w:tcPr>
                  <w:tcW w:w="730" w:type="pct"/>
                  <w:tcBorders>
                    <w:top w:val="single" w:color="auto" w:sz="4" w:space="0"/>
                    <w:left w:val="single" w:color="auto" w:sz="4" w:space="0"/>
                    <w:bottom w:val="single" w:color="auto" w:sz="4" w:space="0"/>
                    <w:right w:val="single" w:color="auto" w:sz="4" w:space="0"/>
                  </w:tcBorders>
                  <w:noWrap/>
                  <w:vAlign w:val="center"/>
                </w:tcPr>
                <w:p w14:paraId="5135EE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120.088</w:t>
                  </w:r>
                </w:p>
              </w:tc>
              <w:tc>
                <w:tcPr>
                  <w:tcW w:w="730" w:type="pct"/>
                  <w:tcBorders>
                    <w:top w:val="single" w:color="auto" w:sz="4" w:space="0"/>
                    <w:left w:val="single" w:color="auto" w:sz="4" w:space="0"/>
                    <w:bottom w:val="single" w:color="auto" w:sz="4" w:space="0"/>
                    <w:right w:val="single" w:color="auto" w:sz="4" w:space="0"/>
                  </w:tcBorders>
                  <w:noWrap/>
                  <w:vAlign w:val="center"/>
                </w:tcPr>
                <w:p w14:paraId="1D047A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3.679</w:t>
                  </w:r>
                </w:p>
              </w:tc>
              <w:tc>
                <w:tcPr>
                  <w:tcW w:w="583" w:type="pct"/>
                  <w:tcBorders>
                    <w:top w:val="single" w:color="auto" w:sz="4" w:space="0"/>
                    <w:left w:val="single" w:color="auto" w:sz="4" w:space="0"/>
                    <w:bottom w:val="single" w:color="auto" w:sz="4" w:space="0"/>
                    <w:right w:val="nil"/>
                  </w:tcBorders>
                  <w:noWrap/>
                  <w:vAlign w:val="center"/>
                </w:tcPr>
                <w:p w14:paraId="4FD7DD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9.046</w:t>
                  </w:r>
                </w:p>
              </w:tc>
            </w:tr>
            <w:tr w14:paraId="41014F98">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BAE5F31">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B86B144">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94B6F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DF0D8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c>
                <w:tcPr>
                  <w:tcW w:w="730" w:type="pct"/>
                  <w:tcBorders>
                    <w:top w:val="single" w:color="auto" w:sz="4" w:space="0"/>
                    <w:left w:val="single" w:color="auto" w:sz="4" w:space="0"/>
                    <w:bottom w:val="single" w:color="auto" w:sz="4" w:space="0"/>
                    <w:right w:val="single" w:color="auto" w:sz="4" w:space="0"/>
                  </w:tcBorders>
                  <w:noWrap/>
                  <w:vAlign w:val="center"/>
                </w:tcPr>
                <w:p w14:paraId="7BB3A9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37.777</w:t>
                  </w:r>
                </w:p>
              </w:tc>
              <w:tc>
                <w:tcPr>
                  <w:tcW w:w="730" w:type="pct"/>
                  <w:tcBorders>
                    <w:top w:val="single" w:color="auto" w:sz="4" w:space="0"/>
                    <w:left w:val="single" w:color="auto" w:sz="4" w:space="0"/>
                    <w:bottom w:val="single" w:color="auto" w:sz="4" w:space="0"/>
                    <w:right w:val="single" w:color="auto" w:sz="4" w:space="0"/>
                  </w:tcBorders>
                  <w:noWrap/>
                  <w:vAlign w:val="center"/>
                </w:tcPr>
                <w:p w14:paraId="367F32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130.958</w:t>
                  </w:r>
                </w:p>
              </w:tc>
              <w:tc>
                <w:tcPr>
                  <w:tcW w:w="730" w:type="pct"/>
                  <w:tcBorders>
                    <w:top w:val="single" w:color="auto" w:sz="4" w:space="0"/>
                    <w:left w:val="single" w:color="auto" w:sz="4" w:space="0"/>
                    <w:bottom w:val="single" w:color="auto" w:sz="4" w:space="0"/>
                    <w:right w:val="single" w:color="auto" w:sz="4" w:space="0"/>
                  </w:tcBorders>
                  <w:noWrap/>
                  <w:vAlign w:val="center"/>
                </w:tcPr>
                <w:p w14:paraId="48CA98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6.742</w:t>
                  </w:r>
                </w:p>
              </w:tc>
              <w:tc>
                <w:tcPr>
                  <w:tcW w:w="583" w:type="pct"/>
                  <w:tcBorders>
                    <w:top w:val="single" w:color="auto" w:sz="4" w:space="0"/>
                    <w:left w:val="single" w:color="auto" w:sz="4" w:space="0"/>
                    <w:bottom w:val="single" w:color="auto" w:sz="4" w:space="0"/>
                    <w:right w:val="nil"/>
                  </w:tcBorders>
                  <w:noWrap/>
                  <w:vAlign w:val="center"/>
                </w:tcPr>
                <w:p w14:paraId="1F3B4C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16.273</w:t>
                  </w:r>
                </w:p>
              </w:tc>
            </w:tr>
            <w:tr w14:paraId="4EEA15C7">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6A575DB9">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4B36470">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120FB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95F02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1.267</w:t>
                  </w:r>
                </w:p>
              </w:tc>
              <w:tc>
                <w:tcPr>
                  <w:tcW w:w="730" w:type="pct"/>
                  <w:tcBorders>
                    <w:top w:val="single" w:color="auto" w:sz="4" w:space="0"/>
                    <w:left w:val="single" w:color="auto" w:sz="4" w:space="0"/>
                    <w:bottom w:val="single" w:color="auto" w:sz="4" w:space="0"/>
                    <w:right w:val="single" w:color="auto" w:sz="4" w:space="0"/>
                  </w:tcBorders>
                  <w:noWrap/>
                  <w:vAlign w:val="center"/>
                </w:tcPr>
                <w:p w14:paraId="5CDE7E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17.663</w:t>
                  </w:r>
                </w:p>
              </w:tc>
              <w:tc>
                <w:tcPr>
                  <w:tcW w:w="730" w:type="pct"/>
                  <w:tcBorders>
                    <w:top w:val="single" w:color="auto" w:sz="4" w:space="0"/>
                    <w:left w:val="single" w:color="auto" w:sz="4" w:space="0"/>
                    <w:bottom w:val="single" w:color="auto" w:sz="4" w:space="0"/>
                    <w:right w:val="single" w:color="auto" w:sz="4" w:space="0"/>
                  </w:tcBorders>
                  <w:noWrap/>
                  <w:vAlign w:val="center"/>
                </w:tcPr>
                <w:p w14:paraId="5EA981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116.133</w:t>
                  </w:r>
                </w:p>
              </w:tc>
              <w:tc>
                <w:tcPr>
                  <w:tcW w:w="730" w:type="pct"/>
                  <w:tcBorders>
                    <w:top w:val="single" w:color="auto" w:sz="4" w:space="0"/>
                    <w:left w:val="single" w:color="auto" w:sz="4" w:space="0"/>
                    <w:bottom w:val="single" w:color="auto" w:sz="4" w:space="0"/>
                    <w:right w:val="single" w:color="auto" w:sz="4" w:space="0"/>
                  </w:tcBorders>
                  <w:noWrap/>
                  <w:vAlign w:val="center"/>
                </w:tcPr>
                <w:p w14:paraId="27E641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2.141</w:t>
                  </w:r>
                </w:p>
              </w:tc>
              <w:tc>
                <w:tcPr>
                  <w:tcW w:w="583" w:type="pct"/>
                  <w:tcBorders>
                    <w:top w:val="single" w:color="auto" w:sz="4" w:space="0"/>
                    <w:left w:val="single" w:color="auto" w:sz="4" w:space="0"/>
                    <w:bottom w:val="single" w:color="auto" w:sz="4" w:space="0"/>
                    <w:right w:val="nil"/>
                  </w:tcBorders>
                  <w:noWrap/>
                  <w:vAlign w:val="center"/>
                </w:tcPr>
                <w:p w14:paraId="4770D6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4.597</w:t>
                  </w:r>
                </w:p>
              </w:tc>
            </w:tr>
            <w:tr w14:paraId="57930F44">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5525155">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206DB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8月</w:t>
                  </w:r>
                </w:p>
              </w:tc>
              <w:tc>
                <w:tcPr>
                  <w:tcW w:w="583" w:type="pct"/>
                  <w:tcBorders>
                    <w:top w:val="single" w:color="auto" w:sz="4" w:space="0"/>
                    <w:left w:val="single" w:color="auto" w:sz="4" w:space="0"/>
                    <w:bottom w:val="single" w:color="auto" w:sz="4" w:space="0"/>
                    <w:right w:val="single" w:color="auto" w:sz="4" w:space="0"/>
                  </w:tcBorders>
                  <w:noWrap/>
                  <w:vAlign w:val="center"/>
                </w:tcPr>
                <w:p w14:paraId="1C2A60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0C2D8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1.202</w:t>
                  </w:r>
                </w:p>
              </w:tc>
              <w:tc>
                <w:tcPr>
                  <w:tcW w:w="730" w:type="pct"/>
                  <w:tcBorders>
                    <w:top w:val="single" w:color="auto" w:sz="4" w:space="0"/>
                    <w:left w:val="single" w:color="auto" w:sz="4" w:space="0"/>
                    <w:bottom w:val="single" w:color="auto" w:sz="4" w:space="0"/>
                    <w:right w:val="single" w:color="auto" w:sz="4" w:space="0"/>
                  </w:tcBorders>
                  <w:noWrap/>
                  <w:vAlign w:val="center"/>
                </w:tcPr>
                <w:p w14:paraId="6DFD12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21.514</w:t>
                  </w:r>
                </w:p>
              </w:tc>
              <w:tc>
                <w:tcPr>
                  <w:tcW w:w="730" w:type="pct"/>
                  <w:tcBorders>
                    <w:top w:val="single" w:color="auto" w:sz="4" w:space="0"/>
                    <w:left w:val="single" w:color="auto" w:sz="4" w:space="0"/>
                    <w:bottom w:val="single" w:color="auto" w:sz="4" w:space="0"/>
                    <w:right w:val="single" w:color="auto" w:sz="4" w:space="0"/>
                  </w:tcBorders>
                  <w:noWrap/>
                  <w:vAlign w:val="center"/>
                </w:tcPr>
                <w:p w14:paraId="20ACF8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118.692</w:t>
                  </w:r>
                </w:p>
              </w:tc>
              <w:tc>
                <w:tcPr>
                  <w:tcW w:w="730" w:type="pct"/>
                  <w:tcBorders>
                    <w:top w:val="single" w:color="auto" w:sz="4" w:space="0"/>
                    <w:left w:val="single" w:color="auto" w:sz="4" w:space="0"/>
                    <w:bottom w:val="single" w:color="auto" w:sz="4" w:space="0"/>
                    <w:right w:val="single" w:color="auto" w:sz="4" w:space="0"/>
                  </w:tcBorders>
                  <w:noWrap/>
                  <w:vAlign w:val="center"/>
                </w:tcPr>
                <w:p w14:paraId="26BC39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3.717</w:t>
                  </w:r>
                </w:p>
              </w:tc>
              <w:tc>
                <w:tcPr>
                  <w:tcW w:w="583" w:type="pct"/>
                  <w:tcBorders>
                    <w:top w:val="single" w:color="auto" w:sz="4" w:space="0"/>
                    <w:left w:val="single" w:color="auto" w:sz="4" w:space="0"/>
                    <w:bottom w:val="single" w:color="auto" w:sz="4" w:space="0"/>
                    <w:right w:val="nil"/>
                  </w:tcBorders>
                  <w:noWrap/>
                </w:tcPr>
                <w:p w14:paraId="1DF192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11.551</w:t>
                  </w:r>
                </w:p>
              </w:tc>
            </w:tr>
            <w:tr w14:paraId="3FB658F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FBD894E">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65495ADD">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A2FAE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25377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1.536</w:t>
                  </w:r>
                </w:p>
              </w:tc>
              <w:tc>
                <w:tcPr>
                  <w:tcW w:w="730" w:type="pct"/>
                  <w:tcBorders>
                    <w:top w:val="single" w:color="auto" w:sz="4" w:space="0"/>
                    <w:left w:val="single" w:color="auto" w:sz="4" w:space="0"/>
                    <w:bottom w:val="single" w:color="auto" w:sz="4" w:space="0"/>
                    <w:right w:val="single" w:color="auto" w:sz="4" w:space="0"/>
                  </w:tcBorders>
                  <w:noWrap/>
                  <w:vAlign w:val="center"/>
                </w:tcPr>
                <w:p w14:paraId="770ECF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33.038</w:t>
                  </w:r>
                </w:p>
              </w:tc>
              <w:tc>
                <w:tcPr>
                  <w:tcW w:w="730" w:type="pct"/>
                  <w:tcBorders>
                    <w:top w:val="single" w:color="auto" w:sz="4" w:space="0"/>
                    <w:left w:val="single" w:color="auto" w:sz="4" w:space="0"/>
                    <w:bottom w:val="single" w:color="auto" w:sz="4" w:space="0"/>
                    <w:right w:val="single" w:color="auto" w:sz="4" w:space="0"/>
                  </w:tcBorders>
                  <w:noWrap/>
                  <w:vAlign w:val="center"/>
                </w:tcPr>
                <w:p w14:paraId="0E2C4B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121.889</w:t>
                  </w:r>
                </w:p>
              </w:tc>
              <w:tc>
                <w:tcPr>
                  <w:tcW w:w="730" w:type="pct"/>
                  <w:tcBorders>
                    <w:top w:val="single" w:color="auto" w:sz="4" w:space="0"/>
                    <w:left w:val="single" w:color="auto" w:sz="4" w:space="0"/>
                    <w:bottom w:val="single" w:color="auto" w:sz="4" w:space="0"/>
                    <w:right w:val="single" w:color="auto" w:sz="4" w:space="0"/>
                  </w:tcBorders>
                  <w:noWrap/>
                  <w:vAlign w:val="center"/>
                </w:tcPr>
                <w:p w14:paraId="544613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9.818</w:t>
                  </w:r>
                </w:p>
              </w:tc>
              <w:tc>
                <w:tcPr>
                  <w:tcW w:w="583" w:type="pct"/>
                  <w:tcBorders>
                    <w:top w:val="single" w:color="auto" w:sz="4" w:space="0"/>
                    <w:left w:val="single" w:color="auto" w:sz="4" w:space="0"/>
                    <w:bottom w:val="single" w:color="auto" w:sz="4" w:space="0"/>
                    <w:right w:val="nil"/>
                  </w:tcBorders>
                  <w:noWrap/>
                </w:tcPr>
                <w:p w14:paraId="1F594B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19.013</w:t>
                  </w:r>
                </w:p>
              </w:tc>
            </w:tr>
            <w:tr w14:paraId="4BE44C3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180E06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82D272E">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744FB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C6419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0.952</w:t>
                  </w:r>
                </w:p>
              </w:tc>
              <w:tc>
                <w:tcPr>
                  <w:tcW w:w="730" w:type="pct"/>
                  <w:tcBorders>
                    <w:top w:val="single" w:color="auto" w:sz="4" w:space="0"/>
                    <w:left w:val="single" w:color="auto" w:sz="4" w:space="0"/>
                    <w:bottom w:val="single" w:color="auto" w:sz="4" w:space="0"/>
                    <w:right w:val="single" w:color="auto" w:sz="4" w:space="0"/>
                  </w:tcBorders>
                  <w:noWrap/>
                  <w:vAlign w:val="center"/>
                </w:tcPr>
                <w:p w14:paraId="773339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15.19</w:t>
                  </w:r>
                </w:p>
              </w:tc>
              <w:tc>
                <w:tcPr>
                  <w:tcW w:w="730" w:type="pct"/>
                  <w:tcBorders>
                    <w:top w:val="single" w:color="auto" w:sz="4" w:space="0"/>
                    <w:left w:val="single" w:color="auto" w:sz="4" w:space="0"/>
                    <w:bottom w:val="single" w:color="auto" w:sz="4" w:space="0"/>
                    <w:right w:val="single" w:color="auto" w:sz="4" w:space="0"/>
                  </w:tcBorders>
                  <w:noWrap/>
                  <w:vAlign w:val="center"/>
                </w:tcPr>
                <w:p w14:paraId="034093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111.716</w:t>
                  </w:r>
                </w:p>
              </w:tc>
              <w:tc>
                <w:tcPr>
                  <w:tcW w:w="730" w:type="pct"/>
                  <w:tcBorders>
                    <w:top w:val="single" w:color="auto" w:sz="4" w:space="0"/>
                    <w:left w:val="single" w:color="auto" w:sz="4" w:space="0"/>
                    <w:bottom w:val="single" w:color="auto" w:sz="4" w:space="0"/>
                    <w:right w:val="single" w:color="auto" w:sz="4" w:space="0"/>
                  </w:tcBorders>
                  <w:noWrap/>
                  <w:vAlign w:val="center"/>
                </w:tcPr>
                <w:p w14:paraId="5F5469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2.05</w:t>
                  </w:r>
                </w:p>
              </w:tc>
              <w:tc>
                <w:tcPr>
                  <w:tcW w:w="583" w:type="pct"/>
                  <w:tcBorders>
                    <w:top w:val="single" w:color="auto" w:sz="4" w:space="0"/>
                    <w:left w:val="single" w:color="auto" w:sz="4" w:space="0"/>
                    <w:bottom w:val="single" w:color="auto" w:sz="4" w:space="0"/>
                    <w:right w:val="nil"/>
                  </w:tcBorders>
                  <w:noWrap/>
                </w:tcPr>
                <w:p w14:paraId="446403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5.996</w:t>
                  </w:r>
                </w:p>
              </w:tc>
            </w:tr>
            <w:tr w14:paraId="5DA5C9EA">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104C5E68">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5CCE64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9月</w:t>
                  </w:r>
                </w:p>
              </w:tc>
              <w:tc>
                <w:tcPr>
                  <w:tcW w:w="583" w:type="pct"/>
                  <w:tcBorders>
                    <w:top w:val="single" w:color="auto" w:sz="4" w:space="0"/>
                    <w:left w:val="single" w:color="auto" w:sz="4" w:space="0"/>
                    <w:bottom w:val="single" w:color="auto" w:sz="4" w:space="0"/>
                    <w:right w:val="single" w:color="auto" w:sz="4" w:space="0"/>
                  </w:tcBorders>
                  <w:noWrap/>
                  <w:vAlign w:val="center"/>
                </w:tcPr>
                <w:p w14:paraId="74EE3B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7269A7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1.269</w:t>
                  </w:r>
                </w:p>
              </w:tc>
              <w:tc>
                <w:tcPr>
                  <w:tcW w:w="730" w:type="pct"/>
                  <w:tcBorders>
                    <w:top w:val="single" w:color="auto" w:sz="4" w:space="0"/>
                    <w:left w:val="single" w:color="auto" w:sz="4" w:space="0"/>
                    <w:bottom w:val="single" w:color="auto" w:sz="4" w:space="0"/>
                    <w:right w:val="single" w:color="auto" w:sz="4" w:space="0"/>
                  </w:tcBorders>
                  <w:noWrap/>
                  <w:vAlign w:val="center"/>
                </w:tcPr>
                <w:p w14:paraId="5A4D8A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w:t>
                  </w:r>
                </w:p>
              </w:tc>
              <w:tc>
                <w:tcPr>
                  <w:tcW w:w="730" w:type="pct"/>
                  <w:tcBorders>
                    <w:top w:val="single" w:color="auto" w:sz="4" w:space="0"/>
                    <w:left w:val="single" w:color="auto" w:sz="4" w:space="0"/>
                    <w:bottom w:val="single" w:color="auto" w:sz="4" w:space="0"/>
                    <w:right w:val="single" w:color="auto" w:sz="4" w:space="0"/>
                  </w:tcBorders>
                  <w:noWrap/>
                  <w:vAlign w:val="center"/>
                </w:tcPr>
                <w:p w14:paraId="6BC6B5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122.169</w:t>
                  </w:r>
                </w:p>
              </w:tc>
              <w:tc>
                <w:tcPr>
                  <w:tcW w:w="730" w:type="pct"/>
                  <w:tcBorders>
                    <w:top w:val="single" w:color="auto" w:sz="4" w:space="0"/>
                    <w:left w:val="single" w:color="auto" w:sz="4" w:space="0"/>
                    <w:bottom w:val="single" w:color="auto" w:sz="4" w:space="0"/>
                    <w:right w:val="single" w:color="auto" w:sz="4" w:space="0"/>
                  </w:tcBorders>
                  <w:noWrap/>
                  <w:vAlign w:val="center"/>
                </w:tcPr>
                <w:p w14:paraId="412067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4.227</w:t>
                  </w:r>
                </w:p>
              </w:tc>
              <w:tc>
                <w:tcPr>
                  <w:tcW w:w="583" w:type="pct"/>
                  <w:tcBorders>
                    <w:top w:val="single" w:color="auto" w:sz="4" w:space="0"/>
                    <w:left w:val="single" w:color="auto" w:sz="4" w:space="0"/>
                    <w:bottom w:val="single" w:color="auto" w:sz="4" w:space="0"/>
                    <w:right w:val="nil"/>
                  </w:tcBorders>
                  <w:noWrap/>
                  <w:vAlign w:val="center"/>
                </w:tcPr>
                <w:p w14:paraId="133119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8.304</w:t>
                  </w:r>
                </w:p>
              </w:tc>
            </w:tr>
            <w:tr w14:paraId="2AED4B4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C3FEF6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BCFEA47">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25B97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EDF91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1.773</w:t>
                  </w:r>
                </w:p>
              </w:tc>
              <w:tc>
                <w:tcPr>
                  <w:tcW w:w="730" w:type="pct"/>
                  <w:tcBorders>
                    <w:top w:val="single" w:color="auto" w:sz="4" w:space="0"/>
                    <w:left w:val="single" w:color="auto" w:sz="4" w:space="0"/>
                    <w:bottom w:val="single" w:color="auto" w:sz="4" w:space="0"/>
                    <w:right w:val="single" w:color="auto" w:sz="4" w:space="0"/>
                  </w:tcBorders>
                  <w:noWrap/>
                  <w:vAlign w:val="center"/>
                </w:tcPr>
                <w:p w14:paraId="21E541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39.834</w:t>
                  </w:r>
                </w:p>
              </w:tc>
              <w:tc>
                <w:tcPr>
                  <w:tcW w:w="730" w:type="pct"/>
                  <w:tcBorders>
                    <w:top w:val="single" w:color="auto" w:sz="4" w:space="0"/>
                    <w:left w:val="single" w:color="auto" w:sz="4" w:space="0"/>
                    <w:bottom w:val="single" w:color="auto" w:sz="4" w:space="0"/>
                    <w:right w:val="single" w:color="auto" w:sz="4" w:space="0"/>
                  </w:tcBorders>
                  <w:noWrap/>
                  <w:vAlign w:val="center"/>
                </w:tcPr>
                <w:p w14:paraId="731215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145.689</w:t>
                  </w:r>
                </w:p>
              </w:tc>
              <w:tc>
                <w:tcPr>
                  <w:tcW w:w="730" w:type="pct"/>
                  <w:tcBorders>
                    <w:top w:val="single" w:color="auto" w:sz="4" w:space="0"/>
                    <w:left w:val="single" w:color="auto" w:sz="4" w:space="0"/>
                    <w:bottom w:val="single" w:color="auto" w:sz="4" w:space="0"/>
                    <w:right w:val="single" w:color="auto" w:sz="4" w:space="0"/>
                  </w:tcBorders>
                  <w:noWrap/>
                  <w:vAlign w:val="center"/>
                </w:tcPr>
                <w:p w14:paraId="17C4FD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14.692</w:t>
                  </w:r>
                </w:p>
              </w:tc>
              <w:tc>
                <w:tcPr>
                  <w:tcW w:w="583" w:type="pct"/>
                  <w:tcBorders>
                    <w:top w:val="single" w:color="auto" w:sz="4" w:space="0"/>
                    <w:left w:val="single" w:color="auto" w:sz="4" w:space="0"/>
                    <w:bottom w:val="single" w:color="auto" w:sz="4" w:space="0"/>
                    <w:right w:val="nil"/>
                  </w:tcBorders>
                  <w:noWrap/>
                  <w:vAlign w:val="center"/>
                </w:tcPr>
                <w:p w14:paraId="7B41EB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15.645</w:t>
                  </w:r>
                </w:p>
              </w:tc>
            </w:tr>
            <w:tr w14:paraId="183DA10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6C6CEBB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99C4D16">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C460B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622C5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0.958</w:t>
                  </w:r>
                </w:p>
              </w:tc>
              <w:tc>
                <w:tcPr>
                  <w:tcW w:w="730" w:type="pct"/>
                  <w:tcBorders>
                    <w:top w:val="single" w:color="auto" w:sz="4" w:space="0"/>
                    <w:left w:val="single" w:color="auto" w:sz="4" w:space="0"/>
                    <w:bottom w:val="single" w:color="auto" w:sz="4" w:space="0"/>
                    <w:right w:val="single" w:color="auto" w:sz="4" w:space="0"/>
                  </w:tcBorders>
                  <w:noWrap/>
                  <w:vAlign w:val="center"/>
                </w:tcPr>
                <w:p w14:paraId="0EF3D0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16.081</w:t>
                  </w:r>
                </w:p>
              </w:tc>
              <w:tc>
                <w:tcPr>
                  <w:tcW w:w="730" w:type="pct"/>
                  <w:tcBorders>
                    <w:top w:val="single" w:color="auto" w:sz="4" w:space="0"/>
                    <w:left w:val="single" w:color="auto" w:sz="4" w:space="0"/>
                    <w:bottom w:val="single" w:color="auto" w:sz="4" w:space="0"/>
                    <w:right w:val="single" w:color="auto" w:sz="4" w:space="0"/>
                  </w:tcBorders>
                  <w:noWrap/>
                  <w:vAlign w:val="center"/>
                </w:tcPr>
                <w:p w14:paraId="3A8447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112.357</w:t>
                  </w:r>
                </w:p>
              </w:tc>
              <w:tc>
                <w:tcPr>
                  <w:tcW w:w="730" w:type="pct"/>
                  <w:tcBorders>
                    <w:top w:val="single" w:color="auto" w:sz="4" w:space="0"/>
                    <w:left w:val="single" w:color="auto" w:sz="4" w:space="0"/>
                    <w:bottom w:val="single" w:color="auto" w:sz="4" w:space="0"/>
                    <w:right w:val="single" w:color="auto" w:sz="4" w:space="0"/>
                  </w:tcBorders>
                  <w:noWrap/>
                  <w:vAlign w:val="center"/>
                </w:tcPr>
                <w:p w14:paraId="7FC9E7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1.322</w:t>
                  </w:r>
                </w:p>
              </w:tc>
              <w:tc>
                <w:tcPr>
                  <w:tcW w:w="583" w:type="pct"/>
                  <w:tcBorders>
                    <w:top w:val="single" w:color="auto" w:sz="4" w:space="0"/>
                    <w:left w:val="single" w:color="auto" w:sz="4" w:space="0"/>
                    <w:bottom w:val="single" w:color="auto" w:sz="4" w:space="0"/>
                    <w:right w:val="nil"/>
                  </w:tcBorders>
                  <w:noWrap/>
                  <w:vAlign w:val="center"/>
                </w:tcPr>
                <w:p w14:paraId="7FD48D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2.27</w:t>
                  </w:r>
                </w:p>
              </w:tc>
            </w:tr>
            <w:tr w14:paraId="32B106A9">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F56A212">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099445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10月</w:t>
                  </w:r>
                </w:p>
              </w:tc>
              <w:tc>
                <w:tcPr>
                  <w:tcW w:w="583" w:type="pct"/>
                  <w:tcBorders>
                    <w:top w:val="single" w:color="auto" w:sz="4" w:space="0"/>
                    <w:left w:val="single" w:color="auto" w:sz="4" w:space="0"/>
                    <w:bottom w:val="single" w:color="auto" w:sz="4" w:space="0"/>
                    <w:right w:val="single" w:color="auto" w:sz="4" w:space="0"/>
                  </w:tcBorders>
                  <w:noWrap/>
                  <w:vAlign w:val="center"/>
                </w:tcPr>
                <w:p w14:paraId="184BC0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D3471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1.188</w:t>
                  </w:r>
                </w:p>
              </w:tc>
              <w:tc>
                <w:tcPr>
                  <w:tcW w:w="730" w:type="pct"/>
                  <w:tcBorders>
                    <w:top w:val="single" w:color="auto" w:sz="4" w:space="0"/>
                    <w:left w:val="single" w:color="auto" w:sz="4" w:space="0"/>
                    <w:bottom w:val="single" w:color="auto" w:sz="4" w:space="0"/>
                    <w:right w:val="single" w:color="auto" w:sz="4" w:space="0"/>
                  </w:tcBorders>
                  <w:noWrap/>
                  <w:vAlign w:val="center"/>
                </w:tcPr>
                <w:p w14:paraId="4FEE5B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28.353</w:t>
                  </w:r>
                </w:p>
              </w:tc>
              <w:tc>
                <w:tcPr>
                  <w:tcW w:w="730" w:type="pct"/>
                  <w:tcBorders>
                    <w:top w:val="single" w:color="auto" w:sz="4" w:space="0"/>
                    <w:left w:val="single" w:color="auto" w:sz="4" w:space="0"/>
                    <w:bottom w:val="single" w:color="auto" w:sz="4" w:space="0"/>
                    <w:right w:val="single" w:color="auto" w:sz="4" w:space="0"/>
                  </w:tcBorders>
                  <w:noWrap/>
                  <w:vAlign w:val="center"/>
                </w:tcPr>
                <w:p w14:paraId="0640A4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131.949</w:t>
                  </w:r>
                </w:p>
              </w:tc>
              <w:tc>
                <w:tcPr>
                  <w:tcW w:w="730" w:type="pct"/>
                  <w:tcBorders>
                    <w:top w:val="single" w:color="auto" w:sz="4" w:space="0"/>
                    <w:left w:val="single" w:color="auto" w:sz="4" w:space="0"/>
                    <w:bottom w:val="single" w:color="auto" w:sz="4" w:space="0"/>
                    <w:right w:val="single" w:color="auto" w:sz="4" w:space="0"/>
                  </w:tcBorders>
                  <w:noWrap/>
                  <w:vAlign w:val="center"/>
                </w:tcPr>
                <w:p w14:paraId="78E4CE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3.651</w:t>
                  </w:r>
                </w:p>
              </w:tc>
              <w:tc>
                <w:tcPr>
                  <w:tcW w:w="583" w:type="pct"/>
                  <w:tcBorders>
                    <w:top w:val="single" w:color="auto" w:sz="4" w:space="0"/>
                    <w:left w:val="single" w:color="auto" w:sz="4" w:space="0"/>
                    <w:bottom w:val="single" w:color="auto" w:sz="4" w:space="0"/>
                    <w:right w:val="nil"/>
                  </w:tcBorders>
                  <w:noWrap/>
                  <w:vAlign w:val="center"/>
                </w:tcPr>
                <w:p w14:paraId="7CCBD4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5.037</w:t>
                  </w:r>
                </w:p>
              </w:tc>
            </w:tr>
            <w:tr w14:paraId="61BC9086">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C59510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1986F00F">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8B439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51C48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1.713</w:t>
                  </w:r>
                </w:p>
              </w:tc>
              <w:tc>
                <w:tcPr>
                  <w:tcW w:w="730" w:type="pct"/>
                  <w:tcBorders>
                    <w:top w:val="single" w:color="auto" w:sz="4" w:space="0"/>
                    <w:left w:val="single" w:color="auto" w:sz="4" w:space="0"/>
                    <w:bottom w:val="single" w:color="auto" w:sz="4" w:space="0"/>
                    <w:right w:val="single" w:color="auto" w:sz="4" w:space="0"/>
                  </w:tcBorders>
                  <w:noWrap/>
                  <w:vAlign w:val="center"/>
                </w:tcPr>
                <w:p w14:paraId="090A84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40.564</w:t>
                  </w:r>
                </w:p>
              </w:tc>
              <w:tc>
                <w:tcPr>
                  <w:tcW w:w="730" w:type="pct"/>
                  <w:tcBorders>
                    <w:top w:val="single" w:color="auto" w:sz="4" w:space="0"/>
                    <w:left w:val="single" w:color="auto" w:sz="4" w:space="0"/>
                    <w:bottom w:val="single" w:color="auto" w:sz="4" w:space="0"/>
                    <w:right w:val="single" w:color="auto" w:sz="4" w:space="0"/>
                  </w:tcBorders>
                  <w:noWrap/>
                  <w:vAlign w:val="center"/>
                </w:tcPr>
                <w:p w14:paraId="7389F0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158.622</w:t>
                  </w:r>
                </w:p>
              </w:tc>
              <w:tc>
                <w:tcPr>
                  <w:tcW w:w="730" w:type="pct"/>
                  <w:tcBorders>
                    <w:top w:val="single" w:color="auto" w:sz="4" w:space="0"/>
                    <w:left w:val="single" w:color="auto" w:sz="4" w:space="0"/>
                    <w:bottom w:val="single" w:color="auto" w:sz="4" w:space="0"/>
                    <w:right w:val="single" w:color="auto" w:sz="4" w:space="0"/>
                  </w:tcBorders>
                  <w:noWrap/>
                  <w:vAlign w:val="center"/>
                </w:tcPr>
                <w:p w14:paraId="0DD39C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11.995</w:t>
                  </w:r>
                </w:p>
              </w:tc>
              <w:tc>
                <w:tcPr>
                  <w:tcW w:w="583" w:type="pct"/>
                  <w:tcBorders>
                    <w:top w:val="single" w:color="auto" w:sz="4" w:space="0"/>
                    <w:left w:val="single" w:color="auto" w:sz="4" w:space="0"/>
                    <w:bottom w:val="single" w:color="auto" w:sz="4" w:space="0"/>
                    <w:right w:val="nil"/>
                  </w:tcBorders>
                  <w:noWrap/>
                  <w:vAlign w:val="center"/>
                </w:tcPr>
                <w:p w14:paraId="0A184F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8.36</w:t>
                  </w:r>
                </w:p>
              </w:tc>
            </w:tr>
            <w:tr w14:paraId="61F92A4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1A014A3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E88B1D0">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D1A5B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72B3B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0.491</w:t>
                  </w:r>
                </w:p>
              </w:tc>
              <w:tc>
                <w:tcPr>
                  <w:tcW w:w="730" w:type="pct"/>
                  <w:tcBorders>
                    <w:top w:val="single" w:color="auto" w:sz="4" w:space="0"/>
                    <w:left w:val="single" w:color="auto" w:sz="4" w:space="0"/>
                    <w:bottom w:val="single" w:color="auto" w:sz="4" w:space="0"/>
                    <w:right w:val="single" w:color="auto" w:sz="4" w:space="0"/>
                  </w:tcBorders>
                  <w:noWrap/>
                  <w:vAlign w:val="center"/>
                </w:tcPr>
                <w:p w14:paraId="70A319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18.532</w:t>
                  </w:r>
                </w:p>
              </w:tc>
              <w:tc>
                <w:tcPr>
                  <w:tcW w:w="730" w:type="pct"/>
                  <w:tcBorders>
                    <w:top w:val="single" w:color="auto" w:sz="4" w:space="0"/>
                    <w:left w:val="single" w:color="auto" w:sz="4" w:space="0"/>
                    <w:bottom w:val="single" w:color="auto" w:sz="4" w:space="0"/>
                    <w:right w:val="single" w:color="auto" w:sz="4" w:space="0"/>
                  </w:tcBorders>
                  <w:noWrap/>
                  <w:vAlign w:val="center"/>
                </w:tcPr>
                <w:p w14:paraId="3C2347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102.401</w:t>
                  </w:r>
                </w:p>
              </w:tc>
              <w:tc>
                <w:tcPr>
                  <w:tcW w:w="730" w:type="pct"/>
                  <w:tcBorders>
                    <w:top w:val="single" w:color="auto" w:sz="4" w:space="0"/>
                    <w:left w:val="single" w:color="auto" w:sz="4" w:space="0"/>
                    <w:bottom w:val="single" w:color="auto" w:sz="4" w:space="0"/>
                    <w:right w:val="single" w:color="auto" w:sz="4" w:space="0"/>
                  </w:tcBorders>
                  <w:noWrap/>
                  <w:vAlign w:val="center"/>
                </w:tcPr>
                <w:p w14:paraId="307C4B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1.212</w:t>
                  </w:r>
                </w:p>
              </w:tc>
              <w:tc>
                <w:tcPr>
                  <w:tcW w:w="583" w:type="pct"/>
                  <w:tcBorders>
                    <w:top w:val="single" w:color="auto" w:sz="4" w:space="0"/>
                    <w:left w:val="single" w:color="auto" w:sz="4" w:space="0"/>
                    <w:bottom w:val="single" w:color="auto" w:sz="4" w:space="0"/>
                    <w:right w:val="nil"/>
                  </w:tcBorders>
                  <w:noWrap/>
                  <w:vAlign w:val="center"/>
                </w:tcPr>
                <w:p w14:paraId="2B6879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2.423</w:t>
                  </w:r>
                </w:p>
              </w:tc>
            </w:tr>
            <w:tr w14:paraId="1700F89D">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ED90E30">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58021A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3AF7E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EA363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1.606</w:t>
                  </w:r>
                </w:p>
              </w:tc>
              <w:tc>
                <w:tcPr>
                  <w:tcW w:w="730" w:type="pct"/>
                  <w:tcBorders>
                    <w:top w:val="single" w:color="auto" w:sz="4" w:space="0"/>
                    <w:left w:val="single" w:color="auto" w:sz="4" w:space="0"/>
                    <w:bottom w:val="single" w:color="auto" w:sz="4" w:space="0"/>
                    <w:right w:val="single" w:color="auto" w:sz="4" w:space="0"/>
                  </w:tcBorders>
                  <w:noWrap/>
                  <w:vAlign w:val="center"/>
                </w:tcPr>
                <w:p w14:paraId="3D1E46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24.617</w:t>
                  </w:r>
                </w:p>
              </w:tc>
              <w:tc>
                <w:tcPr>
                  <w:tcW w:w="730" w:type="pct"/>
                  <w:tcBorders>
                    <w:top w:val="single" w:color="auto" w:sz="4" w:space="0"/>
                    <w:left w:val="single" w:color="auto" w:sz="4" w:space="0"/>
                    <w:bottom w:val="single" w:color="auto" w:sz="4" w:space="0"/>
                    <w:right w:val="single" w:color="auto" w:sz="4" w:space="0"/>
                  </w:tcBorders>
                  <w:noWrap/>
                  <w:vAlign w:val="center"/>
                </w:tcPr>
                <w:p w14:paraId="4D8447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133.974</w:t>
                  </w:r>
                </w:p>
              </w:tc>
              <w:tc>
                <w:tcPr>
                  <w:tcW w:w="730" w:type="pct"/>
                  <w:tcBorders>
                    <w:top w:val="single" w:color="auto" w:sz="4" w:space="0"/>
                    <w:left w:val="single" w:color="auto" w:sz="4" w:space="0"/>
                    <w:bottom w:val="single" w:color="auto" w:sz="4" w:space="0"/>
                    <w:right w:val="single" w:color="auto" w:sz="4" w:space="0"/>
                  </w:tcBorders>
                  <w:noWrap/>
                  <w:vAlign w:val="center"/>
                </w:tcPr>
                <w:p w14:paraId="66ADD0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3.536</w:t>
                  </w:r>
                </w:p>
              </w:tc>
              <w:tc>
                <w:tcPr>
                  <w:tcW w:w="583" w:type="pct"/>
                  <w:tcBorders>
                    <w:top w:val="single" w:color="auto" w:sz="4" w:space="0"/>
                    <w:left w:val="single" w:color="auto" w:sz="4" w:space="0"/>
                    <w:bottom w:val="single" w:color="auto" w:sz="4" w:space="0"/>
                    <w:right w:val="nil"/>
                  </w:tcBorders>
                  <w:noWrap/>
                  <w:vAlign w:val="center"/>
                </w:tcPr>
                <w:p w14:paraId="352CE9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7.448</w:t>
                  </w:r>
                </w:p>
              </w:tc>
            </w:tr>
            <w:tr w14:paraId="7F195807">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1B4E6D7D">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ACB0EB5">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AFFF5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874F9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3.534</w:t>
                  </w:r>
                </w:p>
              </w:tc>
              <w:tc>
                <w:tcPr>
                  <w:tcW w:w="730" w:type="pct"/>
                  <w:tcBorders>
                    <w:top w:val="single" w:color="auto" w:sz="4" w:space="0"/>
                    <w:left w:val="single" w:color="auto" w:sz="4" w:space="0"/>
                    <w:bottom w:val="single" w:color="auto" w:sz="4" w:space="0"/>
                    <w:right w:val="single" w:color="auto" w:sz="4" w:space="0"/>
                  </w:tcBorders>
                  <w:noWrap/>
                  <w:vAlign w:val="center"/>
                </w:tcPr>
                <w:p w14:paraId="1A873D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34.758</w:t>
                  </w:r>
                </w:p>
              </w:tc>
              <w:tc>
                <w:tcPr>
                  <w:tcW w:w="730" w:type="pct"/>
                  <w:tcBorders>
                    <w:top w:val="single" w:color="auto" w:sz="4" w:space="0"/>
                    <w:left w:val="single" w:color="auto" w:sz="4" w:space="0"/>
                    <w:bottom w:val="single" w:color="auto" w:sz="4" w:space="0"/>
                    <w:right w:val="single" w:color="auto" w:sz="4" w:space="0"/>
                  </w:tcBorders>
                  <w:noWrap/>
                  <w:vAlign w:val="center"/>
                </w:tcPr>
                <w:p w14:paraId="514EA2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154.528</w:t>
                  </w:r>
                </w:p>
              </w:tc>
              <w:tc>
                <w:tcPr>
                  <w:tcW w:w="730" w:type="pct"/>
                  <w:tcBorders>
                    <w:top w:val="single" w:color="auto" w:sz="4" w:space="0"/>
                    <w:left w:val="single" w:color="auto" w:sz="4" w:space="0"/>
                    <w:bottom w:val="single" w:color="auto" w:sz="4" w:space="0"/>
                    <w:right w:val="single" w:color="auto" w:sz="4" w:space="0"/>
                  </w:tcBorders>
                  <w:noWrap/>
                  <w:vAlign w:val="center"/>
                </w:tcPr>
                <w:p w14:paraId="50C0BE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6.788</w:t>
                  </w:r>
                </w:p>
              </w:tc>
              <w:tc>
                <w:tcPr>
                  <w:tcW w:w="583" w:type="pct"/>
                  <w:tcBorders>
                    <w:top w:val="single" w:color="auto" w:sz="4" w:space="0"/>
                    <w:left w:val="single" w:color="auto" w:sz="4" w:space="0"/>
                    <w:bottom w:val="single" w:color="auto" w:sz="4" w:space="0"/>
                    <w:right w:val="nil"/>
                  </w:tcBorders>
                  <w:noWrap/>
                  <w:vAlign w:val="center"/>
                </w:tcPr>
                <w:p w14:paraId="0D5E8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12.093</w:t>
                  </w:r>
                </w:p>
              </w:tc>
            </w:tr>
            <w:tr w14:paraId="41F9278B">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A52F1C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B12A5EE">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57463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D101B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1.045</w:t>
                  </w:r>
                </w:p>
              </w:tc>
              <w:tc>
                <w:tcPr>
                  <w:tcW w:w="730" w:type="pct"/>
                  <w:tcBorders>
                    <w:top w:val="single" w:color="auto" w:sz="4" w:space="0"/>
                    <w:left w:val="single" w:color="auto" w:sz="4" w:space="0"/>
                    <w:bottom w:val="single" w:color="auto" w:sz="4" w:space="0"/>
                    <w:right w:val="single" w:color="auto" w:sz="4" w:space="0"/>
                  </w:tcBorders>
                  <w:noWrap/>
                  <w:vAlign w:val="center"/>
                </w:tcPr>
                <w:p w14:paraId="4E07CF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19.677</w:t>
                  </w:r>
                </w:p>
              </w:tc>
              <w:tc>
                <w:tcPr>
                  <w:tcW w:w="730" w:type="pct"/>
                  <w:tcBorders>
                    <w:top w:val="single" w:color="auto" w:sz="4" w:space="0"/>
                    <w:left w:val="single" w:color="auto" w:sz="4" w:space="0"/>
                    <w:bottom w:val="single" w:color="auto" w:sz="4" w:space="0"/>
                    <w:right w:val="single" w:color="auto" w:sz="4" w:space="0"/>
                  </w:tcBorders>
                  <w:noWrap/>
                  <w:vAlign w:val="center"/>
                </w:tcPr>
                <w:p w14:paraId="1CB72D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116.595</w:t>
                  </w:r>
                </w:p>
              </w:tc>
              <w:tc>
                <w:tcPr>
                  <w:tcW w:w="730" w:type="pct"/>
                  <w:tcBorders>
                    <w:top w:val="single" w:color="auto" w:sz="4" w:space="0"/>
                    <w:left w:val="single" w:color="auto" w:sz="4" w:space="0"/>
                    <w:bottom w:val="single" w:color="auto" w:sz="4" w:space="0"/>
                    <w:right w:val="single" w:color="auto" w:sz="4" w:space="0"/>
                  </w:tcBorders>
                  <w:noWrap/>
                  <w:vAlign w:val="center"/>
                </w:tcPr>
                <w:p w14:paraId="3A4F4D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1.862</w:t>
                  </w:r>
                </w:p>
              </w:tc>
              <w:tc>
                <w:tcPr>
                  <w:tcW w:w="583" w:type="pct"/>
                  <w:tcBorders>
                    <w:top w:val="single" w:color="auto" w:sz="4" w:space="0"/>
                    <w:left w:val="single" w:color="auto" w:sz="4" w:space="0"/>
                    <w:bottom w:val="single" w:color="auto" w:sz="4" w:space="0"/>
                    <w:right w:val="nil"/>
                  </w:tcBorders>
                  <w:noWrap/>
                  <w:vAlign w:val="center"/>
                </w:tcPr>
                <w:p w14:paraId="0F621C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3.501</w:t>
                  </w:r>
                </w:p>
              </w:tc>
            </w:tr>
            <w:tr w14:paraId="725A2BC8">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E6EC542">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A922C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4C4D4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E20B3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2.038</w:t>
                  </w:r>
                </w:p>
              </w:tc>
              <w:tc>
                <w:tcPr>
                  <w:tcW w:w="730" w:type="pct"/>
                  <w:tcBorders>
                    <w:top w:val="single" w:color="auto" w:sz="4" w:space="0"/>
                    <w:left w:val="single" w:color="auto" w:sz="4" w:space="0"/>
                    <w:bottom w:val="single" w:color="auto" w:sz="4" w:space="0"/>
                    <w:right w:val="single" w:color="auto" w:sz="4" w:space="0"/>
                  </w:tcBorders>
                  <w:noWrap/>
                  <w:vAlign w:val="center"/>
                </w:tcPr>
                <w:p w14:paraId="77A3E1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29.054</w:t>
                  </w:r>
                </w:p>
              </w:tc>
              <w:tc>
                <w:tcPr>
                  <w:tcW w:w="730" w:type="pct"/>
                  <w:tcBorders>
                    <w:top w:val="single" w:color="auto" w:sz="4" w:space="0"/>
                    <w:left w:val="single" w:color="auto" w:sz="4" w:space="0"/>
                    <w:bottom w:val="single" w:color="auto" w:sz="4" w:space="0"/>
                    <w:right w:val="single" w:color="auto" w:sz="4" w:space="0"/>
                  </w:tcBorders>
                  <w:noWrap/>
                  <w:vAlign w:val="center"/>
                </w:tcPr>
                <w:p w14:paraId="64FC46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133.313</w:t>
                  </w:r>
                </w:p>
              </w:tc>
              <w:tc>
                <w:tcPr>
                  <w:tcW w:w="730" w:type="pct"/>
                  <w:tcBorders>
                    <w:top w:val="single" w:color="auto" w:sz="4" w:space="0"/>
                    <w:left w:val="single" w:color="auto" w:sz="4" w:space="0"/>
                    <w:bottom w:val="single" w:color="auto" w:sz="4" w:space="0"/>
                    <w:right w:val="single" w:color="auto" w:sz="4" w:space="0"/>
                  </w:tcBorders>
                  <w:noWrap/>
                  <w:vAlign w:val="center"/>
                </w:tcPr>
                <w:p w14:paraId="3D33D8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3.484</w:t>
                  </w:r>
                </w:p>
              </w:tc>
              <w:tc>
                <w:tcPr>
                  <w:tcW w:w="583" w:type="pct"/>
                  <w:tcBorders>
                    <w:top w:val="single" w:color="auto" w:sz="4" w:space="0"/>
                    <w:left w:val="single" w:color="auto" w:sz="4" w:space="0"/>
                    <w:bottom w:val="single" w:color="auto" w:sz="4" w:space="0"/>
                    <w:right w:val="nil"/>
                  </w:tcBorders>
                  <w:noWrap/>
                </w:tcPr>
                <w:p w14:paraId="08F9CD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7.003</w:t>
                  </w:r>
                </w:p>
              </w:tc>
            </w:tr>
            <w:tr w14:paraId="6097E2F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84E9BD5">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4ABCFDBD">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F5F20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F7AAD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3.545</w:t>
                  </w:r>
                </w:p>
              </w:tc>
              <w:tc>
                <w:tcPr>
                  <w:tcW w:w="730" w:type="pct"/>
                  <w:tcBorders>
                    <w:top w:val="single" w:color="auto" w:sz="4" w:space="0"/>
                    <w:left w:val="single" w:color="auto" w:sz="4" w:space="0"/>
                    <w:bottom w:val="single" w:color="auto" w:sz="4" w:space="0"/>
                    <w:right w:val="single" w:color="auto" w:sz="4" w:space="0"/>
                  </w:tcBorders>
                  <w:noWrap/>
                  <w:vAlign w:val="center"/>
                </w:tcPr>
                <w:p w14:paraId="706463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36.83</w:t>
                  </w:r>
                </w:p>
              </w:tc>
              <w:tc>
                <w:tcPr>
                  <w:tcW w:w="730" w:type="pct"/>
                  <w:tcBorders>
                    <w:top w:val="single" w:color="auto" w:sz="4" w:space="0"/>
                    <w:left w:val="single" w:color="auto" w:sz="4" w:space="0"/>
                    <w:bottom w:val="single" w:color="auto" w:sz="4" w:space="0"/>
                    <w:right w:val="single" w:color="auto" w:sz="4" w:space="0"/>
                  </w:tcBorders>
                  <w:noWrap/>
                  <w:vAlign w:val="center"/>
                </w:tcPr>
                <w:p w14:paraId="5657F5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169.137</w:t>
                  </w:r>
                </w:p>
              </w:tc>
              <w:tc>
                <w:tcPr>
                  <w:tcW w:w="730" w:type="pct"/>
                  <w:tcBorders>
                    <w:top w:val="single" w:color="auto" w:sz="4" w:space="0"/>
                    <w:left w:val="single" w:color="auto" w:sz="4" w:space="0"/>
                    <w:bottom w:val="single" w:color="auto" w:sz="4" w:space="0"/>
                    <w:right w:val="single" w:color="auto" w:sz="4" w:space="0"/>
                  </w:tcBorders>
                  <w:noWrap/>
                  <w:vAlign w:val="center"/>
                </w:tcPr>
                <w:p w14:paraId="077A64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9.919</w:t>
                  </w:r>
                </w:p>
              </w:tc>
              <w:tc>
                <w:tcPr>
                  <w:tcW w:w="583" w:type="pct"/>
                  <w:tcBorders>
                    <w:top w:val="single" w:color="auto" w:sz="4" w:space="0"/>
                    <w:left w:val="single" w:color="auto" w:sz="4" w:space="0"/>
                    <w:bottom w:val="single" w:color="auto" w:sz="4" w:space="0"/>
                    <w:right w:val="nil"/>
                  </w:tcBorders>
                  <w:noWrap/>
                </w:tcPr>
                <w:p w14:paraId="7D8133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15.465</w:t>
                  </w:r>
                </w:p>
              </w:tc>
            </w:tr>
            <w:tr w14:paraId="4D810A8B">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DEAC09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1EA8CA2">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E221C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DB62C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0.727</w:t>
                  </w:r>
                </w:p>
              </w:tc>
              <w:tc>
                <w:tcPr>
                  <w:tcW w:w="730" w:type="pct"/>
                  <w:tcBorders>
                    <w:top w:val="single" w:color="auto" w:sz="4" w:space="0"/>
                    <w:left w:val="single" w:color="auto" w:sz="4" w:space="0"/>
                    <w:bottom w:val="single" w:color="auto" w:sz="4" w:space="0"/>
                    <w:right w:val="single" w:color="auto" w:sz="4" w:space="0"/>
                  </w:tcBorders>
                  <w:noWrap/>
                  <w:vAlign w:val="center"/>
                </w:tcPr>
                <w:p w14:paraId="20DD89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18.429</w:t>
                  </w:r>
                </w:p>
              </w:tc>
              <w:tc>
                <w:tcPr>
                  <w:tcW w:w="730" w:type="pct"/>
                  <w:tcBorders>
                    <w:top w:val="single" w:color="auto" w:sz="4" w:space="0"/>
                    <w:left w:val="single" w:color="auto" w:sz="4" w:space="0"/>
                    <w:bottom w:val="single" w:color="auto" w:sz="4" w:space="0"/>
                    <w:right w:val="single" w:color="auto" w:sz="4" w:space="0"/>
                  </w:tcBorders>
                  <w:noWrap/>
                  <w:vAlign w:val="center"/>
                </w:tcPr>
                <w:p w14:paraId="6E00F3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108.651</w:t>
                  </w:r>
                </w:p>
              </w:tc>
              <w:tc>
                <w:tcPr>
                  <w:tcW w:w="730" w:type="pct"/>
                  <w:tcBorders>
                    <w:top w:val="single" w:color="auto" w:sz="4" w:space="0"/>
                    <w:left w:val="single" w:color="auto" w:sz="4" w:space="0"/>
                    <w:bottom w:val="single" w:color="auto" w:sz="4" w:space="0"/>
                    <w:right w:val="single" w:color="auto" w:sz="4" w:space="0"/>
                  </w:tcBorders>
                  <w:noWrap/>
                  <w:vAlign w:val="center"/>
                </w:tcPr>
                <w:p w14:paraId="359334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0.901</w:t>
                  </w:r>
                </w:p>
              </w:tc>
              <w:tc>
                <w:tcPr>
                  <w:tcW w:w="583" w:type="pct"/>
                  <w:tcBorders>
                    <w:top w:val="single" w:color="auto" w:sz="4" w:space="0"/>
                    <w:left w:val="single" w:color="auto" w:sz="4" w:space="0"/>
                    <w:bottom w:val="single" w:color="auto" w:sz="4" w:space="0"/>
                    <w:right w:val="nil"/>
                  </w:tcBorders>
                  <w:noWrap/>
                </w:tcPr>
                <w:p w14:paraId="6B4B94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1.525</w:t>
                  </w:r>
                </w:p>
              </w:tc>
            </w:tr>
            <w:tr w14:paraId="4F0FD5E5">
              <w:tblPrEx>
                <w:tblCellMar>
                  <w:top w:w="0" w:type="dxa"/>
                  <w:left w:w="108" w:type="dxa"/>
                  <w:bottom w:w="0" w:type="dxa"/>
                  <w:right w:w="108" w:type="dxa"/>
                </w:tblCellMar>
              </w:tblPrEx>
              <w:trPr>
                <w:trHeight w:val="270" w:hRule="atLeast"/>
              </w:trPr>
              <w:tc>
                <w:tcPr>
                  <w:tcW w:w="1009" w:type="dxa"/>
                  <w:vMerge w:val="continue"/>
                  <w:tcBorders>
                    <w:top w:val="single" w:color="auto" w:sz="4" w:space="0"/>
                    <w:left w:val="nil"/>
                    <w:bottom w:val="single" w:color="auto" w:sz="4" w:space="0"/>
                    <w:right w:val="single" w:color="auto" w:sz="4" w:space="0"/>
                  </w:tcBorders>
                  <w:vAlign w:val="center"/>
                </w:tcPr>
                <w:p w14:paraId="6A7E6251">
                  <w:pPr>
                    <w:jc w:val="center"/>
                    <w:rPr>
                      <w:rFonts w:hint="default" w:ascii="Times New Roman" w:hAnsi="Times New Roman" w:eastAsia="宋体" w:cs="Times New Roman"/>
                      <w:color w:val="auto"/>
                      <w:sz w:val="21"/>
                      <w:szCs w:val="21"/>
                      <w:highlight w:val="none"/>
                    </w:rPr>
                  </w:pPr>
                </w:p>
              </w:tc>
              <w:tc>
                <w:tcPr>
                  <w:tcW w:w="1057" w:type="pct"/>
                  <w:gridSpan w:val="2"/>
                  <w:tcBorders>
                    <w:top w:val="single" w:color="auto" w:sz="4" w:space="0"/>
                    <w:left w:val="single" w:color="auto" w:sz="4" w:space="0"/>
                    <w:bottom w:val="single" w:color="auto" w:sz="4" w:space="0"/>
                    <w:right w:val="single" w:color="auto" w:sz="4" w:space="0"/>
                  </w:tcBorders>
                  <w:vAlign w:val="center"/>
                </w:tcPr>
                <w:p w14:paraId="0D8EA5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585" w:type="pct"/>
                  <w:tcBorders>
                    <w:top w:val="single" w:color="auto" w:sz="4" w:space="0"/>
                    <w:left w:val="single" w:color="auto" w:sz="4" w:space="0"/>
                    <w:bottom w:val="single" w:color="auto" w:sz="4" w:space="0"/>
                    <w:right w:val="single" w:color="auto" w:sz="4" w:space="0"/>
                  </w:tcBorders>
                  <w:noWrap/>
                  <w:vAlign w:val="center"/>
                </w:tcPr>
                <w:p w14:paraId="347E64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6FD52D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605067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079E36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83" w:type="pct"/>
                  <w:tcBorders>
                    <w:top w:val="single" w:color="auto" w:sz="4" w:space="0"/>
                    <w:left w:val="single" w:color="auto" w:sz="4" w:space="0"/>
                    <w:bottom w:val="single" w:color="auto" w:sz="4" w:space="0"/>
                    <w:right w:val="nil"/>
                  </w:tcBorders>
                  <w:noWrap/>
                  <w:vAlign w:val="center"/>
                </w:tcPr>
                <w:p w14:paraId="5B93C5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B58AC6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D8D9A31">
                  <w:pPr>
                    <w:jc w:val="center"/>
                    <w:rPr>
                      <w:rFonts w:hint="default" w:ascii="Times New Roman" w:hAnsi="Times New Roman" w:eastAsia="宋体" w:cs="Times New Roman"/>
                      <w:color w:val="auto"/>
                      <w:sz w:val="21"/>
                      <w:szCs w:val="21"/>
                      <w:highlight w:val="none"/>
                    </w:rPr>
                  </w:pPr>
                </w:p>
              </w:tc>
              <w:tc>
                <w:tcPr>
                  <w:tcW w:w="1057" w:type="pct"/>
                  <w:gridSpan w:val="2"/>
                  <w:tcBorders>
                    <w:top w:val="single" w:color="auto" w:sz="4" w:space="0"/>
                    <w:left w:val="single" w:color="auto" w:sz="4" w:space="0"/>
                    <w:bottom w:val="single" w:color="auto" w:sz="4" w:space="0"/>
                    <w:right w:val="single" w:color="auto" w:sz="4" w:space="0"/>
                  </w:tcBorders>
                  <w:vAlign w:val="center"/>
                </w:tcPr>
                <w:p w14:paraId="2C6128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585" w:type="pct"/>
                  <w:tcBorders>
                    <w:top w:val="single" w:color="auto" w:sz="4" w:space="0"/>
                    <w:left w:val="single" w:color="auto" w:sz="4" w:space="0"/>
                    <w:bottom w:val="single" w:color="auto" w:sz="4" w:space="0"/>
                    <w:right w:val="single" w:color="auto" w:sz="4" w:space="0"/>
                  </w:tcBorders>
                  <w:noWrap/>
                  <w:vAlign w:val="center"/>
                </w:tcPr>
                <w:p w14:paraId="264D94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730" w:type="pct"/>
                  <w:tcBorders>
                    <w:top w:val="single" w:color="auto" w:sz="4" w:space="0"/>
                    <w:left w:val="single" w:color="auto" w:sz="4" w:space="0"/>
                    <w:bottom w:val="single" w:color="auto" w:sz="4" w:space="0"/>
                    <w:right w:val="single" w:color="auto" w:sz="4" w:space="0"/>
                  </w:tcBorders>
                  <w:noWrap/>
                  <w:vAlign w:val="center"/>
                </w:tcPr>
                <w:p w14:paraId="09466E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730" w:type="pct"/>
                  <w:tcBorders>
                    <w:top w:val="single" w:color="auto" w:sz="4" w:space="0"/>
                    <w:left w:val="single" w:color="auto" w:sz="4" w:space="0"/>
                    <w:bottom w:val="single" w:color="auto" w:sz="4" w:space="0"/>
                    <w:right w:val="single" w:color="auto" w:sz="4" w:space="0"/>
                  </w:tcBorders>
                  <w:noWrap/>
                  <w:vAlign w:val="center"/>
                </w:tcPr>
                <w:p w14:paraId="6DF9D9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730" w:type="pct"/>
                  <w:tcBorders>
                    <w:top w:val="single" w:color="auto" w:sz="4" w:space="0"/>
                    <w:left w:val="single" w:color="auto" w:sz="4" w:space="0"/>
                    <w:bottom w:val="single" w:color="auto" w:sz="4" w:space="0"/>
                    <w:right w:val="single" w:color="auto" w:sz="4" w:space="0"/>
                  </w:tcBorders>
                  <w:noWrap/>
                  <w:vAlign w:val="center"/>
                </w:tcPr>
                <w:p w14:paraId="252BDD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83" w:type="pct"/>
                  <w:tcBorders>
                    <w:top w:val="single" w:color="auto" w:sz="4" w:space="0"/>
                    <w:left w:val="single" w:color="auto" w:sz="4" w:space="0"/>
                    <w:bottom w:val="single" w:color="auto" w:sz="4" w:space="0"/>
                    <w:right w:val="nil"/>
                  </w:tcBorders>
                  <w:noWrap/>
                  <w:vAlign w:val="center"/>
                </w:tcPr>
                <w:p w14:paraId="1EE612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14:paraId="0A77BF06">
              <w:tblPrEx>
                <w:tblCellMar>
                  <w:top w:w="0" w:type="dxa"/>
                  <w:left w:w="108" w:type="dxa"/>
                  <w:bottom w:w="0" w:type="dxa"/>
                  <w:right w:w="108" w:type="dxa"/>
                </w:tblCellMar>
              </w:tblPrEx>
              <w:trPr>
                <w:trHeight w:val="285" w:hRule="atLeast"/>
              </w:trPr>
              <w:tc>
                <w:tcPr>
                  <w:tcW w:w="585" w:type="pct"/>
                  <w:vMerge w:val="restart"/>
                  <w:tcBorders>
                    <w:top w:val="single" w:color="auto" w:sz="4" w:space="0"/>
                    <w:left w:val="nil"/>
                    <w:bottom w:val="single" w:color="auto" w:sz="4" w:space="0"/>
                    <w:right w:val="single" w:color="auto" w:sz="4" w:space="0"/>
                  </w:tcBorders>
                  <w:vAlign w:val="center"/>
                </w:tcPr>
                <w:p w14:paraId="13DAA7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2#炉</w:t>
                  </w: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64ABA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1月</w:t>
                  </w:r>
                </w:p>
              </w:tc>
              <w:tc>
                <w:tcPr>
                  <w:tcW w:w="583" w:type="pct"/>
                  <w:tcBorders>
                    <w:top w:val="single" w:color="auto" w:sz="4" w:space="0"/>
                    <w:left w:val="single" w:color="auto" w:sz="4" w:space="0"/>
                    <w:bottom w:val="single" w:color="auto" w:sz="4" w:space="0"/>
                    <w:right w:val="single" w:color="auto" w:sz="4" w:space="0"/>
                  </w:tcBorders>
                  <w:noWrap/>
                  <w:vAlign w:val="center"/>
                </w:tcPr>
                <w:p w14:paraId="3BE9BF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1651E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1.265</w:t>
                  </w:r>
                </w:p>
              </w:tc>
              <w:tc>
                <w:tcPr>
                  <w:tcW w:w="730" w:type="pct"/>
                  <w:tcBorders>
                    <w:top w:val="single" w:color="auto" w:sz="4" w:space="0"/>
                    <w:left w:val="single" w:color="auto" w:sz="4" w:space="0"/>
                    <w:bottom w:val="single" w:color="auto" w:sz="4" w:space="0"/>
                    <w:right w:val="single" w:color="auto" w:sz="4" w:space="0"/>
                  </w:tcBorders>
                  <w:noWrap/>
                  <w:vAlign w:val="center"/>
                </w:tcPr>
                <w:p w14:paraId="6F4705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21.244</w:t>
                  </w:r>
                </w:p>
              </w:tc>
              <w:tc>
                <w:tcPr>
                  <w:tcW w:w="730" w:type="pct"/>
                  <w:tcBorders>
                    <w:top w:val="single" w:color="auto" w:sz="4" w:space="0"/>
                    <w:left w:val="single" w:color="auto" w:sz="4" w:space="0"/>
                    <w:bottom w:val="single" w:color="auto" w:sz="4" w:space="0"/>
                    <w:right w:val="single" w:color="auto" w:sz="4" w:space="0"/>
                  </w:tcBorders>
                  <w:noWrap/>
                  <w:vAlign w:val="center"/>
                </w:tcPr>
                <w:p w14:paraId="12A8D2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124.256</w:t>
                  </w:r>
                </w:p>
              </w:tc>
              <w:tc>
                <w:tcPr>
                  <w:tcW w:w="730" w:type="pct"/>
                  <w:tcBorders>
                    <w:top w:val="single" w:color="auto" w:sz="4" w:space="0"/>
                    <w:left w:val="single" w:color="auto" w:sz="4" w:space="0"/>
                    <w:bottom w:val="single" w:color="auto" w:sz="4" w:space="0"/>
                    <w:right w:val="single" w:color="auto" w:sz="4" w:space="0"/>
                  </w:tcBorders>
                  <w:noWrap/>
                  <w:vAlign w:val="center"/>
                </w:tcPr>
                <w:p w14:paraId="719070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2.664</w:t>
                  </w:r>
                </w:p>
              </w:tc>
              <w:tc>
                <w:tcPr>
                  <w:tcW w:w="583" w:type="pct"/>
                  <w:tcBorders>
                    <w:top w:val="single" w:color="auto" w:sz="4" w:space="0"/>
                    <w:left w:val="single" w:color="auto" w:sz="4" w:space="0"/>
                    <w:bottom w:val="single" w:color="auto" w:sz="4" w:space="0"/>
                    <w:right w:val="nil"/>
                  </w:tcBorders>
                  <w:noWrap/>
                  <w:vAlign w:val="center"/>
                </w:tcPr>
                <w:p w14:paraId="4D3BCE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20.512</w:t>
                  </w:r>
                </w:p>
              </w:tc>
            </w:tr>
            <w:tr w14:paraId="620D00AD">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EE7F4CA">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13A6B849">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DF886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24385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1.753</w:t>
                  </w:r>
                </w:p>
              </w:tc>
              <w:tc>
                <w:tcPr>
                  <w:tcW w:w="730" w:type="pct"/>
                  <w:tcBorders>
                    <w:top w:val="single" w:color="auto" w:sz="4" w:space="0"/>
                    <w:left w:val="single" w:color="auto" w:sz="4" w:space="0"/>
                    <w:bottom w:val="single" w:color="auto" w:sz="4" w:space="0"/>
                    <w:right w:val="single" w:color="auto" w:sz="4" w:space="0"/>
                  </w:tcBorders>
                  <w:noWrap/>
                  <w:vAlign w:val="center"/>
                </w:tcPr>
                <w:p w14:paraId="3368D6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29.337</w:t>
                  </w:r>
                </w:p>
              </w:tc>
              <w:tc>
                <w:tcPr>
                  <w:tcW w:w="730" w:type="pct"/>
                  <w:tcBorders>
                    <w:top w:val="single" w:color="auto" w:sz="4" w:space="0"/>
                    <w:left w:val="single" w:color="auto" w:sz="4" w:space="0"/>
                    <w:bottom w:val="single" w:color="auto" w:sz="4" w:space="0"/>
                    <w:right w:val="single" w:color="auto" w:sz="4" w:space="0"/>
                  </w:tcBorders>
                  <w:noWrap/>
                  <w:vAlign w:val="center"/>
                </w:tcPr>
                <w:p w14:paraId="57EDAB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140.113</w:t>
                  </w:r>
                </w:p>
              </w:tc>
              <w:tc>
                <w:tcPr>
                  <w:tcW w:w="730" w:type="pct"/>
                  <w:tcBorders>
                    <w:top w:val="single" w:color="auto" w:sz="4" w:space="0"/>
                    <w:left w:val="single" w:color="auto" w:sz="4" w:space="0"/>
                    <w:bottom w:val="single" w:color="auto" w:sz="4" w:space="0"/>
                    <w:right w:val="single" w:color="auto" w:sz="4" w:space="0"/>
                  </w:tcBorders>
                  <w:noWrap/>
                  <w:vAlign w:val="center"/>
                </w:tcPr>
                <w:p w14:paraId="53CECE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6.661</w:t>
                  </w:r>
                </w:p>
              </w:tc>
              <w:tc>
                <w:tcPr>
                  <w:tcW w:w="583" w:type="pct"/>
                  <w:tcBorders>
                    <w:top w:val="single" w:color="auto" w:sz="4" w:space="0"/>
                    <w:left w:val="single" w:color="auto" w:sz="4" w:space="0"/>
                    <w:bottom w:val="single" w:color="auto" w:sz="4" w:space="0"/>
                    <w:right w:val="nil"/>
                  </w:tcBorders>
                  <w:noWrap/>
                  <w:vAlign w:val="center"/>
                </w:tcPr>
                <w:p w14:paraId="3FCE22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33.494</w:t>
                  </w:r>
                </w:p>
              </w:tc>
            </w:tr>
            <w:tr w14:paraId="4EFAFD4B">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7DFD7B2">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162A240">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FF762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080BB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0.834</w:t>
                  </w:r>
                </w:p>
              </w:tc>
              <w:tc>
                <w:tcPr>
                  <w:tcW w:w="730" w:type="pct"/>
                  <w:tcBorders>
                    <w:top w:val="single" w:color="auto" w:sz="4" w:space="0"/>
                    <w:left w:val="single" w:color="auto" w:sz="4" w:space="0"/>
                    <w:bottom w:val="single" w:color="auto" w:sz="4" w:space="0"/>
                    <w:right w:val="single" w:color="auto" w:sz="4" w:space="0"/>
                  </w:tcBorders>
                  <w:noWrap/>
                  <w:vAlign w:val="center"/>
                </w:tcPr>
                <w:p w14:paraId="45954D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12.814</w:t>
                  </w:r>
                </w:p>
              </w:tc>
              <w:tc>
                <w:tcPr>
                  <w:tcW w:w="730" w:type="pct"/>
                  <w:tcBorders>
                    <w:top w:val="single" w:color="auto" w:sz="4" w:space="0"/>
                    <w:left w:val="single" w:color="auto" w:sz="4" w:space="0"/>
                    <w:bottom w:val="single" w:color="auto" w:sz="4" w:space="0"/>
                    <w:right w:val="single" w:color="auto" w:sz="4" w:space="0"/>
                  </w:tcBorders>
                  <w:noWrap/>
                  <w:vAlign w:val="center"/>
                </w:tcPr>
                <w:p w14:paraId="0BBD79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114.849</w:t>
                  </w:r>
                </w:p>
              </w:tc>
              <w:tc>
                <w:tcPr>
                  <w:tcW w:w="730" w:type="pct"/>
                  <w:tcBorders>
                    <w:top w:val="single" w:color="auto" w:sz="4" w:space="0"/>
                    <w:left w:val="single" w:color="auto" w:sz="4" w:space="0"/>
                    <w:bottom w:val="single" w:color="auto" w:sz="4" w:space="0"/>
                    <w:right w:val="single" w:color="auto" w:sz="4" w:space="0"/>
                  </w:tcBorders>
                  <w:noWrap/>
                  <w:vAlign w:val="center"/>
                </w:tcPr>
                <w:p w14:paraId="7EF2D2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0.619</w:t>
                  </w:r>
                </w:p>
              </w:tc>
              <w:tc>
                <w:tcPr>
                  <w:tcW w:w="583" w:type="pct"/>
                  <w:tcBorders>
                    <w:top w:val="single" w:color="auto" w:sz="4" w:space="0"/>
                    <w:left w:val="single" w:color="auto" w:sz="4" w:space="0"/>
                    <w:bottom w:val="single" w:color="auto" w:sz="4" w:space="0"/>
                    <w:right w:val="nil"/>
                  </w:tcBorders>
                  <w:noWrap/>
                  <w:vAlign w:val="center"/>
                </w:tcPr>
                <w:p w14:paraId="44821F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6.201</w:t>
                  </w:r>
                </w:p>
              </w:tc>
            </w:tr>
            <w:tr w14:paraId="425F05D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DD40868">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1A532F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2月</w:t>
                  </w:r>
                </w:p>
              </w:tc>
              <w:tc>
                <w:tcPr>
                  <w:tcW w:w="583" w:type="pct"/>
                  <w:tcBorders>
                    <w:top w:val="single" w:color="auto" w:sz="4" w:space="0"/>
                    <w:left w:val="single" w:color="auto" w:sz="4" w:space="0"/>
                    <w:bottom w:val="single" w:color="auto" w:sz="4" w:space="0"/>
                    <w:right w:val="single" w:color="auto" w:sz="4" w:space="0"/>
                  </w:tcBorders>
                  <w:noWrap/>
                  <w:vAlign w:val="center"/>
                </w:tcPr>
                <w:p w14:paraId="044AC6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39B32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1.589</w:t>
                  </w:r>
                </w:p>
              </w:tc>
              <w:tc>
                <w:tcPr>
                  <w:tcW w:w="730" w:type="pct"/>
                  <w:tcBorders>
                    <w:top w:val="single" w:color="auto" w:sz="4" w:space="0"/>
                    <w:left w:val="single" w:color="auto" w:sz="4" w:space="0"/>
                    <w:bottom w:val="single" w:color="auto" w:sz="4" w:space="0"/>
                    <w:right w:val="single" w:color="auto" w:sz="4" w:space="0"/>
                  </w:tcBorders>
                  <w:noWrap/>
                  <w:vAlign w:val="center"/>
                </w:tcPr>
                <w:p w14:paraId="33EE9C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21.596</w:t>
                  </w:r>
                </w:p>
              </w:tc>
              <w:tc>
                <w:tcPr>
                  <w:tcW w:w="730" w:type="pct"/>
                  <w:tcBorders>
                    <w:top w:val="single" w:color="auto" w:sz="4" w:space="0"/>
                    <w:left w:val="single" w:color="auto" w:sz="4" w:space="0"/>
                    <w:bottom w:val="single" w:color="auto" w:sz="4" w:space="0"/>
                    <w:right w:val="single" w:color="auto" w:sz="4" w:space="0"/>
                  </w:tcBorders>
                  <w:noWrap/>
                  <w:vAlign w:val="center"/>
                </w:tcPr>
                <w:p w14:paraId="63FB33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128.716</w:t>
                  </w:r>
                </w:p>
              </w:tc>
              <w:tc>
                <w:tcPr>
                  <w:tcW w:w="730" w:type="pct"/>
                  <w:tcBorders>
                    <w:top w:val="single" w:color="auto" w:sz="4" w:space="0"/>
                    <w:left w:val="single" w:color="auto" w:sz="4" w:space="0"/>
                    <w:bottom w:val="single" w:color="auto" w:sz="4" w:space="0"/>
                    <w:right w:val="single" w:color="auto" w:sz="4" w:space="0"/>
                  </w:tcBorders>
                  <w:noWrap/>
                  <w:vAlign w:val="center"/>
                </w:tcPr>
                <w:p w14:paraId="37063B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2.524</w:t>
                  </w:r>
                </w:p>
              </w:tc>
              <w:tc>
                <w:tcPr>
                  <w:tcW w:w="583" w:type="pct"/>
                  <w:tcBorders>
                    <w:top w:val="single" w:color="auto" w:sz="4" w:space="0"/>
                    <w:left w:val="single" w:color="auto" w:sz="4" w:space="0"/>
                    <w:bottom w:val="single" w:color="auto" w:sz="4" w:space="0"/>
                    <w:right w:val="nil"/>
                  </w:tcBorders>
                  <w:noWrap/>
                  <w:vAlign w:val="center"/>
                </w:tcPr>
                <w:p w14:paraId="0526F3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19.883</w:t>
                  </w:r>
                </w:p>
              </w:tc>
            </w:tr>
            <w:tr w14:paraId="5C11A5B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26F1830">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0AFFCD8C">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27D1A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477F5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2.324</w:t>
                  </w:r>
                </w:p>
              </w:tc>
              <w:tc>
                <w:tcPr>
                  <w:tcW w:w="730" w:type="pct"/>
                  <w:tcBorders>
                    <w:top w:val="single" w:color="auto" w:sz="4" w:space="0"/>
                    <w:left w:val="single" w:color="auto" w:sz="4" w:space="0"/>
                    <w:bottom w:val="single" w:color="auto" w:sz="4" w:space="0"/>
                    <w:right w:val="single" w:color="auto" w:sz="4" w:space="0"/>
                  </w:tcBorders>
                  <w:noWrap/>
                  <w:vAlign w:val="center"/>
                </w:tcPr>
                <w:p w14:paraId="69176F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32.451</w:t>
                  </w:r>
                </w:p>
              </w:tc>
              <w:tc>
                <w:tcPr>
                  <w:tcW w:w="730" w:type="pct"/>
                  <w:tcBorders>
                    <w:top w:val="single" w:color="auto" w:sz="4" w:space="0"/>
                    <w:left w:val="single" w:color="auto" w:sz="4" w:space="0"/>
                    <w:bottom w:val="single" w:color="auto" w:sz="4" w:space="0"/>
                    <w:right w:val="single" w:color="auto" w:sz="4" w:space="0"/>
                  </w:tcBorders>
                  <w:noWrap/>
                  <w:vAlign w:val="center"/>
                </w:tcPr>
                <w:p w14:paraId="43278E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139.714</w:t>
                  </w:r>
                </w:p>
              </w:tc>
              <w:tc>
                <w:tcPr>
                  <w:tcW w:w="730" w:type="pct"/>
                  <w:tcBorders>
                    <w:top w:val="single" w:color="auto" w:sz="4" w:space="0"/>
                    <w:left w:val="single" w:color="auto" w:sz="4" w:space="0"/>
                    <w:bottom w:val="single" w:color="auto" w:sz="4" w:space="0"/>
                    <w:right w:val="single" w:color="auto" w:sz="4" w:space="0"/>
                  </w:tcBorders>
                  <w:noWrap/>
                  <w:vAlign w:val="center"/>
                </w:tcPr>
                <w:p w14:paraId="5F87AF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6.257</w:t>
                  </w:r>
                </w:p>
              </w:tc>
              <w:tc>
                <w:tcPr>
                  <w:tcW w:w="583" w:type="pct"/>
                  <w:tcBorders>
                    <w:top w:val="single" w:color="auto" w:sz="4" w:space="0"/>
                    <w:left w:val="single" w:color="auto" w:sz="4" w:space="0"/>
                    <w:bottom w:val="single" w:color="auto" w:sz="4" w:space="0"/>
                    <w:right w:val="nil"/>
                  </w:tcBorders>
                  <w:noWrap/>
                  <w:vAlign w:val="center"/>
                </w:tcPr>
                <w:p w14:paraId="73749F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25.149</w:t>
                  </w:r>
                </w:p>
              </w:tc>
            </w:tr>
            <w:tr w14:paraId="2DBD336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C0E7675">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41E32359">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1CFD3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CF8F6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1.035</w:t>
                  </w:r>
                </w:p>
              </w:tc>
              <w:tc>
                <w:tcPr>
                  <w:tcW w:w="730" w:type="pct"/>
                  <w:tcBorders>
                    <w:top w:val="single" w:color="auto" w:sz="4" w:space="0"/>
                    <w:left w:val="single" w:color="auto" w:sz="4" w:space="0"/>
                    <w:bottom w:val="single" w:color="auto" w:sz="4" w:space="0"/>
                    <w:right w:val="single" w:color="auto" w:sz="4" w:space="0"/>
                  </w:tcBorders>
                  <w:noWrap/>
                  <w:vAlign w:val="center"/>
                </w:tcPr>
                <w:p w14:paraId="560CFE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11.397</w:t>
                  </w:r>
                </w:p>
              </w:tc>
              <w:tc>
                <w:tcPr>
                  <w:tcW w:w="730" w:type="pct"/>
                  <w:tcBorders>
                    <w:top w:val="single" w:color="auto" w:sz="4" w:space="0"/>
                    <w:left w:val="single" w:color="auto" w:sz="4" w:space="0"/>
                    <w:bottom w:val="single" w:color="auto" w:sz="4" w:space="0"/>
                    <w:right w:val="single" w:color="auto" w:sz="4" w:space="0"/>
                  </w:tcBorders>
                  <w:noWrap/>
                  <w:vAlign w:val="center"/>
                </w:tcPr>
                <w:p w14:paraId="4B99AA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124.119</w:t>
                  </w:r>
                </w:p>
              </w:tc>
              <w:tc>
                <w:tcPr>
                  <w:tcW w:w="730" w:type="pct"/>
                  <w:tcBorders>
                    <w:top w:val="single" w:color="auto" w:sz="4" w:space="0"/>
                    <w:left w:val="single" w:color="auto" w:sz="4" w:space="0"/>
                    <w:bottom w:val="single" w:color="auto" w:sz="4" w:space="0"/>
                    <w:right w:val="single" w:color="auto" w:sz="4" w:space="0"/>
                  </w:tcBorders>
                  <w:noWrap/>
                  <w:vAlign w:val="center"/>
                </w:tcPr>
                <w:p w14:paraId="613801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0.731</w:t>
                  </w:r>
                </w:p>
              </w:tc>
              <w:tc>
                <w:tcPr>
                  <w:tcW w:w="583" w:type="pct"/>
                  <w:tcBorders>
                    <w:top w:val="single" w:color="auto" w:sz="4" w:space="0"/>
                    <w:left w:val="single" w:color="auto" w:sz="4" w:space="0"/>
                    <w:bottom w:val="single" w:color="auto" w:sz="4" w:space="0"/>
                    <w:right w:val="nil"/>
                  </w:tcBorders>
                  <w:noWrap/>
                  <w:vAlign w:val="center"/>
                </w:tcPr>
                <w:p w14:paraId="3CA555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10.082</w:t>
                  </w:r>
                </w:p>
              </w:tc>
            </w:tr>
            <w:tr w14:paraId="6D8DF470">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E691802">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30CAE3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3月</w:t>
                  </w:r>
                </w:p>
              </w:tc>
              <w:tc>
                <w:tcPr>
                  <w:tcW w:w="583" w:type="pct"/>
                  <w:tcBorders>
                    <w:top w:val="single" w:color="auto" w:sz="4" w:space="0"/>
                    <w:left w:val="single" w:color="auto" w:sz="4" w:space="0"/>
                    <w:bottom w:val="single" w:color="auto" w:sz="4" w:space="0"/>
                    <w:right w:val="single" w:color="auto" w:sz="4" w:space="0"/>
                  </w:tcBorders>
                  <w:noWrap/>
                  <w:vAlign w:val="center"/>
                </w:tcPr>
                <w:p w14:paraId="728CA9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9517A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2.102</w:t>
                  </w:r>
                </w:p>
              </w:tc>
              <w:tc>
                <w:tcPr>
                  <w:tcW w:w="730" w:type="pct"/>
                  <w:tcBorders>
                    <w:top w:val="single" w:color="auto" w:sz="4" w:space="0"/>
                    <w:left w:val="single" w:color="auto" w:sz="4" w:space="0"/>
                    <w:bottom w:val="single" w:color="auto" w:sz="4" w:space="0"/>
                    <w:right w:val="single" w:color="auto" w:sz="4" w:space="0"/>
                  </w:tcBorders>
                  <w:noWrap/>
                  <w:vAlign w:val="center"/>
                </w:tcPr>
                <w:p w14:paraId="65CD2A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20.788</w:t>
                  </w:r>
                </w:p>
              </w:tc>
              <w:tc>
                <w:tcPr>
                  <w:tcW w:w="730" w:type="pct"/>
                  <w:tcBorders>
                    <w:top w:val="single" w:color="auto" w:sz="4" w:space="0"/>
                    <w:left w:val="single" w:color="auto" w:sz="4" w:space="0"/>
                    <w:bottom w:val="single" w:color="auto" w:sz="4" w:space="0"/>
                    <w:right w:val="single" w:color="auto" w:sz="4" w:space="0"/>
                  </w:tcBorders>
                  <w:noWrap/>
                  <w:vAlign w:val="center"/>
                </w:tcPr>
                <w:p w14:paraId="0ADC6F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125.218</w:t>
                  </w:r>
                </w:p>
              </w:tc>
              <w:tc>
                <w:tcPr>
                  <w:tcW w:w="730" w:type="pct"/>
                  <w:tcBorders>
                    <w:top w:val="single" w:color="auto" w:sz="4" w:space="0"/>
                    <w:left w:val="single" w:color="auto" w:sz="4" w:space="0"/>
                    <w:bottom w:val="single" w:color="auto" w:sz="4" w:space="0"/>
                    <w:right w:val="single" w:color="auto" w:sz="4" w:space="0"/>
                  </w:tcBorders>
                  <w:noWrap/>
                  <w:vAlign w:val="center"/>
                </w:tcPr>
                <w:p w14:paraId="459CAC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7.484</w:t>
                  </w:r>
                </w:p>
              </w:tc>
              <w:tc>
                <w:tcPr>
                  <w:tcW w:w="583" w:type="pct"/>
                  <w:tcBorders>
                    <w:top w:val="single" w:color="auto" w:sz="4" w:space="0"/>
                    <w:left w:val="single" w:color="auto" w:sz="4" w:space="0"/>
                    <w:bottom w:val="single" w:color="auto" w:sz="4" w:space="0"/>
                    <w:right w:val="nil"/>
                  </w:tcBorders>
                  <w:noWrap/>
                  <w:vAlign w:val="center"/>
                </w:tcPr>
                <w:p w14:paraId="269CEF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14.751</w:t>
                  </w:r>
                </w:p>
              </w:tc>
            </w:tr>
            <w:tr w14:paraId="0313E00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9E762C5">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CC529F6">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2E788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77510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3.653</w:t>
                  </w:r>
                </w:p>
              </w:tc>
              <w:tc>
                <w:tcPr>
                  <w:tcW w:w="730" w:type="pct"/>
                  <w:tcBorders>
                    <w:top w:val="single" w:color="auto" w:sz="4" w:space="0"/>
                    <w:left w:val="single" w:color="auto" w:sz="4" w:space="0"/>
                    <w:bottom w:val="single" w:color="auto" w:sz="4" w:space="0"/>
                    <w:right w:val="single" w:color="auto" w:sz="4" w:space="0"/>
                  </w:tcBorders>
                  <w:noWrap/>
                  <w:vAlign w:val="center"/>
                </w:tcPr>
                <w:p w14:paraId="2108C8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25.758</w:t>
                  </w:r>
                </w:p>
              </w:tc>
              <w:tc>
                <w:tcPr>
                  <w:tcW w:w="730" w:type="pct"/>
                  <w:tcBorders>
                    <w:top w:val="single" w:color="auto" w:sz="4" w:space="0"/>
                    <w:left w:val="single" w:color="auto" w:sz="4" w:space="0"/>
                    <w:bottom w:val="single" w:color="auto" w:sz="4" w:space="0"/>
                    <w:right w:val="single" w:color="auto" w:sz="4" w:space="0"/>
                  </w:tcBorders>
                  <w:noWrap/>
                  <w:vAlign w:val="center"/>
                </w:tcPr>
                <w:p w14:paraId="68EFFB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136.832</w:t>
                  </w:r>
                </w:p>
              </w:tc>
              <w:tc>
                <w:tcPr>
                  <w:tcW w:w="730" w:type="pct"/>
                  <w:tcBorders>
                    <w:top w:val="single" w:color="auto" w:sz="4" w:space="0"/>
                    <w:left w:val="single" w:color="auto" w:sz="4" w:space="0"/>
                    <w:bottom w:val="single" w:color="auto" w:sz="4" w:space="0"/>
                    <w:right w:val="single" w:color="auto" w:sz="4" w:space="0"/>
                  </w:tcBorders>
                  <w:noWrap/>
                  <w:vAlign w:val="center"/>
                </w:tcPr>
                <w:p w14:paraId="599640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29.596</w:t>
                  </w:r>
                </w:p>
              </w:tc>
              <w:tc>
                <w:tcPr>
                  <w:tcW w:w="583" w:type="pct"/>
                  <w:tcBorders>
                    <w:top w:val="single" w:color="auto" w:sz="4" w:space="0"/>
                    <w:left w:val="single" w:color="auto" w:sz="4" w:space="0"/>
                    <w:bottom w:val="single" w:color="auto" w:sz="4" w:space="0"/>
                    <w:right w:val="nil"/>
                  </w:tcBorders>
                  <w:noWrap/>
                  <w:vAlign w:val="center"/>
                </w:tcPr>
                <w:p w14:paraId="74412A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24.598</w:t>
                  </w:r>
                </w:p>
              </w:tc>
            </w:tr>
            <w:tr w14:paraId="2C7C6F1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C853EA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0EC0B682">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22641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0B2DA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1.065</w:t>
                  </w:r>
                </w:p>
              </w:tc>
              <w:tc>
                <w:tcPr>
                  <w:tcW w:w="730" w:type="pct"/>
                  <w:tcBorders>
                    <w:top w:val="single" w:color="auto" w:sz="4" w:space="0"/>
                    <w:left w:val="single" w:color="auto" w:sz="4" w:space="0"/>
                    <w:bottom w:val="single" w:color="auto" w:sz="4" w:space="0"/>
                    <w:right w:val="single" w:color="auto" w:sz="4" w:space="0"/>
                  </w:tcBorders>
                  <w:noWrap/>
                  <w:vAlign w:val="center"/>
                </w:tcPr>
                <w:p w14:paraId="4864DC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15.066</w:t>
                  </w:r>
                </w:p>
              </w:tc>
              <w:tc>
                <w:tcPr>
                  <w:tcW w:w="730" w:type="pct"/>
                  <w:tcBorders>
                    <w:top w:val="single" w:color="auto" w:sz="4" w:space="0"/>
                    <w:left w:val="single" w:color="auto" w:sz="4" w:space="0"/>
                    <w:bottom w:val="single" w:color="auto" w:sz="4" w:space="0"/>
                    <w:right w:val="single" w:color="auto" w:sz="4" w:space="0"/>
                  </w:tcBorders>
                  <w:noWrap/>
                  <w:vAlign w:val="center"/>
                </w:tcPr>
                <w:p w14:paraId="60634D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116.771</w:t>
                  </w:r>
                </w:p>
              </w:tc>
              <w:tc>
                <w:tcPr>
                  <w:tcW w:w="730" w:type="pct"/>
                  <w:tcBorders>
                    <w:top w:val="single" w:color="auto" w:sz="4" w:space="0"/>
                    <w:left w:val="single" w:color="auto" w:sz="4" w:space="0"/>
                    <w:bottom w:val="single" w:color="auto" w:sz="4" w:space="0"/>
                    <w:right w:val="single" w:color="auto" w:sz="4" w:space="0"/>
                  </w:tcBorders>
                  <w:noWrap/>
                  <w:vAlign w:val="center"/>
                </w:tcPr>
                <w:p w14:paraId="5C99AE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0.512</w:t>
                  </w:r>
                </w:p>
              </w:tc>
              <w:tc>
                <w:tcPr>
                  <w:tcW w:w="583" w:type="pct"/>
                  <w:tcBorders>
                    <w:top w:val="single" w:color="auto" w:sz="4" w:space="0"/>
                    <w:left w:val="single" w:color="auto" w:sz="4" w:space="0"/>
                    <w:bottom w:val="single" w:color="auto" w:sz="4" w:space="0"/>
                    <w:right w:val="nil"/>
                  </w:tcBorders>
                  <w:noWrap/>
                  <w:vAlign w:val="center"/>
                </w:tcPr>
                <w:p w14:paraId="0EC4BC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5.998</w:t>
                  </w:r>
                </w:p>
              </w:tc>
            </w:tr>
            <w:tr w14:paraId="20E2D7EC">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CBFB87A">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2214ED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4月</w:t>
                  </w:r>
                </w:p>
              </w:tc>
              <w:tc>
                <w:tcPr>
                  <w:tcW w:w="583" w:type="pct"/>
                  <w:tcBorders>
                    <w:top w:val="single" w:color="auto" w:sz="4" w:space="0"/>
                    <w:left w:val="single" w:color="auto" w:sz="4" w:space="0"/>
                    <w:bottom w:val="single" w:color="auto" w:sz="4" w:space="0"/>
                    <w:right w:val="single" w:color="auto" w:sz="4" w:space="0"/>
                  </w:tcBorders>
                  <w:noWrap/>
                  <w:vAlign w:val="center"/>
                </w:tcPr>
                <w:p w14:paraId="17E23E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D8B80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1.667</w:t>
                  </w:r>
                </w:p>
              </w:tc>
              <w:tc>
                <w:tcPr>
                  <w:tcW w:w="730" w:type="pct"/>
                  <w:tcBorders>
                    <w:top w:val="single" w:color="auto" w:sz="4" w:space="0"/>
                    <w:left w:val="single" w:color="auto" w:sz="4" w:space="0"/>
                    <w:bottom w:val="single" w:color="auto" w:sz="4" w:space="0"/>
                    <w:right w:val="single" w:color="auto" w:sz="4" w:space="0"/>
                  </w:tcBorders>
                  <w:noWrap/>
                  <w:vAlign w:val="center"/>
                </w:tcPr>
                <w:p w14:paraId="4BD793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21.638</w:t>
                  </w:r>
                </w:p>
              </w:tc>
              <w:tc>
                <w:tcPr>
                  <w:tcW w:w="730" w:type="pct"/>
                  <w:tcBorders>
                    <w:top w:val="single" w:color="auto" w:sz="4" w:space="0"/>
                    <w:left w:val="single" w:color="auto" w:sz="4" w:space="0"/>
                    <w:bottom w:val="single" w:color="auto" w:sz="4" w:space="0"/>
                    <w:right w:val="single" w:color="auto" w:sz="4" w:space="0"/>
                  </w:tcBorders>
                  <w:noWrap/>
                  <w:vAlign w:val="center"/>
                </w:tcPr>
                <w:p w14:paraId="284B2D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124.062</w:t>
                  </w:r>
                </w:p>
              </w:tc>
              <w:tc>
                <w:tcPr>
                  <w:tcW w:w="730" w:type="pct"/>
                  <w:tcBorders>
                    <w:top w:val="single" w:color="auto" w:sz="4" w:space="0"/>
                    <w:left w:val="single" w:color="auto" w:sz="4" w:space="0"/>
                    <w:bottom w:val="single" w:color="auto" w:sz="4" w:space="0"/>
                    <w:right w:val="single" w:color="auto" w:sz="4" w:space="0"/>
                  </w:tcBorders>
                  <w:noWrap/>
                  <w:vAlign w:val="center"/>
                </w:tcPr>
                <w:p w14:paraId="670CF7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1.152</w:t>
                  </w:r>
                </w:p>
              </w:tc>
              <w:tc>
                <w:tcPr>
                  <w:tcW w:w="583" w:type="pct"/>
                  <w:tcBorders>
                    <w:top w:val="single" w:color="auto" w:sz="4" w:space="0"/>
                    <w:left w:val="single" w:color="auto" w:sz="4" w:space="0"/>
                    <w:bottom w:val="single" w:color="auto" w:sz="4" w:space="0"/>
                    <w:right w:val="nil"/>
                  </w:tcBorders>
                  <w:noWrap/>
                  <w:vAlign w:val="center"/>
                </w:tcPr>
                <w:p w14:paraId="77916B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15.036</w:t>
                  </w:r>
                </w:p>
              </w:tc>
            </w:tr>
            <w:tr w14:paraId="40C81A0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98230D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2991D45">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704C6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D3FB5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2.557</w:t>
                  </w:r>
                </w:p>
              </w:tc>
              <w:tc>
                <w:tcPr>
                  <w:tcW w:w="730" w:type="pct"/>
                  <w:tcBorders>
                    <w:top w:val="single" w:color="auto" w:sz="4" w:space="0"/>
                    <w:left w:val="single" w:color="auto" w:sz="4" w:space="0"/>
                    <w:bottom w:val="single" w:color="auto" w:sz="4" w:space="0"/>
                    <w:right w:val="single" w:color="auto" w:sz="4" w:space="0"/>
                  </w:tcBorders>
                  <w:noWrap/>
                  <w:vAlign w:val="center"/>
                </w:tcPr>
                <w:p w14:paraId="401849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29.493</w:t>
                  </w:r>
                </w:p>
              </w:tc>
              <w:tc>
                <w:tcPr>
                  <w:tcW w:w="730" w:type="pct"/>
                  <w:tcBorders>
                    <w:top w:val="single" w:color="auto" w:sz="4" w:space="0"/>
                    <w:left w:val="single" w:color="auto" w:sz="4" w:space="0"/>
                    <w:bottom w:val="single" w:color="auto" w:sz="4" w:space="0"/>
                    <w:right w:val="single" w:color="auto" w:sz="4" w:space="0"/>
                  </w:tcBorders>
                  <w:noWrap/>
                  <w:vAlign w:val="center"/>
                </w:tcPr>
                <w:p w14:paraId="7ECEBF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142.774</w:t>
                  </w:r>
                </w:p>
              </w:tc>
              <w:tc>
                <w:tcPr>
                  <w:tcW w:w="730" w:type="pct"/>
                  <w:tcBorders>
                    <w:top w:val="single" w:color="auto" w:sz="4" w:space="0"/>
                    <w:left w:val="single" w:color="auto" w:sz="4" w:space="0"/>
                    <w:bottom w:val="single" w:color="auto" w:sz="4" w:space="0"/>
                    <w:right w:val="single" w:color="auto" w:sz="4" w:space="0"/>
                  </w:tcBorders>
                  <w:noWrap/>
                  <w:vAlign w:val="center"/>
                </w:tcPr>
                <w:p w14:paraId="5C8CA2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8.001</w:t>
                  </w:r>
                </w:p>
              </w:tc>
              <w:tc>
                <w:tcPr>
                  <w:tcW w:w="583" w:type="pct"/>
                  <w:tcBorders>
                    <w:top w:val="single" w:color="auto" w:sz="4" w:space="0"/>
                    <w:left w:val="single" w:color="auto" w:sz="4" w:space="0"/>
                    <w:bottom w:val="single" w:color="auto" w:sz="4" w:space="0"/>
                    <w:right w:val="nil"/>
                  </w:tcBorders>
                  <w:noWrap/>
                  <w:vAlign w:val="center"/>
                </w:tcPr>
                <w:p w14:paraId="1A54C2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23.698</w:t>
                  </w:r>
                </w:p>
              </w:tc>
            </w:tr>
            <w:tr w14:paraId="36CF04C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79C57E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3E48046">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019CA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88CD8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1.327</w:t>
                  </w:r>
                </w:p>
              </w:tc>
              <w:tc>
                <w:tcPr>
                  <w:tcW w:w="730" w:type="pct"/>
                  <w:tcBorders>
                    <w:top w:val="single" w:color="auto" w:sz="4" w:space="0"/>
                    <w:left w:val="single" w:color="auto" w:sz="4" w:space="0"/>
                    <w:bottom w:val="single" w:color="auto" w:sz="4" w:space="0"/>
                    <w:right w:val="single" w:color="auto" w:sz="4" w:space="0"/>
                  </w:tcBorders>
                  <w:noWrap/>
                  <w:vAlign w:val="center"/>
                </w:tcPr>
                <w:p w14:paraId="5E6BAC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13.542</w:t>
                  </w:r>
                </w:p>
              </w:tc>
              <w:tc>
                <w:tcPr>
                  <w:tcW w:w="730" w:type="pct"/>
                  <w:tcBorders>
                    <w:top w:val="single" w:color="auto" w:sz="4" w:space="0"/>
                    <w:left w:val="single" w:color="auto" w:sz="4" w:space="0"/>
                    <w:bottom w:val="single" w:color="auto" w:sz="4" w:space="0"/>
                    <w:right w:val="single" w:color="auto" w:sz="4" w:space="0"/>
                  </w:tcBorders>
                  <w:noWrap/>
                  <w:vAlign w:val="center"/>
                </w:tcPr>
                <w:p w14:paraId="63D7F6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117.825</w:t>
                  </w:r>
                </w:p>
              </w:tc>
              <w:tc>
                <w:tcPr>
                  <w:tcW w:w="730" w:type="pct"/>
                  <w:tcBorders>
                    <w:top w:val="single" w:color="auto" w:sz="4" w:space="0"/>
                    <w:left w:val="single" w:color="auto" w:sz="4" w:space="0"/>
                    <w:bottom w:val="single" w:color="auto" w:sz="4" w:space="0"/>
                    <w:right w:val="single" w:color="auto" w:sz="4" w:space="0"/>
                  </w:tcBorders>
                  <w:noWrap/>
                  <w:vAlign w:val="center"/>
                </w:tcPr>
                <w:p w14:paraId="6F1FD8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0.329</w:t>
                  </w:r>
                </w:p>
              </w:tc>
              <w:tc>
                <w:tcPr>
                  <w:tcW w:w="583" w:type="pct"/>
                  <w:tcBorders>
                    <w:top w:val="single" w:color="auto" w:sz="4" w:space="0"/>
                    <w:left w:val="single" w:color="auto" w:sz="4" w:space="0"/>
                    <w:bottom w:val="single" w:color="auto" w:sz="4" w:space="0"/>
                    <w:right w:val="nil"/>
                  </w:tcBorders>
                  <w:noWrap/>
                  <w:vAlign w:val="center"/>
                </w:tcPr>
                <w:p w14:paraId="33C20F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10.12</w:t>
                  </w:r>
                </w:p>
              </w:tc>
            </w:tr>
            <w:tr w14:paraId="65186F5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EF8196B">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EF3FB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5月</w:t>
                  </w:r>
                </w:p>
              </w:tc>
              <w:tc>
                <w:tcPr>
                  <w:tcW w:w="583" w:type="pct"/>
                  <w:tcBorders>
                    <w:top w:val="single" w:color="auto" w:sz="4" w:space="0"/>
                    <w:left w:val="single" w:color="auto" w:sz="4" w:space="0"/>
                    <w:bottom w:val="single" w:color="auto" w:sz="4" w:space="0"/>
                    <w:right w:val="single" w:color="auto" w:sz="4" w:space="0"/>
                  </w:tcBorders>
                  <w:noWrap/>
                  <w:vAlign w:val="center"/>
                </w:tcPr>
                <w:p w14:paraId="010E0B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2E7BE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1.438</w:t>
                  </w:r>
                </w:p>
              </w:tc>
              <w:tc>
                <w:tcPr>
                  <w:tcW w:w="730" w:type="pct"/>
                  <w:tcBorders>
                    <w:top w:val="single" w:color="auto" w:sz="4" w:space="0"/>
                    <w:left w:val="single" w:color="auto" w:sz="4" w:space="0"/>
                    <w:bottom w:val="single" w:color="auto" w:sz="4" w:space="0"/>
                    <w:right w:val="single" w:color="auto" w:sz="4" w:space="0"/>
                  </w:tcBorders>
                  <w:noWrap/>
                  <w:vAlign w:val="center"/>
                </w:tcPr>
                <w:p w14:paraId="5F922D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24.617</w:t>
                  </w:r>
                </w:p>
              </w:tc>
              <w:tc>
                <w:tcPr>
                  <w:tcW w:w="730" w:type="pct"/>
                  <w:tcBorders>
                    <w:top w:val="single" w:color="auto" w:sz="4" w:space="0"/>
                    <w:left w:val="single" w:color="auto" w:sz="4" w:space="0"/>
                    <w:bottom w:val="single" w:color="auto" w:sz="4" w:space="0"/>
                    <w:right w:val="single" w:color="auto" w:sz="4" w:space="0"/>
                  </w:tcBorders>
                  <w:noWrap/>
                  <w:vAlign w:val="center"/>
                </w:tcPr>
                <w:p w14:paraId="05D93D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126.711</w:t>
                  </w:r>
                </w:p>
              </w:tc>
              <w:tc>
                <w:tcPr>
                  <w:tcW w:w="730" w:type="pct"/>
                  <w:tcBorders>
                    <w:top w:val="single" w:color="auto" w:sz="4" w:space="0"/>
                    <w:left w:val="single" w:color="auto" w:sz="4" w:space="0"/>
                    <w:bottom w:val="single" w:color="auto" w:sz="4" w:space="0"/>
                    <w:right w:val="single" w:color="auto" w:sz="4" w:space="0"/>
                  </w:tcBorders>
                  <w:noWrap/>
                  <w:vAlign w:val="center"/>
                </w:tcPr>
                <w:p w14:paraId="7A2149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1.521</w:t>
                  </w:r>
                </w:p>
              </w:tc>
              <w:tc>
                <w:tcPr>
                  <w:tcW w:w="583" w:type="pct"/>
                  <w:tcBorders>
                    <w:top w:val="single" w:color="auto" w:sz="4" w:space="0"/>
                    <w:left w:val="single" w:color="auto" w:sz="4" w:space="0"/>
                    <w:bottom w:val="single" w:color="auto" w:sz="4" w:space="0"/>
                    <w:right w:val="nil"/>
                  </w:tcBorders>
                  <w:noWrap/>
                  <w:vAlign w:val="center"/>
                </w:tcPr>
                <w:p w14:paraId="6A128F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21.338</w:t>
                  </w:r>
                </w:p>
              </w:tc>
            </w:tr>
            <w:tr w14:paraId="0DA02928">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573C214">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4E96DED">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A2B16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201B0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1.837</w:t>
                  </w:r>
                </w:p>
              </w:tc>
              <w:tc>
                <w:tcPr>
                  <w:tcW w:w="730" w:type="pct"/>
                  <w:tcBorders>
                    <w:top w:val="single" w:color="auto" w:sz="4" w:space="0"/>
                    <w:left w:val="single" w:color="auto" w:sz="4" w:space="0"/>
                    <w:bottom w:val="single" w:color="auto" w:sz="4" w:space="0"/>
                    <w:right w:val="single" w:color="auto" w:sz="4" w:space="0"/>
                  </w:tcBorders>
                  <w:noWrap/>
                  <w:vAlign w:val="center"/>
                </w:tcPr>
                <w:p w14:paraId="35EB65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30.692</w:t>
                  </w:r>
                </w:p>
              </w:tc>
              <w:tc>
                <w:tcPr>
                  <w:tcW w:w="730" w:type="pct"/>
                  <w:tcBorders>
                    <w:top w:val="single" w:color="auto" w:sz="4" w:space="0"/>
                    <w:left w:val="single" w:color="auto" w:sz="4" w:space="0"/>
                    <w:bottom w:val="single" w:color="auto" w:sz="4" w:space="0"/>
                    <w:right w:val="single" w:color="auto" w:sz="4" w:space="0"/>
                  </w:tcBorders>
                  <w:noWrap/>
                  <w:vAlign w:val="center"/>
                </w:tcPr>
                <w:p w14:paraId="22A0EC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139.244</w:t>
                  </w:r>
                </w:p>
              </w:tc>
              <w:tc>
                <w:tcPr>
                  <w:tcW w:w="730" w:type="pct"/>
                  <w:tcBorders>
                    <w:top w:val="single" w:color="auto" w:sz="4" w:space="0"/>
                    <w:left w:val="single" w:color="auto" w:sz="4" w:space="0"/>
                    <w:bottom w:val="single" w:color="auto" w:sz="4" w:space="0"/>
                    <w:right w:val="single" w:color="auto" w:sz="4" w:space="0"/>
                  </w:tcBorders>
                  <w:noWrap/>
                  <w:vAlign w:val="center"/>
                </w:tcPr>
                <w:p w14:paraId="12AE71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8.189</w:t>
                  </w:r>
                </w:p>
              </w:tc>
              <w:tc>
                <w:tcPr>
                  <w:tcW w:w="583" w:type="pct"/>
                  <w:tcBorders>
                    <w:top w:val="single" w:color="auto" w:sz="4" w:space="0"/>
                    <w:left w:val="single" w:color="auto" w:sz="4" w:space="0"/>
                    <w:bottom w:val="single" w:color="auto" w:sz="4" w:space="0"/>
                    <w:right w:val="nil"/>
                  </w:tcBorders>
                  <w:noWrap/>
                  <w:vAlign w:val="center"/>
                </w:tcPr>
                <w:p w14:paraId="4934E7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26.131</w:t>
                  </w:r>
                </w:p>
              </w:tc>
            </w:tr>
            <w:tr w14:paraId="48658F0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457991B">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F9975C7">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D482C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4DB84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1.101</w:t>
                  </w:r>
                </w:p>
              </w:tc>
              <w:tc>
                <w:tcPr>
                  <w:tcW w:w="730" w:type="pct"/>
                  <w:tcBorders>
                    <w:top w:val="single" w:color="auto" w:sz="4" w:space="0"/>
                    <w:left w:val="single" w:color="auto" w:sz="4" w:space="0"/>
                    <w:bottom w:val="single" w:color="auto" w:sz="4" w:space="0"/>
                    <w:right w:val="single" w:color="auto" w:sz="4" w:space="0"/>
                  </w:tcBorders>
                  <w:noWrap/>
                  <w:vAlign w:val="center"/>
                </w:tcPr>
                <w:p w14:paraId="046FF3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17.781</w:t>
                  </w:r>
                </w:p>
              </w:tc>
              <w:tc>
                <w:tcPr>
                  <w:tcW w:w="730" w:type="pct"/>
                  <w:tcBorders>
                    <w:top w:val="single" w:color="auto" w:sz="4" w:space="0"/>
                    <w:left w:val="single" w:color="auto" w:sz="4" w:space="0"/>
                    <w:bottom w:val="single" w:color="auto" w:sz="4" w:space="0"/>
                    <w:right w:val="single" w:color="auto" w:sz="4" w:space="0"/>
                  </w:tcBorders>
                  <w:noWrap/>
                  <w:vAlign w:val="center"/>
                </w:tcPr>
                <w:p w14:paraId="55E38B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118.86</w:t>
                  </w:r>
                </w:p>
              </w:tc>
              <w:tc>
                <w:tcPr>
                  <w:tcW w:w="730" w:type="pct"/>
                  <w:tcBorders>
                    <w:top w:val="single" w:color="auto" w:sz="4" w:space="0"/>
                    <w:left w:val="single" w:color="auto" w:sz="4" w:space="0"/>
                    <w:bottom w:val="single" w:color="auto" w:sz="4" w:space="0"/>
                    <w:right w:val="single" w:color="auto" w:sz="4" w:space="0"/>
                  </w:tcBorders>
                  <w:noWrap/>
                  <w:vAlign w:val="center"/>
                </w:tcPr>
                <w:p w14:paraId="15616B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w:t>
                  </w:r>
                </w:p>
              </w:tc>
              <w:tc>
                <w:tcPr>
                  <w:tcW w:w="583" w:type="pct"/>
                  <w:tcBorders>
                    <w:top w:val="single" w:color="auto" w:sz="4" w:space="0"/>
                    <w:left w:val="single" w:color="auto" w:sz="4" w:space="0"/>
                    <w:bottom w:val="single" w:color="auto" w:sz="4" w:space="0"/>
                    <w:right w:val="nil"/>
                  </w:tcBorders>
                  <w:noWrap/>
                  <w:vAlign w:val="center"/>
                </w:tcPr>
                <w:p w14:paraId="557018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14.715</w:t>
                  </w:r>
                </w:p>
              </w:tc>
            </w:tr>
            <w:tr w14:paraId="7973588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B2C9DF6">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79B4DC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6月</w:t>
                  </w:r>
                </w:p>
              </w:tc>
              <w:tc>
                <w:tcPr>
                  <w:tcW w:w="583" w:type="pct"/>
                  <w:tcBorders>
                    <w:top w:val="single" w:color="auto" w:sz="4" w:space="0"/>
                    <w:left w:val="single" w:color="auto" w:sz="4" w:space="0"/>
                    <w:bottom w:val="single" w:color="auto" w:sz="4" w:space="0"/>
                    <w:right w:val="single" w:color="auto" w:sz="4" w:space="0"/>
                  </w:tcBorders>
                  <w:noWrap/>
                  <w:vAlign w:val="center"/>
                </w:tcPr>
                <w:p w14:paraId="2A8891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44679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1.448</w:t>
                  </w:r>
                </w:p>
              </w:tc>
              <w:tc>
                <w:tcPr>
                  <w:tcW w:w="730" w:type="pct"/>
                  <w:tcBorders>
                    <w:top w:val="single" w:color="auto" w:sz="4" w:space="0"/>
                    <w:left w:val="single" w:color="auto" w:sz="4" w:space="0"/>
                    <w:bottom w:val="single" w:color="auto" w:sz="4" w:space="0"/>
                    <w:right w:val="single" w:color="auto" w:sz="4" w:space="0"/>
                  </w:tcBorders>
                  <w:noWrap/>
                  <w:vAlign w:val="center"/>
                </w:tcPr>
                <w:p w14:paraId="2EB65B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26.192</w:t>
                  </w:r>
                </w:p>
              </w:tc>
              <w:tc>
                <w:tcPr>
                  <w:tcW w:w="730" w:type="pct"/>
                  <w:tcBorders>
                    <w:top w:val="single" w:color="auto" w:sz="4" w:space="0"/>
                    <w:left w:val="single" w:color="auto" w:sz="4" w:space="0"/>
                    <w:bottom w:val="single" w:color="auto" w:sz="4" w:space="0"/>
                    <w:right w:val="single" w:color="auto" w:sz="4" w:space="0"/>
                  </w:tcBorders>
                  <w:noWrap/>
                  <w:vAlign w:val="center"/>
                </w:tcPr>
                <w:p w14:paraId="24EEA6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133.242</w:t>
                  </w:r>
                </w:p>
              </w:tc>
              <w:tc>
                <w:tcPr>
                  <w:tcW w:w="730" w:type="pct"/>
                  <w:tcBorders>
                    <w:top w:val="single" w:color="auto" w:sz="4" w:space="0"/>
                    <w:left w:val="single" w:color="auto" w:sz="4" w:space="0"/>
                    <w:bottom w:val="single" w:color="auto" w:sz="4" w:space="0"/>
                    <w:right w:val="single" w:color="auto" w:sz="4" w:space="0"/>
                  </w:tcBorders>
                  <w:noWrap/>
                  <w:vAlign w:val="center"/>
                </w:tcPr>
                <w:p w14:paraId="7263CF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1.472</w:t>
                  </w:r>
                </w:p>
              </w:tc>
              <w:tc>
                <w:tcPr>
                  <w:tcW w:w="583" w:type="pct"/>
                  <w:tcBorders>
                    <w:top w:val="single" w:color="auto" w:sz="4" w:space="0"/>
                    <w:left w:val="single" w:color="auto" w:sz="4" w:space="0"/>
                    <w:bottom w:val="single" w:color="auto" w:sz="4" w:space="0"/>
                    <w:right w:val="nil"/>
                  </w:tcBorders>
                  <w:noWrap/>
                </w:tcPr>
                <w:p w14:paraId="7A2BB2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21.774</w:t>
                  </w:r>
                </w:p>
              </w:tc>
            </w:tr>
            <w:tr w14:paraId="3F5DB44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917918D">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837A0B7">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91D8C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D96C8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1.753</w:t>
                  </w:r>
                </w:p>
              </w:tc>
              <w:tc>
                <w:tcPr>
                  <w:tcW w:w="730" w:type="pct"/>
                  <w:tcBorders>
                    <w:top w:val="single" w:color="auto" w:sz="4" w:space="0"/>
                    <w:left w:val="single" w:color="auto" w:sz="4" w:space="0"/>
                    <w:bottom w:val="single" w:color="auto" w:sz="4" w:space="0"/>
                    <w:right w:val="single" w:color="auto" w:sz="4" w:space="0"/>
                  </w:tcBorders>
                  <w:noWrap/>
                  <w:vAlign w:val="center"/>
                </w:tcPr>
                <w:p w14:paraId="2C8950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36.026</w:t>
                  </w:r>
                </w:p>
              </w:tc>
              <w:tc>
                <w:tcPr>
                  <w:tcW w:w="730" w:type="pct"/>
                  <w:tcBorders>
                    <w:top w:val="single" w:color="auto" w:sz="4" w:space="0"/>
                    <w:left w:val="single" w:color="auto" w:sz="4" w:space="0"/>
                    <w:bottom w:val="single" w:color="auto" w:sz="4" w:space="0"/>
                    <w:right w:val="single" w:color="auto" w:sz="4" w:space="0"/>
                  </w:tcBorders>
                  <w:noWrap/>
                  <w:vAlign w:val="center"/>
                </w:tcPr>
                <w:p w14:paraId="2AD081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147.226</w:t>
                  </w:r>
                </w:p>
              </w:tc>
              <w:tc>
                <w:tcPr>
                  <w:tcW w:w="730" w:type="pct"/>
                  <w:tcBorders>
                    <w:top w:val="single" w:color="auto" w:sz="4" w:space="0"/>
                    <w:left w:val="single" w:color="auto" w:sz="4" w:space="0"/>
                    <w:bottom w:val="single" w:color="auto" w:sz="4" w:space="0"/>
                    <w:right w:val="single" w:color="auto" w:sz="4" w:space="0"/>
                  </w:tcBorders>
                  <w:noWrap/>
                  <w:vAlign w:val="center"/>
                </w:tcPr>
                <w:p w14:paraId="1C08AE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3.136</w:t>
                  </w:r>
                </w:p>
              </w:tc>
              <w:tc>
                <w:tcPr>
                  <w:tcW w:w="583" w:type="pct"/>
                  <w:tcBorders>
                    <w:top w:val="single" w:color="auto" w:sz="4" w:space="0"/>
                    <w:left w:val="single" w:color="auto" w:sz="4" w:space="0"/>
                    <w:bottom w:val="single" w:color="auto" w:sz="4" w:space="0"/>
                    <w:right w:val="nil"/>
                  </w:tcBorders>
                  <w:noWrap/>
                </w:tcPr>
                <w:p w14:paraId="142DE2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28.364</w:t>
                  </w:r>
                </w:p>
              </w:tc>
            </w:tr>
            <w:tr w14:paraId="27C8FBB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8D8FE4E">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07A09DE7">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7D656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4CCAC9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1.185</w:t>
                  </w:r>
                </w:p>
              </w:tc>
              <w:tc>
                <w:tcPr>
                  <w:tcW w:w="730" w:type="pct"/>
                  <w:tcBorders>
                    <w:top w:val="single" w:color="auto" w:sz="4" w:space="0"/>
                    <w:left w:val="single" w:color="auto" w:sz="4" w:space="0"/>
                    <w:bottom w:val="single" w:color="auto" w:sz="4" w:space="0"/>
                    <w:right w:val="single" w:color="auto" w:sz="4" w:space="0"/>
                  </w:tcBorders>
                  <w:noWrap/>
                  <w:vAlign w:val="center"/>
                </w:tcPr>
                <w:p w14:paraId="2B053C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15.261</w:t>
                  </w:r>
                </w:p>
              </w:tc>
              <w:tc>
                <w:tcPr>
                  <w:tcW w:w="730" w:type="pct"/>
                  <w:tcBorders>
                    <w:top w:val="single" w:color="auto" w:sz="4" w:space="0"/>
                    <w:left w:val="single" w:color="auto" w:sz="4" w:space="0"/>
                    <w:bottom w:val="single" w:color="auto" w:sz="4" w:space="0"/>
                    <w:right w:val="single" w:color="auto" w:sz="4" w:space="0"/>
                  </w:tcBorders>
                  <w:noWrap/>
                  <w:vAlign w:val="center"/>
                </w:tcPr>
                <w:p w14:paraId="02EBDD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123.107</w:t>
                  </w:r>
                </w:p>
              </w:tc>
              <w:tc>
                <w:tcPr>
                  <w:tcW w:w="730" w:type="pct"/>
                  <w:tcBorders>
                    <w:top w:val="single" w:color="auto" w:sz="4" w:space="0"/>
                    <w:left w:val="single" w:color="auto" w:sz="4" w:space="0"/>
                    <w:bottom w:val="single" w:color="auto" w:sz="4" w:space="0"/>
                    <w:right w:val="single" w:color="auto" w:sz="4" w:space="0"/>
                  </w:tcBorders>
                  <w:noWrap/>
                  <w:vAlign w:val="center"/>
                </w:tcPr>
                <w:p w14:paraId="2DAA5C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0.261</w:t>
                  </w:r>
                </w:p>
              </w:tc>
              <w:tc>
                <w:tcPr>
                  <w:tcW w:w="583" w:type="pct"/>
                  <w:tcBorders>
                    <w:top w:val="single" w:color="auto" w:sz="4" w:space="0"/>
                    <w:left w:val="single" w:color="auto" w:sz="4" w:space="0"/>
                    <w:bottom w:val="single" w:color="auto" w:sz="4" w:space="0"/>
                    <w:right w:val="nil"/>
                  </w:tcBorders>
                  <w:noWrap/>
                </w:tcPr>
                <w:p w14:paraId="7BA945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14.737</w:t>
                  </w:r>
                </w:p>
              </w:tc>
            </w:tr>
            <w:tr w14:paraId="02545EA1">
              <w:tblPrEx>
                <w:tblCellMar>
                  <w:top w:w="0" w:type="dxa"/>
                  <w:left w:w="108" w:type="dxa"/>
                  <w:bottom w:w="0" w:type="dxa"/>
                  <w:right w:w="108" w:type="dxa"/>
                </w:tblCellMar>
              </w:tblPrEx>
              <w:trPr>
                <w:trHeight w:val="300" w:hRule="atLeast"/>
              </w:trPr>
              <w:tc>
                <w:tcPr>
                  <w:tcW w:w="1009" w:type="dxa"/>
                  <w:vMerge w:val="continue"/>
                  <w:tcBorders>
                    <w:top w:val="single" w:color="auto" w:sz="4" w:space="0"/>
                    <w:left w:val="nil"/>
                    <w:bottom w:val="single" w:color="auto" w:sz="4" w:space="0"/>
                    <w:right w:val="single" w:color="auto" w:sz="4" w:space="0"/>
                  </w:tcBorders>
                  <w:vAlign w:val="center"/>
                </w:tcPr>
                <w:p w14:paraId="646CCEAD">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3D41BC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7月</w:t>
                  </w:r>
                </w:p>
              </w:tc>
              <w:tc>
                <w:tcPr>
                  <w:tcW w:w="583" w:type="pct"/>
                  <w:tcBorders>
                    <w:top w:val="single" w:color="auto" w:sz="4" w:space="0"/>
                    <w:left w:val="single" w:color="auto" w:sz="4" w:space="0"/>
                    <w:bottom w:val="single" w:color="auto" w:sz="4" w:space="0"/>
                    <w:right w:val="single" w:color="auto" w:sz="4" w:space="0"/>
                  </w:tcBorders>
                  <w:noWrap/>
                  <w:vAlign w:val="center"/>
                </w:tcPr>
                <w:p w14:paraId="1DD947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395D3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1.466</w:t>
                  </w:r>
                </w:p>
              </w:tc>
              <w:tc>
                <w:tcPr>
                  <w:tcW w:w="730" w:type="pct"/>
                  <w:tcBorders>
                    <w:top w:val="single" w:color="auto" w:sz="4" w:space="0"/>
                    <w:left w:val="single" w:color="auto" w:sz="4" w:space="0"/>
                    <w:bottom w:val="single" w:color="auto" w:sz="4" w:space="0"/>
                    <w:right w:val="single" w:color="auto" w:sz="4" w:space="0"/>
                  </w:tcBorders>
                  <w:noWrap/>
                  <w:vAlign w:val="center"/>
                </w:tcPr>
                <w:p w14:paraId="15D610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25.709</w:t>
                  </w:r>
                </w:p>
              </w:tc>
              <w:tc>
                <w:tcPr>
                  <w:tcW w:w="730" w:type="pct"/>
                  <w:tcBorders>
                    <w:top w:val="single" w:color="auto" w:sz="4" w:space="0"/>
                    <w:left w:val="single" w:color="auto" w:sz="4" w:space="0"/>
                    <w:bottom w:val="single" w:color="auto" w:sz="4" w:space="0"/>
                    <w:right w:val="single" w:color="auto" w:sz="4" w:space="0"/>
                  </w:tcBorders>
                  <w:noWrap/>
                  <w:vAlign w:val="center"/>
                </w:tcPr>
                <w:p w14:paraId="503089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121.29</w:t>
                  </w:r>
                </w:p>
              </w:tc>
              <w:tc>
                <w:tcPr>
                  <w:tcW w:w="730" w:type="pct"/>
                  <w:tcBorders>
                    <w:top w:val="single" w:color="auto" w:sz="4" w:space="0"/>
                    <w:left w:val="single" w:color="auto" w:sz="4" w:space="0"/>
                    <w:bottom w:val="single" w:color="auto" w:sz="4" w:space="0"/>
                    <w:right w:val="single" w:color="auto" w:sz="4" w:space="0"/>
                  </w:tcBorders>
                  <w:noWrap/>
                  <w:vAlign w:val="center"/>
                </w:tcPr>
                <w:p w14:paraId="712AC5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1.802</w:t>
                  </w:r>
                </w:p>
              </w:tc>
              <w:tc>
                <w:tcPr>
                  <w:tcW w:w="583" w:type="pct"/>
                  <w:tcBorders>
                    <w:top w:val="single" w:color="auto" w:sz="4" w:space="0"/>
                    <w:left w:val="single" w:color="auto" w:sz="4" w:space="0"/>
                    <w:bottom w:val="single" w:color="auto" w:sz="4" w:space="0"/>
                    <w:right w:val="nil"/>
                  </w:tcBorders>
                  <w:noWrap/>
                </w:tcPr>
                <w:p w14:paraId="10F0D6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11.948</w:t>
                  </w:r>
                </w:p>
              </w:tc>
            </w:tr>
            <w:tr w14:paraId="522156C6">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9BEEC6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C8001D0">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5D263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343D9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2.194</w:t>
                  </w:r>
                </w:p>
              </w:tc>
              <w:tc>
                <w:tcPr>
                  <w:tcW w:w="730" w:type="pct"/>
                  <w:tcBorders>
                    <w:top w:val="single" w:color="auto" w:sz="4" w:space="0"/>
                    <w:left w:val="single" w:color="auto" w:sz="4" w:space="0"/>
                    <w:bottom w:val="single" w:color="auto" w:sz="4" w:space="0"/>
                    <w:right w:val="single" w:color="auto" w:sz="4" w:space="0"/>
                  </w:tcBorders>
                  <w:noWrap/>
                  <w:vAlign w:val="center"/>
                </w:tcPr>
                <w:p w14:paraId="4CE978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37.351</w:t>
                  </w:r>
                </w:p>
              </w:tc>
              <w:tc>
                <w:tcPr>
                  <w:tcW w:w="730" w:type="pct"/>
                  <w:tcBorders>
                    <w:top w:val="single" w:color="auto" w:sz="4" w:space="0"/>
                    <w:left w:val="single" w:color="auto" w:sz="4" w:space="0"/>
                    <w:bottom w:val="single" w:color="auto" w:sz="4" w:space="0"/>
                    <w:right w:val="single" w:color="auto" w:sz="4" w:space="0"/>
                  </w:tcBorders>
                  <w:noWrap/>
                  <w:vAlign w:val="center"/>
                </w:tcPr>
                <w:p w14:paraId="33D3A2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142.438</w:t>
                  </w:r>
                </w:p>
              </w:tc>
              <w:tc>
                <w:tcPr>
                  <w:tcW w:w="730" w:type="pct"/>
                  <w:tcBorders>
                    <w:top w:val="single" w:color="auto" w:sz="4" w:space="0"/>
                    <w:left w:val="single" w:color="auto" w:sz="4" w:space="0"/>
                    <w:bottom w:val="single" w:color="auto" w:sz="4" w:space="0"/>
                    <w:right w:val="single" w:color="auto" w:sz="4" w:space="0"/>
                  </w:tcBorders>
                  <w:noWrap/>
                  <w:vAlign w:val="center"/>
                </w:tcPr>
                <w:p w14:paraId="591B8B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3.326</w:t>
                  </w:r>
                </w:p>
              </w:tc>
              <w:tc>
                <w:tcPr>
                  <w:tcW w:w="583" w:type="pct"/>
                  <w:tcBorders>
                    <w:top w:val="single" w:color="auto" w:sz="4" w:space="0"/>
                    <w:left w:val="single" w:color="auto" w:sz="4" w:space="0"/>
                    <w:bottom w:val="single" w:color="auto" w:sz="4" w:space="0"/>
                    <w:right w:val="nil"/>
                  </w:tcBorders>
                  <w:noWrap/>
                </w:tcPr>
                <w:p w14:paraId="10CAE0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23.616</w:t>
                  </w:r>
                </w:p>
              </w:tc>
            </w:tr>
            <w:tr w14:paraId="10A4FBB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640AD79F">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0EFEEBF8">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4AF50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4B2FC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0.668</w:t>
                  </w:r>
                </w:p>
              </w:tc>
              <w:tc>
                <w:tcPr>
                  <w:tcW w:w="730" w:type="pct"/>
                  <w:tcBorders>
                    <w:top w:val="single" w:color="auto" w:sz="4" w:space="0"/>
                    <w:left w:val="single" w:color="auto" w:sz="4" w:space="0"/>
                    <w:bottom w:val="single" w:color="auto" w:sz="4" w:space="0"/>
                    <w:right w:val="single" w:color="auto" w:sz="4" w:space="0"/>
                  </w:tcBorders>
                  <w:noWrap/>
                  <w:vAlign w:val="center"/>
                </w:tcPr>
                <w:p w14:paraId="518156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18.18</w:t>
                  </w:r>
                </w:p>
              </w:tc>
              <w:tc>
                <w:tcPr>
                  <w:tcW w:w="730" w:type="pct"/>
                  <w:tcBorders>
                    <w:top w:val="single" w:color="auto" w:sz="4" w:space="0"/>
                    <w:left w:val="single" w:color="auto" w:sz="4" w:space="0"/>
                    <w:bottom w:val="single" w:color="auto" w:sz="4" w:space="0"/>
                    <w:right w:val="single" w:color="auto" w:sz="4" w:space="0"/>
                  </w:tcBorders>
                  <w:noWrap/>
                  <w:vAlign w:val="center"/>
                </w:tcPr>
                <w:p w14:paraId="69D920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114.545</w:t>
                  </w:r>
                </w:p>
              </w:tc>
              <w:tc>
                <w:tcPr>
                  <w:tcW w:w="730" w:type="pct"/>
                  <w:tcBorders>
                    <w:top w:val="single" w:color="auto" w:sz="4" w:space="0"/>
                    <w:left w:val="single" w:color="auto" w:sz="4" w:space="0"/>
                    <w:bottom w:val="single" w:color="auto" w:sz="4" w:space="0"/>
                    <w:right w:val="single" w:color="auto" w:sz="4" w:space="0"/>
                  </w:tcBorders>
                  <w:noWrap/>
                  <w:vAlign w:val="center"/>
                </w:tcPr>
                <w:p w14:paraId="49C41F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0.616</w:t>
                  </w:r>
                </w:p>
              </w:tc>
              <w:tc>
                <w:tcPr>
                  <w:tcW w:w="583" w:type="pct"/>
                  <w:tcBorders>
                    <w:top w:val="single" w:color="auto" w:sz="4" w:space="0"/>
                    <w:left w:val="single" w:color="auto" w:sz="4" w:space="0"/>
                    <w:bottom w:val="single" w:color="auto" w:sz="4" w:space="0"/>
                    <w:right w:val="nil"/>
                  </w:tcBorders>
                  <w:noWrap/>
                </w:tcPr>
                <w:p w14:paraId="03F608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4.941</w:t>
                  </w:r>
                </w:p>
              </w:tc>
            </w:tr>
            <w:tr w14:paraId="4B6D881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245A8DDA">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4100B8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8月</w:t>
                  </w:r>
                </w:p>
              </w:tc>
              <w:tc>
                <w:tcPr>
                  <w:tcW w:w="583" w:type="pct"/>
                  <w:tcBorders>
                    <w:top w:val="single" w:color="auto" w:sz="4" w:space="0"/>
                    <w:left w:val="single" w:color="auto" w:sz="4" w:space="0"/>
                    <w:bottom w:val="single" w:color="auto" w:sz="4" w:space="0"/>
                    <w:right w:val="single" w:color="auto" w:sz="4" w:space="0"/>
                  </w:tcBorders>
                  <w:noWrap/>
                  <w:vAlign w:val="center"/>
                </w:tcPr>
                <w:p w14:paraId="53A9DA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63F8D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1.953</w:t>
                  </w:r>
                </w:p>
              </w:tc>
              <w:tc>
                <w:tcPr>
                  <w:tcW w:w="730" w:type="pct"/>
                  <w:tcBorders>
                    <w:top w:val="single" w:color="auto" w:sz="4" w:space="0"/>
                    <w:left w:val="single" w:color="auto" w:sz="4" w:space="0"/>
                    <w:bottom w:val="single" w:color="auto" w:sz="4" w:space="0"/>
                    <w:right w:val="single" w:color="auto" w:sz="4" w:space="0"/>
                  </w:tcBorders>
                  <w:noWrap/>
                  <w:vAlign w:val="center"/>
                </w:tcPr>
                <w:p w14:paraId="3F1EDA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23.316</w:t>
                  </w:r>
                </w:p>
              </w:tc>
              <w:tc>
                <w:tcPr>
                  <w:tcW w:w="730" w:type="pct"/>
                  <w:tcBorders>
                    <w:top w:val="single" w:color="auto" w:sz="4" w:space="0"/>
                    <w:left w:val="single" w:color="auto" w:sz="4" w:space="0"/>
                    <w:bottom w:val="single" w:color="auto" w:sz="4" w:space="0"/>
                    <w:right w:val="single" w:color="auto" w:sz="4" w:space="0"/>
                  </w:tcBorders>
                  <w:noWrap/>
                  <w:vAlign w:val="center"/>
                </w:tcPr>
                <w:p w14:paraId="1DA44B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118.446</w:t>
                  </w:r>
                </w:p>
              </w:tc>
              <w:tc>
                <w:tcPr>
                  <w:tcW w:w="730" w:type="pct"/>
                  <w:tcBorders>
                    <w:top w:val="single" w:color="auto" w:sz="4" w:space="0"/>
                    <w:left w:val="single" w:color="auto" w:sz="4" w:space="0"/>
                    <w:bottom w:val="single" w:color="auto" w:sz="4" w:space="0"/>
                    <w:right w:val="single" w:color="auto" w:sz="4" w:space="0"/>
                  </w:tcBorders>
                  <w:noWrap/>
                  <w:vAlign w:val="center"/>
                </w:tcPr>
                <w:p w14:paraId="42F65F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1.853</w:t>
                  </w:r>
                </w:p>
              </w:tc>
              <w:tc>
                <w:tcPr>
                  <w:tcW w:w="583" w:type="pct"/>
                  <w:tcBorders>
                    <w:top w:val="single" w:color="auto" w:sz="4" w:space="0"/>
                    <w:left w:val="single" w:color="auto" w:sz="4" w:space="0"/>
                    <w:bottom w:val="single" w:color="auto" w:sz="4" w:space="0"/>
                    <w:right w:val="nil"/>
                  </w:tcBorders>
                  <w:noWrap/>
                  <w:vAlign w:val="center"/>
                </w:tcPr>
                <w:p w14:paraId="00BC1B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15.996</w:t>
                  </w:r>
                </w:p>
              </w:tc>
            </w:tr>
            <w:tr w14:paraId="1E77C577">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409C1A7">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455701EE">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5F1CE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1882F9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3.306</w:t>
                  </w:r>
                </w:p>
              </w:tc>
              <w:tc>
                <w:tcPr>
                  <w:tcW w:w="730" w:type="pct"/>
                  <w:tcBorders>
                    <w:top w:val="single" w:color="auto" w:sz="4" w:space="0"/>
                    <w:left w:val="single" w:color="auto" w:sz="4" w:space="0"/>
                    <w:bottom w:val="single" w:color="auto" w:sz="4" w:space="0"/>
                    <w:right w:val="single" w:color="auto" w:sz="4" w:space="0"/>
                  </w:tcBorders>
                  <w:noWrap/>
                  <w:vAlign w:val="center"/>
                </w:tcPr>
                <w:p w14:paraId="73AA3B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29.59</w:t>
                  </w:r>
                </w:p>
              </w:tc>
              <w:tc>
                <w:tcPr>
                  <w:tcW w:w="730" w:type="pct"/>
                  <w:tcBorders>
                    <w:top w:val="single" w:color="auto" w:sz="4" w:space="0"/>
                    <w:left w:val="single" w:color="auto" w:sz="4" w:space="0"/>
                    <w:bottom w:val="single" w:color="auto" w:sz="4" w:space="0"/>
                    <w:right w:val="single" w:color="auto" w:sz="4" w:space="0"/>
                  </w:tcBorders>
                  <w:noWrap/>
                  <w:vAlign w:val="center"/>
                </w:tcPr>
                <w:p w14:paraId="64AA36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122.161</w:t>
                  </w:r>
                </w:p>
              </w:tc>
              <w:tc>
                <w:tcPr>
                  <w:tcW w:w="730" w:type="pct"/>
                  <w:tcBorders>
                    <w:top w:val="single" w:color="auto" w:sz="4" w:space="0"/>
                    <w:left w:val="single" w:color="auto" w:sz="4" w:space="0"/>
                    <w:bottom w:val="single" w:color="auto" w:sz="4" w:space="0"/>
                    <w:right w:val="single" w:color="auto" w:sz="4" w:space="0"/>
                  </w:tcBorders>
                  <w:noWrap/>
                  <w:vAlign w:val="center"/>
                </w:tcPr>
                <w:p w14:paraId="70FD89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9.625</w:t>
                  </w:r>
                </w:p>
              </w:tc>
              <w:tc>
                <w:tcPr>
                  <w:tcW w:w="583" w:type="pct"/>
                  <w:tcBorders>
                    <w:top w:val="single" w:color="auto" w:sz="4" w:space="0"/>
                    <w:left w:val="single" w:color="auto" w:sz="4" w:space="0"/>
                    <w:bottom w:val="single" w:color="auto" w:sz="4" w:space="0"/>
                    <w:right w:val="nil"/>
                  </w:tcBorders>
                  <w:noWrap/>
                  <w:vAlign w:val="center"/>
                </w:tcPr>
                <w:p w14:paraId="49A372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23.183</w:t>
                  </w:r>
                </w:p>
              </w:tc>
            </w:tr>
            <w:tr w14:paraId="228C1BE5">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3DF396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5A9EFB8">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35E54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4E889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0.687</w:t>
                  </w:r>
                </w:p>
              </w:tc>
              <w:tc>
                <w:tcPr>
                  <w:tcW w:w="730" w:type="pct"/>
                  <w:tcBorders>
                    <w:top w:val="single" w:color="auto" w:sz="4" w:space="0"/>
                    <w:left w:val="single" w:color="auto" w:sz="4" w:space="0"/>
                    <w:bottom w:val="single" w:color="auto" w:sz="4" w:space="0"/>
                    <w:right w:val="single" w:color="auto" w:sz="4" w:space="0"/>
                  </w:tcBorders>
                  <w:noWrap/>
                  <w:vAlign w:val="center"/>
                </w:tcPr>
                <w:p w14:paraId="67FA65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17.349</w:t>
                  </w:r>
                </w:p>
              </w:tc>
              <w:tc>
                <w:tcPr>
                  <w:tcW w:w="730" w:type="pct"/>
                  <w:tcBorders>
                    <w:top w:val="single" w:color="auto" w:sz="4" w:space="0"/>
                    <w:left w:val="single" w:color="auto" w:sz="4" w:space="0"/>
                    <w:bottom w:val="single" w:color="auto" w:sz="4" w:space="0"/>
                    <w:right w:val="single" w:color="auto" w:sz="4" w:space="0"/>
                  </w:tcBorders>
                  <w:noWrap/>
                  <w:vAlign w:val="center"/>
                </w:tcPr>
                <w:p w14:paraId="0C128B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111.961</w:t>
                  </w:r>
                </w:p>
              </w:tc>
              <w:tc>
                <w:tcPr>
                  <w:tcW w:w="730" w:type="pct"/>
                  <w:tcBorders>
                    <w:top w:val="single" w:color="auto" w:sz="4" w:space="0"/>
                    <w:left w:val="single" w:color="auto" w:sz="4" w:space="0"/>
                    <w:bottom w:val="single" w:color="auto" w:sz="4" w:space="0"/>
                    <w:right w:val="single" w:color="auto" w:sz="4" w:space="0"/>
                  </w:tcBorders>
                  <w:noWrap/>
                  <w:vAlign w:val="center"/>
                </w:tcPr>
                <w:p w14:paraId="3E72F3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0.277</w:t>
                  </w:r>
                </w:p>
              </w:tc>
              <w:tc>
                <w:tcPr>
                  <w:tcW w:w="583" w:type="pct"/>
                  <w:tcBorders>
                    <w:top w:val="single" w:color="auto" w:sz="4" w:space="0"/>
                    <w:left w:val="single" w:color="auto" w:sz="4" w:space="0"/>
                    <w:bottom w:val="single" w:color="auto" w:sz="4" w:space="0"/>
                    <w:right w:val="nil"/>
                  </w:tcBorders>
                  <w:noWrap/>
                  <w:vAlign w:val="center"/>
                </w:tcPr>
                <w:p w14:paraId="5AF921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5.786</w:t>
                  </w:r>
                </w:p>
              </w:tc>
            </w:tr>
            <w:tr w14:paraId="5470F924">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416E413">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2D389C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9月</w:t>
                  </w:r>
                </w:p>
              </w:tc>
              <w:tc>
                <w:tcPr>
                  <w:tcW w:w="583" w:type="pct"/>
                  <w:tcBorders>
                    <w:top w:val="single" w:color="auto" w:sz="4" w:space="0"/>
                    <w:left w:val="single" w:color="auto" w:sz="4" w:space="0"/>
                    <w:bottom w:val="single" w:color="auto" w:sz="4" w:space="0"/>
                    <w:right w:val="single" w:color="auto" w:sz="4" w:space="0"/>
                  </w:tcBorders>
                  <w:noWrap/>
                  <w:vAlign w:val="center"/>
                </w:tcPr>
                <w:p w14:paraId="6FD793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C3972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1.402</w:t>
                  </w:r>
                </w:p>
              </w:tc>
              <w:tc>
                <w:tcPr>
                  <w:tcW w:w="730" w:type="pct"/>
                  <w:tcBorders>
                    <w:top w:val="single" w:color="auto" w:sz="4" w:space="0"/>
                    <w:left w:val="single" w:color="auto" w:sz="4" w:space="0"/>
                    <w:bottom w:val="single" w:color="auto" w:sz="4" w:space="0"/>
                    <w:right w:val="single" w:color="auto" w:sz="4" w:space="0"/>
                  </w:tcBorders>
                  <w:noWrap/>
                  <w:vAlign w:val="center"/>
                </w:tcPr>
                <w:p w14:paraId="02DF92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25.356</w:t>
                  </w:r>
                </w:p>
              </w:tc>
              <w:tc>
                <w:tcPr>
                  <w:tcW w:w="730" w:type="pct"/>
                  <w:tcBorders>
                    <w:top w:val="single" w:color="auto" w:sz="4" w:space="0"/>
                    <w:left w:val="single" w:color="auto" w:sz="4" w:space="0"/>
                    <w:bottom w:val="single" w:color="auto" w:sz="4" w:space="0"/>
                    <w:right w:val="single" w:color="auto" w:sz="4" w:space="0"/>
                  </w:tcBorders>
                  <w:noWrap/>
                  <w:vAlign w:val="center"/>
                </w:tcPr>
                <w:p w14:paraId="55F10B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120.438</w:t>
                  </w:r>
                </w:p>
              </w:tc>
              <w:tc>
                <w:tcPr>
                  <w:tcW w:w="730" w:type="pct"/>
                  <w:tcBorders>
                    <w:top w:val="single" w:color="auto" w:sz="4" w:space="0"/>
                    <w:left w:val="single" w:color="auto" w:sz="4" w:space="0"/>
                    <w:bottom w:val="single" w:color="auto" w:sz="4" w:space="0"/>
                    <w:right w:val="single" w:color="auto" w:sz="4" w:space="0"/>
                  </w:tcBorders>
                  <w:noWrap/>
                  <w:vAlign w:val="center"/>
                </w:tcPr>
                <w:p w14:paraId="1B40DD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1.591</w:t>
                  </w:r>
                </w:p>
              </w:tc>
              <w:tc>
                <w:tcPr>
                  <w:tcW w:w="583" w:type="pct"/>
                  <w:tcBorders>
                    <w:top w:val="single" w:color="auto" w:sz="4" w:space="0"/>
                    <w:left w:val="single" w:color="auto" w:sz="4" w:space="0"/>
                    <w:bottom w:val="single" w:color="auto" w:sz="4" w:space="0"/>
                    <w:right w:val="nil"/>
                  </w:tcBorders>
                  <w:noWrap/>
                  <w:vAlign w:val="center"/>
                </w:tcPr>
                <w:p w14:paraId="227097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19.615</w:t>
                  </w:r>
                </w:p>
              </w:tc>
            </w:tr>
            <w:tr w14:paraId="58124C5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D12CCA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541A55E">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271CF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32ABA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1.953</w:t>
                  </w:r>
                </w:p>
              </w:tc>
              <w:tc>
                <w:tcPr>
                  <w:tcW w:w="730" w:type="pct"/>
                  <w:tcBorders>
                    <w:top w:val="single" w:color="auto" w:sz="4" w:space="0"/>
                    <w:left w:val="single" w:color="auto" w:sz="4" w:space="0"/>
                    <w:bottom w:val="single" w:color="auto" w:sz="4" w:space="0"/>
                    <w:right w:val="single" w:color="auto" w:sz="4" w:space="0"/>
                  </w:tcBorders>
                  <w:noWrap/>
                  <w:vAlign w:val="center"/>
                </w:tcPr>
                <w:p w14:paraId="59325E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34.765</w:t>
                  </w:r>
                </w:p>
              </w:tc>
              <w:tc>
                <w:tcPr>
                  <w:tcW w:w="730" w:type="pct"/>
                  <w:tcBorders>
                    <w:top w:val="single" w:color="auto" w:sz="4" w:space="0"/>
                    <w:left w:val="single" w:color="auto" w:sz="4" w:space="0"/>
                    <w:bottom w:val="single" w:color="auto" w:sz="4" w:space="0"/>
                    <w:right w:val="single" w:color="auto" w:sz="4" w:space="0"/>
                  </w:tcBorders>
                  <w:noWrap/>
                  <w:vAlign w:val="center"/>
                </w:tcPr>
                <w:p w14:paraId="7C5958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128.687</w:t>
                  </w:r>
                </w:p>
              </w:tc>
              <w:tc>
                <w:tcPr>
                  <w:tcW w:w="730" w:type="pct"/>
                  <w:tcBorders>
                    <w:top w:val="single" w:color="auto" w:sz="4" w:space="0"/>
                    <w:left w:val="single" w:color="auto" w:sz="4" w:space="0"/>
                    <w:bottom w:val="single" w:color="auto" w:sz="4" w:space="0"/>
                    <w:right w:val="single" w:color="auto" w:sz="4" w:space="0"/>
                  </w:tcBorders>
                  <w:noWrap/>
                  <w:vAlign w:val="center"/>
                </w:tcPr>
                <w:p w14:paraId="0AAC3D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6.266</w:t>
                  </w:r>
                </w:p>
              </w:tc>
              <w:tc>
                <w:tcPr>
                  <w:tcW w:w="583" w:type="pct"/>
                  <w:tcBorders>
                    <w:top w:val="single" w:color="auto" w:sz="4" w:space="0"/>
                    <w:left w:val="single" w:color="auto" w:sz="4" w:space="0"/>
                    <w:bottom w:val="single" w:color="auto" w:sz="4" w:space="0"/>
                    <w:right w:val="nil"/>
                  </w:tcBorders>
                  <w:noWrap/>
                  <w:vAlign w:val="center"/>
                </w:tcPr>
                <w:p w14:paraId="0CB35D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27.585</w:t>
                  </w:r>
                </w:p>
              </w:tc>
            </w:tr>
            <w:tr w14:paraId="435F4B8C">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108B53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561C3374">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2EEBF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C30EF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0.916</w:t>
                  </w:r>
                </w:p>
              </w:tc>
              <w:tc>
                <w:tcPr>
                  <w:tcW w:w="730" w:type="pct"/>
                  <w:tcBorders>
                    <w:top w:val="single" w:color="auto" w:sz="4" w:space="0"/>
                    <w:left w:val="single" w:color="auto" w:sz="4" w:space="0"/>
                    <w:bottom w:val="single" w:color="auto" w:sz="4" w:space="0"/>
                    <w:right w:val="single" w:color="auto" w:sz="4" w:space="0"/>
                  </w:tcBorders>
                  <w:noWrap/>
                  <w:vAlign w:val="center"/>
                </w:tcPr>
                <w:p w14:paraId="2C5018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19.795</w:t>
                  </w:r>
                </w:p>
              </w:tc>
              <w:tc>
                <w:tcPr>
                  <w:tcW w:w="730" w:type="pct"/>
                  <w:tcBorders>
                    <w:top w:val="single" w:color="auto" w:sz="4" w:space="0"/>
                    <w:left w:val="single" w:color="auto" w:sz="4" w:space="0"/>
                    <w:bottom w:val="single" w:color="auto" w:sz="4" w:space="0"/>
                    <w:right w:val="single" w:color="auto" w:sz="4" w:space="0"/>
                  </w:tcBorders>
                  <w:noWrap/>
                  <w:vAlign w:val="center"/>
                </w:tcPr>
                <w:p w14:paraId="17BD18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115.878</w:t>
                  </w:r>
                </w:p>
              </w:tc>
              <w:tc>
                <w:tcPr>
                  <w:tcW w:w="730" w:type="pct"/>
                  <w:tcBorders>
                    <w:top w:val="single" w:color="auto" w:sz="4" w:space="0"/>
                    <w:left w:val="single" w:color="auto" w:sz="4" w:space="0"/>
                    <w:bottom w:val="single" w:color="auto" w:sz="4" w:space="0"/>
                    <w:right w:val="single" w:color="auto" w:sz="4" w:space="0"/>
                  </w:tcBorders>
                  <w:noWrap/>
                  <w:vAlign w:val="center"/>
                </w:tcPr>
                <w:p w14:paraId="4C6EF8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0.328</w:t>
                  </w:r>
                </w:p>
              </w:tc>
              <w:tc>
                <w:tcPr>
                  <w:tcW w:w="583" w:type="pct"/>
                  <w:tcBorders>
                    <w:top w:val="single" w:color="auto" w:sz="4" w:space="0"/>
                    <w:left w:val="single" w:color="auto" w:sz="4" w:space="0"/>
                    <w:bottom w:val="single" w:color="auto" w:sz="4" w:space="0"/>
                    <w:right w:val="nil"/>
                  </w:tcBorders>
                  <w:noWrap/>
                  <w:vAlign w:val="center"/>
                </w:tcPr>
                <w:p w14:paraId="584AA9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9.013</w:t>
                  </w:r>
                </w:p>
              </w:tc>
            </w:tr>
            <w:tr w14:paraId="74542F3A">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9E20C0E">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2FF558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10月</w:t>
                  </w:r>
                </w:p>
              </w:tc>
              <w:tc>
                <w:tcPr>
                  <w:tcW w:w="583" w:type="pct"/>
                  <w:tcBorders>
                    <w:top w:val="single" w:color="auto" w:sz="4" w:space="0"/>
                    <w:left w:val="single" w:color="auto" w:sz="4" w:space="0"/>
                    <w:bottom w:val="single" w:color="auto" w:sz="4" w:space="0"/>
                    <w:right w:val="single" w:color="auto" w:sz="4" w:space="0"/>
                  </w:tcBorders>
                  <w:noWrap/>
                  <w:vAlign w:val="center"/>
                </w:tcPr>
                <w:p w14:paraId="725FFA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671C81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0.962</w:t>
                  </w:r>
                </w:p>
              </w:tc>
              <w:tc>
                <w:tcPr>
                  <w:tcW w:w="730" w:type="pct"/>
                  <w:tcBorders>
                    <w:top w:val="single" w:color="auto" w:sz="4" w:space="0"/>
                    <w:left w:val="single" w:color="auto" w:sz="4" w:space="0"/>
                    <w:bottom w:val="single" w:color="auto" w:sz="4" w:space="0"/>
                    <w:right w:val="single" w:color="auto" w:sz="4" w:space="0"/>
                  </w:tcBorders>
                  <w:noWrap/>
                  <w:vAlign w:val="center"/>
                </w:tcPr>
                <w:p w14:paraId="4B9D99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31.655</w:t>
                  </w:r>
                </w:p>
              </w:tc>
              <w:tc>
                <w:tcPr>
                  <w:tcW w:w="730" w:type="pct"/>
                  <w:tcBorders>
                    <w:top w:val="single" w:color="auto" w:sz="4" w:space="0"/>
                    <w:left w:val="single" w:color="auto" w:sz="4" w:space="0"/>
                    <w:bottom w:val="single" w:color="auto" w:sz="4" w:space="0"/>
                    <w:right w:val="single" w:color="auto" w:sz="4" w:space="0"/>
                  </w:tcBorders>
                  <w:noWrap/>
                  <w:vAlign w:val="center"/>
                </w:tcPr>
                <w:p w14:paraId="7810BD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119.656</w:t>
                  </w:r>
                </w:p>
              </w:tc>
              <w:tc>
                <w:tcPr>
                  <w:tcW w:w="730" w:type="pct"/>
                  <w:tcBorders>
                    <w:top w:val="single" w:color="auto" w:sz="4" w:space="0"/>
                    <w:left w:val="single" w:color="auto" w:sz="4" w:space="0"/>
                    <w:bottom w:val="single" w:color="auto" w:sz="4" w:space="0"/>
                    <w:right w:val="single" w:color="auto" w:sz="4" w:space="0"/>
                  </w:tcBorders>
                  <w:noWrap/>
                  <w:vAlign w:val="center"/>
                </w:tcPr>
                <w:p w14:paraId="352FA8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1.832</w:t>
                  </w:r>
                </w:p>
              </w:tc>
              <w:tc>
                <w:tcPr>
                  <w:tcW w:w="583" w:type="pct"/>
                  <w:tcBorders>
                    <w:top w:val="single" w:color="auto" w:sz="4" w:space="0"/>
                    <w:left w:val="single" w:color="auto" w:sz="4" w:space="0"/>
                    <w:bottom w:val="single" w:color="auto" w:sz="4" w:space="0"/>
                    <w:right w:val="nil"/>
                  </w:tcBorders>
                  <w:noWrap/>
                  <w:vAlign w:val="center"/>
                </w:tcPr>
                <w:p w14:paraId="0069C2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12.167</w:t>
                  </w:r>
                </w:p>
              </w:tc>
            </w:tr>
            <w:tr w14:paraId="2D5AF2D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5CA4B24A">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558B09A">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67BD7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77F865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1.374</w:t>
                  </w:r>
                </w:p>
              </w:tc>
              <w:tc>
                <w:tcPr>
                  <w:tcW w:w="730" w:type="pct"/>
                  <w:tcBorders>
                    <w:top w:val="single" w:color="auto" w:sz="4" w:space="0"/>
                    <w:left w:val="single" w:color="auto" w:sz="4" w:space="0"/>
                    <w:bottom w:val="single" w:color="auto" w:sz="4" w:space="0"/>
                    <w:right w:val="single" w:color="auto" w:sz="4" w:space="0"/>
                  </w:tcBorders>
                  <w:noWrap/>
                  <w:vAlign w:val="center"/>
                </w:tcPr>
                <w:p w14:paraId="0F4F44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47.256</w:t>
                  </w:r>
                </w:p>
              </w:tc>
              <w:tc>
                <w:tcPr>
                  <w:tcW w:w="730" w:type="pct"/>
                  <w:tcBorders>
                    <w:top w:val="single" w:color="auto" w:sz="4" w:space="0"/>
                    <w:left w:val="single" w:color="auto" w:sz="4" w:space="0"/>
                    <w:bottom w:val="single" w:color="auto" w:sz="4" w:space="0"/>
                    <w:right w:val="single" w:color="auto" w:sz="4" w:space="0"/>
                  </w:tcBorders>
                  <w:noWrap/>
                  <w:vAlign w:val="center"/>
                </w:tcPr>
                <w:p w14:paraId="6F00B6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132.041</w:t>
                  </w:r>
                </w:p>
              </w:tc>
              <w:tc>
                <w:tcPr>
                  <w:tcW w:w="730" w:type="pct"/>
                  <w:tcBorders>
                    <w:top w:val="single" w:color="auto" w:sz="4" w:space="0"/>
                    <w:left w:val="single" w:color="auto" w:sz="4" w:space="0"/>
                    <w:bottom w:val="single" w:color="auto" w:sz="4" w:space="0"/>
                    <w:right w:val="single" w:color="auto" w:sz="4" w:space="0"/>
                  </w:tcBorders>
                  <w:noWrap/>
                  <w:vAlign w:val="center"/>
                </w:tcPr>
                <w:p w14:paraId="09655E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5.824</w:t>
                  </w:r>
                </w:p>
              </w:tc>
              <w:tc>
                <w:tcPr>
                  <w:tcW w:w="583" w:type="pct"/>
                  <w:tcBorders>
                    <w:top w:val="single" w:color="auto" w:sz="4" w:space="0"/>
                    <w:left w:val="single" w:color="auto" w:sz="4" w:space="0"/>
                    <w:bottom w:val="single" w:color="auto" w:sz="4" w:space="0"/>
                    <w:right w:val="nil"/>
                  </w:tcBorders>
                  <w:noWrap/>
                  <w:vAlign w:val="center"/>
                </w:tcPr>
                <w:p w14:paraId="10F8A1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20.157</w:t>
                  </w:r>
                </w:p>
              </w:tc>
            </w:tr>
            <w:tr w14:paraId="637E93AF">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15241B86">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2540943C">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98390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741A1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0.423</w:t>
                  </w:r>
                </w:p>
              </w:tc>
              <w:tc>
                <w:tcPr>
                  <w:tcW w:w="730" w:type="pct"/>
                  <w:tcBorders>
                    <w:top w:val="single" w:color="auto" w:sz="4" w:space="0"/>
                    <w:left w:val="single" w:color="auto" w:sz="4" w:space="0"/>
                    <w:bottom w:val="single" w:color="auto" w:sz="4" w:space="0"/>
                    <w:right w:val="single" w:color="auto" w:sz="4" w:space="0"/>
                  </w:tcBorders>
                  <w:noWrap/>
                  <w:vAlign w:val="center"/>
                </w:tcPr>
                <w:p w14:paraId="7BDF37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17.621</w:t>
                  </w:r>
                </w:p>
              </w:tc>
              <w:tc>
                <w:tcPr>
                  <w:tcW w:w="730" w:type="pct"/>
                  <w:tcBorders>
                    <w:top w:val="single" w:color="auto" w:sz="4" w:space="0"/>
                    <w:left w:val="single" w:color="auto" w:sz="4" w:space="0"/>
                    <w:bottom w:val="single" w:color="auto" w:sz="4" w:space="0"/>
                    <w:right w:val="single" w:color="auto" w:sz="4" w:space="0"/>
                  </w:tcBorders>
                  <w:noWrap/>
                  <w:vAlign w:val="center"/>
                </w:tcPr>
                <w:p w14:paraId="3D5FFE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106.146</w:t>
                  </w:r>
                </w:p>
              </w:tc>
              <w:tc>
                <w:tcPr>
                  <w:tcW w:w="730" w:type="pct"/>
                  <w:tcBorders>
                    <w:top w:val="single" w:color="auto" w:sz="4" w:space="0"/>
                    <w:left w:val="single" w:color="auto" w:sz="4" w:space="0"/>
                    <w:bottom w:val="single" w:color="auto" w:sz="4" w:space="0"/>
                    <w:right w:val="single" w:color="auto" w:sz="4" w:space="0"/>
                  </w:tcBorders>
                  <w:noWrap/>
                  <w:vAlign w:val="center"/>
                </w:tcPr>
                <w:p w14:paraId="26C513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0.602</w:t>
                  </w:r>
                </w:p>
              </w:tc>
              <w:tc>
                <w:tcPr>
                  <w:tcW w:w="583" w:type="pct"/>
                  <w:tcBorders>
                    <w:top w:val="single" w:color="auto" w:sz="4" w:space="0"/>
                    <w:left w:val="single" w:color="auto" w:sz="4" w:space="0"/>
                    <w:bottom w:val="single" w:color="auto" w:sz="4" w:space="0"/>
                    <w:right w:val="nil"/>
                  </w:tcBorders>
                  <w:noWrap/>
                  <w:vAlign w:val="center"/>
                </w:tcPr>
                <w:p w14:paraId="719105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5.462</w:t>
                  </w:r>
                </w:p>
              </w:tc>
            </w:tr>
            <w:tr w14:paraId="01C83BFE">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09F4928B">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06A69C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11月</w:t>
                  </w:r>
                </w:p>
              </w:tc>
              <w:tc>
                <w:tcPr>
                  <w:tcW w:w="583" w:type="pct"/>
                  <w:tcBorders>
                    <w:top w:val="single" w:color="auto" w:sz="4" w:space="0"/>
                    <w:left w:val="single" w:color="auto" w:sz="4" w:space="0"/>
                    <w:bottom w:val="single" w:color="auto" w:sz="4" w:space="0"/>
                    <w:right w:val="single" w:color="auto" w:sz="4" w:space="0"/>
                  </w:tcBorders>
                  <w:noWrap/>
                  <w:vAlign w:val="center"/>
                </w:tcPr>
                <w:p w14:paraId="40D01C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0AF150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0.489</w:t>
                  </w:r>
                </w:p>
              </w:tc>
              <w:tc>
                <w:tcPr>
                  <w:tcW w:w="730" w:type="pct"/>
                  <w:tcBorders>
                    <w:top w:val="single" w:color="auto" w:sz="4" w:space="0"/>
                    <w:left w:val="single" w:color="auto" w:sz="4" w:space="0"/>
                    <w:bottom w:val="single" w:color="auto" w:sz="4" w:space="0"/>
                    <w:right w:val="single" w:color="auto" w:sz="4" w:space="0"/>
                  </w:tcBorders>
                  <w:noWrap/>
                  <w:vAlign w:val="center"/>
                </w:tcPr>
                <w:p w14:paraId="66BBCA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27.724</w:t>
                  </w:r>
                </w:p>
              </w:tc>
              <w:tc>
                <w:tcPr>
                  <w:tcW w:w="730" w:type="pct"/>
                  <w:tcBorders>
                    <w:top w:val="single" w:color="auto" w:sz="4" w:space="0"/>
                    <w:left w:val="single" w:color="auto" w:sz="4" w:space="0"/>
                    <w:bottom w:val="single" w:color="auto" w:sz="4" w:space="0"/>
                    <w:right w:val="single" w:color="auto" w:sz="4" w:space="0"/>
                  </w:tcBorders>
                  <w:noWrap/>
                  <w:vAlign w:val="center"/>
                </w:tcPr>
                <w:p w14:paraId="4D4349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126.165</w:t>
                  </w:r>
                </w:p>
              </w:tc>
              <w:tc>
                <w:tcPr>
                  <w:tcW w:w="730" w:type="pct"/>
                  <w:tcBorders>
                    <w:top w:val="single" w:color="auto" w:sz="4" w:space="0"/>
                    <w:left w:val="single" w:color="auto" w:sz="4" w:space="0"/>
                    <w:bottom w:val="single" w:color="auto" w:sz="4" w:space="0"/>
                    <w:right w:val="single" w:color="auto" w:sz="4" w:space="0"/>
                  </w:tcBorders>
                  <w:noWrap/>
                  <w:vAlign w:val="center"/>
                </w:tcPr>
                <w:p w14:paraId="2954CE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1.221</w:t>
                  </w:r>
                </w:p>
              </w:tc>
              <w:tc>
                <w:tcPr>
                  <w:tcW w:w="583" w:type="pct"/>
                  <w:tcBorders>
                    <w:top w:val="single" w:color="auto" w:sz="4" w:space="0"/>
                    <w:left w:val="single" w:color="auto" w:sz="4" w:space="0"/>
                    <w:bottom w:val="single" w:color="auto" w:sz="4" w:space="0"/>
                    <w:right w:val="nil"/>
                  </w:tcBorders>
                  <w:noWrap/>
                  <w:vAlign w:val="center"/>
                </w:tcPr>
                <w:p w14:paraId="357C6F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16.975</w:t>
                  </w:r>
                </w:p>
              </w:tc>
            </w:tr>
            <w:tr w14:paraId="730624F0">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79B23B83">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45A2124B">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5A4A1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47E159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0.672</w:t>
                  </w:r>
                </w:p>
              </w:tc>
              <w:tc>
                <w:tcPr>
                  <w:tcW w:w="730" w:type="pct"/>
                  <w:tcBorders>
                    <w:top w:val="single" w:color="auto" w:sz="4" w:space="0"/>
                    <w:left w:val="single" w:color="auto" w:sz="4" w:space="0"/>
                    <w:bottom w:val="single" w:color="auto" w:sz="4" w:space="0"/>
                    <w:right w:val="single" w:color="auto" w:sz="4" w:space="0"/>
                  </w:tcBorders>
                  <w:noWrap/>
                  <w:vAlign w:val="center"/>
                </w:tcPr>
                <w:p w14:paraId="2B2E68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36.246</w:t>
                  </w:r>
                </w:p>
              </w:tc>
              <w:tc>
                <w:tcPr>
                  <w:tcW w:w="730" w:type="pct"/>
                  <w:tcBorders>
                    <w:top w:val="single" w:color="auto" w:sz="4" w:space="0"/>
                    <w:left w:val="single" w:color="auto" w:sz="4" w:space="0"/>
                    <w:bottom w:val="single" w:color="auto" w:sz="4" w:space="0"/>
                    <w:right w:val="single" w:color="auto" w:sz="4" w:space="0"/>
                  </w:tcBorders>
                  <w:noWrap/>
                  <w:vAlign w:val="center"/>
                </w:tcPr>
                <w:p w14:paraId="2E5AB3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134.626</w:t>
                  </w:r>
                </w:p>
              </w:tc>
              <w:tc>
                <w:tcPr>
                  <w:tcW w:w="730" w:type="pct"/>
                  <w:tcBorders>
                    <w:top w:val="single" w:color="auto" w:sz="4" w:space="0"/>
                    <w:left w:val="single" w:color="auto" w:sz="4" w:space="0"/>
                    <w:bottom w:val="single" w:color="auto" w:sz="4" w:space="0"/>
                    <w:right w:val="single" w:color="auto" w:sz="4" w:space="0"/>
                  </w:tcBorders>
                  <w:noWrap/>
                  <w:vAlign w:val="center"/>
                </w:tcPr>
                <w:p w14:paraId="689415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3.108</w:t>
                  </w:r>
                </w:p>
              </w:tc>
              <w:tc>
                <w:tcPr>
                  <w:tcW w:w="583" w:type="pct"/>
                  <w:tcBorders>
                    <w:top w:val="single" w:color="auto" w:sz="4" w:space="0"/>
                    <w:left w:val="single" w:color="auto" w:sz="4" w:space="0"/>
                    <w:bottom w:val="single" w:color="auto" w:sz="4" w:space="0"/>
                    <w:right w:val="nil"/>
                  </w:tcBorders>
                  <w:noWrap/>
                  <w:vAlign w:val="center"/>
                </w:tcPr>
                <w:p w14:paraId="1403DB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26.219</w:t>
                  </w:r>
                </w:p>
              </w:tc>
            </w:tr>
            <w:tr w14:paraId="79475B61">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DC3EF71">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70C59D63">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833C8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5AF8C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0.391</w:t>
                  </w:r>
                </w:p>
              </w:tc>
              <w:tc>
                <w:tcPr>
                  <w:tcW w:w="730" w:type="pct"/>
                  <w:tcBorders>
                    <w:top w:val="single" w:color="auto" w:sz="4" w:space="0"/>
                    <w:left w:val="single" w:color="auto" w:sz="4" w:space="0"/>
                    <w:bottom w:val="single" w:color="auto" w:sz="4" w:space="0"/>
                    <w:right w:val="single" w:color="auto" w:sz="4" w:space="0"/>
                  </w:tcBorders>
                  <w:noWrap/>
                  <w:vAlign w:val="center"/>
                </w:tcPr>
                <w:p w14:paraId="5ABB6A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21.004</w:t>
                  </w:r>
                </w:p>
              </w:tc>
              <w:tc>
                <w:tcPr>
                  <w:tcW w:w="730" w:type="pct"/>
                  <w:tcBorders>
                    <w:top w:val="single" w:color="auto" w:sz="4" w:space="0"/>
                    <w:left w:val="single" w:color="auto" w:sz="4" w:space="0"/>
                    <w:bottom w:val="single" w:color="auto" w:sz="4" w:space="0"/>
                    <w:right w:val="single" w:color="auto" w:sz="4" w:space="0"/>
                  </w:tcBorders>
                  <w:noWrap/>
                  <w:vAlign w:val="center"/>
                </w:tcPr>
                <w:p w14:paraId="62FEF6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117.946</w:t>
                  </w:r>
                </w:p>
              </w:tc>
              <w:tc>
                <w:tcPr>
                  <w:tcW w:w="730" w:type="pct"/>
                  <w:tcBorders>
                    <w:top w:val="single" w:color="auto" w:sz="4" w:space="0"/>
                    <w:left w:val="single" w:color="auto" w:sz="4" w:space="0"/>
                    <w:bottom w:val="single" w:color="auto" w:sz="4" w:space="0"/>
                    <w:right w:val="single" w:color="auto" w:sz="4" w:space="0"/>
                  </w:tcBorders>
                  <w:noWrap/>
                  <w:vAlign w:val="center"/>
                </w:tcPr>
                <w:p w14:paraId="6A5691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0.235</w:t>
                  </w:r>
                </w:p>
              </w:tc>
              <w:tc>
                <w:tcPr>
                  <w:tcW w:w="583" w:type="pct"/>
                  <w:tcBorders>
                    <w:top w:val="single" w:color="auto" w:sz="4" w:space="0"/>
                    <w:left w:val="single" w:color="auto" w:sz="4" w:space="0"/>
                    <w:bottom w:val="single" w:color="auto" w:sz="4" w:space="0"/>
                    <w:right w:val="nil"/>
                  </w:tcBorders>
                  <w:noWrap/>
                  <w:vAlign w:val="center"/>
                </w:tcPr>
                <w:p w14:paraId="161D33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8.233</w:t>
                  </w:r>
                </w:p>
              </w:tc>
            </w:tr>
            <w:tr w14:paraId="41B3F713">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4189A315">
                  <w:pPr>
                    <w:jc w:val="center"/>
                    <w:rPr>
                      <w:rFonts w:hint="default" w:ascii="Times New Roman" w:hAnsi="Times New Roman" w:eastAsia="宋体" w:cs="Times New Roman"/>
                      <w:color w:val="auto"/>
                      <w:sz w:val="21"/>
                      <w:szCs w:val="21"/>
                      <w:highlight w:val="none"/>
                    </w:rPr>
                  </w:pPr>
                </w:p>
              </w:tc>
              <w:tc>
                <w:tcPr>
                  <w:tcW w:w="474" w:type="pct"/>
                  <w:vMerge w:val="restart"/>
                  <w:tcBorders>
                    <w:top w:val="single" w:color="auto" w:sz="4" w:space="0"/>
                    <w:left w:val="single" w:color="auto" w:sz="4" w:space="0"/>
                    <w:bottom w:val="single" w:color="auto" w:sz="4" w:space="0"/>
                    <w:right w:val="single" w:color="auto" w:sz="4" w:space="0"/>
                  </w:tcBorders>
                  <w:noWrap/>
                  <w:vAlign w:val="center"/>
                </w:tcPr>
                <w:p w14:paraId="584226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12月</w:t>
                  </w:r>
                </w:p>
              </w:tc>
              <w:tc>
                <w:tcPr>
                  <w:tcW w:w="583" w:type="pct"/>
                  <w:tcBorders>
                    <w:top w:val="single" w:color="auto" w:sz="4" w:space="0"/>
                    <w:left w:val="single" w:color="auto" w:sz="4" w:space="0"/>
                    <w:bottom w:val="single" w:color="auto" w:sz="4" w:space="0"/>
                    <w:right w:val="single" w:color="auto" w:sz="4" w:space="0"/>
                  </w:tcBorders>
                  <w:noWrap/>
                  <w:vAlign w:val="center"/>
                </w:tcPr>
                <w:p w14:paraId="7CC946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585" w:type="pct"/>
                  <w:tcBorders>
                    <w:top w:val="single" w:color="auto" w:sz="4" w:space="0"/>
                    <w:left w:val="single" w:color="auto" w:sz="4" w:space="0"/>
                    <w:bottom w:val="single" w:color="auto" w:sz="4" w:space="0"/>
                    <w:right w:val="single" w:color="auto" w:sz="4" w:space="0"/>
                  </w:tcBorders>
                  <w:noWrap/>
                  <w:vAlign w:val="center"/>
                </w:tcPr>
                <w:p w14:paraId="50B364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0.529</w:t>
                  </w:r>
                </w:p>
              </w:tc>
              <w:tc>
                <w:tcPr>
                  <w:tcW w:w="730" w:type="pct"/>
                  <w:tcBorders>
                    <w:top w:val="single" w:color="auto" w:sz="4" w:space="0"/>
                    <w:left w:val="single" w:color="auto" w:sz="4" w:space="0"/>
                    <w:bottom w:val="single" w:color="auto" w:sz="4" w:space="0"/>
                    <w:right w:val="single" w:color="auto" w:sz="4" w:space="0"/>
                  </w:tcBorders>
                  <w:noWrap/>
                  <w:vAlign w:val="center"/>
                </w:tcPr>
                <w:p w14:paraId="0D2300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32.447</w:t>
                  </w:r>
                </w:p>
              </w:tc>
              <w:tc>
                <w:tcPr>
                  <w:tcW w:w="730" w:type="pct"/>
                  <w:tcBorders>
                    <w:top w:val="single" w:color="auto" w:sz="4" w:space="0"/>
                    <w:left w:val="single" w:color="auto" w:sz="4" w:space="0"/>
                    <w:bottom w:val="single" w:color="auto" w:sz="4" w:space="0"/>
                    <w:right w:val="single" w:color="auto" w:sz="4" w:space="0"/>
                  </w:tcBorders>
                  <w:noWrap/>
                  <w:vAlign w:val="center"/>
                </w:tcPr>
                <w:p w14:paraId="12DBE5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124.979</w:t>
                  </w:r>
                </w:p>
              </w:tc>
              <w:tc>
                <w:tcPr>
                  <w:tcW w:w="730" w:type="pct"/>
                  <w:tcBorders>
                    <w:top w:val="single" w:color="auto" w:sz="4" w:space="0"/>
                    <w:left w:val="single" w:color="auto" w:sz="4" w:space="0"/>
                    <w:bottom w:val="single" w:color="auto" w:sz="4" w:space="0"/>
                    <w:right w:val="single" w:color="auto" w:sz="4" w:space="0"/>
                  </w:tcBorders>
                  <w:noWrap/>
                  <w:vAlign w:val="center"/>
                </w:tcPr>
                <w:p w14:paraId="1902FE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1.628</w:t>
                  </w:r>
                </w:p>
              </w:tc>
              <w:tc>
                <w:tcPr>
                  <w:tcW w:w="583" w:type="pct"/>
                  <w:tcBorders>
                    <w:top w:val="single" w:color="auto" w:sz="4" w:space="0"/>
                    <w:left w:val="single" w:color="auto" w:sz="4" w:space="0"/>
                    <w:bottom w:val="single" w:color="auto" w:sz="4" w:space="0"/>
                    <w:right w:val="nil"/>
                  </w:tcBorders>
                  <w:noWrap/>
                  <w:vAlign w:val="center"/>
                </w:tcPr>
                <w:p w14:paraId="22D789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11.364</w:t>
                  </w:r>
                </w:p>
              </w:tc>
            </w:tr>
            <w:tr w14:paraId="482444BC">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01A7011">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0149FFB1">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EE2CF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最大值</w:t>
                  </w:r>
                </w:p>
              </w:tc>
              <w:tc>
                <w:tcPr>
                  <w:tcW w:w="585" w:type="pct"/>
                  <w:tcBorders>
                    <w:top w:val="single" w:color="auto" w:sz="4" w:space="0"/>
                    <w:left w:val="single" w:color="auto" w:sz="4" w:space="0"/>
                    <w:bottom w:val="single" w:color="auto" w:sz="4" w:space="0"/>
                    <w:right w:val="single" w:color="auto" w:sz="4" w:space="0"/>
                  </w:tcBorders>
                  <w:noWrap/>
                  <w:vAlign w:val="center"/>
                </w:tcPr>
                <w:p w14:paraId="2E4586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0.906</w:t>
                  </w:r>
                </w:p>
              </w:tc>
              <w:tc>
                <w:tcPr>
                  <w:tcW w:w="730" w:type="pct"/>
                  <w:tcBorders>
                    <w:top w:val="single" w:color="auto" w:sz="4" w:space="0"/>
                    <w:left w:val="single" w:color="auto" w:sz="4" w:space="0"/>
                    <w:bottom w:val="single" w:color="auto" w:sz="4" w:space="0"/>
                    <w:right w:val="single" w:color="auto" w:sz="4" w:space="0"/>
                  </w:tcBorders>
                  <w:noWrap/>
                  <w:vAlign w:val="center"/>
                </w:tcPr>
                <w:p w14:paraId="3C4978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49.419</w:t>
                  </w:r>
                </w:p>
              </w:tc>
              <w:tc>
                <w:tcPr>
                  <w:tcW w:w="730" w:type="pct"/>
                  <w:tcBorders>
                    <w:top w:val="single" w:color="auto" w:sz="4" w:space="0"/>
                    <w:left w:val="single" w:color="auto" w:sz="4" w:space="0"/>
                    <w:bottom w:val="single" w:color="auto" w:sz="4" w:space="0"/>
                    <w:right w:val="single" w:color="auto" w:sz="4" w:space="0"/>
                  </w:tcBorders>
                  <w:noWrap/>
                  <w:vAlign w:val="center"/>
                </w:tcPr>
                <w:p w14:paraId="69AA6C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138.334</w:t>
                  </w:r>
                </w:p>
              </w:tc>
              <w:tc>
                <w:tcPr>
                  <w:tcW w:w="730" w:type="pct"/>
                  <w:tcBorders>
                    <w:top w:val="single" w:color="auto" w:sz="4" w:space="0"/>
                    <w:left w:val="single" w:color="auto" w:sz="4" w:space="0"/>
                    <w:bottom w:val="single" w:color="auto" w:sz="4" w:space="0"/>
                    <w:right w:val="single" w:color="auto" w:sz="4" w:space="0"/>
                  </w:tcBorders>
                  <w:noWrap/>
                  <w:vAlign w:val="center"/>
                </w:tcPr>
                <w:p w14:paraId="4A03E2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5.837</w:t>
                  </w:r>
                </w:p>
              </w:tc>
              <w:tc>
                <w:tcPr>
                  <w:tcW w:w="583" w:type="pct"/>
                  <w:tcBorders>
                    <w:top w:val="single" w:color="auto" w:sz="4" w:space="0"/>
                    <w:left w:val="single" w:color="auto" w:sz="4" w:space="0"/>
                    <w:bottom w:val="single" w:color="auto" w:sz="4" w:space="0"/>
                    <w:right w:val="nil"/>
                  </w:tcBorders>
                  <w:noWrap/>
                  <w:vAlign w:val="center"/>
                </w:tcPr>
                <w:p w14:paraId="122247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14:paraId="7A44AB5D">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4" w:space="0"/>
                    <w:right w:val="single" w:color="auto" w:sz="4" w:space="0"/>
                  </w:tcBorders>
                  <w:vAlign w:val="center"/>
                </w:tcPr>
                <w:p w14:paraId="326DC36E">
                  <w:pPr>
                    <w:jc w:val="center"/>
                    <w:rPr>
                      <w:rFonts w:hint="default" w:ascii="Times New Roman" w:hAnsi="Times New Roman" w:eastAsia="宋体" w:cs="Times New Roman"/>
                      <w:color w:val="auto"/>
                      <w:sz w:val="21"/>
                      <w:szCs w:val="21"/>
                      <w:highlight w:val="none"/>
                    </w:rPr>
                  </w:pPr>
                </w:p>
              </w:tc>
              <w:tc>
                <w:tcPr>
                  <w:tcW w:w="818" w:type="dxa"/>
                  <w:vMerge w:val="continue"/>
                  <w:tcBorders>
                    <w:top w:val="single" w:color="auto" w:sz="4" w:space="0"/>
                    <w:left w:val="single" w:color="auto" w:sz="4" w:space="0"/>
                    <w:bottom w:val="single" w:color="auto" w:sz="4" w:space="0"/>
                    <w:right w:val="single" w:color="auto" w:sz="4" w:space="0"/>
                  </w:tcBorders>
                  <w:vAlign w:val="center"/>
                </w:tcPr>
                <w:p w14:paraId="37EF125A">
                  <w:pPr>
                    <w:jc w:val="center"/>
                    <w:rPr>
                      <w:rFonts w:hint="default" w:ascii="Times New Roman" w:hAnsi="Times New Roman" w:eastAsia="宋体" w:cs="Times New Roman"/>
                      <w:color w:val="auto"/>
                      <w:sz w:val="21"/>
                      <w:szCs w:val="21"/>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99FD3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最小值</w:t>
                  </w:r>
                </w:p>
              </w:tc>
              <w:tc>
                <w:tcPr>
                  <w:tcW w:w="585" w:type="pct"/>
                  <w:tcBorders>
                    <w:top w:val="single" w:color="auto" w:sz="4" w:space="0"/>
                    <w:left w:val="single" w:color="auto" w:sz="4" w:space="0"/>
                    <w:bottom w:val="single" w:color="auto" w:sz="4" w:space="0"/>
                    <w:right w:val="single" w:color="auto" w:sz="4" w:space="0"/>
                  </w:tcBorders>
                  <w:noWrap/>
                  <w:vAlign w:val="center"/>
                </w:tcPr>
                <w:p w14:paraId="338D0F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0.275</w:t>
                  </w:r>
                </w:p>
              </w:tc>
              <w:tc>
                <w:tcPr>
                  <w:tcW w:w="730" w:type="pct"/>
                  <w:tcBorders>
                    <w:top w:val="single" w:color="auto" w:sz="4" w:space="0"/>
                    <w:left w:val="single" w:color="auto" w:sz="4" w:space="0"/>
                    <w:bottom w:val="single" w:color="auto" w:sz="4" w:space="0"/>
                    <w:right w:val="single" w:color="auto" w:sz="4" w:space="0"/>
                  </w:tcBorders>
                  <w:noWrap/>
                  <w:vAlign w:val="center"/>
                </w:tcPr>
                <w:p w14:paraId="4595AC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23.943</w:t>
                  </w:r>
                </w:p>
              </w:tc>
              <w:tc>
                <w:tcPr>
                  <w:tcW w:w="730" w:type="pct"/>
                  <w:tcBorders>
                    <w:top w:val="single" w:color="auto" w:sz="4" w:space="0"/>
                    <w:left w:val="single" w:color="auto" w:sz="4" w:space="0"/>
                    <w:bottom w:val="single" w:color="auto" w:sz="4" w:space="0"/>
                    <w:right w:val="single" w:color="auto" w:sz="4" w:space="0"/>
                  </w:tcBorders>
                  <w:noWrap/>
                  <w:vAlign w:val="center"/>
                </w:tcPr>
                <w:p w14:paraId="19F563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94.523</w:t>
                  </w:r>
                </w:p>
              </w:tc>
              <w:tc>
                <w:tcPr>
                  <w:tcW w:w="730" w:type="pct"/>
                  <w:tcBorders>
                    <w:top w:val="single" w:color="auto" w:sz="4" w:space="0"/>
                    <w:left w:val="single" w:color="auto" w:sz="4" w:space="0"/>
                    <w:bottom w:val="single" w:color="auto" w:sz="4" w:space="0"/>
                    <w:right w:val="single" w:color="auto" w:sz="4" w:space="0"/>
                  </w:tcBorders>
                  <w:noWrap/>
                  <w:vAlign w:val="center"/>
                </w:tcPr>
                <w:p w14:paraId="7602B8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0.255</w:t>
                  </w:r>
                </w:p>
              </w:tc>
              <w:tc>
                <w:tcPr>
                  <w:tcW w:w="583" w:type="pct"/>
                  <w:tcBorders>
                    <w:top w:val="single" w:color="auto" w:sz="4" w:space="0"/>
                    <w:left w:val="single" w:color="auto" w:sz="4" w:space="0"/>
                    <w:bottom w:val="single" w:color="auto" w:sz="4" w:space="0"/>
                    <w:right w:val="nil"/>
                  </w:tcBorders>
                  <w:noWrap/>
                  <w:vAlign w:val="center"/>
                </w:tcPr>
                <w:p w14:paraId="617901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3.582</w:t>
                  </w:r>
                </w:p>
              </w:tc>
            </w:tr>
            <w:tr w14:paraId="7224CB0D">
              <w:tblPrEx>
                <w:tblCellMar>
                  <w:top w:w="0" w:type="dxa"/>
                  <w:left w:w="108" w:type="dxa"/>
                  <w:bottom w:w="0" w:type="dxa"/>
                  <w:right w:w="108" w:type="dxa"/>
                </w:tblCellMar>
              </w:tblPrEx>
              <w:trPr>
                <w:trHeight w:val="270" w:hRule="atLeast"/>
              </w:trPr>
              <w:tc>
                <w:tcPr>
                  <w:tcW w:w="1009" w:type="dxa"/>
                  <w:vMerge w:val="continue"/>
                  <w:tcBorders>
                    <w:top w:val="single" w:color="auto" w:sz="4" w:space="0"/>
                    <w:left w:val="nil"/>
                    <w:bottom w:val="single" w:color="auto" w:sz="4" w:space="0"/>
                    <w:right w:val="single" w:color="auto" w:sz="4" w:space="0"/>
                  </w:tcBorders>
                  <w:vAlign w:val="center"/>
                </w:tcPr>
                <w:p w14:paraId="376F0AB8">
                  <w:pPr>
                    <w:jc w:val="center"/>
                    <w:rPr>
                      <w:rFonts w:hint="default" w:ascii="Times New Roman" w:hAnsi="Times New Roman" w:eastAsia="宋体" w:cs="Times New Roman"/>
                      <w:color w:val="auto"/>
                      <w:sz w:val="21"/>
                      <w:szCs w:val="21"/>
                      <w:highlight w:val="none"/>
                    </w:rPr>
                  </w:pPr>
                </w:p>
              </w:tc>
              <w:tc>
                <w:tcPr>
                  <w:tcW w:w="1057" w:type="pct"/>
                  <w:gridSpan w:val="2"/>
                  <w:tcBorders>
                    <w:top w:val="single" w:color="auto" w:sz="4" w:space="0"/>
                    <w:left w:val="single" w:color="auto" w:sz="4" w:space="0"/>
                    <w:bottom w:val="single" w:color="auto" w:sz="4" w:space="0"/>
                    <w:right w:val="single" w:color="auto" w:sz="4" w:space="0"/>
                  </w:tcBorders>
                  <w:vAlign w:val="center"/>
                </w:tcPr>
                <w:p w14:paraId="39FAF9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585" w:type="pct"/>
                  <w:tcBorders>
                    <w:top w:val="single" w:color="auto" w:sz="4" w:space="0"/>
                    <w:left w:val="single" w:color="auto" w:sz="4" w:space="0"/>
                    <w:bottom w:val="single" w:color="auto" w:sz="4" w:space="0"/>
                    <w:right w:val="single" w:color="auto" w:sz="4" w:space="0"/>
                  </w:tcBorders>
                  <w:noWrap/>
                  <w:vAlign w:val="center"/>
                </w:tcPr>
                <w:p w14:paraId="6C3346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062426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33F002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30" w:type="pct"/>
                  <w:tcBorders>
                    <w:top w:val="single" w:color="auto" w:sz="4" w:space="0"/>
                    <w:left w:val="single" w:color="auto" w:sz="4" w:space="0"/>
                    <w:bottom w:val="single" w:color="auto" w:sz="4" w:space="0"/>
                    <w:right w:val="single" w:color="auto" w:sz="4" w:space="0"/>
                  </w:tcBorders>
                  <w:noWrap/>
                  <w:vAlign w:val="center"/>
                </w:tcPr>
                <w:p w14:paraId="19A44A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83" w:type="pct"/>
                  <w:tcBorders>
                    <w:top w:val="single" w:color="auto" w:sz="4" w:space="0"/>
                    <w:left w:val="single" w:color="auto" w:sz="4" w:space="0"/>
                    <w:bottom w:val="single" w:color="auto" w:sz="4" w:space="0"/>
                    <w:right w:val="nil"/>
                  </w:tcBorders>
                  <w:noWrap/>
                  <w:vAlign w:val="center"/>
                </w:tcPr>
                <w:p w14:paraId="4EBE35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9C8CCB2">
              <w:tblPrEx>
                <w:tblCellMar>
                  <w:top w:w="0" w:type="dxa"/>
                  <w:left w:w="108" w:type="dxa"/>
                  <w:bottom w:w="0" w:type="dxa"/>
                  <w:right w:w="108" w:type="dxa"/>
                </w:tblCellMar>
              </w:tblPrEx>
              <w:trPr>
                <w:trHeight w:val="285" w:hRule="atLeast"/>
              </w:trPr>
              <w:tc>
                <w:tcPr>
                  <w:tcW w:w="1009" w:type="dxa"/>
                  <w:vMerge w:val="continue"/>
                  <w:tcBorders>
                    <w:top w:val="single" w:color="auto" w:sz="4" w:space="0"/>
                    <w:left w:val="nil"/>
                    <w:bottom w:val="single" w:color="auto" w:sz="12" w:space="0"/>
                    <w:right w:val="single" w:color="auto" w:sz="4" w:space="0"/>
                  </w:tcBorders>
                  <w:vAlign w:val="center"/>
                </w:tcPr>
                <w:p w14:paraId="088EB048">
                  <w:pPr>
                    <w:jc w:val="center"/>
                    <w:rPr>
                      <w:rFonts w:hint="default" w:ascii="Times New Roman" w:hAnsi="Times New Roman" w:eastAsia="宋体" w:cs="Times New Roman"/>
                      <w:color w:val="auto"/>
                      <w:sz w:val="21"/>
                      <w:szCs w:val="21"/>
                      <w:highlight w:val="none"/>
                    </w:rPr>
                  </w:pPr>
                </w:p>
              </w:tc>
              <w:tc>
                <w:tcPr>
                  <w:tcW w:w="1057" w:type="pct"/>
                  <w:gridSpan w:val="2"/>
                  <w:tcBorders>
                    <w:top w:val="single" w:color="auto" w:sz="4" w:space="0"/>
                    <w:left w:val="single" w:color="auto" w:sz="4" w:space="0"/>
                    <w:bottom w:val="single" w:color="auto" w:sz="12" w:space="0"/>
                    <w:right w:val="single" w:color="auto" w:sz="4" w:space="0"/>
                  </w:tcBorders>
                  <w:vAlign w:val="center"/>
                </w:tcPr>
                <w:p w14:paraId="650D65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585" w:type="pct"/>
                  <w:tcBorders>
                    <w:top w:val="single" w:color="auto" w:sz="4" w:space="0"/>
                    <w:left w:val="single" w:color="auto" w:sz="4" w:space="0"/>
                    <w:bottom w:val="single" w:color="auto" w:sz="12" w:space="0"/>
                    <w:right w:val="single" w:color="auto" w:sz="4" w:space="0"/>
                  </w:tcBorders>
                  <w:noWrap/>
                  <w:vAlign w:val="center"/>
                </w:tcPr>
                <w:p w14:paraId="4E02FF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730" w:type="pct"/>
                  <w:tcBorders>
                    <w:top w:val="single" w:color="auto" w:sz="4" w:space="0"/>
                    <w:left w:val="single" w:color="auto" w:sz="4" w:space="0"/>
                    <w:bottom w:val="single" w:color="auto" w:sz="12" w:space="0"/>
                    <w:right w:val="single" w:color="auto" w:sz="4" w:space="0"/>
                  </w:tcBorders>
                  <w:noWrap/>
                  <w:vAlign w:val="center"/>
                </w:tcPr>
                <w:p w14:paraId="640662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730" w:type="pct"/>
                  <w:tcBorders>
                    <w:top w:val="single" w:color="auto" w:sz="4" w:space="0"/>
                    <w:left w:val="single" w:color="auto" w:sz="4" w:space="0"/>
                    <w:bottom w:val="single" w:color="auto" w:sz="12" w:space="0"/>
                    <w:right w:val="single" w:color="auto" w:sz="4" w:space="0"/>
                  </w:tcBorders>
                  <w:noWrap/>
                  <w:vAlign w:val="center"/>
                </w:tcPr>
                <w:p w14:paraId="6403BA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730" w:type="pct"/>
                  <w:tcBorders>
                    <w:top w:val="single" w:color="auto" w:sz="4" w:space="0"/>
                    <w:left w:val="single" w:color="auto" w:sz="4" w:space="0"/>
                    <w:bottom w:val="single" w:color="auto" w:sz="12" w:space="0"/>
                    <w:right w:val="single" w:color="auto" w:sz="4" w:space="0"/>
                  </w:tcBorders>
                  <w:noWrap/>
                  <w:vAlign w:val="center"/>
                </w:tcPr>
                <w:p w14:paraId="7E0DD0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83" w:type="pct"/>
                  <w:tcBorders>
                    <w:top w:val="single" w:color="auto" w:sz="4" w:space="0"/>
                    <w:left w:val="single" w:color="auto" w:sz="4" w:space="0"/>
                    <w:bottom w:val="single" w:color="auto" w:sz="12" w:space="0"/>
                    <w:right w:val="nil"/>
                  </w:tcBorders>
                  <w:noWrap/>
                  <w:vAlign w:val="center"/>
                </w:tcPr>
                <w:p w14:paraId="7311B7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bl>
          <w:p w14:paraId="77618FEB">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（2）例行监测结果</w:t>
            </w:r>
          </w:p>
          <w:p w14:paraId="70EB4D2E">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蓝天环境检测有限公司出具的2024年废气监测报告，现有项目垃圾焚烧烟气有组织监测结果见下表。监测结果表明，1#、2#焚烧炉烟气中的颗粒物、二氧化硫、氮氧化物、一氧化碳、氯化氢、重金属排放浓度均符合《生活垃圾焚烧污染控制标准》（GB 18485-2014）要求。</w:t>
            </w:r>
          </w:p>
          <w:p w14:paraId="157ECC6D">
            <w:pPr>
              <w:widowControl/>
              <w:adjustRightInd w:val="0"/>
              <w:snapToGrid w:val="0"/>
              <w:spacing w:line="360" w:lineRule="auto"/>
              <w:ind w:firstLine="422" w:firstLineChars="200"/>
              <w:jc w:val="center"/>
              <w:rPr>
                <w:rFonts w:hint="default" w:ascii="Times New Roman" w:hAnsi="Times New Roman" w:eastAsia="宋体" w:cs="Times New Roman"/>
                <w:b/>
                <w:color w:val="auto"/>
                <w:highlight w:val="none"/>
                <w:shd w:val="clear" w:color="auto" w:fill="FFFFFF" w:themeFill="background1"/>
              </w:rPr>
            </w:pPr>
            <w:r>
              <w:rPr>
                <w:rFonts w:hint="default" w:ascii="Times New Roman" w:hAnsi="Times New Roman" w:eastAsia="宋体" w:cs="Times New Roman"/>
                <w:b/>
                <w:color w:val="auto"/>
                <w:highlight w:val="none"/>
                <w:shd w:val="clear" w:color="auto" w:fill="FFFFFF" w:themeFill="background1"/>
              </w:rPr>
              <w:t>表</w:t>
            </w:r>
            <w:r>
              <w:rPr>
                <w:rFonts w:hint="eastAsia" w:cs="Times New Roman"/>
                <w:b/>
                <w:color w:val="auto"/>
                <w:highlight w:val="none"/>
                <w:shd w:val="clear" w:color="auto" w:fill="FFFFFF" w:themeFill="background1"/>
                <w:lang w:val="en-US" w:eastAsia="zh-CN"/>
              </w:rPr>
              <w:t>2-18</w:t>
            </w:r>
            <w:r>
              <w:rPr>
                <w:rFonts w:hint="default" w:ascii="Times New Roman" w:hAnsi="Times New Roman" w:eastAsia="宋体" w:cs="Times New Roman"/>
                <w:b/>
                <w:color w:val="auto"/>
                <w:highlight w:val="none"/>
                <w:shd w:val="clear" w:color="auto" w:fill="FFFFFF" w:themeFill="background1"/>
              </w:rPr>
              <w:t xml:space="preserve">   现有项目垃圾焚烧烟气2024年有组织废气排放情况</w:t>
            </w:r>
            <w:r>
              <w:rPr>
                <w:rFonts w:hint="eastAsia" w:cs="Times New Roman"/>
                <w:b/>
                <w:color w:val="auto"/>
                <w:highlight w:val="none"/>
                <w:shd w:val="clear" w:color="auto" w:fill="FFFFFF" w:themeFill="background1"/>
                <w:lang w:eastAsia="zh-CN"/>
              </w:rPr>
              <w:t>（</w:t>
            </w:r>
            <w:r>
              <w:rPr>
                <w:rFonts w:hint="default" w:ascii="Times New Roman" w:hAnsi="Times New Roman" w:eastAsia="宋体" w:cs="Times New Roman"/>
                <w:b/>
                <w:color w:val="auto"/>
                <w:highlight w:val="none"/>
                <w:shd w:val="clear" w:color="auto" w:fill="FFFFFF" w:themeFill="background1"/>
              </w:rPr>
              <w:t>mg/Nm</w:t>
            </w:r>
            <w:r>
              <w:rPr>
                <w:rFonts w:hint="default" w:ascii="Times New Roman" w:hAnsi="Times New Roman" w:eastAsia="宋体" w:cs="Times New Roman"/>
                <w:b/>
                <w:color w:val="auto"/>
                <w:highlight w:val="none"/>
                <w:shd w:val="clear" w:color="auto" w:fill="FFFFFF" w:themeFill="background1"/>
                <w:vertAlign w:val="superscript"/>
              </w:rPr>
              <w:t>3</w:t>
            </w:r>
            <w:r>
              <w:rPr>
                <w:rFonts w:hint="eastAsia" w:cs="Times New Roman"/>
                <w:b/>
                <w:color w:val="auto"/>
                <w:highlight w:val="none"/>
                <w:shd w:val="clear" w:color="auto" w:fill="FFFFFF" w:themeFill="background1"/>
                <w:vertAlign w:val="superscript"/>
                <w:lang w:eastAsia="zh-CN"/>
              </w:rPr>
              <w:t>）</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62"/>
              <w:gridCol w:w="362"/>
              <w:gridCol w:w="691"/>
              <w:gridCol w:w="764"/>
              <w:gridCol w:w="838"/>
              <w:gridCol w:w="765"/>
              <w:gridCol w:w="692"/>
              <w:gridCol w:w="692"/>
              <w:gridCol w:w="692"/>
              <w:gridCol w:w="765"/>
              <w:gridCol w:w="692"/>
              <w:gridCol w:w="618"/>
              <w:gridCol w:w="692"/>
            </w:tblGrid>
            <w:tr w14:paraId="23597A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blHeader/>
              </w:trPr>
              <w:tc>
                <w:tcPr>
                  <w:tcW w:w="254" w:type="pct"/>
                  <w:tcBorders>
                    <w:tl2br w:val="nil"/>
                    <w:tr2bl w:val="nil"/>
                  </w:tcBorders>
                  <w:vAlign w:val="center"/>
                </w:tcPr>
                <w:p w14:paraId="3C753DA7">
                  <w:pPr>
                    <w:jc w:val="center"/>
                    <w:rPr>
                      <w:rFonts w:hint="default" w:ascii="Times New Roman" w:hAnsi="Times New Roman" w:eastAsia="宋体" w:cs="Times New Roman"/>
                      <w:b/>
                      <w:bCs/>
                      <w:color w:val="auto"/>
                      <w:sz w:val="21"/>
                      <w:szCs w:val="21"/>
                      <w:highlight w:val="none"/>
                    </w:rPr>
                  </w:pPr>
                  <w:bookmarkStart w:id="47" w:name="RANGE!A1"/>
                  <w:r>
                    <w:rPr>
                      <w:rFonts w:hint="default" w:ascii="Times New Roman" w:hAnsi="Times New Roman" w:eastAsia="宋体" w:cs="Times New Roman"/>
                      <w:b/>
                      <w:bCs/>
                      <w:color w:val="auto"/>
                      <w:sz w:val="21"/>
                      <w:szCs w:val="21"/>
                      <w:highlight w:val="none"/>
                    </w:rPr>
                    <w:t>废气源</w:t>
                  </w:r>
                  <w:bookmarkEnd w:id="47"/>
                </w:p>
              </w:tc>
              <w:tc>
                <w:tcPr>
                  <w:tcW w:w="254" w:type="pct"/>
                  <w:tcBorders>
                    <w:tl2br w:val="nil"/>
                    <w:tr2bl w:val="nil"/>
                  </w:tcBorders>
                  <w:vAlign w:val="center"/>
                </w:tcPr>
                <w:p w14:paraId="78CAF12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c>
                <w:tcPr>
                  <w:tcW w:w="278" w:type="pct"/>
                  <w:tcBorders>
                    <w:tl2br w:val="nil"/>
                    <w:tr2bl w:val="nil"/>
                  </w:tcBorders>
                  <w:vAlign w:val="center"/>
                </w:tcPr>
                <w:p w14:paraId="1C925BE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汞</w:t>
                  </w:r>
                </w:p>
              </w:tc>
              <w:tc>
                <w:tcPr>
                  <w:tcW w:w="450" w:type="pct"/>
                  <w:tcBorders>
                    <w:tl2br w:val="nil"/>
                    <w:tr2bl w:val="nil"/>
                  </w:tcBorders>
                  <w:vAlign w:val="center"/>
                </w:tcPr>
                <w:p w14:paraId="35DD8F8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镉</w:t>
                  </w:r>
                </w:p>
              </w:tc>
              <w:tc>
                <w:tcPr>
                  <w:tcW w:w="497" w:type="pct"/>
                  <w:tcBorders>
                    <w:tl2br w:val="nil"/>
                    <w:tr2bl w:val="nil"/>
                  </w:tcBorders>
                  <w:vAlign w:val="center"/>
                </w:tcPr>
                <w:p w14:paraId="0FD9091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铊</w:t>
                  </w:r>
                </w:p>
              </w:tc>
              <w:tc>
                <w:tcPr>
                  <w:tcW w:w="450" w:type="pct"/>
                  <w:tcBorders>
                    <w:tl2br w:val="nil"/>
                    <w:tr2bl w:val="nil"/>
                  </w:tcBorders>
                  <w:vAlign w:val="center"/>
                </w:tcPr>
                <w:p w14:paraId="143F5EC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锑</w:t>
                  </w:r>
                </w:p>
              </w:tc>
              <w:tc>
                <w:tcPr>
                  <w:tcW w:w="403" w:type="pct"/>
                  <w:tcBorders>
                    <w:tl2br w:val="nil"/>
                    <w:tr2bl w:val="nil"/>
                  </w:tcBorders>
                  <w:vAlign w:val="center"/>
                </w:tcPr>
                <w:p w14:paraId="5E2499F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砷</w:t>
                  </w:r>
                </w:p>
              </w:tc>
              <w:tc>
                <w:tcPr>
                  <w:tcW w:w="403" w:type="pct"/>
                  <w:tcBorders>
                    <w:tl2br w:val="nil"/>
                    <w:tr2bl w:val="nil"/>
                  </w:tcBorders>
                  <w:vAlign w:val="center"/>
                </w:tcPr>
                <w:p w14:paraId="3D337B1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铅</w:t>
                  </w:r>
                </w:p>
              </w:tc>
              <w:tc>
                <w:tcPr>
                  <w:tcW w:w="403" w:type="pct"/>
                  <w:tcBorders>
                    <w:tl2br w:val="nil"/>
                    <w:tr2bl w:val="nil"/>
                  </w:tcBorders>
                  <w:vAlign w:val="center"/>
                </w:tcPr>
                <w:p w14:paraId="7B06CDF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铬</w:t>
                  </w:r>
                </w:p>
              </w:tc>
              <w:tc>
                <w:tcPr>
                  <w:tcW w:w="450" w:type="pct"/>
                  <w:tcBorders>
                    <w:tl2br w:val="nil"/>
                    <w:tr2bl w:val="nil"/>
                  </w:tcBorders>
                  <w:vAlign w:val="center"/>
                </w:tcPr>
                <w:p w14:paraId="4F18730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钴</w:t>
                  </w:r>
                </w:p>
              </w:tc>
              <w:tc>
                <w:tcPr>
                  <w:tcW w:w="403" w:type="pct"/>
                  <w:tcBorders>
                    <w:tl2br w:val="nil"/>
                    <w:tr2bl w:val="nil"/>
                  </w:tcBorders>
                  <w:vAlign w:val="center"/>
                </w:tcPr>
                <w:p w14:paraId="78023FA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铜</w:t>
                  </w:r>
                </w:p>
              </w:tc>
              <w:tc>
                <w:tcPr>
                  <w:tcW w:w="356" w:type="pct"/>
                  <w:tcBorders>
                    <w:tl2br w:val="nil"/>
                    <w:tr2bl w:val="nil"/>
                  </w:tcBorders>
                  <w:vAlign w:val="center"/>
                </w:tcPr>
                <w:p w14:paraId="09505DD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锰</w:t>
                  </w:r>
                </w:p>
              </w:tc>
              <w:tc>
                <w:tcPr>
                  <w:tcW w:w="399" w:type="pct"/>
                  <w:tcBorders>
                    <w:tl2br w:val="nil"/>
                    <w:tr2bl w:val="nil"/>
                  </w:tcBorders>
                  <w:vAlign w:val="center"/>
                </w:tcPr>
                <w:p w14:paraId="6B2C738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镍</w:t>
                  </w:r>
                </w:p>
              </w:tc>
            </w:tr>
            <w:tr w14:paraId="468E65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restart"/>
                  <w:tcBorders>
                    <w:tl2br w:val="nil"/>
                    <w:tr2bl w:val="nil"/>
                  </w:tcBorders>
                  <w:vAlign w:val="center"/>
                </w:tcPr>
                <w:p w14:paraId="3AAC4D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1#炉</w:t>
                  </w:r>
                </w:p>
              </w:tc>
              <w:tc>
                <w:tcPr>
                  <w:tcW w:w="254" w:type="pct"/>
                  <w:tcBorders>
                    <w:tl2br w:val="nil"/>
                    <w:tr2bl w:val="nil"/>
                  </w:tcBorders>
                  <w:vAlign w:val="center"/>
                </w:tcPr>
                <w:p w14:paraId="7F35FA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1月</w:t>
                  </w:r>
                </w:p>
              </w:tc>
              <w:tc>
                <w:tcPr>
                  <w:tcW w:w="278" w:type="pct"/>
                  <w:tcBorders>
                    <w:tl2br w:val="nil"/>
                    <w:tr2bl w:val="nil"/>
                  </w:tcBorders>
                  <w:vAlign w:val="center"/>
                </w:tcPr>
                <w:p w14:paraId="54CE46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450" w:type="pct"/>
                  <w:tcBorders>
                    <w:tl2br w:val="nil"/>
                    <w:tr2bl w:val="nil"/>
                  </w:tcBorders>
                  <w:vAlign w:val="center"/>
                </w:tcPr>
                <w:p w14:paraId="088054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0.00051</w:t>
                  </w:r>
                </w:p>
              </w:tc>
              <w:tc>
                <w:tcPr>
                  <w:tcW w:w="497" w:type="pct"/>
                  <w:tcBorders>
                    <w:tl2br w:val="nil"/>
                    <w:tr2bl w:val="nil"/>
                  </w:tcBorders>
                  <w:vAlign w:val="center"/>
                </w:tcPr>
                <w:p w14:paraId="3E3BC3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0.0000034</w:t>
                  </w:r>
                </w:p>
              </w:tc>
              <w:tc>
                <w:tcPr>
                  <w:tcW w:w="450" w:type="pct"/>
                  <w:tcBorders>
                    <w:tl2br w:val="nil"/>
                    <w:tr2bl w:val="nil"/>
                  </w:tcBorders>
                  <w:vAlign w:val="center"/>
                </w:tcPr>
                <w:p w14:paraId="15C197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3ECDB6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0.00059</w:t>
                  </w:r>
                </w:p>
              </w:tc>
              <w:tc>
                <w:tcPr>
                  <w:tcW w:w="403" w:type="pct"/>
                  <w:tcBorders>
                    <w:tl2br w:val="nil"/>
                    <w:tr2bl w:val="nil"/>
                  </w:tcBorders>
                  <w:vAlign w:val="center"/>
                </w:tcPr>
                <w:p w14:paraId="74D0DD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0BE110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450" w:type="pct"/>
                  <w:tcBorders>
                    <w:tl2br w:val="nil"/>
                    <w:tr2bl w:val="nil"/>
                  </w:tcBorders>
                  <w:vAlign w:val="center"/>
                </w:tcPr>
                <w:p w14:paraId="54344D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0.0018</w:t>
                  </w:r>
                </w:p>
              </w:tc>
              <w:tc>
                <w:tcPr>
                  <w:tcW w:w="403" w:type="pct"/>
                  <w:tcBorders>
                    <w:tl2br w:val="nil"/>
                    <w:tr2bl w:val="nil"/>
                  </w:tcBorders>
                  <w:vAlign w:val="center"/>
                </w:tcPr>
                <w:p w14:paraId="7591EC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0.0033</w:t>
                  </w:r>
                </w:p>
              </w:tc>
              <w:tc>
                <w:tcPr>
                  <w:tcW w:w="356" w:type="pct"/>
                  <w:tcBorders>
                    <w:tl2br w:val="nil"/>
                    <w:tr2bl w:val="nil"/>
                  </w:tcBorders>
                  <w:vAlign w:val="center"/>
                </w:tcPr>
                <w:p w14:paraId="7A3294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0.0081</w:t>
                  </w:r>
                </w:p>
              </w:tc>
              <w:tc>
                <w:tcPr>
                  <w:tcW w:w="399" w:type="pct"/>
                  <w:tcBorders>
                    <w:tl2br w:val="nil"/>
                    <w:tr2bl w:val="nil"/>
                  </w:tcBorders>
                  <w:vAlign w:val="center"/>
                </w:tcPr>
                <w:p w14:paraId="0176D3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0.00064</w:t>
                  </w:r>
                </w:p>
              </w:tc>
            </w:tr>
            <w:tr w14:paraId="436AB4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5" w:hRule="atLeast"/>
              </w:trPr>
              <w:tc>
                <w:tcPr>
                  <w:tcW w:w="254" w:type="pct"/>
                  <w:vMerge w:val="continue"/>
                  <w:tcBorders>
                    <w:tl2br w:val="nil"/>
                    <w:tr2bl w:val="nil"/>
                  </w:tcBorders>
                  <w:vAlign w:val="center"/>
                </w:tcPr>
                <w:p w14:paraId="5FD857B5">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09A9A4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2月</w:t>
                  </w:r>
                </w:p>
              </w:tc>
              <w:tc>
                <w:tcPr>
                  <w:tcW w:w="278" w:type="pct"/>
                  <w:tcBorders>
                    <w:tl2br w:val="nil"/>
                    <w:tr2bl w:val="nil"/>
                  </w:tcBorders>
                  <w:vAlign w:val="center"/>
                </w:tcPr>
                <w:p w14:paraId="4C0F21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0.024</w:t>
                  </w:r>
                </w:p>
              </w:tc>
              <w:tc>
                <w:tcPr>
                  <w:tcW w:w="450" w:type="pct"/>
                  <w:tcBorders>
                    <w:tl2br w:val="nil"/>
                    <w:tr2bl w:val="nil"/>
                  </w:tcBorders>
                  <w:vAlign w:val="center"/>
                </w:tcPr>
                <w:p w14:paraId="7B92E3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0.00041</w:t>
                  </w:r>
                </w:p>
              </w:tc>
              <w:tc>
                <w:tcPr>
                  <w:tcW w:w="497" w:type="pct"/>
                  <w:tcBorders>
                    <w:tl2br w:val="nil"/>
                    <w:tr2bl w:val="nil"/>
                  </w:tcBorders>
                  <w:vAlign w:val="center"/>
                </w:tcPr>
                <w:p w14:paraId="4D295C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0.000013</w:t>
                  </w:r>
                </w:p>
              </w:tc>
              <w:tc>
                <w:tcPr>
                  <w:tcW w:w="450" w:type="pct"/>
                  <w:tcBorders>
                    <w:tl2br w:val="nil"/>
                    <w:tr2bl w:val="nil"/>
                  </w:tcBorders>
                  <w:vAlign w:val="center"/>
                </w:tcPr>
                <w:p w14:paraId="46DF9A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0B49A5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0.00052</w:t>
                  </w:r>
                </w:p>
              </w:tc>
              <w:tc>
                <w:tcPr>
                  <w:tcW w:w="403" w:type="pct"/>
                  <w:tcBorders>
                    <w:tl2br w:val="nil"/>
                    <w:tr2bl w:val="nil"/>
                  </w:tcBorders>
                  <w:vAlign w:val="center"/>
                </w:tcPr>
                <w:p w14:paraId="234D55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68CCC3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450" w:type="pct"/>
                  <w:tcBorders>
                    <w:tl2br w:val="nil"/>
                    <w:tr2bl w:val="nil"/>
                  </w:tcBorders>
                  <w:vAlign w:val="center"/>
                </w:tcPr>
                <w:p w14:paraId="1261EB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0.00039</w:t>
                  </w:r>
                </w:p>
              </w:tc>
              <w:tc>
                <w:tcPr>
                  <w:tcW w:w="403" w:type="pct"/>
                  <w:tcBorders>
                    <w:tl2br w:val="nil"/>
                    <w:tr2bl w:val="nil"/>
                  </w:tcBorders>
                  <w:vAlign w:val="center"/>
                </w:tcPr>
                <w:p w14:paraId="518655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w:t>
                  </w:r>
                </w:p>
              </w:tc>
              <w:tc>
                <w:tcPr>
                  <w:tcW w:w="356" w:type="pct"/>
                  <w:tcBorders>
                    <w:tl2br w:val="nil"/>
                    <w:tr2bl w:val="nil"/>
                  </w:tcBorders>
                  <w:vAlign w:val="center"/>
                </w:tcPr>
                <w:p w14:paraId="297DEF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0.0045</w:t>
                  </w:r>
                </w:p>
              </w:tc>
              <w:tc>
                <w:tcPr>
                  <w:tcW w:w="399" w:type="pct"/>
                  <w:tcBorders>
                    <w:tl2br w:val="nil"/>
                    <w:tr2bl w:val="nil"/>
                  </w:tcBorders>
                  <w:vAlign w:val="center"/>
                </w:tcPr>
                <w:p w14:paraId="5F5E65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0.00042</w:t>
                  </w:r>
                </w:p>
              </w:tc>
            </w:tr>
            <w:tr w14:paraId="36D2C0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254" w:type="pct"/>
                  <w:vMerge w:val="continue"/>
                  <w:tcBorders>
                    <w:tl2br w:val="nil"/>
                    <w:tr2bl w:val="nil"/>
                  </w:tcBorders>
                  <w:vAlign w:val="center"/>
                </w:tcPr>
                <w:p w14:paraId="6F93E542">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17CEF5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3月</w:t>
                  </w:r>
                </w:p>
              </w:tc>
              <w:tc>
                <w:tcPr>
                  <w:tcW w:w="278" w:type="pct"/>
                  <w:tcBorders>
                    <w:tl2br w:val="nil"/>
                    <w:tr2bl w:val="nil"/>
                  </w:tcBorders>
                  <w:vAlign w:val="center"/>
                </w:tcPr>
                <w:p w14:paraId="79A98E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450" w:type="pct"/>
                  <w:tcBorders>
                    <w:tl2br w:val="nil"/>
                    <w:tr2bl w:val="nil"/>
                  </w:tcBorders>
                  <w:vAlign w:val="center"/>
                </w:tcPr>
                <w:p w14:paraId="78C4A2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97" w:type="pct"/>
                  <w:tcBorders>
                    <w:tl2br w:val="nil"/>
                    <w:tr2bl w:val="nil"/>
                  </w:tcBorders>
                  <w:vAlign w:val="center"/>
                </w:tcPr>
                <w:p w14:paraId="2A9029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779776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c>
                <w:tcPr>
                  <w:tcW w:w="403" w:type="pct"/>
                  <w:tcBorders>
                    <w:tl2br w:val="nil"/>
                    <w:tr2bl w:val="nil"/>
                  </w:tcBorders>
                  <w:vAlign w:val="center"/>
                </w:tcPr>
                <w:p w14:paraId="08B613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0.0016</w:t>
                  </w:r>
                </w:p>
              </w:tc>
              <w:tc>
                <w:tcPr>
                  <w:tcW w:w="403" w:type="pct"/>
                  <w:tcBorders>
                    <w:tl2br w:val="nil"/>
                    <w:tr2bl w:val="nil"/>
                  </w:tcBorders>
                  <w:vAlign w:val="center"/>
                </w:tcPr>
                <w:p w14:paraId="4C0E85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403" w:type="pct"/>
                  <w:tcBorders>
                    <w:tl2br w:val="nil"/>
                    <w:tr2bl w:val="nil"/>
                  </w:tcBorders>
                  <w:vAlign w:val="center"/>
                </w:tcPr>
                <w:p w14:paraId="642833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c>
                <w:tcPr>
                  <w:tcW w:w="450" w:type="pct"/>
                  <w:tcBorders>
                    <w:tl2br w:val="nil"/>
                    <w:tr2bl w:val="nil"/>
                  </w:tcBorders>
                  <w:vAlign w:val="center"/>
                </w:tcPr>
                <w:p w14:paraId="755129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0.00012</w:t>
                  </w:r>
                </w:p>
              </w:tc>
              <w:tc>
                <w:tcPr>
                  <w:tcW w:w="403" w:type="pct"/>
                  <w:tcBorders>
                    <w:tl2br w:val="nil"/>
                    <w:tr2bl w:val="nil"/>
                  </w:tcBorders>
                  <w:vAlign w:val="center"/>
                </w:tcPr>
                <w:p w14:paraId="45C39B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c>
                <w:tcPr>
                  <w:tcW w:w="356" w:type="pct"/>
                  <w:tcBorders>
                    <w:tl2br w:val="nil"/>
                    <w:tr2bl w:val="nil"/>
                  </w:tcBorders>
                  <w:vAlign w:val="center"/>
                </w:tcPr>
                <w:p w14:paraId="7C43CF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0.0051</w:t>
                  </w:r>
                </w:p>
              </w:tc>
              <w:tc>
                <w:tcPr>
                  <w:tcW w:w="399" w:type="pct"/>
                  <w:tcBorders>
                    <w:tl2br w:val="nil"/>
                    <w:tr2bl w:val="nil"/>
                  </w:tcBorders>
                  <w:vAlign w:val="center"/>
                </w:tcPr>
                <w:p w14:paraId="507515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r>
            <w:tr w14:paraId="07F036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4E23629A">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3E8A89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4月</w:t>
                  </w:r>
                </w:p>
              </w:tc>
              <w:tc>
                <w:tcPr>
                  <w:tcW w:w="278" w:type="pct"/>
                  <w:tcBorders>
                    <w:tl2br w:val="nil"/>
                    <w:tr2bl w:val="nil"/>
                  </w:tcBorders>
                  <w:vAlign w:val="center"/>
                </w:tcPr>
                <w:p w14:paraId="63BBB9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0.026</w:t>
                  </w:r>
                </w:p>
              </w:tc>
              <w:tc>
                <w:tcPr>
                  <w:tcW w:w="450" w:type="pct"/>
                  <w:tcBorders>
                    <w:tl2br w:val="nil"/>
                    <w:tr2bl w:val="nil"/>
                  </w:tcBorders>
                  <w:vAlign w:val="center"/>
                </w:tcPr>
                <w:p w14:paraId="33C300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97" w:type="pct"/>
                  <w:tcBorders>
                    <w:tl2br w:val="nil"/>
                    <w:tr2bl w:val="nil"/>
                  </w:tcBorders>
                  <w:vAlign w:val="center"/>
                </w:tcPr>
                <w:p w14:paraId="5AFF8E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18FE2D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c>
                <w:tcPr>
                  <w:tcW w:w="403" w:type="pct"/>
                  <w:tcBorders>
                    <w:tl2br w:val="nil"/>
                    <w:tr2bl w:val="nil"/>
                  </w:tcBorders>
                  <w:vAlign w:val="center"/>
                </w:tcPr>
                <w:p w14:paraId="6A21FA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403" w:type="pct"/>
                  <w:tcBorders>
                    <w:tl2br w:val="nil"/>
                    <w:tr2bl w:val="nil"/>
                  </w:tcBorders>
                  <w:vAlign w:val="center"/>
                </w:tcPr>
                <w:p w14:paraId="34901D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0.0043</w:t>
                  </w:r>
                </w:p>
              </w:tc>
              <w:tc>
                <w:tcPr>
                  <w:tcW w:w="403" w:type="pct"/>
                  <w:tcBorders>
                    <w:tl2br w:val="nil"/>
                    <w:tr2bl w:val="nil"/>
                  </w:tcBorders>
                  <w:vAlign w:val="center"/>
                </w:tcPr>
                <w:p w14:paraId="17CE80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c>
                <w:tcPr>
                  <w:tcW w:w="450" w:type="pct"/>
                  <w:tcBorders>
                    <w:tl2br w:val="nil"/>
                    <w:tr2bl w:val="nil"/>
                  </w:tcBorders>
                  <w:vAlign w:val="center"/>
                </w:tcPr>
                <w:p w14:paraId="6824EA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0.00012</w:t>
                  </w:r>
                </w:p>
              </w:tc>
              <w:tc>
                <w:tcPr>
                  <w:tcW w:w="403" w:type="pct"/>
                  <w:tcBorders>
                    <w:tl2br w:val="nil"/>
                    <w:tr2bl w:val="nil"/>
                  </w:tcBorders>
                  <w:vAlign w:val="center"/>
                </w:tcPr>
                <w:p w14:paraId="6B395A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0.0016</w:t>
                  </w:r>
                </w:p>
              </w:tc>
              <w:tc>
                <w:tcPr>
                  <w:tcW w:w="356" w:type="pct"/>
                  <w:tcBorders>
                    <w:tl2br w:val="nil"/>
                    <w:tr2bl w:val="nil"/>
                  </w:tcBorders>
                  <w:vAlign w:val="center"/>
                </w:tcPr>
                <w:p w14:paraId="124D09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0.0073</w:t>
                  </w:r>
                </w:p>
              </w:tc>
              <w:tc>
                <w:tcPr>
                  <w:tcW w:w="399" w:type="pct"/>
                  <w:tcBorders>
                    <w:tl2br w:val="nil"/>
                    <w:tr2bl w:val="nil"/>
                  </w:tcBorders>
                  <w:vAlign w:val="center"/>
                </w:tcPr>
                <w:p w14:paraId="306E06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r>
            <w:tr w14:paraId="4630D8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2567CF40">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1A86A2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5月</w:t>
                  </w:r>
                </w:p>
              </w:tc>
              <w:tc>
                <w:tcPr>
                  <w:tcW w:w="278" w:type="pct"/>
                  <w:tcBorders>
                    <w:tl2br w:val="nil"/>
                    <w:tr2bl w:val="nil"/>
                  </w:tcBorders>
                  <w:vAlign w:val="center"/>
                </w:tcPr>
                <w:p w14:paraId="3A1B3A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450" w:type="pct"/>
                  <w:tcBorders>
                    <w:tl2br w:val="nil"/>
                    <w:tr2bl w:val="nil"/>
                  </w:tcBorders>
                  <w:vAlign w:val="center"/>
                </w:tcPr>
                <w:p w14:paraId="419F82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97" w:type="pct"/>
                  <w:tcBorders>
                    <w:tl2br w:val="nil"/>
                    <w:tr2bl w:val="nil"/>
                  </w:tcBorders>
                  <w:vAlign w:val="center"/>
                </w:tcPr>
                <w:p w14:paraId="1F4B74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CB58A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0.0084</w:t>
                  </w:r>
                </w:p>
              </w:tc>
              <w:tc>
                <w:tcPr>
                  <w:tcW w:w="403" w:type="pct"/>
                  <w:tcBorders>
                    <w:tl2br w:val="nil"/>
                    <w:tr2bl w:val="nil"/>
                  </w:tcBorders>
                  <w:vAlign w:val="center"/>
                </w:tcPr>
                <w:p w14:paraId="4B8DCB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0.0083</w:t>
                  </w:r>
                </w:p>
              </w:tc>
              <w:tc>
                <w:tcPr>
                  <w:tcW w:w="403" w:type="pct"/>
                  <w:tcBorders>
                    <w:tl2br w:val="nil"/>
                    <w:tr2bl w:val="nil"/>
                  </w:tcBorders>
                  <w:vAlign w:val="center"/>
                </w:tcPr>
                <w:p w14:paraId="19B47B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0.0031</w:t>
                  </w:r>
                </w:p>
              </w:tc>
              <w:tc>
                <w:tcPr>
                  <w:tcW w:w="403" w:type="pct"/>
                  <w:tcBorders>
                    <w:tl2br w:val="nil"/>
                    <w:tr2bl w:val="nil"/>
                  </w:tcBorders>
                  <w:vAlign w:val="center"/>
                </w:tcPr>
                <w:p w14:paraId="3BF4E6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0.0094</w:t>
                  </w:r>
                </w:p>
              </w:tc>
              <w:tc>
                <w:tcPr>
                  <w:tcW w:w="450" w:type="pct"/>
                  <w:tcBorders>
                    <w:tl2br w:val="nil"/>
                    <w:tr2bl w:val="nil"/>
                  </w:tcBorders>
                  <w:vAlign w:val="center"/>
                </w:tcPr>
                <w:p w14:paraId="3D4550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0.00027</w:t>
                  </w:r>
                </w:p>
              </w:tc>
              <w:tc>
                <w:tcPr>
                  <w:tcW w:w="403" w:type="pct"/>
                  <w:tcBorders>
                    <w:tl2br w:val="nil"/>
                    <w:tr2bl w:val="nil"/>
                  </w:tcBorders>
                  <w:vAlign w:val="center"/>
                </w:tcPr>
                <w:p w14:paraId="2736EE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0.0025</w:t>
                  </w:r>
                </w:p>
              </w:tc>
              <w:tc>
                <w:tcPr>
                  <w:tcW w:w="356" w:type="pct"/>
                  <w:tcBorders>
                    <w:tl2br w:val="nil"/>
                    <w:tr2bl w:val="nil"/>
                  </w:tcBorders>
                  <w:vAlign w:val="center"/>
                </w:tcPr>
                <w:p w14:paraId="0176D2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399" w:type="pct"/>
                  <w:tcBorders>
                    <w:tl2br w:val="nil"/>
                    <w:tr2bl w:val="nil"/>
                  </w:tcBorders>
                  <w:vAlign w:val="center"/>
                </w:tcPr>
                <w:p w14:paraId="466906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0.00099</w:t>
                  </w:r>
                </w:p>
              </w:tc>
            </w:tr>
            <w:tr w14:paraId="1E78A4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5ADCAC62">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5ECE00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6月</w:t>
                  </w:r>
                </w:p>
              </w:tc>
              <w:tc>
                <w:tcPr>
                  <w:tcW w:w="278" w:type="pct"/>
                  <w:tcBorders>
                    <w:tl2br w:val="nil"/>
                    <w:tr2bl w:val="nil"/>
                  </w:tcBorders>
                  <w:vAlign w:val="center"/>
                </w:tcPr>
                <w:p w14:paraId="1FFB9A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0.0082</w:t>
                  </w:r>
                </w:p>
              </w:tc>
              <w:tc>
                <w:tcPr>
                  <w:tcW w:w="450" w:type="pct"/>
                  <w:tcBorders>
                    <w:tl2br w:val="nil"/>
                    <w:tr2bl w:val="nil"/>
                  </w:tcBorders>
                  <w:vAlign w:val="center"/>
                </w:tcPr>
                <w:p w14:paraId="124FC6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0.00057</w:t>
                  </w:r>
                </w:p>
              </w:tc>
              <w:tc>
                <w:tcPr>
                  <w:tcW w:w="497" w:type="pct"/>
                  <w:tcBorders>
                    <w:tl2br w:val="nil"/>
                    <w:tr2bl w:val="nil"/>
                  </w:tcBorders>
                  <w:vAlign w:val="center"/>
                </w:tcPr>
                <w:p w14:paraId="198291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1215F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0.00087</w:t>
                  </w:r>
                </w:p>
              </w:tc>
              <w:tc>
                <w:tcPr>
                  <w:tcW w:w="403" w:type="pct"/>
                  <w:tcBorders>
                    <w:tl2br w:val="nil"/>
                    <w:tr2bl w:val="nil"/>
                  </w:tcBorders>
                  <w:vAlign w:val="center"/>
                </w:tcPr>
                <w:p w14:paraId="385340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403" w:type="pct"/>
                  <w:tcBorders>
                    <w:tl2br w:val="nil"/>
                    <w:tr2bl w:val="nil"/>
                  </w:tcBorders>
                  <w:vAlign w:val="center"/>
                </w:tcPr>
                <w:p w14:paraId="6CE256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421943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c>
                <w:tcPr>
                  <w:tcW w:w="450" w:type="pct"/>
                  <w:tcBorders>
                    <w:tl2br w:val="nil"/>
                    <w:tr2bl w:val="nil"/>
                  </w:tcBorders>
                  <w:vAlign w:val="center"/>
                </w:tcPr>
                <w:p w14:paraId="5E4315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4E99F6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18"/>
                      <w:highlight w:val="none"/>
                      <w:shd w:val="clear" w:color="auto" w:fill="FFFFFF" w:themeFill="background1"/>
                    </w:rPr>
                    <w:t>0.0018</w:t>
                  </w:r>
                </w:p>
              </w:tc>
              <w:tc>
                <w:tcPr>
                  <w:tcW w:w="356" w:type="pct"/>
                  <w:tcBorders>
                    <w:tl2br w:val="nil"/>
                    <w:tr2bl w:val="nil"/>
                  </w:tcBorders>
                  <w:vAlign w:val="center"/>
                </w:tcPr>
                <w:p w14:paraId="038F88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0.0049</w:t>
                  </w:r>
                </w:p>
              </w:tc>
              <w:tc>
                <w:tcPr>
                  <w:tcW w:w="399" w:type="pct"/>
                  <w:tcBorders>
                    <w:tl2br w:val="nil"/>
                    <w:tr2bl w:val="nil"/>
                  </w:tcBorders>
                  <w:vAlign w:val="center"/>
                </w:tcPr>
                <w:p w14:paraId="347F9B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r>
            <w:tr w14:paraId="34CD97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154F1238">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157AAE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7月</w:t>
                  </w:r>
                </w:p>
              </w:tc>
              <w:tc>
                <w:tcPr>
                  <w:tcW w:w="278" w:type="pct"/>
                  <w:tcBorders>
                    <w:tl2br w:val="nil"/>
                    <w:tr2bl w:val="nil"/>
                  </w:tcBorders>
                  <w:vAlign w:val="center"/>
                </w:tcPr>
                <w:p w14:paraId="1E7BF1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0.0062</w:t>
                  </w:r>
                </w:p>
              </w:tc>
              <w:tc>
                <w:tcPr>
                  <w:tcW w:w="450" w:type="pct"/>
                  <w:tcBorders>
                    <w:tl2br w:val="nil"/>
                    <w:tr2bl w:val="nil"/>
                  </w:tcBorders>
                  <w:vAlign w:val="center"/>
                </w:tcPr>
                <w:p w14:paraId="13EC4E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0.00035</w:t>
                  </w:r>
                </w:p>
              </w:tc>
              <w:tc>
                <w:tcPr>
                  <w:tcW w:w="497" w:type="pct"/>
                  <w:tcBorders>
                    <w:tl2br w:val="nil"/>
                    <w:tr2bl w:val="nil"/>
                  </w:tcBorders>
                  <w:vAlign w:val="center"/>
                </w:tcPr>
                <w:p w14:paraId="6B9076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01990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403" w:type="pct"/>
                  <w:tcBorders>
                    <w:tl2br w:val="nil"/>
                    <w:tr2bl w:val="nil"/>
                  </w:tcBorders>
                  <w:vAlign w:val="center"/>
                </w:tcPr>
                <w:p w14:paraId="0FC55E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0.0046</w:t>
                  </w:r>
                </w:p>
              </w:tc>
              <w:tc>
                <w:tcPr>
                  <w:tcW w:w="403" w:type="pct"/>
                  <w:tcBorders>
                    <w:tl2br w:val="nil"/>
                    <w:tr2bl w:val="nil"/>
                  </w:tcBorders>
                  <w:vAlign w:val="center"/>
                </w:tcPr>
                <w:p w14:paraId="21D8EF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1A5FCC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0.0081</w:t>
                  </w:r>
                </w:p>
              </w:tc>
              <w:tc>
                <w:tcPr>
                  <w:tcW w:w="450" w:type="pct"/>
                  <w:tcBorders>
                    <w:tl2br w:val="nil"/>
                    <w:tr2bl w:val="nil"/>
                  </w:tcBorders>
                  <w:vAlign w:val="center"/>
                </w:tcPr>
                <w:p w14:paraId="683F0C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0.00019</w:t>
                  </w:r>
                </w:p>
              </w:tc>
              <w:tc>
                <w:tcPr>
                  <w:tcW w:w="403" w:type="pct"/>
                  <w:tcBorders>
                    <w:tl2br w:val="nil"/>
                    <w:tr2bl w:val="nil"/>
                  </w:tcBorders>
                  <w:vAlign w:val="center"/>
                </w:tcPr>
                <w:p w14:paraId="55C176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0.0064</w:t>
                  </w:r>
                </w:p>
              </w:tc>
              <w:tc>
                <w:tcPr>
                  <w:tcW w:w="356" w:type="pct"/>
                  <w:tcBorders>
                    <w:tl2br w:val="nil"/>
                    <w:tr2bl w:val="nil"/>
                  </w:tcBorders>
                  <w:vAlign w:val="center"/>
                </w:tcPr>
                <w:p w14:paraId="79EBF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0.0057</w:t>
                  </w:r>
                </w:p>
              </w:tc>
              <w:tc>
                <w:tcPr>
                  <w:tcW w:w="399" w:type="pct"/>
                  <w:tcBorders>
                    <w:tl2br w:val="nil"/>
                    <w:tr2bl w:val="nil"/>
                  </w:tcBorders>
                  <w:vAlign w:val="center"/>
                </w:tcPr>
                <w:p w14:paraId="6CDEA7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0.0025</w:t>
                  </w:r>
                </w:p>
              </w:tc>
            </w:tr>
            <w:tr w14:paraId="47761C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4E42582B">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23D39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8月</w:t>
                  </w:r>
                </w:p>
              </w:tc>
              <w:tc>
                <w:tcPr>
                  <w:tcW w:w="278" w:type="pct"/>
                  <w:tcBorders>
                    <w:tl2br w:val="nil"/>
                    <w:tr2bl w:val="nil"/>
                  </w:tcBorders>
                  <w:vAlign w:val="center"/>
                </w:tcPr>
                <w:p w14:paraId="61DF08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44B46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497" w:type="pct"/>
                  <w:tcBorders>
                    <w:tl2br w:val="nil"/>
                    <w:tr2bl w:val="nil"/>
                  </w:tcBorders>
                  <w:vAlign w:val="center"/>
                </w:tcPr>
                <w:p w14:paraId="16E152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5D3055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w:t>
                  </w:r>
                </w:p>
              </w:tc>
              <w:tc>
                <w:tcPr>
                  <w:tcW w:w="403" w:type="pct"/>
                  <w:tcBorders>
                    <w:tl2br w:val="nil"/>
                    <w:tr2bl w:val="nil"/>
                  </w:tcBorders>
                  <w:vAlign w:val="center"/>
                </w:tcPr>
                <w:p w14:paraId="224A5A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0.0082</w:t>
                  </w:r>
                </w:p>
              </w:tc>
              <w:tc>
                <w:tcPr>
                  <w:tcW w:w="403" w:type="pct"/>
                  <w:tcBorders>
                    <w:tl2br w:val="nil"/>
                    <w:tr2bl w:val="nil"/>
                  </w:tcBorders>
                  <w:vAlign w:val="center"/>
                </w:tcPr>
                <w:p w14:paraId="1977AA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1EE1FD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0.0076</w:t>
                  </w:r>
                </w:p>
              </w:tc>
              <w:tc>
                <w:tcPr>
                  <w:tcW w:w="450" w:type="pct"/>
                  <w:tcBorders>
                    <w:tl2br w:val="nil"/>
                    <w:tr2bl w:val="nil"/>
                  </w:tcBorders>
                  <w:vAlign w:val="center"/>
                </w:tcPr>
                <w:p w14:paraId="5EB3F5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0.00011</w:t>
                  </w:r>
                </w:p>
              </w:tc>
              <w:tc>
                <w:tcPr>
                  <w:tcW w:w="403" w:type="pct"/>
                  <w:tcBorders>
                    <w:tl2br w:val="nil"/>
                    <w:tr2bl w:val="nil"/>
                  </w:tcBorders>
                  <w:vAlign w:val="center"/>
                </w:tcPr>
                <w:p w14:paraId="38E64B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w:t>
                  </w:r>
                </w:p>
              </w:tc>
              <w:tc>
                <w:tcPr>
                  <w:tcW w:w="356" w:type="pct"/>
                  <w:tcBorders>
                    <w:tl2br w:val="nil"/>
                    <w:tr2bl w:val="nil"/>
                  </w:tcBorders>
                  <w:vAlign w:val="center"/>
                </w:tcPr>
                <w:p w14:paraId="75FD1E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0.0025</w:t>
                  </w:r>
                </w:p>
              </w:tc>
              <w:tc>
                <w:tcPr>
                  <w:tcW w:w="399" w:type="pct"/>
                  <w:tcBorders>
                    <w:tl2br w:val="nil"/>
                    <w:tr2bl w:val="nil"/>
                  </w:tcBorders>
                  <w:vAlign w:val="center"/>
                </w:tcPr>
                <w:p w14:paraId="0A85BB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r>
            <w:tr w14:paraId="24569D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193D8F65">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9B2D2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9月</w:t>
                  </w:r>
                </w:p>
              </w:tc>
              <w:tc>
                <w:tcPr>
                  <w:tcW w:w="278" w:type="pct"/>
                  <w:tcBorders>
                    <w:tl2br w:val="nil"/>
                    <w:tr2bl w:val="nil"/>
                  </w:tcBorders>
                  <w:vAlign w:val="center"/>
                </w:tcPr>
                <w:p w14:paraId="0C2F79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0.0034</w:t>
                  </w:r>
                </w:p>
              </w:tc>
              <w:tc>
                <w:tcPr>
                  <w:tcW w:w="450" w:type="pct"/>
                  <w:tcBorders>
                    <w:tl2br w:val="nil"/>
                    <w:tr2bl w:val="nil"/>
                  </w:tcBorders>
                  <w:vAlign w:val="center"/>
                </w:tcPr>
                <w:p w14:paraId="14430D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0.000033</w:t>
                  </w:r>
                </w:p>
              </w:tc>
              <w:tc>
                <w:tcPr>
                  <w:tcW w:w="497" w:type="pct"/>
                  <w:tcBorders>
                    <w:tl2br w:val="nil"/>
                    <w:tr2bl w:val="nil"/>
                  </w:tcBorders>
                  <w:vAlign w:val="center"/>
                </w:tcPr>
                <w:p w14:paraId="6B72B9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B3E1D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0.00018</w:t>
                  </w:r>
                </w:p>
              </w:tc>
              <w:tc>
                <w:tcPr>
                  <w:tcW w:w="403" w:type="pct"/>
                  <w:tcBorders>
                    <w:tl2br w:val="nil"/>
                    <w:tr2bl w:val="nil"/>
                  </w:tcBorders>
                  <w:vAlign w:val="center"/>
                </w:tcPr>
                <w:p w14:paraId="08F89C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403" w:type="pct"/>
                  <w:tcBorders>
                    <w:tl2br w:val="nil"/>
                    <w:tr2bl w:val="nil"/>
                  </w:tcBorders>
                  <w:vAlign w:val="center"/>
                </w:tcPr>
                <w:p w14:paraId="44A60F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0.0018</w:t>
                  </w:r>
                </w:p>
              </w:tc>
              <w:tc>
                <w:tcPr>
                  <w:tcW w:w="403" w:type="pct"/>
                  <w:tcBorders>
                    <w:tl2br w:val="nil"/>
                    <w:tr2bl w:val="nil"/>
                  </w:tcBorders>
                  <w:vAlign w:val="center"/>
                </w:tcPr>
                <w:p w14:paraId="31AF11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0.0054</w:t>
                  </w:r>
                </w:p>
              </w:tc>
              <w:tc>
                <w:tcPr>
                  <w:tcW w:w="450" w:type="pct"/>
                  <w:tcBorders>
                    <w:tl2br w:val="nil"/>
                    <w:tr2bl w:val="nil"/>
                  </w:tcBorders>
                  <w:vAlign w:val="center"/>
                </w:tcPr>
                <w:p w14:paraId="2448CC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0.00019</w:t>
                  </w:r>
                </w:p>
              </w:tc>
              <w:tc>
                <w:tcPr>
                  <w:tcW w:w="403" w:type="pct"/>
                  <w:tcBorders>
                    <w:tl2br w:val="nil"/>
                    <w:tr2bl w:val="nil"/>
                  </w:tcBorders>
                  <w:vAlign w:val="center"/>
                </w:tcPr>
                <w:p w14:paraId="17E62E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0.0012</w:t>
                  </w:r>
                </w:p>
              </w:tc>
              <w:tc>
                <w:tcPr>
                  <w:tcW w:w="356" w:type="pct"/>
                  <w:tcBorders>
                    <w:tl2br w:val="nil"/>
                    <w:tr2bl w:val="nil"/>
                  </w:tcBorders>
                  <w:vAlign w:val="center"/>
                </w:tcPr>
                <w:p w14:paraId="7484E8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0.0064</w:t>
                  </w:r>
                </w:p>
              </w:tc>
              <w:tc>
                <w:tcPr>
                  <w:tcW w:w="399" w:type="pct"/>
                  <w:tcBorders>
                    <w:tl2br w:val="nil"/>
                    <w:tr2bl w:val="nil"/>
                  </w:tcBorders>
                  <w:vAlign w:val="center"/>
                </w:tcPr>
                <w:p w14:paraId="29C923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w:t>
                  </w:r>
                </w:p>
              </w:tc>
            </w:tr>
            <w:tr w14:paraId="7F22A5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29D7E964">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5B215D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10月</w:t>
                  </w:r>
                </w:p>
              </w:tc>
              <w:tc>
                <w:tcPr>
                  <w:tcW w:w="278" w:type="pct"/>
                  <w:tcBorders>
                    <w:tl2br w:val="nil"/>
                    <w:tr2bl w:val="nil"/>
                  </w:tcBorders>
                  <w:vAlign w:val="center"/>
                </w:tcPr>
                <w:p w14:paraId="2A06E5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0.0049</w:t>
                  </w:r>
                </w:p>
              </w:tc>
              <w:tc>
                <w:tcPr>
                  <w:tcW w:w="450" w:type="pct"/>
                  <w:tcBorders>
                    <w:tl2br w:val="nil"/>
                    <w:tr2bl w:val="nil"/>
                  </w:tcBorders>
                  <w:vAlign w:val="center"/>
                </w:tcPr>
                <w:p w14:paraId="65A960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0.000034</w:t>
                  </w:r>
                </w:p>
              </w:tc>
              <w:tc>
                <w:tcPr>
                  <w:tcW w:w="497" w:type="pct"/>
                  <w:tcBorders>
                    <w:tl2br w:val="nil"/>
                    <w:tr2bl w:val="nil"/>
                  </w:tcBorders>
                  <w:vAlign w:val="center"/>
                </w:tcPr>
                <w:p w14:paraId="2DDA8A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340954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0.000047</w:t>
                  </w:r>
                </w:p>
              </w:tc>
              <w:tc>
                <w:tcPr>
                  <w:tcW w:w="403" w:type="pct"/>
                  <w:tcBorders>
                    <w:tl2br w:val="nil"/>
                    <w:tr2bl w:val="nil"/>
                  </w:tcBorders>
                  <w:vAlign w:val="center"/>
                </w:tcPr>
                <w:p w14:paraId="650C8B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0.042</w:t>
                  </w:r>
                </w:p>
              </w:tc>
              <w:tc>
                <w:tcPr>
                  <w:tcW w:w="403" w:type="pct"/>
                  <w:tcBorders>
                    <w:tl2br w:val="nil"/>
                    <w:tr2bl w:val="nil"/>
                  </w:tcBorders>
                  <w:vAlign w:val="center"/>
                </w:tcPr>
                <w:p w14:paraId="2D3F41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0.0018</w:t>
                  </w:r>
                </w:p>
              </w:tc>
              <w:tc>
                <w:tcPr>
                  <w:tcW w:w="403" w:type="pct"/>
                  <w:tcBorders>
                    <w:tl2br w:val="nil"/>
                    <w:tr2bl w:val="nil"/>
                  </w:tcBorders>
                  <w:vAlign w:val="center"/>
                </w:tcPr>
                <w:p w14:paraId="6ED2B5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0.0058</w:t>
                  </w:r>
                </w:p>
              </w:tc>
              <w:tc>
                <w:tcPr>
                  <w:tcW w:w="450" w:type="pct"/>
                  <w:tcBorders>
                    <w:tl2br w:val="nil"/>
                    <w:tr2bl w:val="nil"/>
                  </w:tcBorders>
                  <w:vAlign w:val="center"/>
                </w:tcPr>
                <w:p w14:paraId="248B3E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0.00021</w:t>
                  </w:r>
                </w:p>
              </w:tc>
              <w:tc>
                <w:tcPr>
                  <w:tcW w:w="403" w:type="pct"/>
                  <w:tcBorders>
                    <w:tl2br w:val="nil"/>
                    <w:tr2bl w:val="nil"/>
                  </w:tcBorders>
                  <w:vAlign w:val="center"/>
                </w:tcPr>
                <w:p w14:paraId="0CFA1B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0.00037</w:t>
                  </w:r>
                </w:p>
              </w:tc>
              <w:tc>
                <w:tcPr>
                  <w:tcW w:w="356" w:type="pct"/>
                  <w:tcBorders>
                    <w:tl2br w:val="nil"/>
                    <w:tr2bl w:val="nil"/>
                  </w:tcBorders>
                  <w:vAlign w:val="center"/>
                </w:tcPr>
                <w:p w14:paraId="71FF1F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0.0084</w:t>
                  </w:r>
                </w:p>
              </w:tc>
              <w:tc>
                <w:tcPr>
                  <w:tcW w:w="399" w:type="pct"/>
                  <w:tcBorders>
                    <w:tl2br w:val="nil"/>
                    <w:tr2bl w:val="nil"/>
                  </w:tcBorders>
                  <w:vAlign w:val="center"/>
                </w:tcPr>
                <w:p w14:paraId="63779F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0.0018</w:t>
                  </w:r>
                </w:p>
              </w:tc>
            </w:tr>
            <w:tr w14:paraId="54B3C9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254" w:type="pct"/>
                  <w:vMerge w:val="continue"/>
                  <w:tcBorders>
                    <w:tl2br w:val="nil"/>
                    <w:tr2bl w:val="nil"/>
                  </w:tcBorders>
                  <w:vAlign w:val="center"/>
                </w:tcPr>
                <w:p w14:paraId="6F40114C">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07E490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11月</w:t>
                  </w:r>
                </w:p>
              </w:tc>
              <w:tc>
                <w:tcPr>
                  <w:tcW w:w="278" w:type="pct"/>
                  <w:tcBorders>
                    <w:tl2br w:val="nil"/>
                    <w:tr2bl w:val="nil"/>
                  </w:tcBorders>
                  <w:vAlign w:val="center"/>
                </w:tcPr>
                <w:p w14:paraId="66944D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0.00072</w:t>
                  </w:r>
                </w:p>
              </w:tc>
              <w:tc>
                <w:tcPr>
                  <w:tcW w:w="450" w:type="pct"/>
                  <w:tcBorders>
                    <w:tl2br w:val="nil"/>
                    <w:tr2bl w:val="nil"/>
                  </w:tcBorders>
                  <w:vAlign w:val="center"/>
                </w:tcPr>
                <w:p w14:paraId="6266B0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0.000026</w:t>
                  </w:r>
                </w:p>
              </w:tc>
              <w:tc>
                <w:tcPr>
                  <w:tcW w:w="497" w:type="pct"/>
                  <w:tcBorders>
                    <w:tl2br w:val="nil"/>
                    <w:tr2bl w:val="nil"/>
                  </w:tcBorders>
                  <w:vAlign w:val="center"/>
                </w:tcPr>
                <w:p w14:paraId="187CF9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0D7E88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0.000049</w:t>
                  </w:r>
                </w:p>
              </w:tc>
              <w:tc>
                <w:tcPr>
                  <w:tcW w:w="403" w:type="pct"/>
                  <w:tcBorders>
                    <w:tl2br w:val="nil"/>
                    <w:tr2bl w:val="nil"/>
                  </w:tcBorders>
                  <w:vAlign w:val="center"/>
                </w:tcPr>
                <w:p w14:paraId="4A4F9C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403" w:type="pct"/>
                  <w:tcBorders>
                    <w:tl2br w:val="nil"/>
                    <w:tr2bl w:val="nil"/>
                  </w:tcBorders>
                  <w:vAlign w:val="center"/>
                </w:tcPr>
                <w:p w14:paraId="6B446F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0.00079</w:t>
                  </w:r>
                </w:p>
              </w:tc>
              <w:tc>
                <w:tcPr>
                  <w:tcW w:w="403" w:type="pct"/>
                  <w:tcBorders>
                    <w:tl2br w:val="nil"/>
                    <w:tr2bl w:val="nil"/>
                  </w:tcBorders>
                  <w:vAlign w:val="center"/>
                </w:tcPr>
                <w:p w14:paraId="3B74FE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w:t>
                  </w:r>
                </w:p>
              </w:tc>
              <w:tc>
                <w:tcPr>
                  <w:tcW w:w="450" w:type="pct"/>
                  <w:tcBorders>
                    <w:tl2br w:val="nil"/>
                    <w:tr2bl w:val="nil"/>
                  </w:tcBorders>
                  <w:vAlign w:val="center"/>
                </w:tcPr>
                <w:p w14:paraId="125904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0.000068</w:t>
                  </w:r>
                </w:p>
              </w:tc>
              <w:tc>
                <w:tcPr>
                  <w:tcW w:w="403" w:type="pct"/>
                  <w:tcBorders>
                    <w:tl2br w:val="nil"/>
                    <w:tr2bl w:val="nil"/>
                  </w:tcBorders>
                  <w:vAlign w:val="center"/>
                </w:tcPr>
                <w:p w14:paraId="7C044F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0.00036</w:t>
                  </w:r>
                </w:p>
              </w:tc>
              <w:tc>
                <w:tcPr>
                  <w:tcW w:w="356" w:type="pct"/>
                  <w:tcBorders>
                    <w:tl2br w:val="nil"/>
                    <w:tr2bl w:val="nil"/>
                  </w:tcBorders>
                  <w:vAlign w:val="center"/>
                </w:tcPr>
                <w:p w14:paraId="4C7A56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0.0022</w:t>
                  </w:r>
                </w:p>
              </w:tc>
              <w:tc>
                <w:tcPr>
                  <w:tcW w:w="399" w:type="pct"/>
                  <w:tcBorders>
                    <w:tl2br w:val="nil"/>
                    <w:tr2bl w:val="nil"/>
                  </w:tcBorders>
                  <w:vAlign w:val="center"/>
                </w:tcPr>
                <w:p w14:paraId="0C55DA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0.00074</w:t>
                  </w:r>
                </w:p>
              </w:tc>
            </w:tr>
            <w:tr w14:paraId="750646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254" w:type="pct"/>
                  <w:vMerge w:val="continue"/>
                  <w:tcBorders>
                    <w:tl2br w:val="nil"/>
                    <w:tr2bl w:val="nil"/>
                  </w:tcBorders>
                  <w:vAlign w:val="center"/>
                </w:tcPr>
                <w:p w14:paraId="103B01B3">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42BCE4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12月</w:t>
                  </w:r>
                </w:p>
              </w:tc>
              <w:tc>
                <w:tcPr>
                  <w:tcW w:w="278" w:type="pct"/>
                  <w:tcBorders>
                    <w:tl2br w:val="nil"/>
                    <w:tr2bl w:val="nil"/>
                  </w:tcBorders>
                  <w:vAlign w:val="center"/>
                </w:tcPr>
                <w:p w14:paraId="63A17B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0.0028</w:t>
                  </w:r>
                </w:p>
              </w:tc>
              <w:tc>
                <w:tcPr>
                  <w:tcW w:w="450" w:type="pct"/>
                  <w:tcBorders>
                    <w:tl2br w:val="nil"/>
                    <w:tr2bl w:val="nil"/>
                  </w:tcBorders>
                  <w:vAlign w:val="center"/>
                </w:tcPr>
                <w:p w14:paraId="450572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0.000036</w:t>
                  </w:r>
                </w:p>
              </w:tc>
              <w:tc>
                <w:tcPr>
                  <w:tcW w:w="497" w:type="pct"/>
                  <w:tcBorders>
                    <w:tl2br w:val="nil"/>
                    <w:tr2bl w:val="nil"/>
                  </w:tcBorders>
                  <w:vAlign w:val="center"/>
                </w:tcPr>
                <w:p w14:paraId="7CFEC8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55613F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0.00024</w:t>
                  </w:r>
                </w:p>
              </w:tc>
              <w:tc>
                <w:tcPr>
                  <w:tcW w:w="403" w:type="pct"/>
                  <w:tcBorders>
                    <w:tl2br w:val="nil"/>
                    <w:tr2bl w:val="nil"/>
                  </w:tcBorders>
                  <w:vAlign w:val="center"/>
                </w:tcPr>
                <w:p w14:paraId="0EC5C0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0.0052</w:t>
                  </w:r>
                </w:p>
              </w:tc>
              <w:tc>
                <w:tcPr>
                  <w:tcW w:w="403" w:type="pct"/>
                  <w:tcBorders>
                    <w:tl2br w:val="nil"/>
                    <w:tr2bl w:val="nil"/>
                  </w:tcBorders>
                  <w:vAlign w:val="center"/>
                </w:tcPr>
                <w:p w14:paraId="5383D2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0.0032</w:t>
                  </w:r>
                </w:p>
              </w:tc>
              <w:tc>
                <w:tcPr>
                  <w:tcW w:w="403" w:type="pct"/>
                  <w:tcBorders>
                    <w:tl2br w:val="nil"/>
                    <w:tr2bl w:val="nil"/>
                  </w:tcBorders>
                  <w:vAlign w:val="center"/>
                </w:tcPr>
                <w:p w14:paraId="032E21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0.0077</w:t>
                  </w:r>
                </w:p>
              </w:tc>
              <w:tc>
                <w:tcPr>
                  <w:tcW w:w="450" w:type="pct"/>
                  <w:tcBorders>
                    <w:tl2br w:val="nil"/>
                    <w:tr2bl w:val="nil"/>
                  </w:tcBorders>
                  <w:vAlign w:val="center"/>
                </w:tcPr>
                <w:p w14:paraId="1BCEF3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0.00025</w:t>
                  </w:r>
                </w:p>
              </w:tc>
              <w:tc>
                <w:tcPr>
                  <w:tcW w:w="403" w:type="pct"/>
                  <w:tcBorders>
                    <w:tl2br w:val="nil"/>
                    <w:tr2bl w:val="nil"/>
                  </w:tcBorders>
                  <w:vAlign w:val="center"/>
                </w:tcPr>
                <w:p w14:paraId="6D5196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356" w:type="pct"/>
                  <w:tcBorders>
                    <w:tl2br w:val="nil"/>
                    <w:tr2bl w:val="nil"/>
                  </w:tcBorders>
                  <w:vAlign w:val="center"/>
                </w:tcPr>
                <w:p w14:paraId="6E110D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0.0088</w:t>
                  </w:r>
                </w:p>
              </w:tc>
              <w:tc>
                <w:tcPr>
                  <w:tcW w:w="399" w:type="pct"/>
                  <w:tcBorders>
                    <w:tl2br w:val="nil"/>
                    <w:tr2bl w:val="nil"/>
                  </w:tcBorders>
                  <w:vAlign w:val="center"/>
                </w:tcPr>
                <w:p w14:paraId="1F4D56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0.0029</w:t>
                  </w:r>
                </w:p>
              </w:tc>
            </w:tr>
            <w:tr w14:paraId="67431C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254" w:type="pct"/>
                  <w:vMerge w:val="restart"/>
                  <w:tcBorders>
                    <w:tl2br w:val="nil"/>
                    <w:tr2bl w:val="nil"/>
                  </w:tcBorders>
                  <w:vAlign w:val="center"/>
                </w:tcPr>
                <w:p w14:paraId="0CC546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2#炉</w:t>
                  </w:r>
                </w:p>
              </w:tc>
              <w:tc>
                <w:tcPr>
                  <w:tcW w:w="254" w:type="pct"/>
                  <w:tcBorders>
                    <w:tl2br w:val="nil"/>
                    <w:tr2bl w:val="nil"/>
                  </w:tcBorders>
                  <w:vAlign w:val="center"/>
                </w:tcPr>
                <w:p w14:paraId="073746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1月</w:t>
                  </w:r>
                </w:p>
              </w:tc>
              <w:tc>
                <w:tcPr>
                  <w:tcW w:w="278" w:type="pct"/>
                  <w:tcBorders>
                    <w:tl2br w:val="nil"/>
                    <w:tr2bl w:val="nil"/>
                  </w:tcBorders>
                  <w:vAlign w:val="center"/>
                </w:tcPr>
                <w:p w14:paraId="6E9B83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450" w:type="pct"/>
                  <w:tcBorders>
                    <w:tl2br w:val="nil"/>
                    <w:tr2bl w:val="nil"/>
                  </w:tcBorders>
                  <w:vAlign w:val="center"/>
                </w:tcPr>
                <w:p w14:paraId="5EFE15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0.00036</w:t>
                  </w:r>
                </w:p>
              </w:tc>
              <w:tc>
                <w:tcPr>
                  <w:tcW w:w="497" w:type="pct"/>
                  <w:tcBorders>
                    <w:tl2br w:val="nil"/>
                    <w:tr2bl w:val="nil"/>
                  </w:tcBorders>
                  <w:vAlign w:val="center"/>
                </w:tcPr>
                <w:p w14:paraId="54985D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0.0000051</w:t>
                  </w:r>
                </w:p>
              </w:tc>
              <w:tc>
                <w:tcPr>
                  <w:tcW w:w="450" w:type="pct"/>
                  <w:tcBorders>
                    <w:tl2br w:val="nil"/>
                    <w:tr2bl w:val="nil"/>
                  </w:tcBorders>
                  <w:vAlign w:val="center"/>
                </w:tcPr>
                <w:p w14:paraId="743793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132DB0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0.00096</w:t>
                  </w:r>
                </w:p>
              </w:tc>
              <w:tc>
                <w:tcPr>
                  <w:tcW w:w="403" w:type="pct"/>
                  <w:tcBorders>
                    <w:tl2br w:val="nil"/>
                    <w:tr2bl w:val="nil"/>
                  </w:tcBorders>
                  <w:vAlign w:val="center"/>
                </w:tcPr>
                <w:p w14:paraId="5ACCC2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7C3C87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0.0122</w:t>
                  </w:r>
                </w:p>
              </w:tc>
              <w:tc>
                <w:tcPr>
                  <w:tcW w:w="450" w:type="pct"/>
                  <w:tcBorders>
                    <w:tl2br w:val="nil"/>
                    <w:tr2bl w:val="nil"/>
                  </w:tcBorders>
                  <w:vAlign w:val="center"/>
                </w:tcPr>
                <w:p w14:paraId="391E3E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0.00036</w:t>
                  </w:r>
                </w:p>
              </w:tc>
              <w:tc>
                <w:tcPr>
                  <w:tcW w:w="403" w:type="pct"/>
                  <w:tcBorders>
                    <w:tl2br w:val="nil"/>
                    <w:tr2bl w:val="nil"/>
                  </w:tcBorders>
                  <w:vAlign w:val="center"/>
                </w:tcPr>
                <w:p w14:paraId="584341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0.00026</w:t>
                  </w:r>
                </w:p>
              </w:tc>
              <w:tc>
                <w:tcPr>
                  <w:tcW w:w="356" w:type="pct"/>
                  <w:tcBorders>
                    <w:tl2br w:val="nil"/>
                    <w:tr2bl w:val="nil"/>
                  </w:tcBorders>
                  <w:vAlign w:val="center"/>
                </w:tcPr>
                <w:p w14:paraId="272726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0.0031</w:t>
                  </w:r>
                </w:p>
              </w:tc>
              <w:tc>
                <w:tcPr>
                  <w:tcW w:w="399" w:type="pct"/>
                  <w:tcBorders>
                    <w:tl2br w:val="nil"/>
                    <w:tr2bl w:val="nil"/>
                  </w:tcBorders>
                  <w:vAlign w:val="center"/>
                </w:tcPr>
                <w:p w14:paraId="240177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w:t>
                  </w:r>
                </w:p>
              </w:tc>
            </w:tr>
            <w:tr w14:paraId="1EDDEA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254" w:type="pct"/>
                  <w:vMerge w:val="continue"/>
                  <w:tcBorders>
                    <w:tl2br w:val="nil"/>
                    <w:tr2bl w:val="nil"/>
                  </w:tcBorders>
                  <w:vAlign w:val="center"/>
                </w:tcPr>
                <w:p w14:paraId="14A4795A">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04D029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2月</w:t>
                  </w:r>
                </w:p>
              </w:tc>
              <w:tc>
                <w:tcPr>
                  <w:tcW w:w="278" w:type="pct"/>
                  <w:tcBorders>
                    <w:tl2br w:val="nil"/>
                    <w:tr2bl w:val="nil"/>
                  </w:tcBorders>
                  <w:vAlign w:val="center"/>
                </w:tcPr>
                <w:p w14:paraId="40D2B3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c>
                <w:tcPr>
                  <w:tcW w:w="450" w:type="pct"/>
                  <w:tcBorders>
                    <w:tl2br w:val="nil"/>
                    <w:tr2bl w:val="nil"/>
                  </w:tcBorders>
                  <w:vAlign w:val="center"/>
                </w:tcPr>
                <w:p w14:paraId="6E34CC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0.00034</w:t>
                  </w:r>
                </w:p>
              </w:tc>
              <w:tc>
                <w:tcPr>
                  <w:tcW w:w="497" w:type="pct"/>
                  <w:tcBorders>
                    <w:tl2br w:val="nil"/>
                    <w:tr2bl w:val="nil"/>
                  </w:tcBorders>
                  <w:vAlign w:val="center"/>
                </w:tcPr>
                <w:p w14:paraId="7A8A31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0.0000065</w:t>
                  </w:r>
                </w:p>
              </w:tc>
              <w:tc>
                <w:tcPr>
                  <w:tcW w:w="450" w:type="pct"/>
                  <w:tcBorders>
                    <w:tl2br w:val="nil"/>
                    <w:tr2bl w:val="nil"/>
                  </w:tcBorders>
                  <w:vAlign w:val="center"/>
                </w:tcPr>
                <w:p w14:paraId="22874F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3C0A74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0.00084</w:t>
                  </w:r>
                </w:p>
              </w:tc>
              <w:tc>
                <w:tcPr>
                  <w:tcW w:w="403" w:type="pct"/>
                  <w:tcBorders>
                    <w:tl2br w:val="nil"/>
                    <w:tr2bl w:val="nil"/>
                  </w:tcBorders>
                  <w:vAlign w:val="center"/>
                </w:tcPr>
                <w:p w14:paraId="781E7C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448C08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0.00091</w:t>
                  </w:r>
                </w:p>
              </w:tc>
              <w:tc>
                <w:tcPr>
                  <w:tcW w:w="450" w:type="pct"/>
                  <w:tcBorders>
                    <w:tl2br w:val="nil"/>
                    <w:tr2bl w:val="nil"/>
                  </w:tcBorders>
                  <w:vAlign w:val="center"/>
                </w:tcPr>
                <w:p w14:paraId="4B3797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0.00016</w:t>
                  </w:r>
                </w:p>
              </w:tc>
              <w:tc>
                <w:tcPr>
                  <w:tcW w:w="403" w:type="pct"/>
                  <w:tcBorders>
                    <w:tl2br w:val="nil"/>
                    <w:tr2bl w:val="nil"/>
                  </w:tcBorders>
                  <w:vAlign w:val="center"/>
                </w:tcPr>
                <w:p w14:paraId="2EB11C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0.0028</w:t>
                  </w:r>
                </w:p>
              </w:tc>
              <w:tc>
                <w:tcPr>
                  <w:tcW w:w="356" w:type="pct"/>
                  <w:tcBorders>
                    <w:tl2br w:val="nil"/>
                    <w:tr2bl w:val="nil"/>
                  </w:tcBorders>
                  <w:vAlign w:val="center"/>
                </w:tcPr>
                <w:p w14:paraId="5B9B8C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0.0029</w:t>
                  </w:r>
                </w:p>
              </w:tc>
              <w:tc>
                <w:tcPr>
                  <w:tcW w:w="399" w:type="pct"/>
                  <w:tcBorders>
                    <w:tl2br w:val="nil"/>
                    <w:tr2bl w:val="nil"/>
                  </w:tcBorders>
                  <w:vAlign w:val="center"/>
                </w:tcPr>
                <w:p w14:paraId="795DCF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0.00031</w:t>
                  </w:r>
                </w:p>
              </w:tc>
            </w:tr>
            <w:tr w14:paraId="6EB05B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254" w:type="pct"/>
                  <w:vMerge w:val="continue"/>
                  <w:tcBorders>
                    <w:tl2br w:val="nil"/>
                    <w:tr2bl w:val="nil"/>
                  </w:tcBorders>
                  <w:vAlign w:val="center"/>
                </w:tcPr>
                <w:p w14:paraId="426FF403">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5BF0E6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3月</w:t>
                  </w:r>
                </w:p>
              </w:tc>
              <w:tc>
                <w:tcPr>
                  <w:tcW w:w="278" w:type="pct"/>
                  <w:tcBorders>
                    <w:tl2br w:val="nil"/>
                    <w:tr2bl w:val="nil"/>
                  </w:tcBorders>
                  <w:vAlign w:val="center"/>
                </w:tcPr>
                <w:p w14:paraId="43C25E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0.025</w:t>
                  </w:r>
                </w:p>
              </w:tc>
              <w:tc>
                <w:tcPr>
                  <w:tcW w:w="450" w:type="pct"/>
                  <w:tcBorders>
                    <w:tl2br w:val="nil"/>
                    <w:tr2bl w:val="nil"/>
                  </w:tcBorders>
                  <w:vAlign w:val="center"/>
                </w:tcPr>
                <w:p w14:paraId="12AB1B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97" w:type="pct"/>
                  <w:tcBorders>
                    <w:tl2br w:val="nil"/>
                    <w:tr2bl w:val="nil"/>
                  </w:tcBorders>
                  <w:vAlign w:val="center"/>
                </w:tcPr>
                <w:p w14:paraId="493DB3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5F2223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0.0013</w:t>
                  </w:r>
                </w:p>
              </w:tc>
              <w:tc>
                <w:tcPr>
                  <w:tcW w:w="403" w:type="pct"/>
                  <w:tcBorders>
                    <w:tl2br w:val="nil"/>
                    <w:tr2bl w:val="nil"/>
                  </w:tcBorders>
                  <w:vAlign w:val="center"/>
                </w:tcPr>
                <w:p w14:paraId="3BCAEF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w:t>
                  </w:r>
                </w:p>
              </w:tc>
              <w:tc>
                <w:tcPr>
                  <w:tcW w:w="403" w:type="pct"/>
                  <w:tcBorders>
                    <w:tl2br w:val="nil"/>
                    <w:tr2bl w:val="nil"/>
                  </w:tcBorders>
                  <w:vAlign w:val="center"/>
                </w:tcPr>
                <w:p w14:paraId="735419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7C6B24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0.0044</w:t>
                  </w:r>
                </w:p>
              </w:tc>
              <w:tc>
                <w:tcPr>
                  <w:tcW w:w="450" w:type="pct"/>
                  <w:tcBorders>
                    <w:tl2br w:val="nil"/>
                    <w:tr2bl w:val="nil"/>
                  </w:tcBorders>
                  <w:vAlign w:val="center"/>
                </w:tcPr>
                <w:p w14:paraId="356E88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0.00011</w:t>
                  </w:r>
                </w:p>
              </w:tc>
              <w:tc>
                <w:tcPr>
                  <w:tcW w:w="403" w:type="pct"/>
                  <w:tcBorders>
                    <w:tl2br w:val="nil"/>
                    <w:tr2bl w:val="nil"/>
                  </w:tcBorders>
                  <w:vAlign w:val="center"/>
                </w:tcPr>
                <w:p w14:paraId="6C7E89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0.0021</w:t>
                  </w:r>
                </w:p>
              </w:tc>
              <w:tc>
                <w:tcPr>
                  <w:tcW w:w="356" w:type="pct"/>
                  <w:tcBorders>
                    <w:tl2br w:val="nil"/>
                    <w:tr2bl w:val="nil"/>
                  </w:tcBorders>
                  <w:vAlign w:val="center"/>
                </w:tcPr>
                <w:p w14:paraId="4D794A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0.0037</w:t>
                  </w:r>
                </w:p>
              </w:tc>
              <w:tc>
                <w:tcPr>
                  <w:tcW w:w="399" w:type="pct"/>
                  <w:tcBorders>
                    <w:tl2br w:val="nil"/>
                    <w:tr2bl w:val="nil"/>
                  </w:tcBorders>
                  <w:vAlign w:val="center"/>
                </w:tcPr>
                <w:p w14:paraId="412620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0.0026</w:t>
                  </w:r>
                </w:p>
              </w:tc>
            </w:tr>
            <w:tr w14:paraId="1EC740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7EAD10DD">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506CDC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4月</w:t>
                  </w:r>
                </w:p>
              </w:tc>
              <w:tc>
                <w:tcPr>
                  <w:tcW w:w="278" w:type="pct"/>
                  <w:tcBorders>
                    <w:tl2br w:val="nil"/>
                    <w:tr2bl w:val="nil"/>
                  </w:tcBorders>
                  <w:vAlign w:val="center"/>
                </w:tcPr>
                <w:p w14:paraId="7B59E1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450" w:type="pct"/>
                  <w:tcBorders>
                    <w:tl2br w:val="nil"/>
                    <w:tr2bl w:val="nil"/>
                  </w:tcBorders>
                  <w:vAlign w:val="center"/>
                </w:tcPr>
                <w:p w14:paraId="423D83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0.00016</w:t>
                  </w:r>
                </w:p>
              </w:tc>
              <w:tc>
                <w:tcPr>
                  <w:tcW w:w="497" w:type="pct"/>
                  <w:tcBorders>
                    <w:tl2br w:val="nil"/>
                    <w:tr2bl w:val="nil"/>
                  </w:tcBorders>
                  <w:vAlign w:val="center"/>
                </w:tcPr>
                <w:p w14:paraId="4CFA65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3D1B64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0.0013</w:t>
                  </w:r>
                </w:p>
              </w:tc>
              <w:tc>
                <w:tcPr>
                  <w:tcW w:w="403" w:type="pct"/>
                  <w:tcBorders>
                    <w:tl2br w:val="nil"/>
                    <w:tr2bl w:val="nil"/>
                  </w:tcBorders>
                  <w:vAlign w:val="center"/>
                </w:tcPr>
                <w:p w14:paraId="5EDD2E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0.0071</w:t>
                  </w:r>
                </w:p>
              </w:tc>
              <w:tc>
                <w:tcPr>
                  <w:tcW w:w="403" w:type="pct"/>
                  <w:tcBorders>
                    <w:tl2br w:val="nil"/>
                    <w:tr2bl w:val="nil"/>
                  </w:tcBorders>
                  <w:vAlign w:val="center"/>
                </w:tcPr>
                <w:p w14:paraId="664880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067A4D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0.0025</w:t>
                  </w:r>
                </w:p>
              </w:tc>
              <w:tc>
                <w:tcPr>
                  <w:tcW w:w="450" w:type="pct"/>
                  <w:tcBorders>
                    <w:tl2br w:val="nil"/>
                    <w:tr2bl w:val="nil"/>
                  </w:tcBorders>
                  <w:vAlign w:val="center"/>
                </w:tcPr>
                <w:p w14:paraId="1CED42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0.00012</w:t>
                  </w:r>
                </w:p>
              </w:tc>
              <w:tc>
                <w:tcPr>
                  <w:tcW w:w="403" w:type="pct"/>
                  <w:tcBorders>
                    <w:tl2br w:val="nil"/>
                    <w:tr2bl w:val="nil"/>
                  </w:tcBorders>
                  <w:vAlign w:val="center"/>
                </w:tcPr>
                <w:p w14:paraId="550CCC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356" w:type="pct"/>
                  <w:tcBorders>
                    <w:tl2br w:val="nil"/>
                    <w:tr2bl w:val="nil"/>
                  </w:tcBorders>
                  <w:vAlign w:val="center"/>
                </w:tcPr>
                <w:p w14:paraId="6708D0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0.0067</w:t>
                  </w:r>
                </w:p>
              </w:tc>
              <w:tc>
                <w:tcPr>
                  <w:tcW w:w="399" w:type="pct"/>
                  <w:tcBorders>
                    <w:tl2br w:val="nil"/>
                    <w:tr2bl w:val="nil"/>
                  </w:tcBorders>
                  <w:vAlign w:val="center"/>
                </w:tcPr>
                <w:p w14:paraId="582501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w:t>
                  </w:r>
                </w:p>
              </w:tc>
            </w:tr>
            <w:tr w14:paraId="51B8D0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5D10CD88">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8A9B3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5月</w:t>
                  </w:r>
                </w:p>
              </w:tc>
              <w:tc>
                <w:tcPr>
                  <w:tcW w:w="278" w:type="pct"/>
                  <w:tcBorders>
                    <w:tl2br w:val="nil"/>
                    <w:tr2bl w:val="nil"/>
                  </w:tcBorders>
                  <w:vAlign w:val="center"/>
                </w:tcPr>
                <w:p w14:paraId="515507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0.0091</w:t>
                  </w:r>
                </w:p>
              </w:tc>
              <w:tc>
                <w:tcPr>
                  <w:tcW w:w="450" w:type="pct"/>
                  <w:tcBorders>
                    <w:tl2br w:val="nil"/>
                    <w:tr2bl w:val="nil"/>
                  </w:tcBorders>
                  <w:vAlign w:val="center"/>
                </w:tcPr>
                <w:p w14:paraId="462008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97" w:type="pct"/>
                  <w:tcBorders>
                    <w:tl2br w:val="nil"/>
                    <w:tr2bl w:val="nil"/>
                  </w:tcBorders>
                  <w:vAlign w:val="center"/>
                </w:tcPr>
                <w:p w14:paraId="55F486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0DC8E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0.0082</w:t>
                  </w:r>
                </w:p>
              </w:tc>
              <w:tc>
                <w:tcPr>
                  <w:tcW w:w="403" w:type="pct"/>
                  <w:tcBorders>
                    <w:tl2br w:val="nil"/>
                    <w:tr2bl w:val="nil"/>
                  </w:tcBorders>
                  <w:vAlign w:val="center"/>
                </w:tcPr>
                <w:p w14:paraId="484337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403" w:type="pct"/>
                  <w:tcBorders>
                    <w:tl2br w:val="nil"/>
                    <w:tr2bl w:val="nil"/>
                  </w:tcBorders>
                  <w:vAlign w:val="center"/>
                </w:tcPr>
                <w:p w14:paraId="55AF90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0.0026</w:t>
                  </w:r>
                </w:p>
              </w:tc>
              <w:tc>
                <w:tcPr>
                  <w:tcW w:w="403" w:type="pct"/>
                  <w:tcBorders>
                    <w:tl2br w:val="nil"/>
                    <w:tr2bl w:val="nil"/>
                  </w:tcBorders>
                  <w:vAlign w:val="center"/>
                </w:tcPr>
                <w:p w14:paraId="4B4EF9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w:t>
                  </w:r>
                </w:p>
              </w:tc>
              <w:tc>
                <w:tcPr>
                  <w:tcW w:w="450" w:type="pct"/>
                  <w:tcBorders>
                    <w:tl2br w:val="nil"/>
                    <w:tr2bl w:val="nil"/>
                  </w:tcBorders>
                  <w:vAlign w:val="center"/>
                </w:tcPr>
                <w:p w14:paraId="2FC368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0.00016</w:t>
                  </w:r>
                </w:p>
              </w:tc>
              <w:tc>
                <w:tcPr>
                  <w:tcW w:w="403" w:type="pct"/>
                  <w:tcBorders>
                    <w:tl2br w:val="nil"/>
                    <w:tr2bl w:val="nil"/>
                  </w:tcBorders>
                  <w:vAlign w:val="center"/>
                </w:tcPr>
                <w:p w14:paraId="7683F6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c>
                <w:tcPr>
                  <w:tcW w:w="356" w:type="pct"/>
                  <w:tcBorders>
                    <w:tl2br w:val="nil"/>
                    <w:tr2bl w:val="nil"/>
                  </w:tcBorders>
                  <w:vAlign w:val="center"/>
                </w:tcPr>
                <w:p w14:paraId="3F8932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0.0088</w:t>
                  </w:r>
                </w:p>
              </w:tc>
              <w:tc>
                <w:tcPr>
                  <w:tcW w:w="399" w:type="pct"/>
                  <w:tcBorders>
                    <w:tl2br w:val="nil"/>
                    <w:tr2bl w:val="nil"/>
                  </w:tcBorders>
                  <w:vAlign w:val="center"/>
                </w:tcPr>
                <w:p w14:paraId="0D675F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r>
            <w:tr w14:paraId="27E891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3A26669A">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E3AFB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6月</w:t>
                  </w:r>
                </w:p>
              </w:tc>
              <w:tc>
                <w:tcPr>
                  <w:tcW w:w="278" w:type="pct"/>
                  <w:tcBorders>
                    <w:tl2br w:val="nil"/>
                    <w:tr2bl w:val="nil"/>
                  </w:tcBorders>
                  <w:vAlign w:val="center"/>
                </w:tcPr>
                <w:p w14:paraId="67D180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0.0086</w:t>
                  </w:r>
                </w:p>
              </w:tc>
              <w:tc>
                <w:tcPr>
                  <w:tcW w:w="450" w:type="pct"/>
                  <w:tcBorders>
                    <w:tl2br w:val="nil"/>
                    <w:tr2bl w:val="nil"/>
                  </w:tcBorders>
                  <w:vAlign w:val="center"/>
                </w:tcPr>
                <w:p w14:paraId="6B2B65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0.00053</w:t>
                  </w:r>
                </w:p>
              </w:tc>
              <w:tc>
                <w:tcPr>
                  <w:tcW w:w="497" w:type="pct"/>
                  <w:tcBorders>
                    <w:tl2br w:val="nil"/>
                    <w:tr2bl w:val="nil"/>
                  </w:tcBorders>
                  <w:vAlign w:val="center"/>
                </w:tcPr>
                <w:p w14:paraId="7AD21D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69CDA0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c>
                <w:tcPr>
                  <w:tcW w:w="403" w:type="pct"/>
                  <w:tcBorders>
                    <w:tl2br w:val="nil"/>
                    <w:tr2bl w:val="nil"/>
                  </w:tcBorders>
                  <w:vAlign w:val="center"/>
                </w:tcPr>
                <w:p w14:paraId="109BF1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403" w:type="pct"/>
                  <w:tcBorders>
                    <w:tl2br w:val="nil"/>
                    <w:tr2bl w:val="nil"/>
                  </w:tcBorders>
                  <w:vAlign w:val="center"/>
                </w:tcPr>
                <w:p w14:paraId="498839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0A1022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0.0033</w:t>
                  </w:r>
                </w:p>
              </w:tc>
              <w:tc>
                <w:tcPr>
                  <w:tcW w:w="450" w:type="pct"/>
                  <w:tcBorders>
                    <w:tl2br w:val="nil"/>
                    <w:tr2bl w:val="nil"/>
                  </w:tcBorders>
                  <w:vAlign w:val="center"/>
                </w:tcPr>
                <w:p w14:paraId="2801C3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66B742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0.0018</w:t>
                  </w:r>
                </w:p>
              </w:tc>
              <w:tc>
                <w:tcPr>
                  <w:tcW w:w="356" w:type="pct"/>
                  <w:tcBorders>
                    <w:tl2br w:val="nil"/>
                    <w:tr2bl w:val="nil"/>
                  </w:tcBorders>
                  <w:vAlign w:val="center"/>
                </w:tcPr>
                <w:p w14:paraId="1F7EF9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0.0062</w:t>
                  </w:r>
                </w:p>
              </w:tc>
              <w:tc>
                <w:tcPr>
                  <w:tcW w:w="399" w:type="pct"/>
                  <w:tcBorders>
                    <w:tl2br w:val="nil"/>
                    <w:tr2bl w:val="nil"/>
                  </w:tcBorders>
                  <w:vAlign w:val="center"/>
                </w:tcPr>
                <w:p w14:paraId="652DC4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0.0022</w:t>
                  </w:r>
                </w:p>
              </w:tc>
            </w:tr>
            <w:tr w14:paraId="295220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201F56C4">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D506D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7月</w:t>
                  </w:r>
                </w:p>
              </w:tc>
              <w:tc>
                <w:tcPr>
                  <w:tcW w:w="278" w:type="pct"/>
                  <w:tcBorders>
                    <w:tl2br w:val="nil"/>
                    <w:tr2bl w:val="nil"/>
                  </w:tcBorders>
                  <w:vAlign w:val="center"/>
                </w:tcPr>
                <w:p w14:paraId="417563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F8520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w:t>
                  </w:r>
                </w:p>
              </w:tc>
              <w:tc>
                <w:tcPr>
                  <w:tcW w:w="497" w:type="pct"/>
                  <w:tcBorders>
                    <w:tl2br w:val="nil"/>
                    <w:tr2bl w:val="nil"/>
                  </w:tcBorders>
                  <w:vAlign w:val="center"/>
                </w:tcPr>
                <w:p w14:paraId="412E5B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A8171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403" w:type="pct"/>
                  <w:tcBorders>
                    <w:tl2br w:val="nil"/>
                    <w:tr2bl w:val="nil"/>
                  </w:tcBorders>
                  <w:vAlign w:val="center"/>
                </w:tcPr>
                <w:p w14:paraId="42EBCB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0.0091</w:t>
                  </w:r>
                </w:p>
              </w:tc>
              <w:tc>
                <w:tcPr>
                  <w:tcW w:w="403" w:type="pct"/>
                  <w:tcBorders>
                    <w:tl2br w:val="nil"/>
                    <w:tr2bl w:val="nil"/>
                  </w:tcBorders>
                  <w:vAlign w:val="center"/>
                </w:tcPr>
                <w:p w14:paraId="6AF79B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03" w:type="pct"/>
                  <w:tcBorders>
                    <w:tl2br w:val="nil"/>
                    <w:tr2bl w:val="nil"/>
                  </w:tcBorders>
                  <w:vAlign w:val="center"/>
                </w:tcPr>
                <w:p w14:paraId="3807C2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0.0023</w:t>
                  </w:r>
                </w:p>
              </w:tc>
              <w:tc>
                <w:tcPr>
                  <w:tcW w:w="450" w:type="pct"/>
                  <w:tcBorders>
                    <w:tl2br w:val="nil"/>
                    <w:tr2bl w:val="nil"/>
                  </w:tcBorders>
                  <w:vAlign w:val="center"/>
                </w:tcPr>
                <w:p w14:paraId="1CBB47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0.000093</w:t>
                  </w:r>
                </w:p>
              </w:tc>
              <w:tc>
                <w:tcPr>
                  <w:tcW w:w="403" w:type="pct"/>
                  <w:tcBorders>
                    <w:tl2br w:val="nil"/>
                    <w:tr2bl w:val="nil"/>
                  </w:tcBorders>
                  <w:vAlign w:val="center"/>
                </w:tcPr>
                <w:p w14:paraId="57AE6E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c>
                <w:tcPr>
                  <w:tcW w:w="356" w:type="pct"/>
                  <w:tcBorders>
                    <w:tl2br w:val="nil"/>
                    <w:tr2bl w:val="nil"/>
                  </w:tcBorders>
                  <w:vAlign w:val="center"/>
                </w:tcPr>
                <w:p w14:paraId="59DB37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0.0033</w:t>
                  </w:r>
                </w:p>
              </w:tc>
              <w:tc>
                <w:tcPr>
                  <w:tcW w:w="399" w:type="pct"/>
                  <w:tcBorders>
                    <w:tl2br w:val="nil"/>
                    <w:tr2bl w:val="nil"/>
                  </w:tcBorders>
                  <w:vAlign w:val="center"/>
                </w:tcPr>
                <w:p w14:paraId="49E676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0.0027</w:t>
                  </w:r>
                </w:p>
              </w:tc>
            </w:tr>
            <w:tr w14:paraId="239ACF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4EC80078">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69C6D9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8月</w:t>
                  </w:r>
                </w:p>
              </w:tc>
              <w:tc>
                <w:tcPr>
                  <w:tcW w:w="278" w:type="pct"/>
                  <w:tcBorders>
                    <w:tl2br w:val="nil"/>
                    <w:tr2bl w:val="nil"/>
                  </w:tcBorders>
                  <w:vAlign w:val="center"/>
                </w:tcPr>
                <w:p w14:paraId="0C9D8D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134A11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0.00033</w:t>
                  </w:r>
                </w:p>
              </w:tc>
              <w:tc>
                <w:tcPr>
                  <w:tcW w:w="497" w:type="pct"/>
                  <w:tcBorders>
                    <w:tl2br w:val="nil"/>
                    <w:tr2bl w:val="nil"/>
                  </w:tcBorders>
                  <w:vAlign w:val="center"/>
                </w:tcPr>
                <w:p w14:paraId="1B954A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95902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w:t>
                  </w:r>
                </w:p>
              </w:tc>
              <w:tc>
                <w:tcPr>
                  <w:tcW w:w="403" w:type="pct"/>
                  <w:tcBorders>
                    <w:tl2br w:val="nil"/>
                    <w:tr2bl w:val="nil"/>
                  </w:tcBorders>
                  <w:vAlign w:val="center"/>
                </w:tcPr>
                <w:p w14:paraId="76CA39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0.0082</w:t>
                  </w:r>
                </w:p>
              </w:tc>
              <w:tc>
                <w:tcPr>
                  <w:tcW w:w="403" w:type="pct"/>
                  <w:tcBorders>
                    <w:tl2br w:val="nil"/>
                    <w:tr2bl w:val="nil"/>
                  </w:tcBorders>
                  <w:vAlign w:val="center"/>
                </w:tcPr>
                <w:p w14:paraId="470699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403" w:type="pct"/>
                  <w:tcBorders>
                    <w:tl2br w:val="nil"/>
                    <w:tr2bl w:val="nil"/>
                  </w:tcBorders>
                  <w:vAlign w:val="center"/>
                </w:tcPr>
                <w:p w14:paraId="632A1E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0.00094</w:t>
                  </w:r>
                </w:p>
              </w:tc>
              <w:tc>
                <w:tcPr>
                  <w:tcW w:w="450" w:type="pct"/>
                  <w:tcBorders>
                    <w:tl2br w:val="nil"/>
                    <w:tr2bl w:val="nil"/>
                  </w:tcBorders>
                  <w:vAlign w:val="center"/>
                </w:tcPr>
                <w:p w14:paraId="61D297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0.000048</w:t>
                  </w:r>
                </w:p>
              </w:tc>
              <w:tc>
                <w:tcPr>
                  <w:tcW w:w="403" w:type="pct"/>
                  <w:tcBorders>
                    <w:tl2br w:val="nil"/>
                    <w:tr2bl w:val="nil"/>
                  </w:tcBorders>
                  <w:vAlign w:val="center"/>
                </w:tcPr>
                <w:p w14:paraId="670631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0.0011</w:t>
                  </w:r>
                </w:p>
              </w:tc>
              <w:tc>
                <w:tcPr>
                  <w:tcW w:w="356" w:type="pct"/>
                  <w:tcBorders>
                    <w:tl2br w:val="nil"/>
                    <w:tr2bl w:val="nil"/>
                  </w:tcBorders>
                  <w:vAlign w:val="center"/>
                </w:tcPr>
                <w:p w14:paraId="739FAC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399" w:type="pct"/>
                  <w:tcBorders>
                    <w:tl2br w:val="nil"/>
                    <w:tr2bl w:val="nil"/>
                  </w:tcBorders>
                  <w:vAlign w:val="center"/>
                </w:tcPr>
                <w:p w14:paraId="4FB9BD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0.0052</w:t>
                  </w:r>
                </w:p>
              </w:tc>
            </w:tr>
            <w:tr w14:paraId="0DB04D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051AE42C">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73B019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9月</w:t>
                  </w:r>
                </w:p>
              </w:tc>
              <w:tc>
                <w:tcPr>
                  <w:tcW w:w="278" w:type="pct"/>
                  <w:tcBorders>
                    <w:tl2br w:val="nil"/>
                    <w:tr2bl w:val="nil"/>
                  </w:tcBorders>
                  <w:vAlign w:val="center"/>
                </w:tcPr>
                <w:p w14:paraId="45C80E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26D373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0.00013</w:t>
                  </w:r>
                </w:p>
              </w:tc>
              <w:tc>
                <w:tcPr>
                  <w:tcW w:w="497" w:type="pct"/>
                  <w:tcBorders>
                    <w:tl2br w:val="nil"/>
                    <w:tr2bl w:val="nil"/>
                  </w:tcBorders>
                  <w:vAlign w:val="center"/>
                </w:tcPr>
                <w:p w14:paraId="190258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0A017B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0.000054</w:t>
                  </w:r>
                </w:p>
              </w:tc>
              <w:tc>
                <w:tcPr>
                  <w:tcW w:w="403" w:type="pct"/>
                  <w:tcBorders>
                    <w:tl2br w:val="nil"/>
                    <w:tr2bl w:val="nil"/>
                  </w:tcBorders>
                  <w:vAlign w:val="center"/>
                </w:tcPr>
                <w:p w14:paraId="75F64E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0.021</w:t>
                  </w:r>
                </w:p>
              </w:tc>
              <w:tc>
                <w:tcPr>
                  <w:tcW w:w="403" w:type="pct"/>
                  <w:tcBorders>
                    <w:tl2br w:val="nil"/>
                    <w:tr2bl w:val="nil"/>
                  </w:tcBorders>
                  <w:vAlign w:val="center"/>
                </w:tcPr>
                <w:p w14:paraId="053E6E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0.0021</w:t>
                  </w:r>
                </w:p>
              </w:tc>
              <w:tc>
                <w:tcPr>
                  <w:tcW w:w="403" w:type="pct"/>
                  <w:tcBorders>
                    <w:tl2br w:val="nil"/>
                    <w:tr2bl w:val="nil"/>
                  </w:tcBorders>
                  <w:vAlign w:val="center"/>
                </w:tcPr>
                <w:p w14:paraId="4712C8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0.0021</w:t>
                  </w:r>
                </w:p>
              </w:tc>
              <w:tc>
                <w:tcPr>
                  <w:tcW w:w="450" w:type="pct"/>
                  <w:tcBorders>
                    <w:tl2br w:val="nil"/>
                    <w:tr2bl w:val="nil"/>
                  </w:tcBorders>
                  <w:vAlign w:val="center"/>
                </w:tcPr>
                <w:p w14:paraId="36A162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0.000098</w:t>
                  </w:r>
                </w:p>
              </w:tc>
              <w:tc>
                <w:tcPr>
                  <w:tcW w:w="403" w:type="pct"/>
                  <w:tcBorders>
                    <w:tl2br w:val="nil"/>
                    <w:tr2bl w:val="nil"/>
                  </w:tcBorders>
                  <w:vAlign w:val="center"/>
                </w:tcPr>
                <w:p w14:paraId="683CAC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0.0012</w:t>
                  </w:r>
                </w:p>
              </w:tc>
              <w:tc>
                <w:tcPr>
                  <w:tcW w:w="356" w:type="pct"/>
                  <w:tcBorders>
                    <w:tl2br w:val="nil"/>
                    <w:tr2bl w:val="nil"/>
                  </w:tcBorders>
                  <w:vAlign w:val="center"/>
                </w:tcPr>
                <w:p w14:paraId="7AA70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0.0036</w:t>
                  </w:r>
                </w:p>
              </w:tc>
              <w:tc>
                <w:tcPr>
                  <w:tcW w:w="399" w:type="pct"/>
                  <w:tcBorders>
                    <w:tl2br w:val="nil"/>
                    <w:tr2bl w:val="nil"/>
                  </w:tcBorders>
                  <w:vAlign w:val="center"/>
                </w:tcPr>
                <w:p w14:paraId="74020C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0.00049</w:t>
                  </w:r>
                </w:p>
              </w:tc>
            </w:tr>
            <w:tr w14:paraId="7DDBD7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3FA213DD">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47E0C9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10月</w:t>
                  </w:r>
                </w:p>
              </w:tc>
              <w:tc>
                <w:tcPr>
                  <w:tcW w:w="278" w:type="pct"/>
                  <w:tcBorders>
                    <w:tl2br w:val="nil"/>
                    <w:tr2bl w:val="nil"/>
                  </w:tcBorders>
                  <w:vAlign w:val="center"/>
                </w:tcPr>
                <w:p w14:paraId="159DE5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6580D2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0.000064</w:t>
                  </w:r>
                </w:p>
              </w:tc>
              <w:tc>
                <w:tcPr>
                  <w:tcW w:w="497" w:type="pct"/>
                  <w:tcBorders>
                    <w:tl2br w:val="nil"/>
                    <w:tr2bl w:val="nil"/>
                  </w:tcBorders>
                  <w:vAlign w:val="center"/>
                </w:tcPr>
                <w:p w14:paraId="1A1C0C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11D36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0.000058</w:t>
                  </w:r>
                </w:p>
              </w:tc>
              <w:tc>
                <w:tcPr>
                  <w:tcW w:w="403" w:type="pct"/>
                  <w:tcBorders>
                    <w:tl2br w:val="nil"/>
                    <w:tr2bl w:val="nil"/>
                  </w:tcBorders>
                  <w:vAlign w:val="center"/>
                </w:tcPr>
                <w:p w14:paraId="18B47D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0.053</w:t>
                  </w:r>
                </w:p>
              </w:tc>
              <w:tc>
                <w:tcPr>
                  <w:tcW w:w="403" w:type="pct"/>
                  <w:tcBorders>
                    <w:tl2br w:val="nil"/>
                    <w:tr2bl w:val="nil"/>
                  </w:tcBorders>
                  <w:vAlign w:val="center"/>
                </w:tcPr>
                <w:p w14:paraId="5F45E5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0.0027</w:t>
                  </w:r>
                </w:p>
              </w:tc>
              <w:tc>
                <w:tcPr>
                  <w:tcW w:w="403" w:type="pct"/>
                  <w:tcBorders>
                    <w:tl2br w:val="nil"/>
                    <w:tr2bl w:val="nil"/>
                  </w:tcBorders>
                  <w:vAlign w:val="center"/>
                </w:tcPr>
                <w:p w14:paraId="178B24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450" w:type="pct"/>
                  <w:tcBorders>
                    <w:tl2br w:val="nil"/>
                    <w:tr2bl w:val="nil"/>
                  </w:tcBorders>
                  <w:vAlign w:val="center"/>
                </w:tcPr>
                <w:p w14:paraId="4FFAAB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0.00025</w:t>
                  </w:r>
                </w:p>
              </w:tc>
              <w:tc>
                <w:tcPr>
                  <w:tcW w:w="403" w:type="pct"/>
                  <w:tcBorders>
                    <w:tl2br w:val="nil"/>
                    <w:tr2bl w:val="nil"/>
                  </w:tcBorders>
                  <w:vAlign w:val="center"/>
                </w:tcPr>
                <w:p w14:paraId="5EA471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356" w:type="pct"/>
                  <w:tcBorders>
                    <w:tl2br w:val="nil"/>
                    <w:tr2bl w:val="nil"/>
                  </w:tcBorders>
                  <w:vAlign w:val="center"/>
                </w:tcPr>
                <w:p w14:paraId="65B2B4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0.0099</w:t>
                  </w:r>
                </w:p>
              </w:tc>
              <w:tc>
                <w:tcPr>
                  <w:tcW w:w="399" w:type="pct"/>
                  <w:tcBorders>
                    <w:tl2br w:val="nil"/>
                    <w:tr2bl w:val="nil"/>
                  </w:tcBorders>
                  <w:vAlign w:val="center"/>
                </w:tcPr>
                <w:p w14:paraId="13B766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w:t>
                  </w:r>
                </w:p>
              </w:tc>
            </w:tr>
            <w:tr w14:paraId="24B468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75F9B3BD">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077147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11月</w:t>
                  </w:r>
                </w:p>
              </w:tc>
              <w:tc>
                <w:tcPr>
                  <w:tcW w:w="278" w:type="pct"/>
                  <w:tcBorders>
                    <w:tl2br w:val="nil"/>
                    <w:tr2bl w:val="nil"/>
                  </w:tcBorders>
                  <w:vAlign w:val="center"/>
                </w:tcPr>
                <w:p w14:paraId="1FD9A4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0.00061</w:t>
                  </w:r>
                </w:p>
              </w:tc>
              <w:tc>
                <w:tcPr>
                  <w:tcW w:w="450" w:type="pct"/>
                  <w:tcBorders>
                    <w:tl2br w:val="nil"/>
                    <w:tr2bl w:val="nil"/>
                  </w:tcBorders>
                  <w:vAlign w:val="center"/>
                </w:tcPr>
                <w:p w14:paraId="7B820A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0.000043</w:t>
                  </w:r>
                </w:p>
              </w:tc>
              <w:tc>
                <w:tcPr>
                  <w:tcW w:w="497" w:type="pct"/>
                  <w:tcBorders>
                    <w:tl2br w:val="nil"/>
                    <w:tr2bl w:val="nil"/>
                  </w:tcBorders>
                  <w:vAlign w:val="center"/>
                </w:tcPr>
                <w:p w14:paraId="46E23D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706750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0.000071</w:t>
                  </w:r>
                </w:p>
              </w:tc>
              <w:tc>
                <w:tcPr>
                  <w:tcW w:w="403" w:type="pct"/>
                  <w:tcBorders>
                    <w:tl2br w:val="nil"/>
                    <w:tr2bl w:val="nil"/>
                  </w:tcBorders>
                  <w:vAlign w:val="center"/>
                </w:tcPr>
                <w:p w14:paraId="4678EA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0.051</w:t>
                  </w:r>
                </w:p>
              </w:tc>
              <w:tc>
                <w:tcPr>
                  <w:tcW w:w="403" w:type="pct"/>
                  <w:tcBorders>
                    <w:tl2br w:val="nil"/>
                    <w:tr2bl w:val="nil"/>
                  </w:tcBorders>
                  <w:vAlign w:val="center"/>
                </w:tcPr>
                <w:p w14:paraId="27C866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0.0033</w:t>
                  </w:r>
                </w:p>
              </w:tc>
              <w:tc>
                <w:tcPr>
                  <w:tcW w:w="403" w:type="pct"/>
                  <w:tcBorders>
                    <w:tl2br w:val="nil"/>
                    <w:tr2bl w:val="nil"/>
                  </w:tcBorders>
                  <w:vAlign w:val="center"/>
                </w:tcPr>
                <w:p w14:paraId="4E0D18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0.0052</w:t>
                  </w:r>
                </w:p>
              </w:tc>
              <w:tc>
                <w:tcPr>
                  <w:tcW w:w="450" w:type="pct"/>
                  <w:tcBorders>
                    <w:tl2br w:val="nil"/>
                    <w:tr2bl w:val="nil"/>
                  </w:tcBorders>
                  <w:vAlign w:val="center"/>
                </w:tcPr>
                <w:p w14:paraId="6767DD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0.00026</w:t>
                  </w:r>
                </w:p>
              </w:tc>
              <w:tc>
                <w:tcPr>
                  <w:tcW w:w="403" w:type="pct"/>
                  <w:tcBorders>
                    <w:tl2br w:val="nil"/>
                    <w:tr2bl w:val="nil"/>
                  </w:tcBorders>
                  <w:vAlign w:val="center"/>
                </w:tcPr>
                <w:p w14:paraId="16A5EB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356" w:type="pct"/>
                  <w:tcBorders>
                    <w:tl2br w:val="nil"/>
                    <w:tr2bl w:val="nil"/>
                  </w:tcBorders>
                  <w:vAlign w:val="center"/>
                </w:tcPr>
                <w:p w14:paraId="764E05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0.0077</w:t>
                  </w:r>
                </w:p>
              </w:tc>
              <w:tc>
                <w:tcPr>
                  <w:tcW w:w="399" w:type="pct"/>
                  <w:tcBorders>
                    <w:tl2br w:val="nil"/>
                    <w:tr2bl w:val="nil"/>
                  </w:tcBorders>
                  <w:vAlign w:val="center"/>
                </w:tcPr>
                <w:p w14:paraId="2A3094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w:t>
                  </w:r>
                </w:p>
              </w:tc>
            </w:tr>
            <w:tr w14:paraId="74ACA2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254" w:type="pct"/>
                  <w:vMerge w:val="continue"/>
                  <w:tcBorders>
                    <w:tl2br w:val="nil"/>
                    <w:tr2bl w:val="nil"/>
                  </w:tcBorders>
                  <w:vAlign w:val="center"/>
                </w:tcPr>
                <w:p w14:paraId="382AAB89">
                  <w:pPr>
                    <w:jc w:val="center"/>
                    <w:rPr>
                      <w:rFonts w:hint="default" w:ascii="Times New Roman" w:hAnsi="Times New Roman" w:eastAsia="宋体" w:cs="Times New Roman"/>
                      <w:color w:val="auto"/>
                      <w:sz w:val="21"/>
                      <w:szCs w:val="21"/>
                      <w:highlight w:val="none"/>
                    </w:rPr>
                  </w:pPr>
                </w:p>
              </w:tc>
              <w:tc>
                <w:tcPr>
                  <w:tcW w:w="254" w:type="pct"/>
                  <w:tcBorders>
                    <w:tl2br w:val="nil"/>
                    <w:tr2bl w:val="nil"/>
                  </w:tcBorders>
                  <w:vAlign w:val="center"/>
                </w:tcPr>
                <w:p w14:paraId="580373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12月</w:t>
                  </w:r>
                </w:p>
              </w:tc>
              <w:tc>
                <w:tcPr>
                  <w:tcW w:w="278" w:type="pct"/>
                  <w:tcBorders>
                    <w:tl2br w:val="nil"/>
                    <w:tr2bl w:val="nil"/>
                  </w:tcBorders>
                  <w:vAlign w:val="center"/>
                </w:tcPr>
                <w:p w14:paraId="176A09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0.0028</w:t>
                  </w:r>
                </w:p>
              </w:tc>
              <w:tc>
                <w:tcPr>
                  <w:tcW w:w="450" w:type="pct"/>
                  <w:tcBorders>
                    <w:tl2br w:val="nil"/>
                    <w:tr2bl w:val="nil"/>
                  </w:tcBorders>
                  <w:vAlign w:val="center"/>
                </w:tcPr>
                <w:p w14:paraId="59F612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0.000036</w:t>
                  </w:r>
                </w:p>
              </w:tc>
              <w:tc>
                <w:tcPr>
                  <w:tcW w:w="497" w:type="pct"/>
                  <w:tcBorders>
                    <w:tl2br w:val="nil"/>
                    <w:tr2bl w:val="nil"/>
                  </w:tcBorders>
                  <w:vAlign w:val="center"/>
                </w:tcPr>
                <w:p w14:paraId="503CDA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450" w:type="pct"/>
                  <w:tcBorders>
                    <w:tl2br w:val="nil"/>
                    <w:tr2bl w:val="nil"/>
                  </w:tcBorders>
                  <w:vAlign w:val="center"/>
                </w:tcPr>
                <w:p w14:paraId="499952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0.00024</w:t>
                  </w:r>
                </w:p>
              </w:tc>
              <w:tc>
                <w:tcPr>
                  <w:tcW w:w="403" w:type="pct"/>
                  <w:tcBorders>
                    <w:tl2br w:val="nil"/>
                    <w:tr2bl w:val="nil"/>
                  </w:tcBorders>
                  <w:vAlign w:val="center"/>
                </w:tcPr>
                <w:p w14:paraId="19FA10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0.0052</w:t>
                  </w:r>
                </w:p>
              </w:tc>
              <w:tc>
                <w:tcPr>
                  <w:tcW w:w="403" w:type="pct"/>
                  <w:tcBorders>
                    <w:tl2br w:val="nil"/>
                    <w:tr2bl w:val="nil"/>
                  </w:tcBorders>
                  <w:vAlign w:val="center"/>
                </w:tcPr>
                <w:p w14:paraId="2947BB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0.0032</w:t>
                  </w:r>
                </w:p>
              </w:tc>
              <w:tc>
                <w:tcPr>
                  <w:tcW w:w="403" w:type="pct"/>
                  <w:tcBorders>
                    <w:tl2br w:val="nil"/>
                    <w:tr2bl w:val="nil"/>
                  </w:tcBorders>
                  <w:vAlign w:val="center"/>
                </w:tcPr>
                <w:p w14:paraId="4003A1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0.0077</w:t>
                  </w:r>
                </w:p>
              </w:tc>
              <w:tc>
                <w:tcPr>
                  <w:tcW w:w="450" w:type="pct"/>
                  <w:tcBorders>
                    <w:tl2br w:val="nil"/>
                    <w:tr2bl w:val="nil"/>
                  </w:tcBorders>
                  <w:vAlign w:val="center"/>
                </w:tcPr>
                <w:p w14:paraId="66667E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0.00025</w:t>
                  </w:r>
                </w:p>
              </w:tc>
              <w:tc>
                <w:tcPr>
                  <w:tcW w:w="403" w:type="pct"/>
                  <w:tcBorders>
                    <w:tl2br w:val="nil"/>
                    <w:tr2bl w:val="nil"/>
                  </w:tcBorders>
                  <w:vAlign w:val="center"/>
                </w:tcPr>
                <w:p w14:paraId="051094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356" w:type="pct"/>
                  <w:tcBorders>
                    <w:tl2br w:val="nil"/>
                    <w:tr2bl w:val="nil"/>
                  </w:tcBorders>
                  <w:vAlign w:val="center"/>
                </w:tcPr>
                <w:p w14:paraId="68133B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0.0088</w:t>
                  </w:r>
                </w:p>
              </w:tc>
              <w:tc>
                <w:tcPr>
                  <w:tcW w:w="399" w:type="pct"/>
                  <w:tcBorders>
                    <w:tl2br w:val="nil"/>
                    <w:tr2bl w:val="nil"/>
                  </w:tcBorders>
                  <w:vAlign w:val="center"/>
                </w:tcPr>
                <w:p w14:paraId="44E733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0.0029</w:t>
                  </w:r>
                </w:p>
              </w:tc>
            </w:tr>
            <w:tr w14:paraId="0EB2A1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508" w:type="pct"/>
                  <w:gridSpan w:val="2"/>
                  <w:tcBorders>
                    <w:tl2br w:val="nil"/>
                    <w:tr2bl w:val="nil"/>
                  </w:tcBorders>
                  <w:vAlign w:val="center"/>
                </w:tcPr>
                <w:p w14:paraId="1DEE9A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w:t>
                  </w:r>
                </w:p>
              </w:tc>
              <w:tc>
                <w:tcPr>
                  <w:tcW w:w="278" w:type="pct"/>
                  <w:tcBorders>
                    <w:tl2br w:val="nil"/>
                    <w:tr2bl w:val="nil"/>
                  </w:tcBorders>
                  <w:vAlign w:val="center"/>
                </w:tcPr>
                <w:p w14:paraId="65A01B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947" w:type="pct"/>
                  <w:gridSpan w:val="2"/>
                  <w:tcBorders>
                    <w:tl2br w:val="nil"/>
                    <w:tr2bl w:val="nil"/>
                  </w:tcBorders>
                  <w:vAlign w:val="center"/>
                </w:tcPr>
                <w:p w14:paraId="4A4A36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3267" w:type="pct"/>
                  <w:gridSpan w:val="8"/>
                  <w:tcBorders>
                    <w:tl2br w:val="nil"/>
                    <w:tr2bl w:val="nil"/>
                  </w:tcBorders>
                  <w:vAlign w:val="center"/>
                </w:tcPr>
                <w:p w14:paraId="1C1FE5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262A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508" w:type="pct"/>
                  <w:gridSpan w:val="2"/>
                  <w:tcBorders>
                    <w:tl2br w:val="nil"/>
                    <w:tr2bl w:val="nil"/>
                  </w:tcBorders>
                  <w:vAlign w:val="center"/>
                </w:tcPr>
                <w:p w14:paraId="75DF30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278" w:type="pct"/>
                  <w:tcBorders>
                    <w:tl2br w:val="nil"/>
                    <w:tr2bl w:val="nil"/>
                  </w:tcBorders>
                  <w:vAlign w:val="center"/>
                </w:tcPr>
                <w:p w14:paraId="0E5CBA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47" w:type="pct"/>
                  <w:gridSpan w:val="2"/>
                  <w:tcBorders>
                    <w:tl2br w:val="nil"/>
                    <w:tr2bl w:val="nil"/>
                  </w:tcBorders>
                  <w:vAlign w:val="center"/>
                </w:tcPr>
                <w:p w14:paraId="1674D1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3267" w:type="pct"/>
                  <w:gridSpan w:val="8"/>
                  <w:tcBorders>
                    <w:tl2br w:val="nil"/>
                    <w:tr2bl w:val="nil"/>
                  </w:tcBorders>
                  <w:vAlign w:val="center"/>
                </w:tcPr>
                <w:p w14:paraId="1AA864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584A68D1">
            <w:pPr>
              <w:jc w:val="both"/>
              <w:rPr>
                <w:rFonts w:hint="default" w:ascii="Times New Roman" w:hAnsi="Times New Roman" w:eastAsia="宋体" w:cs="Times New Roman"/>
                <w:color w:val="auto"/>
                <w:sz w:val="21"/>
                <w:szCs w:val="18"/>
                <w:highlight w:val="none"/>
                <w:shd w:val="clear" w:color="auto" w:fill="FFFFFF" w:themeFill="background1"/>
              </w:rPr>
            </w:pPr>
            <w:r>
              <w:rPr>
                <w:rFonts w:hint="default" w:ascii="Times New Roman" w:hAnsi="Times New Roman" w:eastAsia="宋体" w:cs="Times New Roman"/>
                <w:color w:val="auto"/>
                <w:sz w:val="21"/>
                <w:szCs w:val="18"/>
                <w:highlight w:val="none"/>
                <w:shd w:val="clear" w:color="auto" w:fill="FFFFFF" w:themeFill="background1"/>
              </w:rPr>
              <w:t>注：ND表示未检出，检出限为：汞0.0025mg/m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，镉0.000008mg/m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，铅0.0002mg/m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，锑0.00002mg/m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，铊0.000008mg/m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，钴0.000008mg/m</w:t>
            </w:r>
            <w:r>
              <w:rPr>
                <w:rFonts w:hint="default" w:ascii="Times New Roman" w:hAnsi="Times New Roman" w:eastAsia="宋体" w:cs="Times New Roman"/>
                <w:color w:val="auto"/>
                <w:sz w:val="21"/>
                <w:szCs w:val="18"/>
                <w:highlight w:val="none"/>
                <w:shd w:val="clear" w:color="auto" w:fill="FFFFFF" w:themeFill="background1"/>
                <w:vertAlign w:val="superscript"/>
              </w:rPr>
              <w:t>3</w:t>
            </w:r>
            <w:r>
              <w:rPr>
                <w:rFonts w:hint="default" w:ascii="Times New Roman" w:hAnsi="Times New Roman" w:eastAsia="宋体" w:cs="Times New Roman"/>
                <w:color w:val="auto"/>
                <w:sz w:val="21"/>
                <w:szCs w:val="18"/>
                <w:highlight w:val="none"/>
                <w:shd w:val="clear" w:color="auto" w:fill="FFFFFF" w:themeFill="background1"/>
              </w:rPr>
              <w:t>。</w:t>
            </w:r>
          </w:p>
          <w:p w14:paraId="6632452D">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根据江苏全威检测有限公司出具的监测报告，2024年第四季度焚烧炉烟气二噁英例行监测数据统计见下表。监测结果表明，2台焚烧炉烟气中的二噁英排放浓度符合《生活垃圾焚烧污染控制标准》（GB18485-2014）。</w:t>
            </w:r>
          </w:p>
          <w:p w14:paraId="3194CAE8">
            <w:pPr>
              <w:pStyle w:val="156"/>
              <w:spacing w:line="50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ascii="Times New Roman" w:eastAsia="宋体" w:cs="Times New Roman"/>
                <w:color w:val="auto"/>
                <w:sz w:val="24"/>
                <w:highlight w:val="none"/>
                <w:lang w:val="en-US" w:eastAsia="zh-CN"/>
              </w:rPr>
              <w:t>2-19</w:t>
            </w:r>
            <w:r>
              <w:rPr>
                <w:rFonts w:hint="default" w:ascii="Times New Roman" w:hAnsi="Times New Roman" w:eastAsia="宋体" w:cs="Times New Roman"/>
                <w:color w:val="auto"/>
                <w:sz w:val="24"/>
                <w:highlight w:val="none"/>
              </w:rPr>
              <w:t xml:space="preserve">  现有项目烟气二噁英排放监测结果（ngTEQ/m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3"/>
              <w:gridCol w:w="3702"/>
            </w:tblGrid>
            <w:tr w14:paraId="70F70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blHeader/>
                <w:jc w:val="center"/>
              </w:trPr>
              <w:tc>
                <w:tcPr>
                  <w:tcW w:w="2854" w:type="pct"/>
                  <w:vMerge w:val="restart"/>
                  <w:tcBorders>
                    <w:top w:val="single" w:color="auto" w:sz="12" w:space="0"/>
                    <w:left w:val="nil"/>
                    <w:bottom w:val="single" w:color="auto" w:sz="4" w:space="0"/>
                    <w:right w:val="single" w:color="auto" w:sz="4" w:space="0"/>
                  </w:tcBorders>
                  <w:vAlign w:val="center"/>
                </w:tcPr>
                <w:p w14:paraId="3438EDE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w:t>
                  </w:r>
                  <w:r>
                    <w:rPr>
                      <w:rFonts w:hint="default" w:ascii="Times New Roman" w:hAnsi="Times New Roman" w:eastAsia="宋体" w:cs="Times New Roman"/>
                      <w:b/>
                      <w:bCs/>
                      <w:color w:val="auto"/>
                      <w:sz w:val="21"/>
                      <w:szCs w:val="21"/>
                      <w:highlight w:val="none"/>
                    </w:rPr>
                    <w:t>源</w:t>
                  </w:r>
                </w:p>
              </w:tc>
              <w:tc>
                <w:tcPr>
                  <w:tcW w:w="2146" w:type="pct"/>
                  <w:tcBorders>
                    <w:top w:val="single" w:color="auto" w:sz="12" w:space="0"/>
                    <w:left w:val="single" w:color="auto" w:sz="4" w:space="0"/>
                    <w:bottom w:val="single" w:color="auto" w:sz="4" w:space="0"/>
                    <w:right w:val="nil"/>
                  </w:tcBorders>
                  <w:vAlign w:val="center"/>
                </w:tcPr>
                <w:p w14:paraId="070BF65D">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二噁英</w:t>
                  </w:r>
                </w:p>
              </w:tc>
            </w:tr>
            <w:tr w14:paraId="4D3B3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jc w:val="center"/>
              </w:trPr>
              <w:tc>
                <w:tcPr>
                  <w:tcW w:w="2854" w:type="pct"/>
                  <w:vMerge w:val="continue"/>
                  <w:tcBorders>
                    <w:top w:val="single" w:color="auto" w:sz="12" w:space="0"/>
                    <w:left w:val="nil"/>
                    <w:bottom w:val="single" w:color="auto" w:sz="4" w:space="0"/>
                    <w:right w:val="single" w:color="auto" w:sz="4" w:space="0"/>
                  </w:tcBorders>
                  <w:vAlign w:val="center"/>
                </w:tcPr>
                <w:p w14:paraId="4F7F52EF">
                  <w:pPr>
                    <w:rPr>
                      <w:rFonts w:hint="default" w:ascii="Times New Roman" w:hAnsi="Times New Roman" w:eastAsia="宋体" w:cs="Times New Roman"/>
                      <w:b/>
                      <w:color w:val="auto"/>
                      <w:sz w:val="21"/>
                      <w:szCs w:val="21"/>
                      <w:highlight w:val="none"/>
                    </w:rPr>
                  </w:pPr>
                </w:p>
              </w:tc>
              <w:tc>
                <w:tcPr>
                  <w:tcW w:w="2146" w:type="pct"/>
                  <w:tcBorders>
                    <w:top w:val="single" w:color="auto" w:sz="4" w:space="0"/>
                    <w:left w:val="single" w:color="auto" w:sz="4" w:space="0"/>
                    <w:bottom w:val="single" w:color="auto" w:sz="4" w:space="0"/>
                    <w:right w:val="nil"/>
                  </w:tcBorders>
                  <w:vAlign w:val="center"/>
                </w:tcPr>
                <w:p w14:paraId="629D726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2024年12月</w:t>
                  </w:r>
                </w:p>
              </w:tc>
            </w:tr>
            <w:tr w14:paraId="1037B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4" w:type="pct"/>
                  <w:tcBorders>
                    <w:top w:val="single" w:color="auto" w:sz="4" w:space="0"/>
                    <w:left w:val="nil"/>
                    <w:bottom w:val="single" w:color="auto" w:sz="4" w:space="0"/>
                    <w:right w:val="single" w:color="auto" w:sz="4" w:space="0"/>
                  </w:tcBorders>
                  <w:vAlign w:val="center"/>
                </w:tcPr>
                <w:p w14:paraId="732C3FA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1#炉</w:t>
                  </w:r>
                </w:p>
              </w:tc>
              <w:tc>
                <w:tcPr>
                  <w:tcW w:w="2146" w:type="pct"/>
                  <w:tcBorders>
                    <w:top w:val="single" w:color="auto" w:sz="4" w:space="0"/>
                    <w:left w:val="single" w:color="auto" w:sz="4" w:space="0"/>
                    <w:bottom w:val="single" w:color="auto" w:sz="4" w:space="0"/>
                    <w:right w:val="nil"/>
                  </w:tcBorders>
                  <w:vAlign w:val="center"/>
                </w:tcPr>
                <w:p w14:paraId="0391ECD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0.0021</w:t>
                  </w:r>
                </w:p>
              </w:tc>
            </w:tr>
            <w:tr w14:paraId="519D9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4" w:type="pct"/>
                  <w:tcBorders>
                    <w:top w:val="single" w:color="auto" w:sz="4" w:space="0"/>
                    <w:left w:val="nil"/>
                    <w:bottom w:val="single" w:color="auto" w:sz="4" w:space="0"/>
                    <w:right w:val="single" w:color="auto" w:sz="4" w:space="0"/>
                  </w:tcBorders>
                  <w:vAlign w:val="center"/>
                </w:tcPr>
                <w:p w14:paraId="4463B6F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2#炉</w:t>
                  </w:r>
                </w:p>
              </w:tc>
              <w:tc>
                <w:tcPr>
                  <w:tcW w:w="2146" w:type="pct"/>
                  <w:tcBorders>
                    <w:top w:val="single" w:color="auto" w:sz="4" w:space="0"/>
                    <w:left w:val="single" w:color="auto" w:sz="4" w:space="0"/>
                    <w:bottom w:val="single" w:color="auto" w:sz="4" w:space="0"/>
                    <w:right w:val="nil"/>
                  </w:tcBorders>
                  <w:vAlign w:val="center"/>
                </w:tcPr>
                <w:p w14:paraId="406DDB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r>
            <w:tr w14:paraId="6E0A9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4" w:type="pct"/>
                  <w:tcBorders>
                    <w:top w:val="single" w:color="auto" w:sz="4" w:space="0"/>
                    <w:left w:val="nil"/>
                    <w:bottom w:val="single" w:color="auto" w:sz="4" w:space="0"/>
                    <w:right w:val="single" w:color="auto" w:sz="4" w:space="0"/>
                  </w:tcBorders>
                  <w:vAlign w:val="center"/>
                </w:tcPr>
                <w:p w14:paraId="24F9542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排放限值</w:t>
                  </w:r>
                </w:p>
              </w:tc>
              <w:tc>
                <w:tcPr>
                  <w:tcW w:w="2146" w:type="pct"/>
                  <w:tcBorders>
                    <w:top w:val="single" w:color="auto" w:sz="4" w:space="0"/>
                    <w:left w:val="single" w:color="auto" w:sz="4" w:space="0"/>
                    <w:bottom w:val="single" w:color="auto" w:sz="4" w:space="0"/>
                    <w:right w:val="nil"/>
                  </w:tcBorders>
                  <w:vAlign w:val="center"/>
                </w:tcPr>
                <w:p w14:paraId="0C1DCB3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r>
            <w:tr w14:paraId="38AA5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54" w:type="pct"/>
                  <w:tcBorders>
                    <w:top w:val="single" w:color="auto" w:sz="4" w:space="0"/>
                    <w:left w:val="nil"/>
                    <w:bottom w:val="single" w:color="auto" w:sz="12" w:space="0"/>
                    <w:right w:val="single" w:color="auto" w:sz="4" w:space="0"/>
                  </w:tcBorders>
                  <w:vAlign w:val="center"/>
                </w:tcPr>
                <w:p w14:paraId="26F7004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2146" w:type="pct"/>
                  <w:tcBorders>
                    <w:top w:val="single" w:color="auto" w:sz="4" w:space="0"/>
                    <w:left w:val="single" w:color="auto" w:sz="4" w:space="0"/>
                    <w:bottom w:val="single" w:color="auto" w:sz="12" w:space="0"/>
                    <w:right w:val="nil"/>
                  </w:tcBorders>
                  <w:vAlign w:val="center"/>
                </w:tcPr>
                <w:p w14:paraId="6CD168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7B1EFF53">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根据江苏蓝天环境检测有限公司出具的监测报告，2025年第一季度飞灰暂存间排气筒的恶臭污染物例行监测数据统计见下表。监测结果表明，飞灰暂存间恶臭污染物的有组织排放符合《恶臭污染物排放标准》（GB 14554-93）。</w:t>
            </w:r>
          </w:p>
          <w:p w14:paraId="6F361214">
            <w:pPr>
              <w:pStyle w:val="156"/>
              <w:spacing w:line="50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ascii="Times New Roman" w:eastAsia="宋体" w:cs="Times New Roman"/>
                <w:color w:val="auto"/>
                <w:sz w:val="24"/>
                <w:highlight w:val="none"/>
                <w:lang w:val="en-US" w:eastAsia="zh-CN"/>
              </w:rPr>
              <w:t>2-20</w:t>
            </w:r>
            <w:r>
              <w:rPr>
                <w:rFonts w:hint="default" w:ascii="Times New Roman" w:hAnsi="Times New Roman" w:eastAsia="宋体" w:cs="Times New Roman"/>
                <w:color w:val="auto"/>
                <w:sz w:val="24"/>
                <w:highlight w:val="none"/>
              </w:rPr>
              <w:t xml:space="preserve">  现有项目飞灰暂存间恶臭污染物排放监测结果</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618"/>
              <w:gridCol w:w="1618"/>
              <w:gridCol w:w="1618"/>
              <w:gridCol w:w="1615"/>
            </w:tblGrid>
            <w:tr w14:paraId="51B54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blHeader/>
                <w:jc w:val="center"/>
              </w:trPr>
              <w:tc>
                <w:tcPr>
                  <w:tcW w:w="1250" w:type="pct"/>
                  <w:vMerge w:val="restart"/>
                  <w:tcBorders>
                    <w:top w:val="single" w:color="auto" w:sz="12" w:space="0"/>
                    <w:left w:val="nil"/>
                    <w:bottom w:val="single" w:color="auto" w:sz="4" w:space="0"/>
                    <w:right w:val="single" w:color="auto" w:sz="4" w:space="0"/>
                  </w:tcBorders>
                  <w:vAlign w:val="center"/>
                </w:tcPr>
                <w:p w14:paraId="08607E1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w:t>
                  </w:r>
                  <w:r>
                    <w:rPr>
                      <w:rFonts w:hint="default" w:ascii="Times New Roman" w:hAnsi="Times New Roman" w:eastAsia="宋体" w:cs="Times New Roman"/>
                      <w:b/>
                      <w:bCs/>
                      <w:color w:val="auto"/>
                      <w:sz w:val="21"/>
                      <w:szCs w:val="21"/>
                      <w:highlight w:val="none"/>
                    </w:rPr>
                    <w:t>源</w:t>
                  </w:r>
                </w:p>
              </w:tc>
              <w:tc>
                <w:tcPr>
                  <w:tcW w:w="938" w:type="pct"/>
                  <w:vMerge w:val="restart"/>
                  <w:tcBorders>
                    <w:top w:val="single" w:color="auto" w:sz="12" w:space="0"/>
                    <w:left w:val="single" w:color="auto" w:sz="4" w:space="0"/>
                    <w:right w:val="single" w:color="auto" w:sz="4" w:space="0"/>
                  </w:tcBorders>
                  <w:vAlign w:val="center"/>
                </w:tcPr>
                <w:p w14:paraId="78D1A5FF">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监测时间</w:t>
                  </w:r>
                </w:p>
              </w:tc>
              <w:tc>
                <w:tcPr>
                  <w:tcW w:w="938" w:type="pct"/>
                  <w:tcBorders>
                    <w:top w:val="single" w:color="auto" w:sz="12" w:space="0"/>
                    <w:left w:val="single" w:color="auto" w:sz="4" w:space="0"/>
                    <w:bottom w:val="single" w:color="auto" w:sz="4" w:space="0"/>
                    <w:right w:val="nil"/>
                  </w:tcBorders>
                  <w:vAlign w:val="center"/>
                </w:tcPr>
                <w:p w14:paraId="1DDA1496">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p>
              </w:tc>
              <w:tc>
                <w:tcPr>
                  <w:tcW w:w="938" w:type="pct"/>
                  <w:tcBorders>
                    <w:top w:val="single" w:color="auto" w:sz="12" w:space="0"/>
                    <w:left w:val="single" w:color="auto" w:sz="4" w:space="0"/>
                    <w:bottom w:val="single" w:color="auto" w:sz="4" w:space="0"/>
                    <w:right w:val="nil"/>
                  </w:tcBorders>
                  <w:vAlign w:val="center"/>
                </w:tcPr>
                <w:p w14:paraId="5254762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H</w:t>
                  </w:r>
                  <w:r>
                    <w:rPr>
                      <w:rFonts w:hint="default" w:ascii="Times New Roman" w:hAnsi="Times New Roman" w:eastAsia="宋体" w:cs="Times New Roman"/>
                      <w:b/>
                      <w:color w:val="auto"/>
                      <w:sz w:val="21"/>
                      <w:szCs w:val="21"/>
                      <w:highlight w:val="none"/>
                      <w:vertAlign w:val="subscript"/>
                    </w:rPr>
                    <w:t>2</w:t>
                  </w:r>
                  <w:r>
                    <w:rPr>
                      <w:rFonts w:hint="default" w:ascii="Times New Roman" w:hAnsi="Times New Roman" w:eastAsia="宋体" w:cs="Times New Roman"/>
                      <w:b/>
                      <w:color w:val="auto"/>
                      <w:sz w:val="21"/>
                      <w:szCs w:val="21"/>
                      <w:highlight w:val="none"/>
                    </w:rPr>
                    <w:t>S</w:t>
                  </w:r>
                </w:p>
              </w:tc>
              <w:tc>
                <w:tcPr>
                  <w:tcW w:w="936" w:type="pct"/>
                  <w:tcBorders>
                    <w:top w:val="single" w:color="auto" w:sz="12" w:space="0"/>
                    <w:left w:val="single" w:color="auto" w:sz="4" w:space="0"/>
                    <w:bottom w:val="single" w:color="auto" w:sz="4" w:space="0"/>
                    <w:right w:val="nil"/>
                  </w:tcBorders>
                  <w:vAlign w:val="center"/>
                </w:tcPr>
                <w:p w14:paraId="0D460187">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臭气浓度</w:t>
                  </w:r>
                </w:p>
              </w:tc>
            </w:tr>
            <w:tr w14:paraId="70D9F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jc w:val="center"/>
              </w:trPr>
              <w:tc>
                <w:tcPr>
                  <w:tcW w:w="1250" w:type="pct"/>
                  <w:vMerge w:val="continue"/>
                  <w:tcBorders>
                    <w:top w:val="single" w:color="auto" w:sz="12" w:space="0"/>
                    <w:left w:val="nil"/>
                    <w:bottom w:val="single" w:color="auto" w:sz="4" w:space="0"/>
                    <w:right w:val="single" w:color="auto" w:sz="4" w:space="0"/>
                  </w:tcBorders>
                  <w:vAlign w:val="center"/>
                </w:tcPr>
                <w:p w14:paraId="32F6C0CD">
                  <w:pPr>
                    <w:jc w:val="center"/>
                    <w:rPr>
                      <w:rFonts w:hint="default" w:ascii="Times New Roman" w:hAnsi="Times New Roman" w:eastAsia="宋体" w:cs="Times New Roman"/>
                      <w:b/>
                      <w:color w:val="auto"/>
                      <w:sz w:val="21"/>
                      <w:szCs w:val="21"/>
                      <w:highlight w:val="none"/>
                    </w:rPr>
                  </w:pPr>
                </w:p>
              </w:tc>
              <w:tc>
                <w:tcPr>
                  <w:tcW w:w="938" w:type="pct"/>
                  <w:vMerge w:val="continue"/>
                  <w:tcBorders>
                    <w:left w:val="single" w:color="auto" w:sz="4" w:space="0"/>
                    <w:bottom w:val="single" w:color="auto" w:sz="4" w:space="0"/>
                    <w:right w:val="single" w:color="auto" w:sz="4" w:space="0"/>
                  </w:tcBorders>
                  <w:vAlign w:val="center"/>
                </w:tcPr>
                <w:p w14:paraId="3F4F3ED5">
                  <w:pPr>
                    <w:adjustRightInd w:val="0"/>
                    <w:snapToGrid w:val="0"/>
                    <w:jc w:val="center"/>
                    <w:rPr>
                      <w:rFonts w:hint="default" w:ascii="Times New Roman" w:hAnsi="Times New Roman" w:eastAsia="宋体" w:cs="Times New Roman"/>
                      <w:b/>
                      <w:color w:val="auto"/>
                      <w:sz w:val="21"/>
                      <w:szCs w:val="21"/>
                      <w:highlight w:val="none"/>
                    </w:rPr>
                  </w:pPr>
                </w:p>
              </w:tc>
              <w:tc>
                <w:tcPr>
                  <w:tcW w:w="938" w:type="pct"/>
                  <w:tcBorders>
                    <w:top w:val="single" w:color="auto" w:sz="4" w:space="0"/>
                    <w:left w:val="single" w:color="auto" w:sz="4" w:space="0"/>
                    <w:bottom w:val="single" w:color="auto" w:sz="4" w:space="0"/>
                    <w:right w:val="nil"/>
                  </w:tcBorders>
                  <w:vAlign w:val="center"/>
                </w:tcPr>
                <w:p w14:paraId="5E2A3A5C">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938" w:type="pct"/>
                  <w:tcBorders>
                    <w:top w:val="single" w:color="auto" w:sz="4" w:space="0"/>
                    <w:left w:val="single" w:color="auto" w:sz="4" w:space="0"/>
                    <w:bottom w:val="single" w:color="auto" w:sz="4" w:space="0"/>
                    <w:right w:val="nil"/>
                  </w:tcBorders>
                  <w:vAlign w:val="center"/>
                </w:tcPr>
                <w:p w14:paraId="150DB21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937" w:type="pct"/>
                  <w:tcBorders>
                    <w:top w:val="single" w:color="auto" w:sz="4" w:space="0"/>
                    <w:left w:val="single" w:color="auto" w:sz="4" w:space="0"/>
                    <w:bottom w:val="single" w:color="auto" w:sz="4" w:space="0"/>
                    <w:right w:val="nil"/>
                  </w:tcBorders>
                  <w:vAlign w:val="center"/>
                </w:tcPr>
                <w:p w14:paraId="4976E271">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无量纲</w:t>
                  </w:r>
                </w:p>
              </w:tc>
            </w:tr>
            <w:tr w14:paraId="6F359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4" w:space="0"/>
                    <w:left w:val="nil"/>
                    <w:bottom w:val="single" w:color="auto" w:sz="4" w:space="0"/>
                    <w:right w:val="single" w:color="auto" w:sz="4" w:space="0"/>
                  </w:tcBorders>
                  <w:vAlign w:val="center"/>
                </w:tcPr>
                <w:p w14:paraId="74C1F56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飞灰暂存间排气筒</w:t>
                  </w:r>
                </w:p>
              </w:tc>
              <w:tc>
                <w:tcPr>
                  <w:tcW w:w="938" w:type="pct"/>
                  <w:vMerge w:val="restart"/>
                  <w:tcBorders>
                    <w:top w:val="single" w:color="auto" w:sz="4" w:space="0"/>
                    <w:left w:val="single" w:color="auto" w:sz="4" w:space="0"/>
                    <w:right w:val="single" w:color="auto" w:sz="4" w:space="0"/>
                  </w:tcBorders>
                  <w:vAlign w:val="center"/>
                </w:tcPr>
                <w:p w14:paraId="4FEFEA0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2025.3.5</w:t>
                  </w:r>
                </w:p>
              </w:tc>
              <w:tc>
                <w:tcPr>
                  <w:tcW w:w="938" w:type="pct"/>
                  <w:tcBorders>
                    <w:top w:val="single" w:color="auto" w:sz="4" w:space="0"/>
                    <w:left w:val="single" w:color="auto" w:sz="4" w:space="0"/>
                    <w:bottom w:val="single" w:color="auto" w:sz="4" w:space="0"/>
                    <w:right w:val="nil"/>
                  </w:tcBorders>
                  <w:vAlign w:val="center"/>
                </w:tcPr>
                <w:p w14:paraId="41F2BDC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938" w:type="pct"/>
                  <w:tcBorders>
                    <w:top w:val="single" w:color="auto" w:sz="4" w:space="0"/>
                    <w:left w:val="single" w:color="auto" w:sz="4" w:space="0"/>
                    <w:bottom w:val="single" w:color="auto" w:sz="4" w:space="0"/>
                    <w:right w:val="nil"/>
                  </w:tcBorders>
                  <w:vAlign w:val="center"/>
                </w:tcPr>
                <w:p w14:paraId="186758F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0.000169</w:t>
                  </w:r>
                </w:p>
              </w:tc>
              <w:tc>
                <w:tcPr>
                  <w:tcW w:w="937" w:type="pct"/>
                  <w:tcBorders>
                    <w:top w:val="single" w:color="auto" w:sz="4" w:space="0"/>
                    <w:left w:val="single" w:color="auto" w:sz="4" w:space="0"/>
                    <w:bottom w:val="single" w:color="auto" w:sz="4" w:space="0"/>
                    <w:right w:val="nil"/>
                  </w:tcBorders>
                  <w:vAlign w:val="center"/>
                </w:tcPr>
                <w:p w14:paraId="4FCC646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1318</w:t>
                  </w:r>
                </w:p>
              </w:tc>
            </w:tr>
            <w:tr w14:paraId="121CE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4" w:space="0"/>
                    <w:left w:val="nil"/>
                    <w:bottom w:val="single" w:color="auto" w:sz="4" w:space="0"/>
                    <w:right w:val="single" w:color="auto" w:sz="4" w:space="0"/>
                  </w:tcBorders>
                  <w:vAlign w:val="center"/>
                </w:tcPr>
                <w:p w14:paraId="75EE6F9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排放限值</w:t>
                  </w:r>
                </w:p>
              </w:tc>
              <w:tc>
                <w:tcPr>
                  <w:tcW w:w="938" w:type="pct"/>
                  <w:vMerge w:val="continue"/>
                  <w:tcBorders>
                    <w:left w:val="single" w:color="auto" w:sz="4" w:space="0"/>
                    <w:right w:val="single" w:color="auto" w:sz="4" w:space="0"/>
                  </w:tcBorders>
                  <w:vAlign w:val="center"/>
                </w:tcPr>
                <w:p w14:paraId="573C6559">
                  <w:pPr>
                    <w:adjustRightInd w:val="0"/>
                    <w:snapToGrid w:val="0"/>
                    <w:jc w:val="center"/>
                    <w:rPr>
                      <w:rFonts w:hint="default" w:ascii="Times New Roman" w:hAnsi="Times New Roman" w:eastAsia="宋体" w:cs="Times New Roman"/>
                      <w:color w:val="auto"/>
                      <w:sz w:val="21"/>
                      <w:szCs w:val="21"/>
                      <w:highlight w:val="none"/>
                    </w:rPr>
                  </w:pPr>
                </w:p>
              </w:tc>
              <w:tc>
                <w:tcPr>
                  <w:tcW w:w="938" w:type="pct"/>
                  <w:tcBorders>
                    <w:top w:val="single" w:color="auto" w:sz="4" w:space="0"/>
                    <w:left w:val="single" w:color="auto" w:sz="4" w:space="0"/>
                    <w:bottom w:val="single" w:color="auto" w:sz="4" w:space="0"/>
                    <w:right w:val="nil"/>
                  </w:tcBorders>
                  <w:vAlign w:val="center"/>
                </w:tcPr>
                <w:p w14:paraId="4308F1A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938" w:type="pct"/>
                  <w:tcBorders>
                    <w:top w:val="single" w:color="auto" w:sz="4" w:space="0"/>
                    <w:left w:val="single" w:color="auto" w:sz="4" w:space="0"/>
                    <w:bottom w:val="single" w:color="auto" w:sz="4" w:space="0"/>
                    <w:right w:val="nil"/>
                  </w:tcBorders>
                  <w:vAlign w:val="center"/>
                </w:tcPr>
                <w:p w14:paraId="492B8A3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w:t>
                  </w:r>
                </w:p>
              </w:tc>
              <w:tc>
                <w:tcPr>
                  <w:tcW w:w="936" w:type="pct"/>
                  <w:tcBorders>
                    <w:top w:val="single" w:color="auto" w:sz="4" w:space="0"/>
                    <w:left w:val="single" w:color="auto" w:sz="4" w:space="0"/>
                    <w:bottom w:val="single" w:color="auto" w:sz="4" w:space="0"/>
                    <w:right w:val="nil"/>
                  </w:tcBorders>
                  <w:vAlign w:val="center"/>
                </w:tcPr>
                <w:p w14:paraId="2661D4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r>
            <w:tr w14:paraId="6086C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0" w:type="pct"/>
                  <w:tcBorders>
                    <w:top w:val="single" w:color="auto" w:sz="4" w:space="0"/>
                    <w:left w:val="nil"/>
                    <w:bottom w:val="single" w:color="auto" w:sz="12" w:space="0"/>
                    <w:right w:val="single" w:color="auto" w:sz="4" w:space="0"/>
                  </w:tcBorders>
                  <w:vAlign w:val="center"/>
                </w:tcPr>
                <w:p w14:paraId="7AE5ECC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是否达标</w:t>
                  </w:r>
                </w:p>
              </w:tc>
              <w:tc>
                <w:tcPr>
                  <w:tcW w:w="938" w:type="pct"/>
                  <w:vMerge w:val="continue"/>
                  <w:tcBorders>
                    <w:left w:val="single" w:color="auto" w:sz="4" w:space="0"/>
                    <w:bottom w:val="single" w:color="auto" w:sz="12" w:space="0"/>
                    <w:right w:val="single" w:color="auto" w:sz="4" w:space="0"/>
                  </w:tcBorders>
                  <w:vAlign w:val="center"/>
                </w:tcPr>
                <w:p w14:paraId="61BA3A27">
                  <w:pPr>
                    <w:adjustRightInd w:val="0"/>
                    <w:snapToGrid w:val="0"/>
                    <w:jc w:val="center"/>
                    <w:rPr>
                      <w:rFonts w:hint="default" w:ascii="Times New Roman" w:hAnsi="Times New Roman" w:eastAsia="宋体" w:cs="Times New Roman"/>
                      <w:color w:val="auto"/>
                      <w:sz w:val="21"/>
                      <w:szCs w:val="21"/>
                      <w:highlight w:val="none"/>
                    </w:rPr>
                  </w:pPr>
                </w:p>
              </w:tc>
              <w:tc>
                <w:tcPr>
                  <w:tcW w:w="938" w:type="pct"/>
                  <w:tcBorders>
                    <w:top w:val="single" w:color="auto" w:sz="4" w:space="0"/>
                    <w:left w:val="single" w:color="auto" w:sz="4" w:space="0"/>
                    <w:bottom w:val="single" w:color="auto" w:sz="12" w:space="0"/>
                    <w:right w:val="nil"/>
                  </w:tcBorders>
                  <w:vAlign w:val="center"/>
                </w:tcPr>
                <w:p w14:paraId="4055E7A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38" w:type="pct"/>
                  <w:tcBorders>
                    <w:top w:val="single" w:color="auto" w:sz="4" w:space="0"/>
                    <w:left w:val="single" w:color="auto" w:sz="4" w:space="0"/>
                    <w:bottom w:val="single" w:color="auto" w:sz="12" w:space="0"/>
                    <w:right w:val="nil"/>
                  </w:tcBorders>
                  <w:vAlign w:val="center"/>
                </w:tcPr>
                <w:p w14:paraId="3AA594D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36" w:type="pct"/>
                  <w:tcBorders>
                    <w:top w:val="single" w:color="auto" w:sz="4" w:space="0"/>
                    <w:left w:val="single" w:color="auto" w:sz="4" w:space="0"/>
                    <w:bottom w:val="single" w:color="auto" w:sz="12" w:space="0"/>
                    <w:right w:val="nil"/>
                  </w:tcBorders>
                  <w:vAlign w:val="center"/>
                </w:tcPr>
                <w:p w14:paraId="7D4BD06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2C8695F9">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根据江苏蓝天环境检测有限公司出具的监测报告，2024年4</w:t>
            </w:r>
            <w:r>
              <w:rPr>
                <w:rFonts w:hint="eastAsia"/>
                <w:color w:val="auto"/>
                <w:sz w:val="24"/>
                <w:lang w:val="en-US" w:eastAsia="zh-CN"/>
              </w:rPr>
              <w:t>—</w:t>
            </w:r>
            <w:r>
              <w:rPr>
                <w:rFonts w:hint="default" w:eastAsia="宋体"/>
                <w:color w:val="auto"/>
                <w:sz w:val="24"/>
                <w:lang w:val="en-US" w:eastAsia="zh-CN"/>
              </w:rPr>
              <w:t>12月填埋场场界无组织排放废气例行监测数据统计见下表。监测结果表明，填埋场场界氨、硫化氢、臭气浓度最大浓度值均符合《恶臭污染物排放标准》（GB14554-93）中新改扩建项目二级标准，无组织颗粒物符合《大气污染物综合排放标准》（DB32/4041-2021）标准要求。</w:t>
            </w:r>
          </w:p>
          <w:p w14:paraId="42344A52">
            <w:pPr>
              <w:spacing w:line="500" w:lineRule="exact"/>
              <w:jc w:val="center"/>
              <w:rPr>
                <w:rFonts w:hint="default" w:ascii="Times New Roman" w:hAnsi="Times New Roman" w:eastAsia="宋体" w:cs="Times New Roman"/>
                <w:b/>
                <w:color w:val="auto"/>
                <w:highlight w:val="none"/>
                <w:shd w:val="clear" w:color="auto" w:fill="FFFFFF" w:themeFill="background1"/>
              </w:rPr>
            </w:pPr>
            <w:r>
              <w:rPr>
                <w:rFonts w:hint="default" w:ascii="Times New Roman" w:hAnsi="Times New Roman" w:eastAsia="宋体" w:cs="Times New Roman"/>
                <w:b/>
                <w:color w:val="auto"/>
                <w:highlight w:val="none"/>
                <w:shd w:val="clear" w:color="auto" w:fill="FFFFFF" w:themeFill="background1"/>
              </w:rPr>
              <w:t>表</w:t>
            </w:r>
            <w:r>
              <w:rPr>
                <w:rFonts w:hint="eastAsia" w:cs="Times New Roman"/>
                <w:b/>
                <w:color w:val="auto"/>
                <w:highlight w:val="none"/>
                <w:shd w:val="clear" w:color="auto" w:fill="FFFFFF" w:themeFill="background1"/>
                <w:lang w:val="en-US" w:eastAsia="zh-CN"/>
              </w:rPr>
              <w:t>2-21</w:t>
            </w:r>
            <w:r>
              <w:rPr>
                <w:rFonts w:hint="default" w:ascii="Times New Roman" w:hAnsi="Times New Roman" w:eastAsia="宋体" w:cs="Times New Roman"/>
                <w:b/>
                <w:color w:val="auto"/>
                <w:highlight w:val="none"/>
                <w:shd w:val="clear" w:color="auto" w:fill="FFFFFF" w:themeFill="background1"/>
              </w:rPr>
              <w:t xml:space="preserve">  现有项目2024年无组织废气厂界达标情况一览表</w:t>
            </w:r>
            <w:r>
              <w:rPr>
                <w:rFonts w:hint="eastAsia" w:cs="Times New Roman"/>
                <w:b/>
                <w:color w:val="auto"/>
                <w:highlight w:val="none"/>
                <w:shd w:val="clear" w:color="auto" w:fill="FFFFFF" w:themeFill="background1"/>
                <w:lang w:eastAsia="zh-CN"/>
              </w:rPr>
              <w:t>（</w:t>
            </w:r>
            <w:r>
              <w:rPr>
                <w:rFonts w:hint="default" w:ascii="Times New Roman" w:hAnsi="Times New Roman" w:eastAsia="宋体" w:cs="Times New Roman"/>
                <w:b/>
                <w:color w:val="auto"/>
                <w:highlight w:val="none"/>
                <w:shd w:val="clear" w:color="auto" w:fill="FFFFFF" w:themeFill="background1"/>
              </w:rPr>
              <w:t>mg/Nm</w:t>
            </w:r>
            <w:r>
              <w:rPr>
                <w:rFonts w:hint="default" w:ascii="Times New Roman" w:hAnsi="Times New Roman" w:eastAsia="宋体" w:cs="Times New Roman"/>
                <w:b/>
                <w:color w:val="auto"/>
                <w:highlight w:val="none"/>
                <w:shd w:val="clear" w:color="auto" w:fill="FFFFFF" w:themeFill="background1"/>
                <w:vertAlign w:val="superscript"/>
              </w:rPr>
              <w:t>3</w:t>
            </w:r>
            <w:r>
              <w:rPr>
                <w:rFonts w:hint="eastAsia" w:cs="Times New Roman"/>
                <w:b/>
                <w:color w:val="auto"/>
                <w:highlight w:val="none"/>
                <w:shd w:val="clear" w:color="auto" w:fill="FFFFFF" w:themeFill="background1"/>
                <w:vertAlign w:val="superscript"/>
                <w:lang w:eastAsia="zh-CN"/>
              </w:rPr>
              <w:t>）</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148"/>
              <w:gridCol w:w="1077"/>
              <w:gridCol w:w="970"/>
              <w:gridCol w:w="970"/>
              <w:gridCol w:w="977"/>
              <w:gridCol w:w="973"/>
              <w:gridCol w:w="970"/>
              <w:gridCol w:w="968"/>
            </w:tblGrid>
            <w:tr w14:paraId="7CD3A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32" w:type="pct"/>
                  <w:vMerge w:val="restart"/>
                  <w:tcBorders>
                    <w:top w:val="single" w:color="auto" w:sz="12" w:space="0"/>
                    <w:left w:val="nil"/>
                    <w:bottom w:val="single" w:color="auto" w:sz="4" w:space="0"/>
                    <w:right w:val="single" w:color="auto" w:sz="4" w:space="0"/>
                  </w:tcBorders>
                  <w:vAlign w:val="center"/>
                </w:tcPr>
                <w:p w14:paraId="6B1415F6">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1"/>
                      <w:highlight w:val="none"/>
                    </w:rPr>
                    <w:t>监测时间</w:t>
                  </w:r>
                </w:p>
              </w:tc>
              <w:tc>
                <w:tcPr>
                  <w:tcW w:w="665" w:type="pct"/>
                  <w:vMerge w:val="restart"/>
                  <w:tcBorders>
                    <w:top w:val="single" w:color="auto" w:sz="12" w:space="0"/>
                    <w:left w:val="single" w:color="auto" w:sz="4" w:space="0"/>
                    <w:bottom w:val="single" w:color="auto" w:sz="4" w:space="0"/>
                    <w:right w:val="single" w:color="auto" w:sz="4" w:space="0"/>
                  </w:tcBorders>
                  <w:vAlign w:val="center"/>
                </w:tcPr>
                <w:p w14:paraId="7C9B66F7">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项目</w:t>
                  </w:r>
                </w:p>
              </w:tc>
              <w:tc>
                <w:tcPr>
                  <w:tcW w:w="2878" w:type="pct"/>
                  <w:gridSpan w:val="5"/>
                  <w:tcBorders>
                    <w:top w:val="single" w:color="auto" w:sz="12" w:space="0"/>
                    <w:left w:val="single" w:color="auto" w:sz="4" w:space="0"/>
                    <w:bottom w:val="single" w:color="auto" w:sz="4" w:space="0"/>
                    <w:right w:val="single" w:color="auto" w:sz="4" w:space="0"/>
                  </w:tcBorders>
                  <w:vAlign w:val="center"/>
                </w:tcPr>
                <w:p w14:paraId="70CA0172">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检测结果</w:t>
                  </w:r>
                </w:p>
              </w:tc>
              <w:tc>
                <w:tcPr>
                  <w:tcW w:w="562" w:type="pct"/>
                  <w:vMerge w:val="restart"/>
                  <w:tcBorders>
                    <w:top w:val="single" w:color="auto" w:sz="12" w:space="0"/>
                    <w:left w:val="single" w:color="auto" w:sz="4" w:space="0"/>
                    <w:bottom w:val="single" w:color="auto" w:sz="4" w:space="0"/>
                    <w:right w:val="single" w:color="auto" w:sz="4" w:space="0"/>
                  </w:tcBorders>
                  <w:vAlign w:val="center"/>
                </w:tcPr>
                <w:p w14:paraId="10A66C07">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标准限值</w:t>
                  </w:r>
                </w:p>
              </w:tc>
              <w:tc>
                <w:tcPr>
                  <w:tcW w:w="561" w:type="pct"/>
                  <w:vMerge w:val="restart"/>
                  <w:tcBorders>
                    <w:top w:val="single" w:color="auto" w:sz="12" w:space="0"/>
                    <w:left w:val="single" w:color="auto" w:sz="4" w:space="0"/>
                    <w:bottom w:val="single" w:color="auto" w:sz="4" w:space="0"/>
                    <w:right w:val="nil"/>
                  </w:tcBorders>
                  <w:vAlign w:val="center"/>
                </w:tcPr>
                <w:p w14:paraId="5B8AF486">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是否达标</w:t>
                  </w:r>
                </w:p>
              </w:tc>
            </w:tr>
            <w:tr w14:paraId="66CF7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32" w:type="pct"/>
                  <w:vMerge w:val="continue"/>
                  <w:tcBorders>
                    <w:top w:val="single" w:color="auto" w:sz="12" w:space="0"/>
                    <w:left w:val="nil"/>
                    <w:bottom w:val="single" w:color="auto" w:sz="4" w:space="0"/>
                    <w:right w:val="single" w:color="auto" w:sz="4" w:space="0"/>
                  </w:tcBorders>
                  <w:vAlign w:val="center"/>
                </w:tcPr>
                <w:p w14:paraId="5F3DC0BB">
                  <w:pPr>
                    <w:jc w:val="center"/>
                    <w:rPr>
                      <w:rFonts w:hint="default" w:ascii="Times New Roman" w:hAnsi="Times New Roman" w:eastAsia="宋体" w:cs="Times New Roman"/>
                      <w:b/>
                      <w:bCs/>
                      <w:color w:val="auto"/>
                      <w:sz w:val="21"/>
                      <w:szCs w:val="20"/>
                      <w:highlight w:val="none"/>
                    </w:rPr>
                  </w:pPr>
                </w:p>
              </w:tc>
              <w:tc>
                <w:tcPr>
                  <w:tcW w:w="665" w:type="pct"/>
                  <w:vMerge w:val="continue"/>
                  <w:tcBorders>
                    <w:top w:val="single" w:color="auto" w:sz="12" w:space="0"/>
                    <w:left w:val="single" w:color="auto" w:sz="4" w:space="0"/>
                    <w:bottom w:val="single" w:color="auto" w:sz="4" w:space="0"/>
                    <w:right w:val="single" w:color="auto" w:sz="4" w:space="0"/>
                  </w:tcBorders>
                  <w:vAlign w:val="center"/>
                </w:tcPr>
                <w:p w14:paraId="5F17BB7F">
                  <w:pPr>
                    <w:jc w:val="center"/>
                    <w:rPr>
                      <w:rFonts w:hint="default" w:ascii="Times New Roman" w:hAnsi="Times New Roman" w:eastAsia="宋体" w:cs="Times New Roman"/>
                      <w:b/>
                      <w:bCs/>
                      <w:color w:val="auto"/>
                      <w:sz w:val="21"/>
                      <w:szCs w:val="20"/>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2C80D0C1">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厂界上风向1#</w:t>
                  </w:r>
                </w:p>
              </w:tc>
              <w:tc>
                <w:tcPr>
                  <w:tcW w:w="562" w:type="pct"/>
                  <w:tcBorders>
                    <w:top w:val="single" w:color="auto" w:sz="4" w:space="0"/>
                    <w:left w:val="single" w:color="auto" w:sz="4" w:space="0"/>
                    <w:bottom w:val="single" w:color="auto" w:sz="4" w:space="0"/>
                    <w:right w:val="single" w:color="auto" w:sz="4" w:space="0"/>
                  </w:tcBorders>
                  <w:vAlign w:val="center"/>
                </w:tcPr>
                <w:p w14:paraId="64D538E1">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厂界下风向2#</w:t>
                  </w:r>
                </w:p>
              </w:tc>
              <w:tc>
                <w:tcPr>
                  <w:tcW w:w="562" w:type="pct"/>
                  <w:tcBorders>
                    <w:top w:val="single" w:color="auto" w:sz="4" w:space="0"/>
                    <w:left w:val="single" w:color="auto" w:sz="4" w:space="0"/>
                    <w:bottom w:val="single" w:color="auto" w:sz="4" w:space="0"/>
                    <w:right w:val="single" w:color="auto" w:sz="4" w:space="0"/>
                  </w:tcBorders>
                  <w:vAlign w:val="center"/>
                </w:tcPr>
                <w:p w14:paraId="62F3F57D">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厂界下风向3#</w:t>
                  </w:r>
                </w:p>
              </w:tc>
              <w:tc>
                <w:tcPr>
                  <w:tcW w:w="566" w:type="pct"/>
                  <w:tcBorders>
                    <w:top w:val="single" w:color="auto" w:sz="4" w:space="0"/>
                    <w:left w:val="single" w:color="auto" w:sz="4" w:space="0"/>
                    <w:bottom w:val="single" w:color="auto" w:sz="4" w:space="0"/>
                    <w:right w:val="single" w:color="auto" w:sz="4" w:space="0"/>
                  </w:tcBorders>
                  <w:vAlign w:val="center"/>
                </w:tcPr>
                <w:p w14:paraId="441DAFE0">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厂界下风向4#</w:t>
                  </w:r>
                </w:p>
              </w:tc>
              <w:tc>
                <w:tcPr>
                  <w:tcW w:w="562" w:type="pct"/>
                  <w:tcBorders>
                    <w:top w:val="single" w:color="auto" w:sz="4" w:space="0"/>
                    <w:left w:val="single" w:color="auto" w:sz="4" w:space="0"/>
                    <w:bottom w:val="single" w:color="auto" w:sz="4" w:space="0"/>
                    <w:right w:val="single" w:color="auto" w:sz="4" w:space="0"/>
                  </w:tcBorders>
                  <w:vAlign w:val="center"/>
                </w:tcPr>
                <w:p w14:paraId="41F0FAB1">
                  <w:pPr>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厂界下风向5#</w:t>
                  </w:r>
                </w:p>
              </w:tc>
              <w:tc>
                <w:tcPr>
                  <w:tcW w:w="562" w:type="pct"/>
                  <w:vMerge w:val="continue"/>
                  <w:tcBorders>
                    <w:top w:val="single" w:color="auto" w:sz="12" w:space="0"/>
                    <w:left w:val="single" w:color="auto" w:sz="4" w:space="0"/>
                    <w:bottom w:val="single" w:color="auto" w:sz="4" w:space="0"/>
                    <w:right w:val="single" w:color="auto" w:sz="4" w:space="0"/>
                  </w:tcBorders>
                  <w:vAlign w:val="center"/>
                </w:tcPr>
                <w:p w14:paraId="54CE3BBB">
                  <w:pPr>
                    <w:jc w:val="center"/>
                    <w:rPr>
                      <w:rFonts w:hint="default" w:ascii="Times New Roman" w:hAnsi="Times New Roman" w:eastAsia="宋体" w:cs="Times New Roman"/>
                      <w:b/>
                      <w:bCs/>
                      <w:color w:val="auto"/>
                      <w:sz w:val="21"/>
                      <w:szCs w:val="20"/>
                      <w:highlight w:val="none"/>
                    </w:rPr>
                  </w:pPr>
                </w:p>
              </w:tc>
              <w:tc>
                <w:tcPr>
                  <w:tcW w:w="561" w:type="pct"/>
                  <w:vMerge w:val="continue"/>
                  <w:tcBorders>
                    <w:top w:val="single" w:color="auto" w:sz="12" w:space="0"/>
                    <w:left w:val="single" w:color="auto" w:sz="4" w:space="0"/>
                    <w:bottom w:val="single" w:color="auto" w:sz="4" w:space="0"/>
                    <w:right w:val="nil"/>
                  </w:tcBorders>
                  <w:vAlign w:val="center"/>
                </w:tcPr>
                <w:p w14:paraId="06D65033">
                  <w:pPr>
                    <w:jc w:val="center"/>
                    <w:rPr>
                      <w:rFonts w:hint="default" w:ascii="Times New Roman" w:hAnsi="Times New Roman" w:eastAsia="宋体" w:cs="Times New Roman"/>
                      <w:b/>
                      <w:bCs/>
                      <w:color w:val="auto"/>
                      <w:sz w:val="21"/>
                      <w:szCs w:val="20"/>
                      <w:highlight w:val="none"/>
                    </w:rPr>
                  </w:pPr>
                </w:p>
              </w:tc>
            </w:tr>
            <w:tr w14:paraId="0D7E5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3F34704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4月</w:t>
                  </w:r>
                </w:p>
              </w:tc>
              <w:tc>
                <w:tcPr>
                  <w:tcW w:w="665" w:type="pct"/>
                  <w:tcBorders>
                    <w:top w:val="single" w:color="auto" w:sz="4" w:space="0"/>
                    <w:left w:val="single" w:color="auto" w:sz="4" w:space="0"/>
                    <w:bottom w:val="single" w:color="auto" w:sz="4" w:space="0"/>
                    <w:right w:val="single" w:color="auto" w:sz="4" w:space="0"/>
                  </w:tcBorders>
                  <w:vAlign w:val="center"/>
                </w:tcPr>
                <w:p w14:paraId="59C3695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38AC445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0.204</w:t>
                  </w:r>
                </w:p>
              </w:tc>
              <w:tc>
                <w:tcPr>
                  <w:tcW w:w="562" w:type="pct"/>
                  <w:tcBorders>
                    <w:top w:val="single" w:color="auto" w:sz="4" w:space="0"/>
                    <w:left w:val="single" w:color="auto" w:sz="4" w:space="0"/>
                    <w:bottom w:val="single" w:color="auto" w:sz="4" w:space="0"/>
                    <w:right w:val="single" w:color="auto" w:sz="4" w:space="0"/>
                  </w:tcBorders>
                  <w:vAlign w:val="center"/>
                </w:tcPr>
                <w:p w14:paraId="43C7418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0.292</w:t>
                  </w:r>
                </w:p>
              </w:tc>
              <w:tc>
                <w:tcPr>
                  <w:tcW w:w="562" w:type="pct"/>
                  <w:tcBorders>
                    <w:top w:val="single" w:color="auto" w:sz="4" w:space="0"/>
                    <w:left w:val="single" w:color="auto" w:sz="4" w:space="0"/>
                    <w:bottom w:val="single" w:color="auto" w:sz="4" w:space="0"/>
                    <w:right w:val="single" w:color="auto" w:sz="4" w:space="0"/>
                  </w:tcBorders>
                  <w:vAlign w:val="center"/>
                </w:tcPr>
                <w:p w14:paraId="4E29DC8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66" w:type="pct"/>
                  <w:tcBorders>
                    <w:top w:val="single" w:color="auto" w:sz="4" w:space="0"/>
                    <w:left w:val="single" w:color="auto" w:sz="4" w:space="0"/>
                    <w:bottom w:val="single" w:color="auto" w:sz="4" w:space="0"/>
                    <w:right w:val="single" w:color="auto" w:sz="4" w:space="0"/>
                  </w:tcBorders>
                  <w:vAlign w:val="center"/>
                </w:tcPr>
                <w:p w14:paraId="36FD93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0.298</w:t>
                  </w:r>
                </w:p>
              </w:tc>
              <w:tc>
                <w:tcPr>
                  <w:tcW w:w="562" w:type="pct"/>
                  <w:tcBorders>
                    <w:top w:val="single" w:color="auto" w:sz="4" w:space="0"/>
                    <w:left w:val="single" w:color="auto" w:sz="4" w:space="0"/>
                    <w:bottom w:val="single" w:color="auto" w:sz="4" w:space="0"/>
                    <w:right w:val="single" w:color="auto" w:sz="4" w:space="0"/>
                  </w:tcBorders>
                  <w:vAlign w:val="center"/>
                </w:tcPr>
                <w:p w14:paraId="39046D1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0.357</w:t>
                  </w:r>
                </w:p>
              </w:tc>
              <w:tc>
                <w:tcPr>
                  <w:tcW w:w="562" w:type="pct"/>
                  <w:tcBorders>
                    <w:top w:val="single" w:color="auto" w:sz="4" w:space="0"/>
                    <w:left w:val="single" w:color="auto" w:sz="4" w:space="0"/>
                    <w:bottom w:val="single" w:color="auto" w:sz="4" w:space="0"/>
                    <w:right w:val="single" w:color="auto" w:sz="4" w:space="0"/>
                  </w:tcBorders>
                  <w:vAlign w:val="center"/>
                </w:tcPr>
                <w:p w14:paraId="79DA886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0.5</w:t>
                  </w:r>
                </w:p>
              </w:tc>
              <w:tc>
                <w:tcPr>
                  <w:tcW w:w="561" w:type="pct"/>
                  <w:tcBorders>
                    <w:top w:val="single" w:color="auto" w:sz="4" w:space="0"/>
                    <w:left w:val="single" w:color="auto" w:sz="4" w:space="0"/>
                    <w:bottom w:val="single" w:color="auto" w:sz="4" w:space="0"/>
                    <w:right w:val="nil"/>
                  </w:tcBorders>
                  <w:vAlign w:val="center"/>
                </w:tcPr>
                <w:p w14:paraId="4FAF272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0FBA2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41F61F34">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1A17DC3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2067168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0.023</w:t>
                  </w:r>
                </w:p>
              </w:tc>
              <w:tc>
                <w:tcPr>
                  <w:tcW w:w="562" w:type="pct"/>
                  <w:tcBorders>
                    <w:top w:val="single" w:color="auto" w:sz="4" w:space="0"/>
                    <w:left w:val="single" w:color="auto" w:sz="4" w:space="0"/>
                    <w:bottom w:val="single" w:color="auto" w:sz="4" w:space="0"/>
                    <w:right w:val="single" w:color="auto" w:sz="4" w:space="0"/>
                  </w:tcBorders>
                  <w:vAlign w:val="center"/>
                </w:tcPr>
                <w:p w14:paraId="2DD7DA8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0.07</w:t>
                  </w:r>
                </w:p>
              </w:tc>
              <w:tc>
                <w:tcPr>
                  <w:tcW w:w="562" w:type="pct"/>
                  <w:tcBorders>
                    <w:top w:val="single" w:color="auto" w:sz="4" w:space="0"/>
                    <w:left w:val="single" w:color="auto" w:sz="4" w:space="0"/>
                    <w:bottom w:val="single" w:color="auto" w:sz="4" w:space="0"/>
                    <w:right w:val="single" w:color="auto" w:sz="4" w:space="0"/>
                  </w:tcBorders>
                  <w:vAlign w:val="center"/>
                </w:tcPr>
                <w:p w14:paraId="4CE79B0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0.073</w:t>
                  </w:r>
                </w:p>
              </w:tc>
              <w:tc>
                <w:tcPr>
                  <w:tcW w:w="566" w:type="pct"/>
                  <w:tcBorders>
                    <w:top w:val="single" w:color="auto" w:sz="4" w:space="0"/>
                    <w:left w:val="single" w:color="auto" w:sz="4" w:space="0"/>
                    <w:bottom w:val="single" w:color="auto" w:sz="4" w:space="0"/>
                    <w:right w:val="single" w:color="auto" w:sz="4" w:space="0"/>
                  </w:tcBorders>
                  <w:vAlign w:val="center"/>
                </w:tcPr>
                <w:p w14:paraId="6C332C8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0.097</w:t>
                  </w:r>
                </w:p>
              </w:tc>
              <w:tc>
                <w:tcPr>
                  <w:tcW w:w="562" w:type="pct"/>
                  <w:tcBorders>
                    <w:top w:val="single" w:color="auto" w:sz="4" w:space="0"/>
                    <w:left w:val="single" w:color="auto" w:sz="4" w:space="0"/>
                    <w:bottom w:val="single" w:color="auto" w:sz="4" w:space="0"/>
                    <w:right w:val="single" w:color="auto" w:sz="4" w:space="0"/>
                  </w:tcBorders>
                  <w:vAlign w:val="center"/>
                </w:tcPr>
                <w:p w14:paraId="0240918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0.083</w:t>
                  </w:r>
                </w:p>
              </w:tc>
              <w:tc>
                <w:tcPr>
                  <w:tcW w:w="562" w:type="pct"/>
                  <w:tcBorders>
                    <w:top w:val="single" w:color="auto" w:sz="4" w:space="0"/>
                    <w:left w:val="single" w:color="auto" w:sz="4" w:space="0"/>
                    <w:bottom w:val="single" w:color="auto" w:sz="4" w:space="0"/>
                    <w:right w:val="single" w:color="auto" w:sz="4" w:space="0"/>
                  </w:tcBorders>
                  <w:vAlign w:val="center"/>
                </w:tcPr>
                <w:p w14:paraId="021C01B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1.5</w:t>
                  </w:r>
                </w:p>
              </w:tc>
              <w:tc>
                <w:tcPr>
                  <w:tcW w:w="561" w:type="pct"/>
                  <w:tcBorders>
                    <w:top w:val="single" w:color="auto" w:sz="4" w:space="0"/>
                    <w:left w:val="single" w:color="auto" w:sz="4" w:space="0"/>
                    <w:bottom w:val="single" w:color="auto" w:sz="4" w:space="0"/>
                    <w:right w:val="nil"/>
                  </w:tcBorders>
                  <w:vAlign w:val="center"/>
                </w:tcPr>
                <w:p w14:paraId="077ADE9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D78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72E3CC14">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2819106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6496E78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0.0027</w:t>
                  </w:r>
                </w:p>
              </w:tc>
              <w:tc>
                <w:tcPr>
                  <w:tcW w:w="562" w:type="pct"/>
                  <w:tcBorders>
                    <w:top w:val="single" w:color="auto" w:sz="4" w:space="0"/>
                    <w:left w:val="single" w:color="auto" w:sz="4" w:space="0"/>
                    <w:bottom w:val="single" w:color="auto" w:sz="4" w:space="0"/>
                    <w:right w:val="single" w:color="auto" w:sz="4" w:space="0"/>
                  </w:tcBorders>
                  <w:vAlign w:val="center"/>
                </w:tcPr>
                <w:p w14:paraId="0C3C208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0.009</w:t>
                  </w:r>
                </w:p>
              </w:tc>
              <w:tc>
                <w:tcPr>
                  <w:tcW w:w="562" w:type="pct"/>
                  <w:tcBorders>
                    <w:top w:val="single" w:color="auto" w:sz="4" w:space="0"/>
                    <w:left w:val="single" w:color="auto" w:sz="4" w:space="0"/>
                    <w:bottom w:val="single" w:color="auto" w:sz="4" w:space="0"/>
                    <w:right w:val="single" w:color="auto" w:sz="4" w:space="0"/>
                  </w:tcBorders>
                  <w:vAlign w:val="center"/>
                </w:tcPr>
                <w:p w14:paraId="79B8744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0.0087</w:t>
                  </w:r>
                </w:p>
              </w:tc>
              <w:tc>
                <w:tcPr>
                  <w:tcW w:w="566" w:type="pct"/>
                  <w:tcBorders>
                    <w:top w:val="single" w:color="auto" w:sz="4" w:space="0"/>
                    <w:left w:val="single" w:color="auto" w:sz="4" w:space="0"/>
                    <w:bottom w:val="single" w:color="auto" w:sz="4" w:space="0"/>
                    <w:right w:val="single" w:color="auto" w:sz="4" w:space="0"/>
                  </w:tcBorders>
                  <w:vAlign w:val="center"/>
                </w:tcPr>
                <w:p w14:paraId="3452434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0.01</w:t>
                  </w:r>
                </w:p>
              </w:tc>
              <w:tc>
                <w:tcPr>
                  <w:tcW w:w="562" w:type="pct"/>
                  <w:tcBorders>
                    <w:top w:val="single" w:color="auto" w:sz="4" w:space="0"/>
                    <w:left w:val="single" w:color="auto" w:sz="4" w:space="0"/>
                    <w:bottom w:val="single" w:color="auto" w:sz="4" w:space="0"/>
                    <w:right w:val="single" w:color="auto" w:sz="4" w:space="0"/>
                  </w:tcBorders>
                  <w:vAlign w:val="center"/>
                </w:tcPr>
                <w:p w14:paraId="52EADE9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0.012</w:t>
                  </w:r>
                </w:p>
              </w:tc>
              <w:tc>
                <w:tcPr>
                  <w:tcW w:w="562" w:type="pct"/>
                  <w:tcBorders>
                    <w:top w:val="single" w:color="auto" w:sz="4" w:space="0"/>
                    <w:left w:val="single" w:color="auto" w:sz="4" w:space="0"/>
                    <w:bottom w:val="single" w:color="auto" w:sz="4" w:space="0"/>
                    <w:right w:val="single" w:color="auto" w:sz="4" w:space="0"/>
                  </w:tcBorders>
                  <w:vAlign w:val="center"/>
                </w:tcPr>
                <w:p w14:paraId="1769453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0.06</w:t>
                  </w:r>
                </w:p>
              </w:tc>
              <w:tc>
                <w:tcPr>
                  <w:tcW w:w="561" w:type="pct"/>
                  <w:tcBorders>
                    <w:top w:val="single" w:color="auto" w:sz="4" w:space="0"/>
                    <w:left w:val="single" w:color="auto" w:sz="4" w:space="0"/>
                    <w:bottom w:val="single" w:color="auto" w:sz="4" w:space="0"/>
                    <w:right w:val="nil"/>
                  </w:tcBorders>
                  <w:vAlign w:val="center"/>
                </w:tcPr>
                <w:p w14:paraId="3C91B92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2CE77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435F4D2D">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A207E3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0B9770D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12</w:t>
                  </w:r>
                </w:p>
              </w:tc>
              <w:tc>
                <w:tcPr>
                  <w:tcW w:w="562" w:type="pct"/>
                  <w:tcBorders>
                    <w:top w:val="single" w:color="auto" w:sz="4" w:space="0"/>
                    <w:left w:val="single" w:color="auto" w:sz="4" w:space="0"/>
                    <w:bottom w:val="single" w:color="auto" w:sz="4" w:space="0"/>
                    <w:right w:val="single" w:color="auto" w:sz="4" w:space="0"/>
                  </w:tcBorders>
                  <w:vAlign w:val="center"/>
                </w:tcPr>
                <w:p w14:paraId="4BD0553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12624E3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14</w:t>
                  </w:r>
                </w:p>
              </w:tc>
              <w:tc>
                <w:tcPr>
                  <w:tcW w:w="566" w:type="pct"/>
                  <w:tcBorders>
                    <w:top w:val="single" w:color="auto" w:sz="4" w:space="0"/>
                    <w:left w:val="single" w:color="auto" w:sz="4" w:space="0"/>
                    <w:bottom w:val="single" w:color="auto" w:sz="4" w:space="0"/>
                    <w:right w:val="single" w:color="auto" w:sz="4" w:space="0"/>
                  </w:tcBorders>
                  <w:vAlign w:val="center"/>
                </w:tcPr>
                <w:p w14:paraId="60604E8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18</w:t>
                  </w:r>
                </w:p>
              </w:tc>
              <w:tc>
                <w:tcPr>
                  <w:tcW w:w="562" w:type="pct"/>
                  <w:tcBorders>
                    <w:top w:val="single" w:color="auto" w:sz="4" w:space="0"/>
                    <w:left w:val="single" w:color="auto" w:sz="4" w:space="0"/>
                    <w:bottom w:val="single" w:color="auto" w:sz="4" w:space="0"/>
                    <w:right w:val="single" w:color="auto" w:sz="4" w:space="0"/>
                  </w:tcBorders>
                  <w:vAlign w:val="center"/>
                </w:tcPr>
                <w:p w14:paraId="69B17F1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59664ED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20</w:t>
                  </w:r>
                </w:p>
              </w:tc>
              <w:tc>
                <w:tcPr>
                  <w:tcW w:w="561" w:type="pct"/>
                  <w:tcBorders>
                    <w:top w:val="single" w:color="auto" w:sz="4" w:space="0"/>
                    <w:left w:val="single" w:color="auto" w:sz="4" w:space="0"/>
                    <w:bottom w:val="single" w:color="auto" w:sz="4" w:space="0"/>
                    <w:right w:val="nil"/>
                  </w:tcBorders>
                  <w:vAlign w:val="center"/>
                </w:tcPr>
                <w:p w14:paraId="44EC00C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FA06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4710A4D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5月</w:t>
                  </w:r>
                </w:p>
              </w:tc>
              <w:tc>
                <w:tcPr>
                  <w:tcW w:w="665" w:type="pct"/>
                  <w:tcBorders>
                    <w:top w:val="single" w:color="auto" w:sz="4" w:space="0"/>
                    <w:left w:val="single" w:color="auto" w:sz="4" w:space="0"/>
                    <w:bottom w:val="single" w:color="auto" w:sz="4" w:space="0"/>
                    <w:right w:val="single" w:color="auto" w:sz="4" w:space="0"/>
                  </w:tcBorders>
                  <w:vAlign w:val="center"/>
                </w:tcPr>
                <w:p w14:paraId="649070F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144AC20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0.206</w:t>
                  </w:r>
                </w:p>
              </w:tc>
              <w:tc>
                <w:tcPr>
                  <w:tcW w:w="562" w:type="pct"/>
                  <w:tcBorders>
                    <w:top w:val="single" w:color="auto" w:sz="4" w:space="0"/>
                    <w:left w:val="single" w:color="auto" w:sz="4" w:space="0"/>
                    <w:bottom w:val="single" w:color="auto" w:sz="4" w:space="0"/>
                    <w:right w:val="single" w:color="auto" w:sz="4" w:space="0"/>
                  </w:tcBorders>
                  <w:vAlign w:val="center"/>
                </w:tcPr>
                <w:p w14:paraId="130211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0.316</w:t>
                  </w:r>
                </w:p>
              </w:tc>
              <w:tc>
                <w:tcPr>
                  <w:tcW w:w="562" w:type="pct"/>
                  <w:tcBorders>
                    <w:top w:val="single" w:color="auto" w:sz="4" w:space="0"/>
                    <w:left w:val="single" w:color="auto" w:sz="4" w:space="0"/>
                    <w:bottom w:val="single" w:color="auto" w:sz="4" w:space="0"/>
                    <w:right w:val="single" w:color="auto" w:sz="4" w:space="0"/>
                  </w:tcBorders>
                  <w:vAlign w:val="center"/>
                </w:tcPr>
                <w:p w14:paraId="515A09F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0.308</w:t>
                  </w:r>
                </w:p>
              </w:tc>
              <w:tc>
                <w:tcPr>
                  <w:tcW w:w="566" w:type="pct"/>
                  <w:tcBorders>
                    <w:top w:val="single" w:color="auto" w:sz="4" w:space="0"/>
                    <w:left w:val="single" w:color="auto" w:sz="4" w:space="0"/>
                    <w:bottom w:val="single" w:color="auto" w:sz="4" w:space="0"/>
                    <w:right w:val="single" w:color="auto" w:sz="4" w:space="0"/>
                  </w:tcBorders>
                  <w:vAlign w:val="center"/>
                </w:tcPr>
                <w:p w14:paraId="063D5D6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0.315</w:t>
                  </w:r>
                </w:p>
              </w:tc>
              <w:tc>
                <w:tcPr>
                  <w:tcW w:w="562" w:type="pct"/>
                  <w:tcBorders>
                    <w:top w:val="single" w:color="auto" w:sz="4" w:space="0"/>
                    <w:left w:val="single" w:color="auto" w:sz="4" w:space="0"/>
                    <w:bottom w:val="single" w:color="auto" w:sz="4" w:space="0"/>
                    <w:right w:val="single" w:color="auto" w:sz="4" w:space="0"/>
                  </w:tcBorders>
                  <w:vAlign w:val="center"/>
                </w:tcPr>
                <w:p w14:paraId="7B3487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0.369</w:t>
                  </w:r>
                </w:p>
              </w:tc>
              <w:tc>
                <w:tcPr>
                  <w:tcW w:w="562" w:type="pct"/>
                  <w:tcBorders>
                    <w:top w:val="single" w:color="auto" w:sz="4" w:space="0"/>
                    <w:left w:val="single" w:color="auto" w:sz="4" w:space="0"/>
                    <w:bottom w:val="single" w:color="auto" w:sz="4" w:space="0"/>
                    <w:right w:val="single" w:color="auto" w:sz="4" w:space="0"/>
                  </w:tcBorders>
                  <w:vAlign w:val="center"/>
                </w:tcPr>
                <w:p w14:paraId="29332FA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2BB8E7C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0E42A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78B42B81">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2F5E23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1DF4E0B4">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0.023</w:t>
                  </w:r>
                </w:p>
              </w:tc>
              <w:tc>
                <w:tcPr>
                  <w:tcW w:w="562" w:type="pct"/>
                  <w:tcBorders>
                    <w:top w:val="single" w:color="auto" w:sz="4" w:space="0"/>
                    <w:left w:val="single" w:color="auto" w:sz="4" w:space="0"/>
                    <w:bottom w:val="single" w:color="auto" w:sz="4" w:space="0"/>
                    <w:right w:val="single" w:color="auto" w:sz="4" w:space="0"/>
                  </w:tcBorders>
                  <w:vAlign w:val="center"/>
                </w:tcPr>
                <w:p w14:paraId="565D291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0.083</w:t>
                  </w:r>
                </w:p>
              </w:tc>
              <w:tc>
                <w:tcPr>
                  <w:tcW w:w="562" w:type="pct"/>
                  <w:tcBorders>
                    <w:top w:val="single" w:color="auto" w:sz="4" w:space="0"/>
                    <w:left w:val="single" w:color="auto" w:sz="4" w:space="0"/>
                    <w:bottom w:val="single" w:color="auto" w:sz="4" w:space="0"/>
                    <w:right w:val="single" w:color="auto" w:sz="4" w:space="0"/>
                  </w:tcBorders>
                  <w:vAlign w:val="center"/>
                </w:tcPr>
                <w:p w14:paraId="4EFF219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566" w:type="pct"/>
                  <w:tcBorders>
                    <w:top w:val="single" w:color="auto" w:sz="4" w:space="0"/>
                    <w:left w:val="single" w:color="auto" w:sz="4" w:space="0"/>
                    <w:bottom w:val="single" w:color="auto" w:sz="4" w:space="0"/>
                    <w:right w:val="single" w:color="auto" w:sz="4" w:space="0"/>
                  </w:tcBorders>
                  <w:vAlign w:val="center"/>
                </w:tcPr>
                <w:p w14:paraId="2CB77DF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2" w:type="pct"/>
                  <w:tcBorders>
                    <w:top w:val="single" w:color="auto" w:sz="4" w:space="0"/>
                    <w:left w:val="single" w:color="auto" w:sz="4" w:space="0"/>
                    <w:bottom w:val="single" w:color="auto" w:sz="4" w:space="0"/>
                    <w:right w:val="single" w:color="auto" w:sz="4" w:space="0"/>
                  </w:tcBorders>
                  <w:vAlign w:val="center"/>
                </w:tcPr>
                <w:p w14:paraId="1668086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562" w:type="pct"/>
                  <w:tcBorders>
                    <w:top w:val="single" w:color="auto" w:sz="4" w:space="0"/>
                    <w:left w:val="single" w:color="auto" w:sz="4" w:space="0"/>
                    <w:bottom w:val="single" w:color="auto" w:sz="4" w:space="0"/>
                    <w:right w:val="single" w:color="auto" w:sz="4" w:space="0"/>
                  </w:tcBorders>
                  <w:vAlign w:val="center"/>
                </w:tcPr>
                <w:p w14:paraId="30164C0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62706E4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2BEF8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2DA065A1">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7D6795D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09EB8C4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0.0027</w:t>
                  </w:r>
                </w:p>
              </w:tc>
              <w:tc>
                <w:tcPr>
                  <w:tcW w:w="562" w:type="pct"/>
                  <w:tcBorders>
                    <w:top w:val="single" w:color="auto" w:sz="4" w:space="0"/>
                    <w:left w:val="single" w:color="auto" w:sz="4" w:space="0"/>
                    <w:bottom w:val="single" w:color="auto" w:sz="4" w:space="0"/>
                    <w:right w:val="single" w:color="auto" w:sz="4" w:space="0"/>
                  </w:tcBorders>
                  <w:vAlign w:val="center"/>
                </w:tcPr>
                <w:p w14:paraId="2C725F4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0.0087</w:t>
                  </w:r>
                </w:p>
              </w:tc>
              <w:tc>
                <w:tcPr>
                  <w:tcW w:w="562" w:type="pct"/>
                  <w:tcBorders>
                    <w:top w:val="single" w:color="auto" w:sz="4" w:space="0"/>
                    <w:left w:val="single" w:color="auto" w:sz="4" w:space="0"/>
                    <w:bottom w:val="single" w:color="auto" w:sz="4" w:space="0"/>
                    <w:right w:val="single" w:color="auto" w:sz="4" w:space="0"/>
                  </w:tcBorders>
                  <w:vAlign w:val="center"/>
                </w:tcPr>
                <w:p w14:paraId="3ABE29E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0.0103</w:t>
                  </w:r>
                </w:p>
              </w:tc>
              <w:tc>
                <w:tcPr>
                  <w:tcW w:w="566" w:type="pct"/>
                  <w:tcBorders>
                    <w:top w:val="single" w:color="auto" w:sz="4" w:space="0"/>
                    <w:left w:val="single" w:color="auto" w:sz="4" w:space="0"/>
                    <w:bottom w:val="single" w:color="auto" w:sz="4" w:space="0"/>
                    <w:right w:val="single" w:color="auto" w:sz="4" w:space="0"/>
                  </w:tcBorders>
                  <w:vAlign w:val="center"/>
                </w:tcPr>
                <w:p w14:paraId="2C5AF14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0.0097</w:t>
                  </w:r>
                </w:p>
              </w:tc>
              <w:tc>
                <w:tcPr>
                  <w:tcW w:w="562" w:type="pct"/>
                  <w:tcBorders>
                    <w:top w:val="single" w:color="auto" w:sz="4" w:space="0"/>
                    <w:left w:val="single" w:color="auto" w:sz="4" w:space="0"/>
                    <w:bottom w:val="single" w:color="auto" w:sz="4" w:space="0"/>
                    <w:right w:val="single" w:color="auto" w:sz="4" w:space="0"/>
                  </w:tcBorders>
                  <w:vAlign w:val="center"/>
                </w:tcPr>
                <w:p w14:paraId="37E68FD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0.0137</w:t>
                  </w:r>
                </w:p>
              </w:tc>
              <w:tc>
                <w:tcPr>
                  <w:tcW w:w="562" w:type="pct"/>
                  <w:tcBorders>
                    <w:top w:val="single" w:color="auto" w:sz="4" w:space="0"/>
                    <w:left w:val="single" w:color="auto" w:sz="4" w:space="0"/>
                    <w:bottom w:val="single" w:color="auto" w:sz="4" w:space="0"/>
                    <w:right w:val="single" w:color="auto" w:sz="4" w:space="0"/>
                  </w:tcBorders>
                  <w:vAlign w:val="center"/>
                </w:tcPr>
                <w:p w14:paraId="23286E7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61238D4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1252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EB84D2D">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1F75695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765674E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11</w:t>
                  </w:r>
                </w:p>
              </w:tc>
              <w:tc>
                <w:tcPr>
                  <w:tcW w:w="562" w:type="pct"/>
                  <w:tcBorders>
                    <w:top w:val="single" w:color="auto" w:sz="4" w:space="0"/>
                    <w:left w:val="single" w:color="auto" w:sz="4" w:space="0"/>
                    <w:bottom w:val="single" w:color="auto" w:sz="4" w:space="0"/>
                    <w:right w:val="single" w:color="auto" w:sz="4" w:space="0"/>
                  </w:tcBorders>
                  <w:vAlign w:val="center"/>
                </w:tcPr>
                <w:p w14:paraId="6DCFEDB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4" w:space="0"/>
                    <w:right w:val="single" w:color="auto" w:sz="4" w:space="0"/>
                  </w:tcBorders>
                  <w:vAlign w:val="center"/>
                </w:tcPr>
                <w:p w14:paraId="5CDFE5B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6" w:type="pct"/>
                  <w:tcBorders>
                    <w:top w:val="single" w:color="auto" w:sz="4" w:space="0"/>
                    <w:left w:val="single" w:color="auto" w:sz="4" w:space="0"/>
                    <w:bottom w:val="single" w:color="auto" w:sz="4" w:space="0"/>
                    <w:right w:val="single" w:color="auto" w:sz="4" w:space="0"/>
                  </w:tcBorders>
                  <w:vAlign w:val="center"/>
                </w:tcPr>
                <w:p w14:paraId="147D768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2C38DDF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4" w:space="0"/>
                    <w:right w:val="single" w:color="auto" w:sz="4" w:space="0"/>
                  </w:tcBorders>
                  <w:vAlign w:val="center"/>
                </w:tcPr>
                <w:p w14:paraId="1CA89DD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0BBCB2D4">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92A0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6880CF41">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6月</w:t>
                  </w:r>
                </w:p>
              </w:tc>
              <w:tc>
                <w:tcPr>
                  <w:tcW w:w="665" w:type="pct"/>
                  <w:tcBorders>
                    <w:top w:val="single" w:color="auto" w:sz="4" w:space="0"/>
                    <w:left w:val="single" w:color="auto" w:sz="4" w:space="0"/>
                    <w:bottom w:val="single" w:color="auto" w:sz="4" w:space="0"/>
                    <w:right w:val="single" w:color="auto" w:sz="4" w:space="0"/>
                  </w:tcBorders>
                  <w:vAlign w:val="center"/>
                </w:tcPr>
                <w:p w14:paraId="309BDD5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6686F53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0.209</w:t>
                  </w:r>
                </w:p>
              </w:tc>
              <w:tc>
                <w:tcPr>
                  <w:tcW w:w="562" w:type="pct"/>
                  <w:tcBorders>
                    <w:top w:val="single" w:color="auto" w:sz="4" w:space="0"/>
                    <w:left w:val="single" w:color="auto" w:sz="4" w:space="0"/>
                    <w:bottom w:val="single" w:color="auto" w:sz="4" w:space="0"/>
                    <w:right w:val="single" w:color="auto" w:sz="4" w:space="0"/>
                  </w:tcBorders>
                  <w:vAlign w:val="center"/>
                </w:tcPr>
                <w:p w14:paraId="627A626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0.316</w:t>
                  </w:r>
                </w:p>
              </w:tc>
              <w:tc>
                <w:tcPr>
                  <w:tcW w:w="562" w:type="pct"/>
                  <w:tcBorders>
                    <w:top w:val="single" w:color="auto" w:sz="4" w:space="0"/>
                    <w:left w:val="single" w:color="auto" w:sz="4" w:space="0"/>
                    <w:bottom w:val="single" w:color="auto" w:sz="4" w:space="0"/>
                    <w:right w:val="single" w:color="auto" w:sz="4" w:space="0"/>
                  </w:tcBorders>
                  <w:vAlign w:val="center"/>
                </w:tcPr>
                <w:p w14:paraId="0C1DC2F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w:t>
                  </w:r>
                </w:p>
              </w:tc>
              <w:tc>
                <w:tcPr>
                  <w:tcW w:w="566" w:type="pct"/>
                  <w:tcBorders>
                    <w:top w:val="single" w:color="auto" w:sz="4" w:space="0"/>
                    <w:left w:val="single" w:color="auto" w:sz="4" w:space="0"/>
                    <w:bottom w:val="single" w:color="auto" w:sz="4" w:space="0"/>
                    <w:right w:val="single" w:color="auto" w:sz="4" w:space="0"/>
                  </w:tcBorders>
                  <w:vAlign w:val="center"/>
                </w:tcPr>
                <w:p w14:paraId="6CCD446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0.312</w:t>
                  </w:r>
                </w:p>
              </w:tc>
              <w:tc>
                <w:tcPr>
                  <w:tcW w:w="562" w:type="pct"/>
                  <w:tcBorders>
                    <w:top w:val="single" w:color="auto" w:sz="4" w:space="0"/>
                    <w:left w:val="single" w:color="auto" w:sz="4" w:space="0"/>
                    <w:bottom w:val="single" w:color="auto" w:sz="4" w:space="0"/>
                    <w:right w:val="single" w:color="auto" w:sz="4" w:space="0"/>
                  </w:tcBorders>
                  <w:vAlign w:val="center"/>
                </w:tcPr>
                <w:p w14:paraId="19C56ED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0.379</w:t>
                  </w:r>
                </w:p>
              </w:tc>
              <w:tc>
                <w:tcPr>
                  <w:tcW w:w="562" w:type="pct"/>
                  <w:tcBorders>
                    <w:top w:val="single" w:color="auto" w:sz="4" w:space="0"/>
                    <w:left w:val="single" w:color="auto" w:sz="4" w:space="0"/>
                    <w:bottom w:val="single" w:color="auto" w:sz="4" w:space="0"/>
                    <w:right w:val="single" w:color="auto" w:sz="4" w:space="0"/>
                  </w:tcBorders>
                  <w:vAlign w:val="center"/>
                </w:tcPr>
                <w:p w14:paraId="463934A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1BA58D4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7A6BE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B56F787">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7262BCB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50EE03E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0.023</w:t>
                  </w:r>
                </w:p>
              </w:tc>
              <w:tc>
                <w:tcPr>
                  <w:tcW w:w="562" w:type="pct"/>
                  <w:tcBorders>
                    <w:top w:val="single" w:color="auto" w:sz="4" w:space="0"/>
                    <w:left w:val="single" w:color="auto" w:sz="4" w:space="0"/>
                    <w:bottom w:val="single" w:color="auto" w:sz="4" w:space="0"/>
                    <w:right w:val="single" w:color="auto" w:sz="4" w:space="0"/>
                  </w:tcBorders>
                  <w:vAlign w:val="center"/>
                </w:tcPr>
                <w:p w14:paraId="5617BB7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562" w:type="pct"/>
                  <w:tcBorders>
                    <w:top w:val="single" w:color="auto" w:sz="4" w:space="0"/>
                    <w:left w:val="single" w:color="auto" w:sz="4" w:space="0"/>
                    <w:bottom w:val="single" w:color="auto" w:sz="4" w:space="0"/>
                    <w:right w:val="single" w:color="auto" w:sz="4" w:space="0"/>
                  </w:tcBorders>
                  <w:vAlign w:val="center"/>
                </w:tcPr>
                <w:p w14:paraId="677F66D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566" w:type="pct"/>
                  <w:tcBorders>
                    <w:top w:val="single" w:color="auto" w:sz="4" w:space="0"/>
                    <w:left w:val="single" w:color="auto" w:sz="4" w:space="0"/>
                    <w:bottom w:val="single" w:color="auto" w:sz="4" w:space="0"/>
                    <w:right w:val="single" w:color="auto" w:sz="4" w:space="0"/>
                  </w:tcBorders>
                  <w:vAlign w:val="center"/>
                </w:tcPr>
                <w:p w14:paraId="1D99698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0.087</w:t>
                  </w:r>
                </w:p>
              </w:tc>
              <w:tc>
                <w:tcPr>
                  <w:tcW w:w="562" w:type="pct"/>
                  <w:tcBorders>
                    <w:top w:val="single" w:color="auto" w:sz="4" w:space="0"/>
                    <w:left w:val="single" w:color="auto" w:sz="4" w:space="0"/>
                    <w:bottom w:val="single" w:color="auto" w:sz="4" w:space="0"/>
                    <w:right w:val="single" w:color="auto" w:sz="4" w:space="0"/>
                  </w:tcBorders>
                  <w:vAlign w:val="center"/>
                </w:tcPr>
                <w:p w14:paraId="2172199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0.097</w:t>
                  </w:r>
                </w:p>
              </w:tc>
              <w:tc>
                <w:tcPr>
                  <w:tcW w:w="562" w:type="pct"/>
                  <w:tcBorders>
                    <w:top w:val="single" w:color="auto" w:sz="4" w:space="0"/>
                    <w:left w:val="single" w:color="auto" w:sz="4" w:space="0"/>
                    <w:bottom w:val="single" w:color="auto" w:sz="4" w:space="0"/>
                    <w:right w:val="single" w:color="auto" w:sz="4" w:space="0"/>
                  </w:tcBorders>
                  <w:vAlign w:val="center"/>
                </w:tcPr>
                <w:p w14:paraId="314C7C8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5E51927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7930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854E62C">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0C0EDE8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317CCCB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0.0037</w:t>
                  </w:r>
                </w:p>
              </w:tc>
              <w:tc>
                <w:tcPr>
                  <w:tcW w:w="562" w:type="pct"/>
                  <w:tcBorders>
                    <w:top w:val="single" w:color="auto" w:sz="4" w:space="0"/>
                    <w:left w:val="single" w:color="auto" w:sz="4" w:space="0"/>
                    <w:bottom w:val="single" w:color="auto" w:sz="4" w:space="0"/>
                    <w:right w:val="single" w:color="auto" w:sz="4" w:space="0"/>
                  </w:tcBorders>
                  <w:vAlign w:val="center"/>
                </w:tcPr>
                <w:p w14:paraId="1BC7891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562" w:type="pct"/>
                  <w:tcBorders>
                    <w:top w:val="single" w:color="auto" w:sz="4" w:space="0"/>
                    <w:left w:val="single" w:color="auto" w:sz="4" w:space="0"/>
                    <w:bottom w:val="single" w:color="auto" w:sz="4" w:space="0"/>
                    <w:right w:val="single" w:color="auto" w:sz="4" w:space="0"/>
                  </w:tcBorders>
                  <w:vAlign w:val="center"/>
                </w:tcPr>
                <w:p w14:paraId="50E2F8B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566" w:type="pct"/>
                  <w:tcBorders>
                    <w:top w:val="single" w:color="auto" w:sz="4" w:space="0"/>
                    <w:left w:val="single" w:color="auto" w:sz="4" w:space="0"/>
                    <w:bottom w:val="single" w:color="auto" w:sz="4" w:space="0"/>
                    <w:right w:val="single" w:color="auto" w:sz="4" w:space="0"/>
                  </w:tcBorders>
                  <w:vAlign w:val="center"/>
                </w:tcPr>
                <w:p w14:paraId="2E6B872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562" w:type="pct"/>
                  <w:tcBorders>
                    <w:top w:val="single" w:color="auto" w:sz="4" w:space="0"/>
                    <w:left w:val="single" w:color="auto" w:sz="4" w:space="0"/>
                    <w:bottom w:val="single" w:color="auto" w:sz="4" w:space="0"/>
                    <w:right w:val="single" w:color="auto" w:sz="4" w:space="0"/>
                  </w:tcBorders>
                  <w:vAlign w:val="center"/>
                </w:tcPr>
                <w:p w14:paraId="6E2BB4E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562" w:type="pct"/>
                  <w:tcBorders>
                    <w:top w:val="single" w:color="auto" w:sz="4" w:space="0"/>
                    <w:left w:val="single" w:color="auto" w:sz="4" w:space="0"/>
                    <w:bottom w:val="single" w:color="auto" w:sz="4" w:space="0"/>
                    <w:right w:val="single" w:color="auto" w:sz="4" w:space="0"/>
                  </w:tcBorders>
                  <w:vAlign w:val="center"/>
                </w:tcPr>
                <w:p w14:paraId="1DC72F4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7D6D5CE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F135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0DB74D84">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4C2572D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53B4145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11</w:t>
                  </w:r>
                </w:p>
              </w:tc>
              <w:tc>
                <w:tcPr>
                  <w:tcW w:w="562" w:type="pct"/>
                  <w:tcBorders>
                    <w:top w:val="single" w:color="auto" w:sz="4" w:space="0"/>
                    <w:left w:val="single" w:color="auto" w:sz="4" w:space="0"/>
                    <w:bottom w:val="single" w:color="auto" w:sz="4" w:space="0"/>
                    <w:right w:val="single" w:color="auto" w:sz="4" w:space="0"/>
                  </w:tcBorders>
                  <w:vAlign w:val="center"/>
                </w:tcPr>
                <w:p w14:paraId="3E7D7D8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4" w:space="0"/>
                    <w:right w:val="single" w:color="auto" w:sz="4" w:space="0"/>
                  </w:tcBorders>
                  <w:vAlign w:val="center"/>
                </w:tcPr>
                <w:p w14:paraId="6F45DD7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6" w:type="pct"/>
                  <w:tcBorders>
                    <w:top w:val="single" w:color="auto" w:sz="4" w:space="0"/>
                    <w:left w:val="single" w:color="auto" w:sz="4" w:space="0"/>
                    <w:bottom w:val="single" w:color="auto" w:sz="4" w:space="0"/>
                    <w:right w:val="single" w:color="auto" w:sz="4" w:space="0"/>
                  </w:tcBorders>
                  <w:vAlign w:val="center"/>
                </w:tcPr>
                <w:p w14:paraId="664EF3C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7DEA09F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168CC37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313450F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72C89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638A3AEC">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7月</w:t>
                  </w:r>
                </w:p>
              </w:tc>
              <w:tc>
                <w:tcPr>
                  <w:tcW w:w="665" w:type="pct"/>
                  <w:tcBorders>
                    <w:top w:val="single" w:color="auto" w:sz="4" w:space="0"/>
                    <w:left w:val="single" w:color="auto" w:sz="4" w:space="0"/>
                    <w:bottom w:val="single" w:color="auto" w:sz="4" w:space="0"/>
                    <w:right w:val="single" w:color="auto" w:sz="4" w:space="0"/>
                  </w:tcBorders>
                  <w:vAlign w:val="center"/>
                </w:tcPr>
                <w:p w14:paraId="49034F0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1EFC34A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0.216</w:t>
                  </w:r>
                </w:p>
              </w:tc>
              <w:tc>
                <w:tcPr>
                  <w:tcW w:w="562" w:type="pct"/>
                  <w:tcBorders>
                    <w:top w:val="single" w:color="auto" w:sz="4" w:space="0"/>
                    <w:left w:val="single" w:color="auto" w:sz="4" w:space="0"/>
                    <w:bottom w:val="single" w:color="auto" w:sz="4" w:space="0"/>
                    <w:right w:val="single" w:color="auto" w:sz="4" w:space="0"/>
                  </w:tcBorders>
                  <w:vAlign w:val="center"/>
                </w:tcPr>
                <w:p w14:paraId="4C7C0A4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0.321</w:t>
                  </w:r>
                </w:p>
              </w:tc>
              <w:tc>
                <w:tcPr>
                  <w:tcW w:w="562" w:type="pct"/>
                  <w:tcBorders>
                    <w:top w:val="single" w:color="auto" w:sz="4" w:space="0"/>
                    <w:left w:val="single" w:color="auto" w:sz="4" w:space="0"/>
                    <w:bottom w:val="single" w:color="auto" w:sz="4" w:space="0"/>
                    <w:right w:val="single" w:color="auto" w:sz="4" w:space="0"/>
                  </w:tcBorders>
                  <w:vAlign w:val="center"/>
                </w:tcPr>
                <w:p w14:paraId="4DA4624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0.323</w:t>
                  </w:r>
                </w:p>
              </w:tc>
              <w:tc>
                <w:tcPr>
                  <w:tcW w:w="566" w:type="pct"/>
                  <w:tcBorders>
                    <w:top w:val="single" w:color="auto" w:sz="4" w:space="0"/>
                    <w:left w:val="single" w:color="auto" w:sz="4" w:space="0"/>
                    <w:bottom w:val="single" w:color="auto" w:sz="4" w:space="0"/>
                    <w:right w:val="single" w:color="auto" w:sz="4" w:space="0"/>
                  </w:tcBorders>
                  <w:vAlign w:val="center"/>
                </w:tcPr>
                <w:p w14:paraId="365AEEA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0.325</w:t>
                  </w:r>
                </w:p>
              </w:tc>
              <w:tc>
                <w:tcPr>
                  <w:tcW w:w="562" w:type="pct"/>
                  <w:tcBorders>
                    <w:top w:val="single" w:color="auto" w:sz="4" w:space="0"/>
                    <w:left w:val="single" w:color="auto" w:sz="4" w:space="0"/>
                    <w:bottom w:val="single" w:color="auto" w:sz="4" w:space="0"/>
                    <w:right w:val="single" w:color="auto" w:sz="4" w:space="0"/>
                  </w:tcBorders>
                  <w:vAlign w:val="center"/>
                </w:tcPr>
                <w:p w14:paraId="59821A4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0.399</w:t>
                  </w:r>
                </w:p>
              </w:tc>
              <w:tc>
                <w:tcPr>
                  <w:tcW w:w="562" w:type="pct"/>
                  <w:tcBorders>
                    <w:top w:val="single" w:color="auto" w:sz="4" w:space="0"/>
                    <w:left w:val="single" w:color="auto" w:sz="4" w:space="0"/>
                    <w:bottom w:val="single" w:color="auto" w:sz="4" w:space="0"/>
                    <w:right w:val="single" w:color="auto" w:sz="4" w:space="0"/>
                  </w:tcBorders>
                  <w:vAlign w:val="center"/>
                </w:tcPr>
                <w:p w14:paraId="6F3672E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16E1E2D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4A94F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4A9B808">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4E05CC7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4F81EEF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0.03</w:t>
                  </w:r>
                </w:p>
              </w:tc>
              <w:tc>
                <w:tcPr>
                  <w:tcW w:w="562" w:type="pct"/>
                  <w:tcBorders>
                    <w:top w:val="single" w:color="auto" w:sz="4" w:space="0"/>
                    <w:left w:val="single" w:color="auto" w:sz="4" w:space="0"/>
                    <w:bottom w:val="single" w:color="auto" w:sz="4" w:space="0"/>
                    <w:right w:val="single" w:color="auto" w:sz="4" w:space="0"/>
                  </w:tcBorders>
                  <w:vAlign w:val="center"/>
                </w:tcPr>
                <w:p w14:paraId="46B9254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0.083</w:t>
                  </w:r>
                </w:p>
              </w:tc>
              <w:tc>
                <w:tcPr>
                  <w:tcW w:w="562" w:type="pct"/>
                  <w:tcBorders>
                    <w:top w:val="single" w:color="auto" w:sz="4" w:space="0"/>
                    <w:left w:val="single" w:color="auto" w:sz="4" w:space="0"/>
                    <w:bottom w:val="single" w:color="auto" w:sz="4" w:space="0"/>
                    <w:right w:val="single" w:color="auto" w:sz="4" w:space="0"/>
                  </w:tcBorders>
                  <w:vAlign w:val="center"/>
                </w:tcPr>
                <w:p w14:paraId="47D769A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0.077</w:t>
                  </w:r>
                </w:p>
              </w:tc>
              <w:tc>
                <w:tcPr>
                  <w:tcW w:w="566" w:type="pct"/>
                  <w:tcBorders>
                    <w:top w:val="single" w:color="auto" w:sz="4" w:space="0"/>
                    <w:left w:val="single" w:color="auto" w:sz="4" w:space="0"/>
                    <w:bottom w:val="single" w:color="auto" w:sz="4" w:space="0"/>
                    <w:right w:val="single" w:color="auto" w:sz="4" w:space="0"/>
                  </w:tcBorders>
                  <w:vAlign w:val="center"/>
                </w:tcPr>
                <w:p w14:paraId="2DFC541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0.093</w:t>
                  </w:r>
                </w:p>
              </w:tc>
              <w:tc>
                <w:tcPr>
                  <w:tcW w:w="562" w:type="pct"/>
                  <w:tcBorders>
                    <w:top w:val="single" w:color="auto" w:sz="4" w:space="0"/>
                    <w:left w:val="single" w:color="auto" w:sz="4" w:space="0"/>
                    <w:bottom w:val="single" w:color="auto" w:sz="4" w:space="0"/>
                    <w:right w:val="single" w:color="auto" w:sz="4" w:space="0"/>
                  </w:tcBorders>
                  <w:vAlign w:val="center"/>
                </w:tcPr>
                <w:p w14:paraId="4432502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w:t>
                  </w:r>
                </w:p>
              </w:tc>
              <w:tc>
                <w:tcPr>
                  <w:tcW w:w="562" w:type="pct"/>
                  <w:tcBorders>
                    <w:top w:val="single" w:color="auto" w:sz="4" w:space="0"/>
                    <w:left w:val="single" w:color="auto" w:sz="4" w:space="0"/>
                    <w:bottom w:val="single" w:color="auto" w:sz="4" w:space="0"/>
                    <w:right w:val="single" w:color="auto" w:sz="4" w:space="0"/>
                  </w:tcBorders>
                  <w:vAlign w:val="center"/>
                </w:tcPr>
                <w:p w14:paraId="59395CD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08AC06F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79466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4F16A3E7">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29AC4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7665352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0.004</w:t>
                  </w:r>
                </w:p>
              </w:tc>
              <w:tc>
                <w:tcPr>
                  <w:tcW w:w="562" w:type="pct"/>
                  <w:tcBorders>
                    <w:top w:val="single" w:color="auto" w:sz="4" w:space="0"/>
                    <w:left w:val="single" w:color="auto" w:sz="4" w:space="0"/>
                    <w:bottom w:val="single" w:color="auto" w:sz="4" w:space="0"/>
                    <w:right w:val="single" w:color="auto" w:sz="4" w:space="0"/>
                  </w:tcBorders>
                  <w:vAlign w:val="center"/>
                </w:tcPr>
                <w:p w14:paraId="23B549E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562" w:type="pct"/>
                  <w:tcBorders>
                    <w:top w:val="single" w:color="auto" w:sz="4" w:space="0"/>
                    <w:left w:val="single" w:color="auto" w:sz="4" w:space="0"/>
                    <w:bottom w:val="single" w:color="auto" w:sz="4" w:space="0"/>
                    <w:right w:val="single" w:color="auto" w:sz="4" w:space="0"/>
                  </w:tcBorders>
                  <w:vAlign w:val="center"/>
                </w:tcPr>
                <w:p w14:paraId="7CE1CF7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0.0093</w:t>
                  </w:r>
                </w:p>
              </w:tc>
              <w:tc>
                <w:tcPr>
                  <w:tcW w:w="566" w:type="pct"/>
                  <w:tcBorders>
                    <w:top w:val="single" w:color="auto" w:sz="4" w:space="0"/>
                    <w:left w:val="single" w:color="auto" w:sz="4" w:space="0"/>
                    <w:bottom w:val="single" w:color="auto" w:sz="4" w:space="0"/>
                    <w:right w:val="single" w:color="auto" w:sz="4" w:space="0"/>
                  </w:tcBorders>
                  <w:vAlign w:val="center"/>
                </w:tcPr>
                <w:p w14:paraId="7DE0847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562" w:type="pct"/>
                  <w:tcBorders>
                    <w:top w:val="single" w:color="auto" w:sz="4" w:space="0"/>
                    <w:left w:val="single" w:color="auto" w:sz="4" w:space="0"/>
                    <w:bottom w:val="single" w:color="auto" w:sz="4" w:space="0"/>
                    <w:right w:val="single" w:color="auto" w:sz="4" w:space="0"/>
                  </w:tcBorders>
                  <w:vAlign w:val="center"/>
                </w:tcPr>
                <w:p w14:paraId="29475FE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562" w:type="pct"/>
                  <w:tcBorders>
                    <w:top w:val="single" w:color="auto" w:sz="4" w:space="0"/>
                    <w:left w:val="single" w:color="auto" w:sz="4" w:space="0"/>
                    <w:bottom w:val="single" w:color="auto" w:sz="4" w:space="0"/>
                    <w:right w:val="single" w:color="auto" w:sz="4" w:space="0"/>
                  </w:tcBorders>
                  <w:vAlign w:val="center"/>
                </w:tcPr>
                <w:p w14:paraId="3236756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6E421C5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2377B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1C70088B">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1104783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7384A6E6">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eastAsia="zh-CN"/>
                    </w:rPr>
                    <w:t>&lt;</w:t>
                  </w:r>
                  <w:r>
                    <w:rPr>
                      <w:rFonts w:hint="default" w:ascii="Times New Roman" w:hAnsi="Times New Roman" w:eastAsia="宋体" w:cs="Times New Roman"/>
                      <w:color w:val="auto"/>
                      <w:sz w:val="21"/>
                      <w:szCs w:val="20"/>
                      <w:highlight w:val="none"/>
                    </w:rPr>
                    <w:t>10</w:t>
                  </w:r>
                </w:p>
              </w:tc>
              <w:tc>
                <w:tcPr>
                  <w:tcW w:w="562" w:type="pct"/>
                  <w:tcBorders>
                    <w:top w:val="single" w:color="auto" w:sz="4" w:space="0"/>
                    <w:left w:val="single" w:color="auto" w:sz="4" w:space="0"/>
                    <w:bottom w:val="single" w:color="auto" w:sz="4" w:space="0"/>
                    <w:right w:val="single" w:color="auto" w:sz="4" w:space="0"/>
                  </w:tcBorders>
                  <w:vAlign w:val="center"/>
                </w:tcPr>
                <w:p w14:paraId="4303CC5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03C369D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6" w:type="pct"/>
                  <w:tcBorders>
                    <w:top w:val="single" w:color="auto" w:sz="4" w:space="0"/>
                    <w:left w:val="single" w:color="auto" w:sz="4" w:space="0"/>
                    <w:bottom w:val="single" w:color="auto" w:sz="4" w:space="0"/>
                    <w:right w:val="single" w:color="auto" w:sz="4" w:space="0"/>
                  </w:tcBorders>
                  <w:vAlign w:val="center"/>
                </w:tcPr>
                <w:p w14:paraId="7AC0527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2" w:type="pct"/>
                  <w:tcBorders>
                    <w:top w:val="single" w:color="auto" w:sz="4" w:space="0"/>
                    <w:left w:val="single" w:color="auto" w:sz="4" w:space="0"/>
                    <w:bottom w:val="single" w:color="auto" w:sz="4" w:space="0"/>
                    <w:right w:val="single" w:color="auto" w:sz="4" w:space="0"/>
                  </w:tcBorders>
                  <w:vAlign w:val="center"/>
                </w:tcPr>
                <w:p w14:paraId="3F27A42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6ED028D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42BB389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15618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420AC5E9">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8月</w:t>
                  </w:r>
                </w:p>
              </w:tc>
              <w:tc>
                <w:tcPr>
                  <w:tcW w:w="665" w:type="pct"/>
                  <w:tcBorders>
                    <w:top w:val="single" w:color="auto" w:sz="4" w:space="0"/>
                    <w:left w:val="single" w:color="auto" w:sz="4" w:space="0"/>
                    <w:bottom w:val="single" w:color="auto" w:sz="4" w:space="0"/>
                    <w:right w:val="single" w:color="auto" w:sz="4" w:space="0"/>
                  </w:tcBorders>
                  <w:vAlign w:val="center"/>
                </w:tcPr>
                <w:p w14:paraId="325755E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5B8886F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0.215</w:t>
                  </w:r>
                </w:p>
              </w:tc>
              <w:tc>
                <w:tcPr>
                  <w:tcW w:w="562" w:type="pct"/>
                  <w:tcBorders>
                    <w:top w:val="single" w:color="auto" w:sz="4" w:space="0"/>
                    <w:left w:val="single" w:color="auto" w:sz="4" w:space="0"/>
                    <w:bottom w:val="single" w:color="auto" w:sz="4" w:space="0"/>
                    <w:right w:val="single" w:color="auto" w:sz="4" w:space="0"/>
                  </w:tcBorders>
                  <w:vAlign w:val="center"/>
                </w:tcPr>
                <w:p w14:paraId="1FADB29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0.322</w:t>
                  </w:r>
                </w:p>
              </w:tc>
              <w:tc>
                <w:tcPr>
                  <w:tcW w:w="562" w:type="pct"/>
                  <w:tcBorders>
                    <w:top w:val="single" w:color="auto" w:sz="4" w:space="0"/>
                    <w:left w:val="single" w:color="auto" w:sz="4" w:space="0"/>
                    <w:bottom w:val="single" w:color="auto" w:sz="4" w:space="0"/>
                    <w:right w:val="single" w:color="auto" w:sz="4" w:space="0"/>
                  </w:tcBorders>
                  <w:vAlign w:val="center"/>
                </w:tcPr>
                <w:p w14:paraId="65A8A83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0.324</w:t>
                  </w:r>
                </w:p>
              </w:tc>
              <w:tc>
                <w:tcPr>
                  <w:tcW w:w="566" w:type="pct"/>
                  <w:tcBorders>
                    <w:top w:val="single" w:color="auto" w:sz="4" w:space="0"/>
                    <w:left w:val="single" w:color="auto" w:sz="4" w:space="0"/>
                    <w:bottom w:val="single" w:color="auto" w:sz="4" w:space="0"/>
                    <w:right w:val="single" w:color="auto" w:sz="4" w:space="0"/>
                  </w:tcBorders>
                  <w:vAlign w:val="center"/>
                </w:tcPr>
                <w:p w14:paraId="124B092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0.335</w:t>
                  </w:r>
                </w:p>
              </w:tc>
              <w:tc>
                <w:tcPr>
                  <w:tcW w:w="562" w:type="pct"/>
                  <w:tcBorders>
                    <w:top w:val="single" w:color="auto" w:sz="4" w:space="0"/>
                    <w:left w:val="single" w:color="auto" w:sz="4" w:space="0"/>
                    <w:bottom w:val="single" w:color="auto" w:sz="4" w:space="0"/>
                    <w:right w:val="single" w:color="auto" w:sz="4" w:space="0"/>
                  </w:tcBorders>
                  <w:vAlign w:val="center"/>
                </w:tcPr>
                <w:p w14:paraId="63AABA3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0.399</w:t>
                  </w:r>
                </w:p>
              </w:tc>
              <w:tc>
                <w:tcPr>
                  <w:tcW w:w="562" w:type="pct"/>
                  <w:tcBorders>
                    <w:top w:val="single" w:color="auto" w:sz="4" w:space="0"/>
                    <w:left w:val="single" w:color="auto" w:sz="4" w:space="0"/>
                    <w:bottom w:val="single" w:color="auto" w:sz="4" w:space="0"/>
                    <w:right w:val="single" w:color="auto" w:sz="4" w:space="0"/>
                  </w:tcBorders>
                  <w:vAlign w:val="center"/>
                </w:tcPr>
                <w:p w14:paraId="27B7A24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4AD9821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064F1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59FF7D13">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96E24B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51840A2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0.033</w:t>
                  </w:r>
                </w:p>
              </w:tc>
              <w:tc>
                <w:tcPr>
                  <w:tcW w:w="562" w:type="pct"/>
                  <w:tcBorders>
                    <w:top w:val="single" w:color="auto" w:sz="4" w:space="0"/>
                    <w:left w:val="single" w:color="auto" w:sz="4" w:space="0"/>
                    <w:bottom w:val="single" w:color="auto" w:sz="4" w:space="0"/>
                    <w:right w:val="single" w:color="auto" w:sz="4" w:space="0"/>
                  </w:tcBorders>
                  <w:vAlign w:val="center"/>
                </w:tcPr>
                <w:p w14:paraId="51873DE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0.097</w:t>
                  </w:r>
                </w:p>
              </w:tc>
              <w:tc>
                <w:tcPr>
                  <w:tcW w:w="562" w:type="pct"/>
                  <w:tcBorders>
                    <w:top w:val="single" w:color="auto" w:sz="4" w:space="0"/>
                    <w:left w:val="single" w:color="auto" w:sz="4" w:space="0"/>
                    <w:bottom w:val="single" w:color="auto" w:sz="4" w:space="0"/>
                    <w:right w:val="single" w:color="auto" w:sz="4" w:space="0"/>
                  </w:tcBorders>
                  <w:vAlign w:val="center"/>
                </w:tcPr>
                <w:p w14:paraId="4C5FCEA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0.107</w:t>
                  </w:r>
                </w:p>
              </w:tc>
              <w:tc>
                <w:tcPr>
                  <w:tcW w:w="566" w:type="pct"/>
                  <w:tcBorders>
                    <w:top w:val="single" w:color="auto" w:sz="4" w:space="0"/>
                    <w:left w:val="single" w:color="auto" w:sz="4" w:space="0"/>
                    <w:bottom w:val="single" w:color="auto" w:sz="4" w:space="0"/>
                    <w:right w:val="single" w:color="auto" w:sz="4" w:space="0"/>
                  </w:tcBorders>
                  <w:vAlign w:val="center"/>
                </w:tcPr>
                <w:p w14:paraId="12875B1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0.127</w:t>
                  </w:r>
                </w:p>
              </w:tc>
              <w:tc>
                <w:tcPr>
                  <w:tcW w:w="562" w:type="pct"/>
                  <w:tcBorders>
                    <w:top w:val="single" w:color="auto" w:sz="4" w:space="0"/>
                    <w:left w:val="single" w:color="auto" w:sz="4" w:space="0"/>
                    <w:bottom w:val="single" w:color="auto" w:sz="4" w:space="0"/>
                    <w:right w:val="single" w:color="auto" w:sz="4" w:space="0"/>
                  </w:tcBorders>
                  <w:vAlign w:val="center"/>
                </w:tcPr>
                <w:p w14:paraId="6DBE88A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w:t>
                  </w:r>
                </w:p>
              </w:tc>
              <w:tc>
                <w:tcPr>
                  <w:tcW w:w="562" w:type="pct"/>
                  <w:tcBorders>
                    <w:top w:val="single" w:color="auto" w:sz="4" w:space="0"/>
                    <w:left w:val="single" w:color="auto" w:sz="4" w:space="0"/>
                    <w:bottom w:val="single" w:color="auto" w:sz="4" w:space="0"/>
                    <w:right w:val="single" w:color="auto" w:sz="4" w:space="0"/>
                  </w:tcBorders>
                  <w:vAlign w:val="center"/>
                </w:tcPr>
                <w:p w14:paraId="418E305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06E124D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7796D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2452F364">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1D500EB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2351054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0.004</w:t>
                  </w:r>
                </w:p>
              </w:tc>
              <w:tc>
                <w:tcPr>
                  <w:tcW w:w="562" w:type="pct"/>
                  <w:tcBorders>
                    <w:top w:val="single" w:color="auto" w:sz="4" w:space="0"/>
                    <w:left w:val="single" w:color="auto" w:sz="4" w:space="0"/>
                    <w:bottom w:val="single" w:color="auto" w:sz="4" w:space="0"/>
                    <w:right w:val="single" w:color="auto" w:sz="4" w:space="0"/>
                  </w:tcBorders>
                  <w:vAlign w:val="center"/>
                </w:tcPr>
                <w:p w14:paraId="76435DB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0.0087</w:t>
                  </w:r>
                </w:p>
              </w:tc>
              <w:tc>
                <w:tcPr>
                  <w:tcW w:w="562" w:type="pct"/>
                  <w:tcBorders>
                    <w:top w:val="single" w:color="auto" w:sz="4" w:space="0"/>
                    <w:left w:val="single" w:color="auto" w:sz="4" w:space="0"/>
                    <w:bottom w:val="single" w:color="auto" w:sz="4" w:space="0"/>
                    <w:right w:val="single" w:color="auto" w:sz="4" w:space="0"/>
                  </w:tcBorders>
                  <w:vAlign w:val="center"/>
                </w:tcPr>
                <w:p w14:paraId="116FEE4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566" w:type="pct"/>
                  <w:tcBorders>
                    <w:top w:val="single" w:color="auto" w:sz="4" w:space="0"/>
                    <w:left w:val="single" w:color="auto" w:sz="4" w:space="0"/>
                    <w:bottom w:val="single" w:color="auto" w:sz="4" w:space="0"/>
                    <w:right w:val="single" w:color="auto" w:sz="4" w:space="0"/>
                  </w:tcBorders>
                  <w:vAlign w:val="center"/>
                </w:tcPr>
                <w:p w14:paraId="0E160DA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w:t>
                  </w:r>
                </w:p>
              </w:tc>
              <w:tc>
                <w:tcPr>
                  <w:tcW w:w="562" w:type="pct"/>
                  <w:tcBorders>
                    <w:top w:val="single" w:color="auto" w:sz="4" w:space="0"/>
                    <w:left w:val="single" w:color="auto" w:sz="4" w:space="0"/>
                    <w:bottom w:val="single" w:color="auto" w:sz="4" w:space="0"/>
                    <w:right w:val="single" w:color="auto" w:sz="4" w:space="0"/>
                  </w:tcBorders>
                  <w:vAlign w:val="center"/>
                </w:tcPr>
                <w:p w14:paraId="7F16F8B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0.0147</w:t>
                  </w:r>
                </w:p>
              </w:tc>
              <w:tc>
                <w:tcPr>
                  <w:tcW w:w="562" w:type="pct"/>
                  <w:tcBorders>
                    <w:top w:val="single" w:color="auto" w:sz="4" w:space="0"/>
                    <w:left w:val="single" w:color="auto" w:sz="4" w:space="0"/>
                    <w:bottom w:val="single" w:color="auto" w:sz="4" w:space="0"/>
                    <w:right w:val="single" w:color="auto" w:sz="4" w:space="0"/>
                  </w:tcBorders>
                  <w:vAlign w:val="center"/>
                </w:tcPr>
                <w:p w14:paraId="2F515D8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5F7DC90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229B5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719E9FB6">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6D6208B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64F56192">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eastAsia="zh-CN"/>
                    </w:rPr>
                    <w:t>&lt;</w:t>
                  </w:r>
                  <w:r>
                    <w:rPr>
                      <w:rFonts w:hint="default" w:ascii="Times New Roman" w:hAnsi="Times New Roman" w:eastAsia="宋体" w:cs="Times New Roman"/>
                      <w:color w:val="auto"/>
                      <w:sz w:val="21"/>
                      <w:szCs w:val="20"/>
                      <w:highlight w:val="none"/>
                    </w:rPr>
                    <w:t>10</w:t>
                  </w:r>
                </w:p>
              </w:tc>
              <w:tc>
                <w:tcPr>
                  <w:tcW w:w="562" w:type="pct"/>
                  <w:tcBorders>
                    <w:top w:val="single" w:color="auto" w:sz="4" w:space="0"/>
                    <w:left w:val="single" w:color="auto" w:sz="4" w:space="0"/>
                    <w:bottom w:val="single" w:color="auto" w:sz="4" w:space="0"/>
                    <w:right w:val="single" w:color="auto" w:sz="4" w:space="0"/>
                  </w:tcBorders>
                  <w:vAlign w:val="center"/>
                </w:tcPr>
                <w:p w14:paraId="34ACF91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4" w:space="0"/>
                    <w:right w:val="single" w:color="auto" w:sz="4" w:space="0"/>
                  </w:tcBorders>
                  <w:vAlign w:val="center"/>
                </w:tcPr>
                <w:p w14:paraId="6ADC425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6" w:type="pct"/>
                  <w:tcBorders>
                    <w:top w:val="single" w:color="auto" w:sz="4" w:space="0"/>
                    <w:left w:val="single" w:color="auto" w:sz="4" w:space="0"/>
                    <w:bottom w:val="single" w:color="auto" w:sz="4" w:space="0"/>
                    <w:right w:val="single" w:color="auto" w:sz="4" w:space="0"/>
                  </w:tcBorders>
                  <w:vAlign w:val="center"/>
                </w:tcPr>
                <w:p w14:paraId="1EE9E7C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2" w:type="pct"/>
                  <w:tcBorders>
                    <w:top w:val="single" w:color="auto" w:sz="4" w:space="0"/>
                    <w:left w:val="single" w:color="auto" w:sz="4" w:space="0"/>
                    <w:bottom w:val="single" w:color="auto" w:sz="4" w:space="0"/>
                    <w:right w:val="single" w:color="auto" w:sz="4" w:space="0"/>
                  </w:tcBorders>
                  <w:vAlign w:val="center"/>
                </w:tcPr>
                <w:p w14:paraId="0E6DDE5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27F68A2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381F44B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5451C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3DBA9801">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9月</w:t>
                  </w:r>
                </w:p>
              </w:tc>
              <w:tc>
                <w:tcPr>
                  <w:tcW w:w="665" w:type="pct"/>
                  <w:tcBorders>
                    <w:top w:val="single" w:color="auto" w:sz="4" w:space="0"/>
                    <w:left w:val="single" w:color="auto" w:sz="4" w:space="0"/>
                    <w:bottom w:val="single" w:color="auto" w:sz="4" w:space="0"/>
                    <w:right w:val="single" w:color="auto" w:sz="4" w:space="0"/>
                  </w:tcBorders>
                  <w:vAlign w:val="center"/>
                </w:tcPr>
                <w:p w14:paraId="3A66209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7AFD7D4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0.216</w:t>
                  </w:r>
                </w:p>
              </w:tc>
              <w:tc>
                <w:tcPr>
                  <w:tcW w:w="562" w:type="pct"/>
                  <w:tcBorders>
                    <w:top w:val="single" w:color="auto" w:sz="4" w:space="0"/>
                    <w:left w:val="single" w:color="auto" w:sz="4" w:space="0"/>
                    <w:bottom w:val="single" w:color="auto" w:sz="4" w:space="0"/>
                    <w:right w:val="single" w:color="auto" w:sz="4" w:space="0"/>
                  </w:tcBorders>
                  <w:vAlign w:val="center"/>
                </w:tcPr>
                <w:p w14:paraId="69BCC62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0.311</w:t>
                  </w:r>
                </w:p>
              </w:tc>
              <w:tc>
                <w:tcPr>
                  <w:tcW w:w="562" w:type="pct"/>
                  <w:tcBorders>
                    <w:top w:val="single" w:color="auto" w:sz="4" w:space="0"/>
                    <w:left w:val="single" w:color="auto" w:sz="4" w:space="0"/>
                    <w:bottom w:val="single" w:color="auto" w:sz="4" w:space="0"/>
                    <w:right w:val="single" w:color="auto" w:sz="4" w:space="0"/>
                  </w:tcBorders>
                  <w:vAlign w:val="center"/>
                </w:tcPr>
                <w:p w14:paraId="0A0A44E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0.332</w:t>
                  </w:r>
                </w:p>
              </w:tc>
              <w:tc>
                <w:tcPr>
                  <w:tcW w:w="566" w:type="pct"/>
                  <w:tcBorders>
                    <w:top w:val="single" w:color="auto" w:sz="4" w:space="0"/>
                    <w:left w:val="single" w:color="auto" w:sz="4" w:space="0"/>
                    <w:bottom w:val="single" w:color="auto" w:sz="4" w:space="0"/>
                    <w:right w:val="single" w:color="auto" w:sz="4" w:space="0"/>
                  </w:tcBorders>
                  <w:vAlign w:val="center"/>
                </w:tcPr>
                <w:p w14:paraId="4701DBA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0.313</w:t>
                  </w:r>
                </w:p>
              </w:tc>
              <w:tc>
                <w:tcPr>
                  <w:tcW w:w="562" w:type="pct"/>
                  <w:tcBorders>
                    <w:top w:val="single" w:color="auto" w:sz="4" w:space="0"/>
                    <w:left w:val="single" w:color="auto" w:sz="4" w:space="0"/>
                    <w:bottom w:val="single" w:color="auto" w:sz="4" w:space="0"/>
                    <w:right w:val="single" w:color="auto" w:sz="4" w:space="0"/>
                  </w:tcBorders>
                  <w:vAlign w:val="center"/>
                </w:tcPr>
                <w:p w14:paraId="2D54AD6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0.397</w:t>
                  </w:r>
                </w:p>
              </w:tc>
              <w:tc>
                <w:tcPr>
                  <w:tcW w:w="562" w:type="pct"/>
                  <w:tcBorders>
                    <w:top w:val="single" w:color="auto" w:sz="4" w:space="0"/>
                    <w:left w:val="single" w:color="auto" w:sz="4" w:space="0"/>
                    <w:bottom w:val="single" w:color="auto" w:sz="4" w:space="0"/>
                    <w:right w:val="single" w:color="auto" w:sz="4" w:space="0"/>
                  </w:tcBorders>
                  <w:vAlign w:val="center"/>
                </w:tcPr>
                <w:p w14:paraId="248CF51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4EA2BDA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5574F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5F578C9F">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CBA891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5B298B8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0.033</w:t>
                  </w:r>
                </w:p>
              </w:tc>
              <w:tc>
                <w:tcPr>
                  <w:tcW w:w="562" w:type="pct"/>
                  <w:tcBorders>
                    <w:top w:val="single" w:color="auto" w:sz="4" w:space="0"/>
                    <w:left w:val="single" w:color="auto" w:sz="4" w:space="0"/>
                    <w:bottom w:val="single" w:color="auto" w:sz="4" w:space="0"/>
                    <w:right w:val="single" w:color="auto" w:sz="4" w:space="0"/>
                  </w:tcBorders>
                  <w:vAlign w:val="center"/>
                </w:tcPr>
                <w:p w14:paraId="63DA638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62" w:type="pct"/>
                  <w:tcBorders>
                    <w:top w:val="single" w:color="auto" w:sz="4" w:space="0"/>
                    <w:left w:val="single" w:color="auto" w:sz="4" w:space="0"/>
                    <w:bottom w:val="single" w:color="auto" w:sz="4" w:space="0"/>
                    <w:right w:val="single" w:color="auto" w:sz="4" w:space="0"/>
                  </w:tcBorders>
                  <w:vAlign w:val="center"/>
                </w:tcPr>
                <w:p w14:paraId="4C2A0A3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0.127</w:t>
                  </w:r>
                </w:p>
              </w:tc>
              <w:tc>
                <w:tcPr>
                  <w:tcW w:w="566" w:type="pct"/>
                  <w:tcBorders>
                    <w:top w:val="single" w:color="auto" w:sz="4" w:space="0"/>
                    <w:left w:val="single" w:color="auto" w:sz="4" w:space="0"/>
                    <w:bottom w:val="single" w:color="auto" w:sz="4" w:space="0"/>
                    <w:right w:val="single" w:color="auto" w:sz="4" w:space="0"/>
                  </w:tcBorders>
                  <w:vAlign w:val="center"/>
                </w:tcPr>
                <w:p w14:paraId="03D5B7D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0.133</w:t>
                  </w:r>
                </w:p>
              </w:tc>
              <w:tc>
                <w:tcPr>
                  <w:tcW w:w="562" w:type="pct"/>
                  <w:tcBorders>
                    <w:top w:val="single" w:color="auto" w:sz="4" w:space="0"/>
                    <w:left w:val="single" w:color="auto" w:sz="4" w:space="0"/>
                    <w:bottom w:val="single" w:color="auto" w:sz="4" w:space="0"/>
                    <w:right w:val="single" w:color="auto" w:sz="4" w:space="0"/>
                  </w:tcBorders>
                  <w:vAlign w:val="center"/>
                </w:tcPr>
                <w:p w14:paraId="38FA9C3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0.183</w:t>
                  </w:r>
                </w:p>
              </w:tc>
              <w:tc>
                <w:tcPr>
                  <w:tcW w:w="562" w:type="pct"/>
                  <w:tcBorders>
                    <w:top w:val="single" w:color="auto" w:sz="4" w:space="0"/>
                    <w:left w:val="single" w:color="auto" w:sz="4" w:space="0"/>
                    <w:bottom w:val="single" w:color="auto" w:sz="4" w:space="0"/>
                    <w:right w:val="single" w:color="auto" w:sz="4" w:space="0"/>
                  </w:tcBorders>
                  <w:vAlign w:val="center"/>
                </w:tcPr>
                <w:p w14:paraId="0148573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4F464294">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C451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03026903">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0E83462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5D27D4A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0.004</w:t>
                  </w:r>
                </w:p>
              </w:tc>
              <w:tc>
                <w:tcPr>
                  <w:tcW w:w="562" w:type="pct"/>
                  <w:tcBorders>
                    <w:top w:val="single" w:color="auto" w:sz="4" w:space="0"/>
                    <w:left w:val="single" w:color="auto" w:sz="4" w:space="0"/>
                    <w:bottom w:val="single" w:color="auto" w:sz="4" w:space="0"/>
                    <w:right w:val="single" w:color="auto" w:sz="4" w:space="0"/>
                  </w:tcBorders>
                  <w:vAlign w:val="center"/>
                </w:tcPr>
                <w:p w14:paraId="5C163D9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562" w:type="pct"/>
                  <w:tcBorders>
                    <w:top w:val="single" w:color="auto" w:sz="4" w:space="0"/>
                    <w:left w:val="single" w:color="auto" w:sz="4" w:space="0"/>
                    <w:bottom w:val="single" w:color="auto" w:sz="4" w:space="0"/>
                    <w:right w:val="single" w:color="auto" w:sz="4" w:space="0"/>
                  </w:tcBorders>
                  <w:vAlign w:val="center"/>
                </w:tcPr>
                <w:p w14:paraId="5C45E72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0.0087</w:t>
                  </w:r>
                </w:p>
              </w:tc>
              <w:tc>
                <w:tcPr>
                  <w:tcW w:w="566" w:type="pct"/>
                  <w:tcBorders>
                    <w:top w:val="single" w:color="auto" w:sz="4" w:space="0"/>
                    <w:left w:val="single" w:color="auto" w:sz="4" w:space="0"/>
                    <w:bottom w:val="single" w:color="auto" w:sz="4" w:space="0"/>
                    <w:right w:val="single" w:color="auto" w:sz="4" w:space="0"/>
                  </w:tcBorders>
                  <w:vAlign w:val="center"/>
                </w:tcPr>
                <w:p w14:paraId="00C0C0F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0.0107</w:t>
                  </w:r>
                </w:p>
              </w:tc>
              <w:tc>
                <w:tcPr>
                  <w:tcW w:w="562" w:type="pct"/>
                  <w:tcBorders>
                    <w:top w:val="single" w:color="auto" w:sz="4" w:space="0"/>
                    <w:left w:val="single" w:color="auto" w:sz="4" w:space="0"/>
                    <w:bottom w:val="single" w:color="auto" w:sz="4" w:space="0"/>
                    <w:right w:val="single" w:color="auto" w:sz="4" w:space="0"/>
                  </w:tcBorders>
                  <w:vAlign w:val="center"/>
                </w:tcPr>
                <w:p w14:paraId="7DB6C33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562" w:type="pct"/>
                  <w:tcBorders>
                    <w:top w:val="single" w:color="auto" w:sz="4" w:space="0"/>
                    <w:left w:val="single" w:color="auto" w:sz="4" w:space="0"/>
                    <w:bottom w:val="single" w:color="auto" w:sz="4" w:space="0"/>
                    <w:right w:val="single" w:color="auto" w:sz="4" w:space="0"/>
                  </w:tcBorders>
                  <w:vAlign w:val="center"/>
                </w:tcPr>
                <w:p w14:paraId="676C749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46C0C4A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BD9E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3269E2CE">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232EB71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5233381C">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eastAsia="zh-CN"/>
                    </w:rPr>
                    <w:t>&lt;</w:t>
                  </w:r>
                  <w:r>
                    <w:rPr>
                      <w:rFonts w:hint="default" w:ascii="Times New Roman" w:hAnsi="Times New Roman" w:eastAsia="宋体" w:cs="Times New Roman"/>
                      <w:color w:val="auto"/>
                      <w:sz w:val="21"/>
                      <w:szCs w:val="20"/>
                      <w:highlight w:val="none"/>
                    </w:rPr>
                    <w:t>10</w:t>
                  </w:r>
                </w:p>
              </w:tc>
              <w:tc>
                <w:tcPr>
                  <w:tcW w:w="562" w:type="pct"/>
                  <w:tcBorders>
                    <w:top w:val="single" w:color="auto" w:sz="4" w:space="0"/>
                    <w:left w:val="single" w:color="auto" w:sz="4" w:space="0"/>
                    <w:bottom w:val="single" w:color="auto" w:sz="4" w:space="0"/>
                    <w:right w:val="single" w:color="auto" w:sz="4" w:space="0"/>
                  </w:tcBorders>
                  <w:vAlign w:val="center"/>
                </w:tcPr>
                <w:p w14:paraId="11FC77F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1D92365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6" w:type="pct"/>
                  <w:tcBorders>
                    <w:top w:val="single" w:color="auto" w:sz="4" w:space="0"/>
                    <w:left w:val="single" w:color="auto" w:sz="4" w:space="0"/>
                    <w:bottom w:val="single" w:color="auto" w:sz="4" w:space="0"/>
                    <w:right w:val="single" w:color="auto" w:sz="4" w:space="0"/>
                  </w:tcBorders>
                  <w:vAlign w:val="center"/>
                </w:tcPr>
                <w:p w14:paraId="0D3C512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5E01DD9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089EF24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54C244E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561AF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314AFC33">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10月</w:t>
                  </w:r>
                </w:p>
              </w:tc>
              <w:tc>
                <w:tcPr>
                  <w:tcW w:w="665" w:type="pct"/>
                  <w:tcBorders>
                    <w:top w:val="single" w:color="auto" w:sz="4" w:space="0"/>
                    <w:left w:val="single" w:color="auto" w:sz="4" w:space="0"/>
                    <w:bottom w:val="single" w:color="auto" w:sz="4" w:space="0"/>
                    <w:right w:val="single" w:color="auto" w:sz="4" w:space="0"/>
                  </w:tcBorders>
                  <w:vAlign w:val="center"/>
                </w:tcPr>
                <w:p w14:paraId="24B9F88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0D80689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0.271</w:t>
                  </w:r>
                </w:p>
              </w:tc>
              <w:tc>
                <w:tcPr>
                  <w:tcW w:w="562" w:type="pct"/>
                  <w:tcBorders>
                    <w:top w:val="single" w:color="auto" w:sz="4" w:space="0"/>
                    <w:left w:val="single" w:color="auto" w:sz="4" w:space="0"/>
                    <w:bottom w:val="single" w:color="auto" w:sz="4" w:space="0"/>
                    <w:right w:val="single" w:color="auto" w:sz="4" w:space="0"/>
                  </w:tcBorders>
                  <w:vAlign w:val="center"/>
                </w:tcPr>
                <w:p w14:paraId="1239A4B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0.327</w:t>
                  </w:r>
                </w:p>
              </w:tc>
              <w:tc>
                <w:tcPr>
                  <w:tcW w:w="562" w:type="pct"/>
                  <w:tcBorders>
                    <w:top w:val="single" w:color="auto" w:sz="4" w:space="0"/>
                    <w:left w:val="single" w:color="auto" w:sz="4" w:space="0"/>
                    <w:bottom w:val="single" w:color="auto" w:sz="4" w:space="0"/>
                    <w:right w:val="single" w:color="auto" w:sz="4" w:space="0"/>
                  </w:tcBorders>
                  <w:vAlign w:val="center"/>
                </w:tcPr>
                <w:p w14:paraId="48704F2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0.367</w:t>
                  </w:r>
                </w:p>
              </w:tc>
              <w:tc>
                <w:tcPr>
                  <w:tcW w:w="566" w:type="pct"/>
                  <w:tcBorders>
                    <w:top w:val="single" w:color="auto" w:sz="4" w:space="0"/>
                    <w:left w:val="single" w:color="auto" w:sz="4" w:space="0"/>
                    <w:bottom w:val="single" w:color="auto" w:sz="4" w:space="0"/>
                    <w:right w:val="single" w:color="auto" w:sz="4" w:space="0"/>
                  </w:tcBorders>
                  <w:vAlign w:val="center"/>
                </w:tcPr>
                <w:p w14:paraId="179A5D9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0.343</w:t>
                  </w:r>
                </w:p>
              </w:tc>
              <w:tc>
                <w:tcPr>
                  <w:tcW w:w="562" w:type="pct"/>
                  <w:tcBorders>
                    <w:top w:val="single" w:color="auto" w:sz="4" w:space="0"/>
                    <w:left w:val="single" w:color="auto" w:sz="4" w:space="0"/>
                    <w:bottom w:val="single" w:color="auto" w:sz="4" w:space="0"/>
                    <w:right w:val="single" w:color="auto" w:sz="4" w:space="0"/>
                  </w:tcBorders>
                  <w:vAlign w:val="center"/>
                </w:tcPr>
                <w:p w14:paraId="1806624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0.353</w:t>
                  </w:r>
                </w:p>
              </w:tc>
              <w:tc>
                <w:tcPr>
                  <w:tcW w:w="562" w:type="pct"/>
                  <w:tcBorders>
                    <w:top w:val="single" w:color="auto" w:sz="4" w:space="0"/>
                    <w:left w:val="single" w:color="auto" w:sz="4" w:space="0"/>
                    <w:bottom w:val="single" w:color="auto" w:sz="4" w:space="0"/>
                    <w:right w:val="single" w:color="auto" w:sz="4" w:space="0"/>
                  </w:tcBorders>
                  <w:vAlign w:val="center"/>
                </w:tcPr>
                <w:p w14:paraId="47F5C6A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3AD3456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02778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634F1B6D">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6CDC05E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4FDC536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1"/>
                      <w:highlight w:val="none"/>
                    </w:rPr>
                    <w:t>0.037</w:t>
                  </w:r>
                </w:p>
              </w:tc>
              <w:tc>
                <w:tcPr>
                  <w:tcW w:w="562" w:type="pct"/>
                  <w:tcBorders>
                    <w:top w:val="single" w:color="auto" w:sz="4" w:space="0"/>
                    <w:left w:val="single" w:color="auto" w:sz="4" w:space="0"/>
                    <w:bottom w:val="single" w:color="auto" w:sz="4" w:space="0"/>
                    <w:right w:val="single" w:color="auto" w:sz="4" w:space="0"/>
                  </w:tcBorders>
                  <w:vAlign w:val="center"/>
                </w:tcPr>
                <w:p w14:paraId="5279600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0.097</w:t>
                  </w:r>
                </w:p>
              </w:tc>
              <w:tc>
                <w:tcPr>
                  <w:tcW w:w="562" w:type="pct"/>
                  <w:tcBorders>
                    <w:top w:val="single" w:color="auto" w:sz="4" w:space="0"/>
                    <w:left w:val="single" w:color="auto" w:sz="4" w:space="0"/>
                    <w:bottom w:val="single" w:color="auto" w:sz="4" w:space="0"/>
                    <w:right w:val="single" w:color="auto" w:sz="4" w:space="0"/>
                  </w:tcBorders>
                  <w:vAlign w:val="center"/>
                </w:tcPr>
                <w:p w14:paraId="1565C7C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0.073</w:t>
                  </w:r>
                </w:p>
              </w:tc>
              <w:tc>
                <w:tcPr>
                  <w:tcW w:w="566" w:type="pct"/>
                  <w:tcBorders>
                    <w:top w:val="single" w:color="auto" w:sz="4" w:space="0"/>
                    <w:left w:val="single" w:color="auto" w:sz="4" w:space="0"/>
                    <w:bottom w:val="single" w:color="auto" w:sz="4" w:space="0"/>
                    <w:right w:val="single" w:color="auto" w:sz="4" w:space="0"/>
                  </w:tcBorders>
                  <w:vAlign w:val="center"/>
                </w:tcPr>
                <w:p w14:paraId="7CAF0CD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w:t>
                  </w:r>
                </w:p>
              </w:tc>
              <w:tc>
                <w:tcPr>
                  <w:tcW w:w="562" w:type="pct"/>
                  <w:tcBorders>
                    <w:top w:val="single" w:color="auto" w:sz="4" w:space="0"/>
                    <w:left w:val="single" w:color="auto" w:sz="4" w:space="0"/>
                    <w:bottom w:val="single" w:color="auto" w:sz="4" w:space="0"/>
                    <w:right w:val="single" w:color="auto" w:sz="4" w:space="0"/>
                  </w:tcBorders>
                  <w:vAlign w:val="center"/>
                </w:tcPr>
                <w:p w14:paraId="628B85B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c>
                <w:tcPr>
                  <w:tcW w:w="562" w:type="pct"/>
                  <w:tcBorders>
                    <w:top w:val="single" w:color="auto" w:sz="4" w:space="0"/>
                    <w:left w:val="single" w:color="auto" w:sz="4" w:space="0"/>
                    <w:bottom w:val="single" w:color="auto" w:sz="4" w:space="0"/>
                    <w:right w:val="single" w:color="auto" w:sz="4" w:space="0"/>
                  </w:tcBorders>
                  <w:vAlign w:val="center"/>
                </w:tcPr>
                <w:p w14:paraId="1D969F5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366CAEB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6BF6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3F674AC0">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78AB86F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67665D3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0.0037</w:t>
                  </w:r>
                </w:p>
              </w:tc>
              <w:tc>
                <w:tcPr>
                  <w:tcW w:w="562" w:type="pct"/>
                  <w:tcBorders>
                    <w:top w:val="single" w:color="auto" w:sz="4" w:space="0"/>
                    <w:left w:val="single" w:color="auto" w:sz="4" w:space="0"/>
                    <w:bottom w:val="single" w:color="auto" w:sz="4" w:space="0"/>
                    <w:right w:val="single" w:color="auto" w:sz="4" w:space="0"/>
                  </w:tcBorders>
                  <w:vAlign w:val="center"/>
                </w:tcPr>
                <w:p w14:paraId="5D1307E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562" w:type="pct"/>
                  <w:tcBorders>
                    <w:top w:val="single" w:color="auto" w:sz="4" w:space="0"/>
                    <w:left w:val="single" w:color="auto" w:sz="4" w:space="0"/>
                    <w:bottom w:val="single" w:color="auto" w:sz="4" w:space="0"/>
                    <w:right w:val="single" w:color="auto" w:sz="4" w:space="0"/>
                  </w:tcBorders>
                  <w:vAlign w:val="center"/>
                </w:tcPr>
                <w:p w14:paraId="3E24267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566" w:type="pct"/>
                  <w:tcBorders>
                    <w:top w:val="single" w:color="auto" w:sz="4" w:space="0"/>
                    <w:left w:val="single" w:color="auto" w:sz="4" w:space="0"/>
                    <w:bottom w:val="single" w:color="auto" w:sz="4" w:space="0"/>
                    <w:right w:val="single" w:color="auto" w:sz="4" w:space="0"/>
                  </w:tcBorders>
                  <w:vAlign w:val="center"/>
                </w:tcPr>
                <w:p w14:paraId="0BE406B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562" w:type="pct"/>
                  <w:tcBorders>
                    <w:top w:val="single" w:color="auto" w:sz="4" w:space="0"/>
                    <w:left w:val="single" w:color="auto" w:sz="4" w:space="0"/>
                    <w:bottom w:val="single" w:color="auto" w:sz="4" w:space="0"/>
                    <w:right w:val="single" w:color="auto" w:sz="4" w:space="0"/>
                  </w:tcBorders>
                  <w:vAlign w:val="center"/>
                </w:tcPr>
                <w:p w14:paraId="45E1398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0.0123</w:t>
                  </w:r>
                </w:p>
              </w:tc>
              <w:tc>
                <w:tcPr>
                  <w:tcW w:w="562" w:type="pct"/>
                  <w:tcBorders>
                    <w:top w:val="single" w:color="auto" w:sz="4" w:space="0"/>
                    <w:left w:val="single" w:color="auto" w:sz="4" w:space="0"/>
                    <w:bottom w:val="single" w:color="auto" w:sz="4" w:space="0"/>
                    <w:right w:val="single" w:color="auto" w:sz="4" w:space="0"/>
                  </w:tcBorders>
                  <w:vAlign w:val="center"/>
                </w:tcPr>
                <w:p w14:paraId="6C697EC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2630BC9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5A876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68D4067D">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2909EAF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7C87BB60">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eastAsia="zh-CN"/>
                    </w:rPr>
                    <w:t>&lt;</w:t>
                  </w:r>
                  <w:r>
                    <w:rPr>
                      <w:rFonts w:hint="default" w:ascii="Times New Roman" w:hAnsi="Times New Roman" w:eastAsia="宋体" w:cs="Times New Roman"/>
                      <w:color w:val="auto"/>
                      <w:sz w:val="21"/>
                      <w:szCs w:val="20"/>
                      <w:highlight w:val="none"/>
                    </w:rPr>
                    <w:t>10</w:t>
                  </w:r>
                </w:p>
              </w:tc>
              <w:tc>
                <w:tcPr>
                  <w:tcW w:w="562" w:type="pct"/>
                  <w:tcBorders>
                    <w:top w:val="single" w:color="auto" w:sz="4" w:space="0"/>
                    <w:left w:val="single" w:color="auto" w:sz="4" w:space="0"/>
                    <w:bottom w:val="single" w:color="auto" w:sz="4" w:space="0"/>
                    <w:right w:val="single" w:color="auto" w:sz="4" w:space="0"/>
                  </w:tcBorders>
                  <w:vAlign w:val="center"/>
                </w:tcPr>
                <w:p w14:paraId="7E2C542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4" w:space="0"/>
                    <w:right w:val="single" w:color="auto" w:sz="4" w:space="0"/>
                  </w:tcBorders>
                  <w:vAlign w:val="center"/>
                </w:tcPr>
                <w:p w14:paraId="05A6176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6" w:type="pct"/>
                  <w:tcBorders>
                    <w:top w:val="single" w:color="auto" w:sz="4" w:space="0"/>
                    <w:left w:val="single" w:color="auto" w:sz="4" w:space="0"/>
                    <w:bottom w:val="single" w:color="auto" w:sz="4" w:space="0"/>
                    <w:right w:val="single" w:color="auto" w:sz="4" w:space="0"/>
                  </w:tcBorders>
                  <w:vAlign w:val="center"/>
                </w:tcPr>
                <w:p w14:paraId="4FDC377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4E48856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2" w:type="pct"/>
                  <w:tcBorders>
                    <w:top w:val="single" w:color="auto" w:sz="4" w:space="0"/>
                    <w:left w:val="single" w:color="auto" w:sz="4" w:space="0"/>
                    <w:bottom w:val="single" w:color="auto" w:sz="4" w:space="0"/>
                    <w:right w:val="single" w:color="auto" w:sz="4" w:space="0"/>
                  </w:tcBorders>
                  <w:vAlign w:val="center"/>
                </w:tcPr>
                <w:p w14:paraId="4F33A57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0B5F1A7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272EB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181901F5">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11月</w:t>
                  </w:r>
                </w:p>
              </w:tc>
              <w:tc>
                <w:tcPr>
                  <w:tcW w:w="665" w:type="pct"/>
                  <w:tcBorders>
                    <w:top w:val="single" w:color="auto" w:sz="4" w:space="0"/>
                    <w:left w:val="single" w:color="auto" w:sz="4" w:space="0"/>
                    <w:bottom w:val="single" w:color="auto" w:sz="4" w:space="0"/>
                    <w:right w:val="single" w:color="auto" w:sz="4" w:space="0"/>
                  </w:tcBorders>
                  <w:vAlign w:val="center"/>
                </w:tcPr>
                <w:p w14:paraId="126CD26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73D1387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0.262</w:t>
                  </w:r>
                </w:p>
              </w:tc>
              <w:tc>
                <w:tcPr>
                  <w:tcW w:w="562" w:type="pct"/>
                  <w:tcBorders>
                    <w:top w:val="single" w:color="auto" w:sz="4" w:space="0"/>
                    <w:left w:val="single" w:color="auto" w:sz="4" w:space="0"/>
                    <w:bottom w:val="single" w:color="auto" w:sz="4" w:space="0"/>
                    <w:right w:val="single" w:color="auto" w:sz="4" w:space="0"/>
                  </w:tcBorders>
                  <w:vAlign w:val="center"/>
                </w:tcPr>
                <w:p w14:paraId="3C705F7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0.316</w:t>
                  </w:r>
                </w:p>
              </w:tc>
              <w:tc>
                <w:tcPr>
                  <w:tcW w:w="562" w:type="pct"/>
                  <w:tcBorders>
                    <w:top w:val="single" w:color="auto" w:sz="4" w:space="0"/>
                    <w:left w:val="single" w:color="auto" w:sz="4" w:space="0"/>
                    <w:bottom w:val="single" w:color="auto" w:sz="4" w:space="0"/>
                    <w:right w:val="single" w:color="auto" w:sz="4" w:space="0"/>
                  </w:tcBorders>
                  <w:vAlign w:val="center"/>
                </w:tcPr>
                <w:p w14:paraId="3E0BF6A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0.344</w:t>
                  </w:r>
                </w:p>
              </w:tc>
              <w:tc>
                <w:tcPr>
                  <w:tcW w:w="566" w:type="pct"/>
                  <w:tcBorders>
                    <w:top w:val="single" w:color="auto" w:sz="4" w:space="0"/>
                    <w:left w:val="single" w:color="auto" w:sz="4" w:space="0"/>
                    <w:bottom w:val="single" w:color="auto" w:sz="4" w:space="0"/>
                    <w:right w:val="single" w:color="auto" w:sz="4" w:space="0"/>
                  </w:tcBorders>
                  <w:vAlign w:val="center"/>
                </w:tcPr>
                <w:p w14:paraId="6C035AD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0.352</w:t>
                  </w:r>
                </w:p>
              </w:tc>
              <w:tc>
                <w:tcPr>
                  <w:tcW w:w="562" w:type="pct"/>
                  <w:tcBorders>
                    <w:top w:val="single" w:color="auto" w:sz="4" w:space="0"/>
                    <w:left w:val="single" w:color="auto" w:sz="4" w:space="0"/>
                    <w:bottom w:val="single" w:color="auto" w:sz="4" w:space="0"/>
                    <w:right w:val="single" w:color="auto" w:sz="4" w:space="0"/>
                  </w:tcBorders>
                  <w:vAlign w:val="center"/>
                </w:tcPr>
                <w:p w14:paraId="57C1881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0.326</w:t>
                  </w:r>
                </w:p>
              </w:tc>
              <w:tc>
                <w:tcPr>
                  <w:tcW w:w="562" w:type="pct"/>
                  <w:tcBorders>
                    <w:top w:val="single" w:color="auto" w:sz="4" w:space="0"/>
                    <w:left w:val="single" w:color="auto" w:sz="4" w:space="0"/>
                    <w:bottom w:val="single" w:color="auto" w:sz="4" w:space="0"/>
                    <w:right w:val="single" w:color="auto" w:sz="4" w:space="0"/>
                  </w:tcBorders>
                  <w:vAlign w:val="center"/>
                </w:tcPr>
                <w:p w14:paraId="368F5A1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347FD58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0F282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46F17180">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79C247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7C30222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0.04</w:t>
                  </w:r>
                </w:p>
              </w:tc>
              <w:tc>
                <w:tcPr>
                  <w:tcW w:w="562" w:type="pct"/>
                  <w:tcBorders>
                    <w:top w:val="single" w:color="auto" w:sz="4" w:space="0"/>
                    <w:left w:val="single" w:color="auto" w:sz="4" w:space="0"/>
                    <w:bottom w:val="single" w:color="auto" w:sz="4" w:space="0"/>
                    <w:right w:val="single" w:color="auto" w:sz="4" w:space="0"/>
                  </w:tcBorders>
                  <w:vAlign w:val="center"/>
                </w:tcPr>
                <w:p w14:paraId="5D9B171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0.107</w:t>
                  </w:r>
                </w:p>
              </w:tc>
              <w:tc>
                <w:tcPr>
                  <w:tcW w:w="562" w:type="pct"/>
                  <w:tcBorders>
                    <w:top w:val="single" w:color="auto" w:sz="4" w:space="0"/>
                    <w:left w:val="single" w:color="auto" w:sz="4" w:space="0"/>
                    <w:bottom w:val="single" w:color="auto" w:sz="4" w:space="0"/>
                    <w:right w:val="single" w:color="auto" w:sz="4" w:space="0"/>
                  </w:tcBorders>
                  <w:vAlign w:val="center"/>
                </w:tcPr>
                <w:p w14:paraId="21D1E75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0.103</w:t>
                  </w:r>
                </w:p>
              </w:tc>
              <w:tc>
                <w:tcPr>
                  <w:tcW w:w="566" w:type="pct"/>
                  <w:tcBorders>
                    <w:top w:val="single" w:color="auto" w:sz="4" w:space="0"/>
                    <w:left w:val="single" w:color="auto" w:sz="4" w:space="0"/>
                    <w:bottom w:val="single" w:color="auto" w:sz="4" w:space="0"/>
                    <w:right w:val="single" w:color="auto" w:sz="4" w:space="0"/>
                  </w:tcBorders>
                  <w:vAlign w:val="center"/>
                </w:tcPr>
                <w:p w14:paraId="0CA48C2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w:t>
                  </w:r>
                </w:p>
              </w:tc>
              <w:tc>
                <w:tcPr>
                  <w:tcW w:w="562" w:type="pct"/>
                  <w:tcBorders>
                    <w:top w:val="single" w:color="auto" w:sz="4" w:space="0"/>
                    <w:left w:val="single" w:color="auto" w:sz="4" w:space="0"/>
                    <w:bottom w:val="single" w:color="auto" w:sz="4" w:space="0"/>
                    <w:right w:val="single" w:color="auto" w:sz="4" w:space="0"/>
                  </w:tcBorders>
                  <w:vAlign w:val="center"/>
                </w:tcPr>
                <w:p w14:paraId="1FA0CF8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0.093</w:t>
                  </w:r>
                </w:p>
              </w:tc>
              <w:tc>
                <w:tcPr>
                  <w:tcW w:w="562" w:type="pct"/>
                  <w:tcBorders>
                    <w:top w:val="single" w:color="auto" w:sz="4" w:space="0"/>
                    <w:left w:val="single" w:color="auto" w:sz="4" w:space="0"/>
                    <w:bottom w:val="single" w:color="auto" w:sz="4" w:space="0"/>
                    <w:right w:val="single" w:color="auto" w:sz="4" w:space="0"/>
                  </w:tcBorders>
                  <w:vAlign w:val="center"/>
                </w:tcPr>
                <w:p w14:paraId="7746BD2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6FD3106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381C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384604B">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586ED27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2E8C37E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0.0027</w:t>
                  </w:r>
                </w:p>
              </w:tc>
              <w:tc>
                <w:tcPr>
                  <w:tcW w:w="562" w:type="pct"/>
                  <w:tcBorders>
                    <w:top w:val="single" w:color="auto" w:sz="4" w:space="0"/>
                    <w:left w:val="single" w:color="auto" w:sz="4" w:space="0"/>
                    <w:bottom w:val="single" w:color="auto" w:sz="4" w:space="0"/>
                    <w:right w:val="single" w:color="auto" w:sz="4" w:space="0"/>
                  </w:tcBorders>
                  <w:vAlign w:val="center"/>
                </w:tcPr>
                <w:p w14:paraId="5449869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562" w:type="pct"/>
                  <w:tcBorders>
                    <w:top w:val="single" w:color="auto" w:sz="4" w:space="0"/>
                    <w:left w:val="single" w:color="auto" w:sz="4" w:space="0"/>
                    <w:bottom w:val="single" w:color="auto" w:sz="4" w:space="0"/>
                    <w:right w:val="single" w:color="auto" w:sz="4" w:space="0"/>
                  </w:tcBorders>
                  <w:vAlign w:val="center"/>
                </w:tcPr>
                <w:p w14:paraId="23BE0BE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0.0083</w:t>
                  </w:r>
                </w:p>
              </w:tc>
              <w:tc>
                <w:tcPr>
                  <w:tcW w:w="566" w:type="pct"/>
                  <w:tcBorders>
                    <w:top w:val="single" w:color="auto" w:sz="4" w:space="0"/>
                    <w:left w:val="single" w:color="auto" w:sz="4" w:space="0"/>
                    <w:bottom w:val="single" w:color="auto" w:sz="4" w:space="0"/>
                    <w:right w:val="single" w:color="auto" w:sz="4" w:space="0"/>
                  </w:tcBorders>
                  <w:vAlign w:val="center"/>
                </w:tcPr>
                <w:p w14:paraId="4CDA7E3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562" w:type="pct"/>
                  <w:tcBorders>
                    <w:top w:val="single" w:color="auto" w:sz="4" w:space="0"/>
                    <w:left w:val="single" w:color="auto" w:sz="4" w:space="0"/>
                    <w:bottom w:val="single" w:color="auto" w:sz="4" w:space="0"/>
                    <w:right w:val="single" w:color="auto" w:sz="4" w:space="0"/>
                  </w:tcBorders>
                  <w:vAlign w:val="center"/>
                </w:tcPr>
                <w:p w14:paraId="75290F1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0.0107</w:t>
                  </w:r>
                </w:p>
              </w:tc>
              <w:tc>
                <w:tcPr>
                  <w:tcW w:w="562" w:type="pct"/>
                  <w:tcBorders>
                    <w:top w:val="single" w:color="auto" w:sz="4" w:space="0"/>
                    <w:left w:val="single" w:color="auto" w:sz="4" w:space="0"/>
                    <w:bottom w:val="single" w:color="auto" w:sz="4" w:space="0"/>
                    <w:right w:val="single" w:color="auto" w:sz="4" w:space="0"/>
                  </w:tcBorders>
                  <w:vAlign w:val="center"/>
                </w:tcPr>
                <w:p w14:paraId="4335FDD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0958ECD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181B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4" w:space="0"/>
                    <w:right w:val="single" w:color="auto" w:sz="4" w:space="0"/>
                  </w:tcBorders>
                  <w:vAlign w:val="center"/>
                </w:tcPr>
                <w:p w14:paraId="149A75F2">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04AB80D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4" w:space="0"/>
                    <w:right w:val="single" w:color="auto" w:sz="4" w:space="0"/>
                  </w:tcBorders>
                  <w:vAlign w:val="center"/>
                </w:tcPr>
                <w:p w14:paraId="427B376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11</w:t>
                  </w:r>
                </w:p>
              </w:tc>
              <w:tc>
                <w:tcPr>
                  <w:tcW w:w="562" w:type="pct"/>
                  <w:tcBorders>
                    <w:top w:val="single" w:color="auto" w:sz="4" w:space="0"/>
                    <w:left w:val="single" w:color="auto" w:sz="4" w:space="0"/>
                    <w:bottom w:val="single" w:color="auto" w:sz="4" w:space="0"/>
                    <w:right w:val="single" w:color="auto" w:sz="4" w:space="0"/>
                  </w:tcBorders>
                  <w:vAlign w:val="center"/>
                </w:tcPr>
                <w:p w14:paraId="0C08A50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42B01C7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66" w:type="pct"/>
                  <w:tcBorders>
                    <w:top w:val="single" w:color="auto" w:sz="4" w:space="0"/>
                    <w:left w:val="single" w:color="auto" w:sz="4" w:space="0"/>
                    <w:bottom w:val="single" w:color="auto" w:sz="4" w:space="0"/>
                    <w:right w:val="single" w:color="auto" w:sz="4" w:space="0"/>
                  </w:tcBorders>
                  <w:vAlign w:val="center"/>
                </w:tcPr>
                <w:p w14:paraId="7940E50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2" w:type="pct"/>
                  <w:tcBorders>
                    <w:top w:val="single" w:color="auto" w:sz="4" w:space="0"/>
                    <w:left w:val="single" w:color="auto" w:sz="4" w:space="0"/>
                    <w:bottom w:val="single" w:color="auto" w:sz="4" w:space="0"/>
                    <w:right w:val="single" w:color="auto" w:sz="4" w:space="0"/>
                  </w:tcBorders>
                  <w:vAlign w:val="center"/>
                </w:tcPr>
                <w:p w14:paraId="499F620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4" w:space="0"/>
                    <w:right w:val="single" w:color="auto" w:sz="4" w:space="0"/>
                  </w:tcBorders>
                  <w:vAlign w:val="center"/>
                </w:tcPr>
                <w:p w14:paraId="027FDB8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4" w:space="0"/>
                    <w:right w:val="nil"/>
                  </w:tcBorders>
                  <w:vAlign w:val="center"/>
                </w:tcPr>
                <w:p w14:paraId="7E161DC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4048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restart"/>
                  <w:tcBorders>
                    <w:top w:val="single" w:color="auto" w:sz="4" w:space="0"/>
                    <w:left w:val="nil"/>
                    <w:right w:val="single" w:color="auto" w:sz="4" w:space="0"/>
                  </w:tcBorders>
                  <w:vAlign w:val="center"/>
                </w:tcPr>
                <w:p w14:paraId="57F1266E">
                  <w:pPr>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12月</w:t>
                  </w:r>
                </w:p>
              </w:tc>
              <w:tc>
                <w:tcPr>
                  <w:tcW w:w="665" w:type="pct"/>
                  <w:tcBorders>
                    <w:top w:val="single" w:color="auto" w:sz="4" w:space="0"/>
                    <w:left w:val="single" w:color="auto" w:sz="4" w:space="0"/>
                    <w:bottom w:val="single" w:color="auto" w:sz="4" w:space="0"/>
                    <w:right w:val="single" w:color="auto" w:sz="4" w:space="0"/>
                  </w:tcBorders>
                  <w:vAlign w:val="center"/>
                </w:tcPr>
                <w:p w14:paraId="595C313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24" w:type="pct"/>
                  <w:tcBorders>
                    <w:top w:val="single" w:color="auto" w:sz="4" w:space="0"/>
                    <w:left w:val="single" w:color="auto" w:sz="4" w:space="0"/>
                    <w:bottom w:val="single" w:color="auto" w:sz="4" w:space="0"/>
                    <w:right w:val="single" w:color="auto" w:sz="4" w:space="0"/>
                  </w:tcBorders>
                  <w:vAlign w:val="center"/>
                </w:tcPr>
                <w:p w14:paraId="40D8C9F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0.197</w:t>
                  </w:r>
                </w:p>
              </w:tc>
              <w:tc>
                <w:tcPr>
                  <w:tcW w:w="562" w:type="pct"/>
                  <w:tcBorders>
                    <w:top w:val="single" w:color="auto" w:sz="4" w:space="0"/>
                    <w:left w:val="single" w:color="auto" w:sz="4" w:space="0"/>
                    <w:bottom w:val="single" w:color="auto" w:sz="4" w:space="0"/>
                    <w:right w:val="single" w:color="auto" w:sz="4" w:space="0"/>
                  </w:tcBorders>
                  <w:vAlign w:val="center"/>
                </w:tcPr>
                <w:p w14:paraId="57CA0C4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0.317</w:t>
                  </w:r>
                </w:p>
              </w:tc>
              <w:tc>
                <w:tcPr>
                  <w:tcW w:w="562" w:type="pct"/>
                  <w:tcBorders>
                    <w:top w:val="single" w:color="auto" w:sz="4" w:space="0"/>
                    <w:left w:val="single" w:color="auto" w:sz="4" w:space="0"/>
                    <w:bottom w:val="single" w:color="auto" w:sz="4" w:space="0"/>
                    <w:right w:val="single" w:color="auto" w:sz="4" w:space="0"/>
                  </w:tcBorders>
                  <w:vAlign w:val="center"/>
                </w:tcPr>
                <w:p w14:paraId="7D452AE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0.373</w:t>
                  </w:r>
                </w:p>
              </w:tc>
              <w:tc>
                <w:tcPr>
                  <w:tcW w:w="566" w:type="pct"/>
                  <w:tcBorders>
                    <w:top w:val="single" w:color="auto" w:sz="4" w:space="0"/>
                    <w:left w:val="single" w:color="auto" w:sz="4" w:space="0"/>
                    <w:bottom w:val="single" w:color="auto" w:sz="4" w:space="0"/>
                    <w:right w:val="single" w:color="auto" w:sz="4" w:space="0"/>
                  </w:tcBorders>
                  <w:vAlign w:val="center"/>
                </w:tcPr>
                <w:p w14:paraId="618B9B1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0.376</w:t>
                  </w:r>
                </w:p>
              </w:tc>
              <w:tc>
                <w:tcPr>
                  <w:tcW w:w="562" w:type="pct"/>
                  <w:tcBorders>
                    <w:top w:val="single" w:color="auto" w:sz="4" w:space="0"/>
                    <w:left w:val="single" w:color="auto" w:sz="4" w:space="0"/>
                    <w:bottom w:val="single" w:color="auto" w:sz="4" w:space="0"/>
                    <w:right w:val="single" w:color="auto" w:sz="4" w:space="0"/>
                  </w:tcBorders>
                  <w:vAlign w:val="center"/>
                </w:tcPr>
                <w:p w14:paraId="43CA6E3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0.338</w:t>
                  </w:r>
                </w:p>
              </w:tc>
              <w:tc>
                <w:tcPr>
                  <w:tcW w:w="562" w:type="pct"/>
                  <w:tcBorders>
                    <w:top w:val="single" w:color="auto" w:sz="4" w:space="0"/>
                    <w:left w:val="single" w:color="auto" w:sz="4" w:space="0"/>
                    <w:bottom w:val="single" w:color="auto" w:sz="4" w:space="0"/>
                    <w:right w:val="single" w:color="auto" w:sz="4" w:space="0"/>
                  </w:tcBorders>
                  <w:vAlign w:val="center"/>
                </w:tcPr>
                <w:p w14:paraId="47F232A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61" w:type="pct"/>
                  <w:tcBorders>
                    <w:top w:val="single" w:color="auto" w:sz="4" w:space="0"/>
                    <w:left w:val="single" w:color="auto" w:sz="4" w:space="0"/>
                    <w:bottom w:val="single" w:color="auto" w:sz="4" w:space="0"/>
                    <w:right w:val="nil"/>
                  </w:tcBorders>
                  <w:vAlign w:val="center"/>
                </w:tcPr>
                <w:p w14:paraId="318E1D3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1DE5C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2DDE2F9D">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3FD552D5">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624" w:type="pct"/>
                  <w:tcBorders>
                    <w:top w:val="single" w:color="auto" w:sz="4" w:space="0"/>
                    <w:left w:val="single" w:color="auto" w:sz="4" w:space="0"/>
                    <w:bottom w:val="single" w:color="auto" w:sz="4" w:space="0"/>
                    <w:right w:val="single" w:color="auto" w:sz="4" w:space="0"/>
                  </w:tcBorders>
                  <w:vAlign w:val="center"/>
                </w:tcPr>
                <w:p w14:paraId="75D78314">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0.037</w:t>
                  </w:r>
                </w:p>
              </w:tc>
              <w:tc>
                <w:tcPr>
                  <w:tcW w:w="562" w:type="pct"/>
                  <w:tcBorders>
                    <w:top w:val="single" w:color="auto" w:sz="4" w:space="0"/>
                    <w:left w:val="single" w:color="auto" w:sz="4" w:space="0"/>
                    <w:bottom w:val="single" w:color="auto" w:sz="4" w:space="0"/>
                    <w:right w:val="single" w:color="auto" w:sz="4" w:space="0"/>
                  </w:tcBorders>
                  <w:vAlign w:val="center"/>
                </w:tcPr>
                <w:p w14:paraId="67CC7DF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0.087</w:t>
                  </w:r>
                </w:p>
              </w:tc>
              <w:tc>
                <w:tcPr>
                  <w:tcW w:w="562" w:type="pct"/>
                  <w:tcBorders>
                    <w:top w:val="single" w:color="auto" w:sz="4" w:space="0"/>
                    <w:left w:val="single" w:color="auto" w:sz="4" w:space="0"/>
                    <w:bottom w:val="single" w:color="auto" w:sz="4" w:space="0"/>
                    <w:right w:val="single" w:color="auto" w:sz="4" w:space="0"/>
                  </w:tcBorders>
                  <w:vAlign w:val="center"/>
                </w:tcPr>
                <w:p w14:paraId="2B09558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0.147</w:t>
                  </w:r>
                </w:p>
              </w:tc>
              <w:tc>
                <w:tcPr>
                  <w:tcW w:w="566" w:type="pct"/>
                  <w:tcBorders>
                    <w:top w:val="single" w:color="auto" w:sz="4" w:space="0"/>
                    <w:left w:val="single" w:color="auto" w:sz="4" w:space="0"/>
                    <w:bottom w:val="single" w:color="auto" w:sz="4" w:space="0"/>
                    <w:right w:val="single" w:color="auto" w:sz="4" w:space="0"/>
                  </w:tcBorders>
                  <w:vAlign w:val="center"/>
                </w:tcPr>
                <w:p w14:paraId="202406D9">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0.17</w:t>
                  </w:r>
                </w:p>
              </w:tc>
              <w:tc>
                <w:tcPr>
                  <w:tcW w:w="562" w:type="pct"/>
                  <w:tcBorders>
                    <w:top w:val="single" w:color="auto" w:sz="4" w:space="0"/>
                    <w:left w:val="single" w:color="auto" w:sz="4" w:space="0"/>
                    <w:bottom w:val="single" w:color="auto" w:sz="4" w:space="0"/>
                    <w:right w:val="single" w:color="auto" w:sz="4" w:space="0"/>
                  </w:tcBorders>
                  <w:vAlign w:val="center"/>
                </w:tcPr>
                <w:p w14:paraId="212779A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0.207</w:t>
                  </w:r>
                </w:p>
              </w:tc>
              <w:tc>
                <w:tcPr>
                  <w:tcW w:w="562" w:type="pct"/>
                  <w:tcBorders>
                    <w:top w:val="single" w:color="auto" w:sz="4" w:space="0"/>
                    <w:left w:val="single" w:color="auto" w:sz="4" w:space="0"/>
                    <w:bottom w:val="single" w:color="auto" w:sz="4" w:space="0"/>
                    <w:right w:val="single" w:color="auto" w:sz="4" w:space="0"/>
                  </w:tcBorders>
                  <w:vAlign w:val="center"/>
                </w:tcPr>
                <w:p w14:paraId="0272550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1" w:type="pct"/>
                  <w:tcBorders>
                    <w:top w:val="single" w:color="auto" w:sz="4" w:space="0"/>
                    <w:left w:val="single" w:color="auto" w:sz="4" w:space="0"/>
                    <w:bottom w:val="single" w:color="auto" w:sz="4" w:space="0"/>
                    <w:right w:val="nil"/>
                  </w:tcBorders>
                  <w:vAlign w:val="center"/>
                </w:tcPr>
                <w:p w14:paraId="7733EBB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11637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right w:val="single" w:color="auto" w:sz="4" w:space="0"/>
                  </w:tcBorders>
                  <w:vAlign w:val="center"/>
                </w:tcPr>
                <w:p w14:paraId="1321C27A">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4" w:space="0"/>
                    <w:right w:val="single" w:color="auto" w:sz="4" w:space="0"/>
                  </w:tcBorders>
                  <w:vAlign w:val="center"/>
                </w:tcPr>
                <w:p w14:paraId="112E762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624" w:type="pct"/>
                  <w:tcBorders>
                    <w:top w:val="single" w:color="auto" w:sz="4" w:space="0"/>
                    <w:left w:val="single" w:color="auto" w:sz="4" w:space="0"/>
                    <w:bottom w:val="single" w:color="auto" w:sz="4" w:space="0"/>
                    <w:right w:val="single" w:color="auto" w:sz="4" w:space="0"/>
                  </w:tcBorders>
                  <w:vAlign w:val="center"/>
                </w:tcPr>
                <w:p w14:paraId="3E78442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0.0033</w:t>
                  </w:r>
                </w:p>
              </w:tc>
              <w:tc>
                <w:tcPr>
                  <w:tcW w:w="562" w:type="pct"/>
                  <w:tcBorders>
                    <w:top w:val="single" w:color="auto" w:sz="4" w:space="0"/>
                    <w:left w:val="single" w:color="auto" w:sz="4" w:space="0"/>
                    <w:bottom w:val="single" w:color="auto" w:sz="4" w:space="0"/>
                    <w:right w:val="single" w:color="auto" w:sz="4" w:space="0"/>
                  </w:tcBorders>
                  <w:vAlign w:val="center"/>
                </w:tcPr>
                <w:p w14:paraId="26DAB78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562" w:type="pct"/>
                  <w:tcBorders>
                    <w:top w:val="single" w:color="auto" w:sz="4" w:space="0"/>
                    <w:left w:val="single" w:color="auto" w:sz="4" w:space="0"/>
                    <w:bottom w:val="single" w:color="auto" w:sz="4" w:space="0"/>
                    <w:right w:val="single" w:color="auto" w:sz="4" w:space="0"/>
                  </w:tcBorders>
                  <w:vAlign w:val="center"/>
                </w:tcPr>
                <w:p w14:paraId="2FBE799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0.0107</w:t>
                  </w:r>
                </w:p>
              </w:tc>
              <w:tc>
                <w:tcPr>
                  <w:tcW w:w="566" w:type="pct"/>
                  <w:tcBorders>
                    <w:top w:val="single" w:color="auto" w:sz="4" w:space="0"/>
                    <w:left w:val="single" w:color="auto" w:sz="4" w:space="0"/>
                    <w:bottom w:val="single" w:color="auto" w:sz="4" w:space="0"/>
                    <w:right w:val="single" w:color="auto" w:sz="4" w:space="0"/>
                  </w:tcBorders>
                  <w:vAlign w:val="center"/>
                </w:tcPr>
                <w:p w14:paraId="394BC31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0.0117</w:t>
                  </w:r>
                </w:p>
              </w:tc>
              <w:tc>
                <w:tcPr>
                  <w:tcW w:w="562" w:type="pct"/>
                  <w:tcBorders>
                    <w:top w:val="single" w:color="auto" w:sz="4" w:space="0"/>
                    <w:left w:val="single" w:color="auto" w:sz="4" w:space="0"/>
                    <w:bottom w:val="single" w:color="auto" w:sz="4" w:space="0"/>
                    <w:right w:val="single" w:color="auto" w:sz="4" w:space="0"/>
                  </w:tcBorders>
                  <w:vAlign w:val="center"/>
                </w:tcPr>
                <w:p w14:paraId="2A88216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0.0183</w:t>
                  </w:r>
                </w:p>
              </w:tc>
              <w:tc>
                <w:tcPr>
                  <w:tcW w:w="562" w:type="pct"/>
                  <w:tcBorders>
                    <w:top w:val="single" w:color="auto" w:sz="4" w:space="0"/>
                    <w:left w:val="single" w:color="auto" w:sz="4" w:space="0"/>
                    <w:bottom w:val="single" w:color="auto" w:sz="4" w:space="0"/>
                    <w:right w:val="single" w:color="auto" w:sz="4" w:space="0"/>
                  </w:tcBorders>
                  <w:vAlign w:val="center"/>
                </w:tcPr>
                <w:p w14:paraId="437609F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561" w:type="pct"/>
                  <w:tcBorders>
                    <w:top w:val="single" w:color="auto" w:sz="4" w:space="0"/>
                    <w:left w:val="single" w:color="auto" w:sz="4" w:space="0"/>
                    <w:bottom w:val="single" w:color="auto" w:sz="4" w:space="0"/>
                    <w:right w:val="nil"/>
                  </w:tcBorders>
                  <w:vAlign w:val="center"/>
                </w:tcPr>
                <w:p w14:paraId="22682BC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1D54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2" w:type="pct"/>
                  <w:vMerge w:val="continue"/>
                  <w:tcBorders>
                    <w:left w:val="nil"/>
                    <w:bottom w:val="single" w:color="auto" w:sz="12" w:space="0"/>
                    <w:right w:val="single" w:color="auto" w:sz="4" w:space="0"/>
                  </w:tcBorders>
                  <w:vAlign w:val="center"/>
                </w:tcPr>
                <w:p w14:paraId="2FCDF7AA">
                  <w:pPr>
                    <w:jc w:val="center"/>
                    <w:rPr>
                      <w:rFonts w:hint="default" w:ascii="Times New Roman" w:hAnsi="Times New Roman" w:eastAsia="宋体" w:cs="Times New Roman"/>
                      <w:color w:val="auto"/>
                      <w:sz w:val="21"/>
                      <w:szCs w:val="20"/>
                      <w:highlight w:val="none"/>
                    </w:rPr>
                  </w:pPr>
                </w:p>
              </w:tc>
              <w:tc>
                <w:tcPr>
                  <w:tcW w:w="665" w:type="pct"/>
                  <w:tcBorders>
                    <w:top w:val="single" w:color="auto" w:sz="4" w:space="0"/>
                    <w:left w:val="single" w:color="auto" w:sz="4" w:space="0"/>
                    <w:bottom w:val="single" w:color="auto" w:sz="12" w:space="0"/>
                    <w:right w:val="single" w:color="auto" w:sz="4" w:space="0"/>
                  </w:tcBorders>
                  <w:vAlign w:val="center"/>
                </w:tcPr>
                <w:p w14:paraId="0BA2FC8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624" w:type="pct"/>
                  <w:tcBorders>
                    <w:top w:val="single" w:color="auto" w:sz="4" w:space="0"/>
                    <w:left w:val="single" w:color="auto" w:sz="4" w:space="0"/>
                    <w:bottom w:val="single" w:color="auto" w:sz="12" w:space="0"/>
                    <w:right w:val="single" w:color="auto" w:sz="4" w:space="0"/>
                  </w:tcBorders>
                  <w:vAlign w:val="center"/>
                </w:tcPr>
                <w:p w14:paraId="06BF146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11</w:t>
                  </w:r>
                </w:p>
              </w:tc>
              <w:tc>
                <w:tcPr>
                  <w:tcW w:w="562" w:type="pct"/>
                  <w:tcBorders>
                    <w:top w:val="single" w:color="auto" w:sz="4" w:space="0"/>
                    <w:left w:val="single" w:color="auto" w:sz="4" w:space="0"/>
                    <w:bottom w:val="single" w:color="auto" w:sz="12" w:space="0"/>
                    <w:right w:val="single" w:color="auto" w:sz="4" w:space="0"/>
                  </w:tcBorders>
                  <w:vAlign w:val="center"/>
                </w:tcPr>
                <w:p w14:paraId="6B7F485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12" w:space="0"/>
                    <w:right w:val="single" w:color="auto" w:sz="4" w:space="0"/>
                  </w:tcBorders>
                  <w:vAlign w:val="center"/>
                </w:tcPr>
                <w:p w14:paraId="0D078BB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66" w:type="pct"/>
                  <w:tcBorders>
                    <w:top w:val="single" w:color="auto" w:sz="4" w:space="0"/>
                    <w:left w:val="single" w:color="auto" w:sz="4" w:space="0"/>
                    <w:bottom w:val="single" w:color="auto" w:sz="12" w:space="0"/>
                    <w:right w:val="single" w:color="auto" w:sz="4" w:space="0"/>
                  </w:tcBorders>
                  <w:vAlign w:val="center"/>
                </w:tcPr>
                <w:p w14:paraId="758808C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62" w:type="pct"/>
                  <w:tcBorders>
                    <w:top w:val="single" w:color="auto" w:sz="4" w:space="0"/>
                    <w:left w:val="single" w:color="auto" w:sz="4" w:space="0"/>
                    <w:bottom w:val="single" w:color="auto" w:sz="12" w:space="0"/>
                    <w:right w:val="single" w:color="auto" w:sz="4" w:space="0"/>
                  </w:tcBorders>
                  <w:vAlign w:val="center"/>
                </w:tcPr>
                <w:p w14:paraId="7EC4B810">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562" w:type="pct"/>
                  <w:tcBorders>
                    <w:top w:val="single" w:color="auto" w:sz="4" w:space="0"/>
                    <w:left w:val="single" w:color="auto" w:sz="4" w:space="0"/>
                    <w:bottom w:val="single" w:color="auto" w:sz="12" w:space="0"/>
                    <w:right w:val="single" w:color="auto" w:sz="4" w:space="0"/>
                  </w:tcBorders>
                  <w:vAlign w:val="center"/>
                </w:tcPr>
                <w:p w14:paraId="5BD64A0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61" w:type="pct"/>
                  <w:tcBorders>
                    <w:top w:val="single" w:color="auto" w:sz="4" w:space="0"/>
                    <w:left w:val="single" w:color="auto" w:sz="4" w:space="0"/>
                    <w:bottom w:val="single" w:color="auto" w:sz="12" w:space="0"/>
                    <w:right w:val="nil"/>
                  </w:tcBorders>
                  <w:vAlign w:val="center"/>
                </w:tcPr>
                <w:p w14:paraId="46E1DC8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bl>
          <w:p w14:paraId="4D141C03">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现有项目噪声排放监测结果</w:t>
            </w:r>
          </w:p>
          <w:p w14:paraId="17837735">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根据江苏蓝天环境检测有限公司出具的监测报告，现有项目厂界噪声监测结果见下表，厂界噪声昼间和夜间均符合《工业企业厂界环境噪声排放标准》（GB12348-2008）</w:t>
            </w:r>
            <w:r>
              <w:rPr>
                <w:rFonts w:hint="eastAsia"/>
                <w:color w:val="auto"/>
                <w:sz w:val="24"/>
                <w:lang w:val="en-US" w:eastAsia="zh-CN"/>
              </w:rPr>
              <w:t>2</w:t>
            </w:r>
            <w:r>
              <w:rPr>
                <w:rFonts w:hint="default" w:eastAsia="宋体"/>
                <w:color w:val="auto"/>
                <w:sz w:val="24"/>
                <w:lang w:val="en-US" w:eastAsia="zh-CN"/>
              </w:rPr>
              <w:t>类区标准的要求。</w:t>
            </w:r>
          </w:p>
          <w:p w14:paraId="2980F71C">
            <w:pPr>
              <w:spacing w:line="500" w:lineRule="exact"/>
              <w:jc w:val="center"/>
              <w:rPr>
                <w:rFonts w:hint="default" w:ascii="Times New Roman" w:hAnsi="Times New Roman" w:eastAsia="宋体" w:cs="Times New Roman"/>
                <w:b/>
                <w:color w:val="auto"/>
                <w:szCs w:val="28"/>
                <w:highlight w:val="none"/>
                <w:shd w:val="clear" w:color="auto" w:fill="FFFFFF" w:themeFill="background1"/>
              </w:rPr>
            </w:pPr>
            <w:r>
              <w:rPr>
                <w:rFonts w:hint="default" w:ascii="Times New Roman" w:hAnsi="Times New Roman" w:eastAsia="宋体" w:cs="Times New Roman"/>
                <w:b/>
                <w:color w:val="auto"/>
                <w:szCs w:val="28"/>
                <w:highlight w:val="none"/>
                <w:shd w:val="clear" w:color="auto" w:fill="FFFFFF" w:themeFill="background1"/>
              </w:rPr>
              <w:t>表</w:t>
            </w:r>
            <w:r>
              <w:rPr>
                <w:rFonts w:hint="eastAsia" w:cs="Times New Roman"/>
                <w:b/>
                <w:bCs/>
                <w:color w:val="auto"/>
                <w:szCs w:val="28"/>
                <w:highlight w:val="none"/>
                <w:shd w:val="clear" w:color="auto" w:fill="FFFFFF" w:themeFill="background1"/>
                <w:lang w:val="en-US" w:eastAsia="zh-CN"/>
              </w:rPr>
              <w:t>2-22</w:t>
            </w:r>
            <w:r>
              <w:rPr>
                <w:rFonts w:hint="default" w:ascii="Times New Roman" w:hAnsi="Times New Roman" w:eastAsia="宋体" w:cs="Times New Roman"/>
                <w:b/>
                <w:bCs/>
                <w:color w:val="auto"/>
                <w:szCs w:val="28"/>
                <w:highlight w:val="none"/>
                <w:shd w:val="clear" w:color="auto" w:fill="FFFFFF" w:themeFill="background1"/>
              </w:rPr>
              <w:t xml:space="preserve">   现有</w:t>
            </w:r>
            <w:r>
              <w:rPr>
                <w:rFonts w:hint="default" w:ascii="Times New Roman" w:hAnsi="Times New Roman" w:eastAsia="宋体" w:cs="Times New Roman"/>
                <w:b/>
                <w:color w:val="auto"/>
                <w:szCs w:val="28"/>
                <w:highlight w:val="none"/>
                <w:shd w:val="clear" w:color="auto" w:fill="FFFFFF" w:themeFill="background1"/>
              </w:rPr>
              <w:t>项目2024年厂界噪声监测结果（db（A））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018"/>
              <w:gridCol w:w="1175"/>
              <w:gridCol w:w="1233"/>
              <w:gridCol w:w="947"/>
              <w:gridCol w:w="1085"/>
              <w:gridCol w:w="925"/>
              <w:gridCol w:w="873"/>
            </w:tblGrid>
            <w:tr w14:paraId="63185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94" w:type="pct"/>
                  <w:vMerge w:val="restart"/>
                  <w:vAlign w:val="center"/>
                </w:tcPr>
                <w:p w14:paraId="5394B241">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1"/>
                      <w:highlight w:val="none"/>
                    </w:rPr>
                    <w:t>监测时间</w:t>
                  </w:r>
                </w:p>
              </w:tc>
              <w:tc>
                <w:tcPr>
                  <w:tcW w:w="590" w:type="pct"/>
                  <w:vMerge w:val="restart"/>
                  <w:vAlign w:val="center"/>
                </w:tcPr>
                <w:p w14:paraId="0A875397">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项目</w:t>
                  </w:r>
                </w:p>
              </w:tc>
              <w:tc>
                <w:tcPr>
                  <w:tcW w:w="2574" w:type="pct"/>
                  <w:gridSpan w:val="4"/>
                  <w:vAlign w:val="center"/>
                </w:tcPr>
                <w:p w14:paraId="049E7185">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检测结果</w:t>
                  </w:r>
                </w:p>
              </w:tc>
              <w:tc>
                <w:tcPr>
                  <w:tcW w:w="536" w:type="pct"/>
                  <w:vMerge w:val="restart"/>
                  <w:vAlign w:val="center"/>
                </w:tcPr>
                <w:p w14:paraId="4D75AE7E">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标准</w:t>
                  </w:r>
                </w:p>
                <w:p w14:paraId="36B3F3F0">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限值</w:t>
                  </w:r>
                </w:p>
              </w:tc>
              <w:tc>
                <w:tcPr>
                  <w:tcW w:w="506" w:type="pct"/>
                  <w:vMerge w:val="restart"/>
                  <w:vAlign w:val="center"/>
                </w:tcPr>
                <w:p w14:paraId="30A201B3">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是否</w:t>
                  </w:r>
                </w:p>
                <w:p w14:paraId="5227FCC1">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达标</w:t>
                  </w:r>
                </w:p>
              </w:tc>
            </w:tr>
            <w:tr w14:paraId="4843F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94" w:type="pct"/>
                  <w:vMerge w:val="continue"/>
                  <w:vAlign w:val="center"/>
                </w:tcPr>
                <w:p w14:paraId="370CCF50">
                  <w:pPr>
                    <w:jc w:val="center"/>
                    <w:rPr>
                      <w:rFonts w:hint="default" w:ascii="Times New Roman" w:hAnsi="Times New Roman" w:eastAsia="宋体" w:cs="Times New Roman"/>
                      <w:b/>
                      <w:bCs/>
                      <w:color w:val="auto"/>
                      <w:sz w:val="21"/>
                      <w:szCs w:val="20"/>
                      <w:highlight w:val="none"/>
                    </w:rPr>
                  </w:pPr>
                </w:p>
              </w:tc>
              <w:tc>
                <w:tcPr>
                  <w:tcW w:w="590" w:type="pct"/>
                  <w:vMerge w:val="continue"/>
                  <w:vAlign w:val="center"/>
                </w:tcPr>
                <w:p w14:paraId="017A0975">
                  <w:pPr>
                    <w:jc w:val="center"/>
                    <w:rPr>
                      <w:rFonts w:hint="default" w:ascii="Times New Roman" w:hAnsi="Times New Roman" w:eastAsia="宋体" w:cs="Times New Roman"/>
                      <w:b/>
                      <w:bCs/>
                      <w:color w:val="auto"/>
                      <w:sz w:val="21"/>
                      <w:szCs w:val="20"/>
                      <w:highlight w:val="none"/>
                    </w:rPr>
                  </w:pPr>
                </w:p>
              </w:tc>
              <w:tc>
                <w:tcPr>
                  <w:tcW w:w="681" w:type="pct"/>
                  <w:tcBorders>
                    <w:bottom w:val="single" w:color="000000" w:sz="2" w:space="0"/>
                  </w:tcBorders>
                  <w:vAlign w:val="center"/>
                </w:tcPr>
                <w:p w14:paraId="41C9755E">
                  <w:pPr>
                    <w:snapToGrid w:val="0"/>
                    <w:jc w:val="center"/>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bCs/>
                      <w:color w:val="auto"/>
                      <w:sz w:val="21"/>
                      <w:szCs w:val="20"/>
                      <w:highlight w:val="none"/>
                    </w:rPr>
                    <w:t>Z1</w:t>
                  </w:r>
                </w:p>
              </w:tc>
              <w:tc>
                <w:tcPr>
                  <w:tcW w:w="715" w:type="pct"/>
                  <w:tcBorders>
                    <w:bottom w:val="single" w:color="000000" w:sz="2" w:space="0"/>
                  </w:tcBorders>
                  <w:vAlign w:val="center"/>
                </w:tcPr>
                <w:p w14:paraId="68A862E6">
                  <w:pPr>
                    <w:snapToGrid w:val="0"/>
                    <w:jc w:val="center"/>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bCs/>
                      <w:color w:val="auto"/>
                      <w:sz w:val="21"/>
                      <w:szCs w:val="20"/>
                      <w:highlight w:val="none"/>
                    </w:rPr>
                    <w:t>Z2</w:t>
                  </w:r>
                </w:p>
              </w:tc>
              <w:tc>
                <w:tcPr>
                  <w:tcW w:w="549" w:type="pct"/>
                  <w:tcBorders>
                    <w:bottom w:val="single" w:color="000000" w:sz="2" w:space="0"/>
                  </w:tcBorders>
                  <w:vAlign w:val="center"/>
                </w:tcPr>
                <w:p w14:paraId="1EE70F5D">
                  <w:pPr>
                    <w:snapToGrid w:val="0"/>
                    <w:jc w:val="center"/>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bCs/>
                      <w:color w:val="auto"/>
                      <w:sz w:val="21"/>
                      <w:szCs w:val="20"/>
                      <w:highlight w:val="none"/>
                    </w:rPr>
                    <w:t>Z3</w:t>
                  </w:r>
                </w:p>
              </w:tc>
              <w:tc>
                <w:tcPr>
                  <w:tcW w:w="629" w:type="pct"/>
                  <w:tcBorders>
                    <w:bottom w:val="single" w:color="000000" w:sz="2" w:space="0"/>
                  </w:tcBorders>
                  <w:vAlign w:val="center"/>
                </w:tcPr>
                <w:p w14:paraId="2145154A">
                  <w:pPr>
                    <w:snapToGrid w:val="0"/>
                    <w:jc w:val="center"/>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bCs/>
                      <w:color w:val="auto"/>
                      <w:sz w:val="21"/>
                      <w:szCs w:val="20"/>
                      <w:highlight w:val="none"/>
                    </w:rPr>
                    <w:t>Z4</w:t>
                  </w:r>
                </w:p>
              </w:tc>
              <w:tc>
                <w:tcPr>
                  <w:tcW w:w="536" w:type="pct"/>
                  <w:vMerge w:val="continue"/>
                  <w:vAlign w:val="center"/>
                </w:tcPr>
                <w:p w14:paraId="724E7BB1">
                  <w:pPr>
                    <w:jc w:val="center"/>
                    <w:rPr>
                      <w:rFonts w:hint="default" w:ascii="Times New Roman" w:hAnsi="Times New Roman" w:eastAsia="宋体" w:cs="Times New Roman"/>
                      <w:b/>
                      <w:bCs/>
                      <w:color w:val="auto"/>
                      <w:sz w:val="21"/>
                      <w:szCs w:val="20"/>
                      <w:highlight w:val="none"/>
                    </w:rPr>
                  </w:pPr>
                </w:p>
              </w:tc>
              <w:tc>
                <w:tcPr>
                  <w:tcW w:w="506" w:type="pct"/>
                  <w:vMerge w:val="continue"/>
                  <w:vAlign w:val="center"/>
                </w:tcPr>
                <w:p w14:paraId="47EC1DE7">
                  <w:pPr>
                    <w:jc w:val="center"/>
                    <w:rPr>
                      <w:rFonts w:hint="default" w:ascii="Times New Roman" w:hAnsi="Times New Roman" w:eastAsia="宋体" w:cs="Times New Roman"/>
                      <w:b/>
                      <w:bCs/>
                      <w:color w:val="auto"/>
                      <w:sz w:val="21"/>
                      <w:szCs w:val="20"/>
                      <w:highlight w:val="none"/>
                    </w:rPr>
                  </w:pPr>
                </w:p>
              </w:tc>
            </w:tr>
            <w:tr w14:paraId="3BEB3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94" w:type="pct"/>
                  <w:vMerge w:val="continue"/>
                  <w:vAlign w:val="center"/>
                </w:tcPr>
                <w:p w14:paraId="71658099">
                  <w:pPr>
                    <w:jc w:val="center"/>
                    <w:rPr>
                      <w:rFonts w:hint="default" w:ascii="Times New Roman" w:hAnsi="Times New Roman" w:eastAsia="宋体" w:cs="Times New Roman"/>
                      <w:b/>
                      <w:bCs/>
                      <w:color w:val="auto"/>
                      <w:sz w:val="21"/>
                      <w:szCs w:val="20"/>
                      <w:highlight w:val="none"/>
                    </w:rPr>
                  </w:pPr>
                </w:p>
              </w:tc>
              <w:tc>
                <w:tcPr>
                  <w:tcW w:w="590" w:type="pct"/>
                  <w:vMerge w:val="continue"/>
                  <w:vAlign w:val="center"/>
                </w:tcPr>
                <w:p w14:paraId="5E035F3F">
                  <w:pPr>
                    <w:jc w:val="center"/>
                    <w:rPr>
                      <w:rFonts w:hint="default" w:ascii="Times New Roman" w:hAnsi="Times New Roman" w:eastAsia="宋体" w:cs="Times New Roman"/>
                      <w:b/>
                      <w:bCs/>
                      <w:color w:val="auto"/>
                      <w:sz w:val="21"/>
                      <w:szCs w:val="20"/>
                      <w:highlight w:val="none"/>
                    </w:rPr>
                  </w:pPr>
                </w:p>
              </w:tc>
              <w:tc>
                <w:tcPr>
                  <w:tcW w:w="1396" w:type="pct"/>
                  <w:gridSpan w:val="2"/>
                  <w:tcBorders>
                    <w:top w:val="single" w:color="000000" w:sz="2" w:space="0"/>
                  </w:tcBorders>
                  <w:vAlign w:val="center"/>
                </w:tcPr>
                <w:p w14:paraId="4269E2DB">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南厂界</w:t>
                  </w:r>
                </w:p>
              </w:tc>
              <w:tc>
                <w:tcPr>
                  <w:tcW w:w="1178" w:type="pct"/>
                  <w:gridSpan w:val="2"/>
                  <w:tcBorders>
                    <w:top w:val="single" w:color="000000" w:sz="2" w:space="0"/>
                  </w:tcBorders>
                  <w:vAlign w:val="center"/>
                </w:tcPr>
                <w:p w14:paraId="7330C5C5">
                  <w:pPr>
                    <w:snapToGrid w:val="0"/>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color w:val="auto"/>
                      <w:sz w:val="21"/>
                      <w:szCs w:val="20"/>
                      <w:highlight w:val="none"/>
                    </w:rPr>
                    <w:t>西厂界</w:t>
                  </w:r>
                </w:p>
              </w:tc>
              <w:tc>
                <w:tcPr>
                  <w:tcW w:w="536" w:type="pct"/>
                  <w:vMerge w:val="continue"/>
                  <w:vAlign w:val="center"/>
                </w:tcPr>
                <w:p w14:paraId="31200B15">
                  <w:pPr>
                    <w:jc w:val="center"/>
                    <w:rPr>
                      <w:rFonts w:hint="default" w:ascii="Times New Roman" w:hAnsi="Times New Roman" w:eastAsia="宋体" w:cs="Times New Roman"/>
                      <w:b/>
                      <w:bCs/>
                      <w:color w:val="auto"/>
                      <w:sz w:val="21"/>
                      <w:szCs w:val="20"/>
                      <w:highlight w:val="none"/>
                    </w:rPr>
                  </w:pPr>
                </w:p>
              </w:tc>
              <w:tc>
                <w:tcPr>
                  <w:tcW w:w="506" w:type="pct"/>
                  <w:vMerge w:val="continue"/>
                  <w:vAlign w:val="center"/>
                </w:tcPr>
                <w:p w14:paraId="3555E97D">
                  <w:pPr>
                    <w:jc w:val="center"/>
                    <w:rPr>
                      <w:rFonts w:hint="default" w:ascii="Times New Roman" w:hAnsi="Times New Roman" w:eastAsia="宋体" w:cs="Times New Roman"/>
                      <w:b/>
                      <w:bCs/>
                      <w:color w:val="auto"/>
                      <w:sz w:val="21"/>
                      <w:szCs w:val="20"/>
                      <w:highlight w:val="none"/>
                    </w:rPr>
                  </w:pPr>
                </w:p>
              </w:tc>
            </w:tr>
            <w:tr w14:paraId="5C8B3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restart"/>
                  <w:vAlign w:val="center"/>
                </w:tcPr>
                <w:p w14:paraId="49BC1FB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一季度</w:t>
                  </w:r>
                </w:p>
              </w:tc>
              <w:tc>
                <w:tcPr>
                  <w:tcW w:w="590" w:type="pct"/>
                  <w:vAlign w:val="center"/>
                </w:tcPr>
                <w:p w14:paraId="51193B2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昼间</w:t>
                  </w:r>
                </w:p>
              </w:tc>
              <w:tc>
                <w:tcPr>
                  <w:tcW w:w="681" w:type="pct"/>
                  <w:vAlign w:val="center"/>
                </w:tcPr>
                <w:p w14:paraId="4FFFC75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51.0</w:t>
                  </w:r>
                </w:p>
              </w:tc>
              <w:tc>
                <w:tcPr>
                  <w:tcW w:w="715" w:type="pct"/>
                  <w:vAlign w:val="center"/>
                </w:tcPr>
                <w:p w14:paraId="228F7C4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49" w:type="pct"/>
                  <w:vAlign w:val="center"/>
                </w:tcPr>
                <w:p w14:paraId="75A036B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50.9</w:t>
                  </w:r>
                </w:p>
              </w:tc>
              <w:tc>
                <w:tcPr>
                  <w:tcW w:w="629" w:type="pct"/>
                  <w:vAlign w:val="center"/>
                </w:tcPr>
                <w:p w14:paraId="1E5FF2C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36" w:type="pct"/>
                  <w:vAlign w:val="center"/>
                </w:tcPr>
                <w:p w14:paraId="61F1B680">
                  <w:pPr>
                    <w:snapToGrid w:val="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60</w:t>
                  </w:r>
                </w:p>
              </w:tc>
              <w:tc>
                <w:tcPr>
                  <w:tcW w:w="506" w:type="pct"/>
                  <w:vAlign w:val="center"/>
                </w:tcPr>
                <w:p w14:paraId="10F3302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27DA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continue"/>
                  <w:vAlign w:val="center"/>
                </w:tcPr>
                <w:p w14:paraId="63FD11DC">
                  <w:pPr>
                    <w:jc w:val="center"/>
                    <w:rPr>
                      <w:rFonts w:hint="default" w:ascii="Times New Roman" w:hAnsi="Times New Roman" w:eastAsia="宋体" w:cs="Times New Roman"/>
                      <w:color w:val="auto"/>
                      <w:sz w:val="21"/>
                      <w:szCs w:val="20"/>
                      <w:highlight w:val="none"/>
                    </w:rPr>
                  </w:pPr>
                </w:p>
              </w:tc>
              <w:tc>
                <w:tcPr>
                  <w:tcW w:w="590" w:type="pct"/>
                  <w:vAlign w:val="center"/>
                </w:tcPr>
                <w:p w14:paraId="7EA2FDD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夜间</w:t>
                  </w:r>
                </w:p>
              </w:tc>
              <w:tc>
                <w:tcPr>
                  <w:tcW w:w="681" w:type="pct"/>
                  <w:vAlign w:val="center"/>
                </w:tcPr>
                <w:p w14:paraId="4DF1D21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47.6</w:t>
                  </w:r>
                </w:p>
              </w:tc>
              <w:tc>
                <w:tcPr>
                  <w:tcW w:w="715" w:type="pct"/>
                  <w:vAlign w:val="center"/>
                </w:tcPr>
                <w:p w14:paraId="5114947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49" w:type="pct"/>
                  <w:vAlign w:val="center"/>
                </w:tcPr>
                <w:p w14:paraId="1D8F8AB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46.6</w:t>
                  </w:r>
                </w:p>
              </w:tc>
              <w:tc>
                <w:tcPr>
                  <w:tcW w:w="629" w:type="pct"/>
                  <w:vAlign w:val="center"/>
                </w:tcPr>
                <w:p w14:paraId="26C97C4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36" w:type="pct"/>
                  <w:vAlign w:val="center"/>
                </w:tcPr>
                <w:p w14:paraId="1AB08110">
                  <w:pPr>
                    <w:snapToGrid w:val="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50</w:t>
                  </w:r>
                </w:p>
              </w:tc>
              <w:tc>
                <w:tcPr>
                  <w:tcW w:w="506" w:type="pct"/>
                  <w:vAlign w:val="center"/>
                </w:tcPr>
                <w:p w14:paraId="0054062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1612F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restart"/>
                  <w:vAlign w:val="center"/>
                </w:tcPr>
                <w:p w14:paraId="1A1B3FCD">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二季度</w:t>
                  </w:r>
                </w:p>
              </w:tc>
              <w:tc>
                <w:tcPr>
                  <w:tcW w:w="590" w:type="pct"/>
                  <w:vAlign w:val="center"/>
                </w:tcPr>
                <w:p w14:paraId="226B546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昼间</w:t>
                  </w:r>
                </w:p>
              </w:tc>
              <w:tc>
                <w:tcPr>
                  <w:tcW w:w="681" w:type="pct"/>
                  <w:vAlign w:val="center"/>
                </w:tcPr>
                <w:p w14:paraId="0A92688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49.7</w:t>
                  </w:r>
                </w:p>
              </w:tc>
              <w:tc>
                <w:tcPr>
                  <w:tcW w:w="715" w:type="pct"/>
                  <w:vAlign w:val="center"/>
                </w:tcPr>
                <w:p w14:paraId="2DC022B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49" w:type="pct"/>
                  <w:vAlign w:val="center"/>
                </w:tcPr>
                <w:p w14:paraId="3EFF7D2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53.0</w:t>
                  </w:r>
                </w:p>
              </w:tc>
              <w:tc>
                <w:tcPr>
                  <w:tcW w:w="629" w:type="pct"/>
                  <w:vAlign w:val="center"/>
                </w:tcPr>
                <w:p w14:paraId="6A70F20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925" w:type="dxa"/>
                  <w:vAlign w:val="center"/>
                </w:tcPr>
                <w:p w14:paraId="0A019425">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60</w:t>
                  </w:r>
                </w:p>
              </w:tc>
              <w:tc>
                <w:tcPr>
                  <w:tcW w:w="506" w:type="pct"/>
                  <w:vAlign w:val="center"/>
                </w:tcPr>
                <w:p w14:paraId="799CF94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5B1FE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continue"/>
                  <w:vAlign w:val="center"/>
                </w:tcPr>
                <w:p w14:paraId="701CFA90">
                  <w:pPr>
                    <w:jc w:val="center"/>
                    <w:rPr>
                      <w:rFonts w:hint="default" w:ascii="Times New Roman" w:hAnsi="Times New Roman" w:eastAsia="宋体" w:cs="Times New Roman"/>
                      <w:color w:val="auto"/>
                      <w:sz w:val="21"/>
                      <w:szCs w:val="20"/>
                      <w:highlight w:val="none"/>
                    </w:rPr>
                  </w:pPr>
                </w:p>
              </w:tc>
              <w:tc>
                <w:tcPr>
                  <w:tcW w:w="590" w:type="pct"/>
                  <w:vAlign w:val="center"/>
                </w:tcPr>
                <w:p w14:paraId="22C557E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夜间</w:t>
                  </w:r>
                </w:p>
              </w:tc>
              <w:tc>
                <w:tcPr>
                  <w:tcW w:w="681" w:type="pct"/>
                  <w:vAlign w:val="center"/>
                </w:tcPr>
                <w:p w14:paraId="07CA20D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45.7</w:t>
                  </w:r>
                </w:p>
              </w:tc>
              <w:tc>
                <w:tcPr>
                  <w:tcW w:w="715" w:type="pct"/>
                  <w:vAlign w:val="center"/>
                </w:tcPr>
                <w:p w14:paraId="705AD5D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549" w:type="pct"/>
                  <w:vAlign w:val="center"/>
                </w:tcPr>
                <w:p w14:paraId="67CA44A3">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47.4</w:t>
                  </w:r>
                </w:p>
              </w:tc>
              <w:tc>
                <w:tcPr>
                  <w:tcW w:w="629" w:type="pct"/>
                  <w:vAlign w:val="center"/>
                </w:tcPr>
                <w:p w14:paraId="55B80F9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w:t>
                  </w:r>
                </w:p>
              </w:tc>
              <w:tc>
                <w:tcPr>
                  <w:tcW w:w="925" w:type="dxa"/>
                  <w:vAlign w:val="center"/>
                </w:tcPr>
                <w:p w14:paraId="113AB653">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50</w:t>
                  </w:r>
                </w:p>
              </w:tc>
              <w:tc>
                <w:tcPr>
                  <w:tcW w:w="506" w:type="pct"/>
                  <w:vAlign w:val="center"/>
                </w:tcPr>
                <w:p w14:paraId="147156E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4BF1C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restart"/>
                  <w:vAlign w:val="center"/>
                </w:tcPr>
                <w:p w14:paraId="72716A3B">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三季度</w:t>
                  </w:r>
                </w:p>
              </w:tc>
              <w:tc>
                <w:tcPr>
                  <w:tcW w:w="590" w:type="pct"/>
                  <w:vAlign w:val="center"/>
                </w:tcPr>
                <w:p w14:paraId="0405455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昼间</w:t>
                  </w:r>
                </w:p>
              </w:tc>
              <w:tc>
                <w:tcPr>
                  <w:tcW w:w="681" w:type="pct"/>
                  <w:vAlign w:val="center"/>
                </w:tcPr>
                <w:p w14:paraId="594196E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55.4</w:t>
                  </w:r>
                </w:p>
              </w:tc>
              <w:tc>
                <w:tcPr>
                  <w:tcW w:w="715" w:type="pct"/>
                  <w:vAlign w:val="center"/>
                </w:tcPr>
                <w:p w14:paraId="44482C7C">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57.3</w:t>
                  </w:r>
                </w:p>
              </w:tc>
              <w:tc>
                <w:tcPr>
                  <w:tcW w:w="549" w:type="pct"/>
                  <w:vAlign w:val="center"/>
                </w:tcPr>
                <w:p w14:paraId="1FDF6CD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55.3</w:t>
                  </w:r>
                </w:p>
              </w:tc>
              <w:tc>
                <w:tcPr>
                  <w:tcW w:w="629" w:type="pct"/>
                  <w:vAlign w:val="center"/>
                </w:tcPr>
                <w:p w14:paraId="595F14C6">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55.5</w:t>
                  </w:r>
                </w:p>
              </w:tc>
              <w:tc>
                <w:tcPr>
                  <w:tcW w:w="925" w:type="dxa"/>
                  <w:vAlign w:val="center"/>
                </w:tcPr>
                <w:p w14:paraId="2FACD143">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60</w:t>
                  </w:r>
                </w:p>
              </w:tc>
              <w:tc>
                <w:tcPr>
                  <w:tcW w:w="506" w:type="pct"/>
                  <w:vAlign w:val="center"/>
                </w:tcPr>
                <w:p w14:paraId="13E4CF4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79580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continue"/>
                  <w:vAlign w:val="center"/>
                </w:tcPr>
                <w:p w14:paraId="155D68BA">
                  <w:pPr>
                    <w:jc w:val="center"/>
                    <w:rPr>
                      <w:rFonts w:hint="default" w:ascii="Times New Roman" w:hAnsi="Times New Roman" w:eastAsia="宋体" w:cs="Times New Roman"/>
                      <w:color w:val="auto"/>
                      <w:sz w:val="21"/>
                      <w:szCs w:val="20"/>
                      <w:highlight w:val="none"/>
                    </w:rPr>
                  </w:pPr>
                </w:p>
              </w:tc>
              <w:tc>
                <w:tcPr>
                  <w:tcW w:w="590" w:type="pct"/>
                  <w:vAlign w:val="center"/>
                </w:tcPr>
                <w:p w14:paraId="3B876C6E">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夜间</w:t>
                  </w:r>
                </w:p>
              </w:tc>
              <w:tc>
                <w:tcPr>
                  <w:tcW w:w="681" w:type="pct"/>
                  <w:vAlign w:val="center"/>
                </w:tcPr>
                <w:p w14:paraId="55578F0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47.1</w:t>
                  </w:r>
                </w:p>
              </w:tc>
              <w:tc>
                <w:tcPr>
                  <w:tcW w:w="715" w:type="pct"/>
                  <w:vAlign w:val="center"/>
                </w:tcPr>
                <w:p w14:paraId="1B16DBE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45.8</w:t>
                  </w:r>
                </w:p>
              </w:tc>
              <w:tc>
                <w:tcPr>
                  <w:tcW w:w="549" w:type="pct"/>
                  <w:vAlign w:val="center"/>
                </w:tcPr>
                <w:p w14:paraId="570011E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47.9</w:t>
                  </w:r>
                </w:p>
              </w:tc>
              <w:tc>
                <w:tcPr>
                  <w:tcW w:w="629" w:type="pct"/>
                  <w:vAlign w:val="center"/>
                </w:tcPr>
                <w:p w14:paraId="38BAA51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46.7</w:t>
                  </w:r>
                </w:p>
              </w:tc>
              <w:tc>
                <w:tcPr>
                  <w:tcW w:w="925" w:type="dxa"/>
                  <w:vAlign w:val="center"/>
                </w:tcPr>
                <w:p w14:paraId="6B5CB168">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50</w:t>
                  </w:r>
                </w:p>
              </w:tc>
              <w:tc>
                <w:tcPr>
                  <w:tcW w:w="506" w:type="pct"/>
                  <w:vAlign w:val="center"/>
                </w:tcPr>
                <w:p w14:paraId="5E0ED04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6177A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restart"/>
                  <w:vAlign w:val="center"/>
                </w:tcPr>
                <w:p w14:paraId="425C47F0">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四季度</w:t>
                  </w:r>
                </w:p>
              </w:tc>
              <w:tc>
                <w:tcPr>
                  <w:tcW w:w="590" w:type="pct"/>
                  <w:vAlign w:val="center"/>
                </w:tcPr>
                <w:p w14:paraId="6940A1B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昼间</w:t>
                  </w:r>
                </w:p>
              </w:tc>
              <w:tc>
                <w:tcPr>
                  <w:tcW w:w="681" w:type="pct"/>
                  <w:vAlign w:val="center"/>
                </w:tcPr>
                <w:p w14:paraId="6F890062">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54.7</w:t>
                  </w:r>
                </w:p>
              </w:tc>
              <w:tc>
                <w:tcPr>
                  <w:tcW w:w="715" w:type="pct"/>
                  <w:vAlign w:val="center"/>
                </w:tcPr>
                <w:p w14:paraId="75E0A90F">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53.0</w:t>
                  </w:r>
                </w:p>
              </w:tc>
              <w:tc>
                <w:tcPr>
                  <w:tcW w:w="549" w:type="pct"/>
                  <w:vAlign w:val="center"/>
                </w:tcPr>
                <w:p w14:paraId="46C28F3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52.9</w:t>
                  </w:r>
                </w:p>
              </w:tc>
              <w:tc>
                <w:tcPr>
                  <w:tcW w:w="629" w:type="pct"/>
                  <w:vAlign w:val="center"/>
                </w:tcPr>
                <w:p w14:paraId="30FD516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56.1</w:t>
                  </w:r>
                </w:p>
              </w:tc>
              <w:tc>
                <w:tcPr>
                  <w:tcW w:w="925" w:type="dxa"/>
                  <w:vAlign w:val="center"/>
                </w:tcPr>
                <w:p w14:paraId="0128B224">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60</w:t>
                  </w:r>
                </w:p>
              </w:tc>
              <w:tc>
                <w:tcPr>
                  <w:tcW w:w="506" w:type="pct"/>
                  <w:vAlign w:val="center"/>
                </w:tcPr>
                <w:p w14:paraId="1146BAC4">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r w14:paraId="38055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 w:type="pct"/>
                  <w:vMerge w:val="continue"/>
                  <w:vAlign w:val="center"/>
                </w:tcPr>
                <w:p w14:paraId="455D2B3D">
                  <w:pPr>
                    <w:jc w:val="center"/>
                    <w:rPr>
                      <w:rFonts w:hint="default" w:ascii="Times New Roman" w:hAnsi="Times New Roman" w:eastAsia="宋体" w:cs="Times New Roman"/>
                      <w:color w:val="auto"/>
                      <w:sz w:val="21"/>
                      <w:szCs w:val="20"/>
                      <w:highlight w:val="none"/>
                    </w:rPr>
                  </w:pPr>
                </w:p>
              </w:tc>
              <w:tc>
                <w:tcPr>
                  <w:tcW w:w="590" w:type="pct"/>
                  <w:vAlign w:val="center"/>
                </w:tcPr>
                <w:p w14:paraId="22509F79">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夜间</w:t>
                  </w:r>
                </w:p>
              </w:tc>
              <w:tc>
                <w:tcPr>
                  <w:tcW w:w="681" w:type="pct"/>
                  <w:vAlign w:val="center"/>
                </w:tcPr>
                <w:p w14:paraId="0A02B668">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46.7</w:t>
                  </w:r>
                </w:p>
              </w:tc>
              <w:tc>
                <w:tcPr>
                  <w:tcW w:w="715" w:type="pct"/>
                  <w:vAlign w:val="center"/>
                </w:tcPr>
                <w:p w14:paraId="251C7845">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44.8</w:t>
                  </w:r>
                </w:p>
              </w:tc>
              <w:tc>
                <w:tcPr>
                  <w:tcW w:w="549" w:type="pct"/>
                  <w:vAlign w:val="center"/>
                </w:tcPr>
                <w:p w14:paraId="503EA34A">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45.0</w:t>
                  </w:r>
                </w:p>
              </w:tc>
              <w:tc>
                <w:tcPr>
                  <w:tcW w:w="629" w:type="pct"/>
                  <w:vAlign w:val="center"/>
                </w:tcPr>
                <w:p w14:paraId="0E0B3EE1">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47.1</w:t>
                  </w:r>
                </w:p>
              </w:tc>
              <w:tc>
                <w:tcPr>
                  <w:tcW w:w="925" w:type="dxa"/>
                  <w:vAlign w:val="center"/>
                </w:tcPr>
                <w:p w14:paraId="6077EDEA">
                  <w:pPr>
                    <w:snapToGrid w:val="0"/>
                    <w:jc w:val="center"/>
                    <w:rPr>
                      <w:rFonts w:hint="default" w:ascii="Times New Roman" w:hAnsi="Times New Roman" w:eastAsia="宋体" w:cs="Times New Roman"/>
                      <w:color w:val="auto"/>
                      <w:sz w:val="21"/>
                      <w:szCs w:val="20"/>
                      <w:highlight w:val="none"/>
                    </w:rPr>
                  </w:pPr>
                  <w:r>
                    <w:rPr>
                      <w:rFonts w:hint="eastAsia" w:cs="Times New Roman"/>
                      <w:color w:val="auto"/>
                      <w:sz w:val="21"/>
                      <w:szCs w:val="20"/>
                      <w:highlight w:val="none"/>
                      <w:lang w:val="en-US" w:eastAsia="zh-CN"/>
                    </w:rPr>
                    <w:t>50</w:t>
                  </w:r>
                </w:p>
              </w:tc>
              <w:tc>
                <w:tcPr>
                  <w:tcW w:w="506" w:type="pct"/>
                  <w:vAlign w:val="center"/>
                </w:tcPr>
                <w:p w14:paraId="73EF2257">
                  <w:pPr>
                    <w:snapToGrid w:val="0"/>
                    <w:jc w:val="center"/>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达标</w:t>
                  </w:r>
                </w:p>
              </w:tc>
            </w:tr>
          </w:tbl>
          <w:p w14:paraId="402F20D4">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bookmarkStart w:id="48" w:name="_Toc129614880"/>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现有项目地下水例行监测情况</w:t>
            </w:r>
          </w:p>
          <w:p w14:paraId="6B0B393C">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根据江苏蓝天环境检测有限公司出具的环境监测报告，现有项目地下水例行监测结果见下表，除氨氮能够满足地下水质量标准Ⅳ类限值要求外，其余各因子均满足地下水质量标准Ⅲ类限值。</w:t>
            </w:r>
          </w:p>
          <w:p w14:paraId="0CD4901A">
            <w:pPr>
              <w:spacing w:line="500" w:lineRule="exact"/>
              <w:jc w:val="center"/>
              <w:rPr>
                <w:rFonts w:hint="default" w:ascii="Times New Roman" w:hAnsi="Times New Roman" w:eastAsia="宋体" w:cs="Times New Roman"/>
                <w:b/>
                <w:color w:val="auto"/>
                <w:szCs w:val="28"/>
                <w:highlight w:val="none"/>
                <w:shd w:val="clear" w:color="auto" w:fill="FFFFFF" w:themeFill="background1"/>
              </w:rPr>
            </w:pPr>
            <w:r>
              <w:rPr>
                <w:rFonts w:hint="default" w:ascii="Times New Roman" w:hAnsi="Times New Roman" w:eastAsia="宋体" w:cs="Times New Roman"/>
                <w:b/>
                <w:color w:val="auto"/>
                <w:szCs w:val="28"/>
                <w:highlight w:val="none"/>
                <w:shd w:val="clear" w:color="auto" w:fill="FFFFFF" w:themeFill="background1"/>
              </w:rPr>
              <w:t>表</w:t>
            </w:r>
            <w:r>
              <w:rPr>
                <w:rFonts w:hint="eastAsia" w:cs="Times New Roman"/>
                <w:b/>
                <w:bCs/>
                <w:color w:val="auto"/>
                <w:szCs w:val="28"/>
                <w:highlight w:val="none"/>
                <w:shd w:val="clear" w:color="auto" w:fill="FFFFFF" w:themeFill="background1"/>
                <w:lang w:val="en-US" w:eastAsia="zh-CN"/>
              </w:rPr>
              <w:t>2-23</w:t>
            </w:r>
            <w:r>
              <w:rPr>
                <w:rFonts w:hint="default" w:ascii="Times New Roman" w:hAnsi="Times New Roman" w:eastAsia="宋体" w:cs="Times New Roman"/>
                <w:b/>
                <w:bCs/>
                <w:color w:val="auto"/>
                <w:szCs w:val="28"/>
                <w:highlight w:val="none"/>
                <w:shd w:val="clear" w:color="auto" w:fill="FFFFFF" w:themeFill="background1"/>
              </w:rPr>
              <w:t xml:space="preserve">   现有</w:t>
            </w:r>
            <w:r>
              <w:rPr>
                <w:rFonts w:hint="default" w:ascii="Times New Roman" w:hAnsi="Times New Roman" w:eastAsia="宋体" w:cs="Times New Roman"/>
                <w:b/>
                <w:color w:val="auto"/>
                <w:szCs w:val="28"/>
                <w:highlight w:val="none"/>
                <w:shd w:val="clear" w:color="auto" w:fill="FFFFFF" w:themeFill="background1"/>
              </w:rPr>
              <w:t>项目2024年地下水例行监测结果（mg/L）</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92"/>
              <w:gridCol w:w="665"/>
              <w:gridCol w:w="597"/>
              <w:gridCol w:w="528"/>
              <w:gridCol w:w="528"/>
              <w:gridCol w:w="666"/>
              <w:gridCol w:w="666"/>
              <w:gridCol w:w="528"/>
              <w:gridCol w:w="528"/>
              <w:gridCol w:w="597"/>
              <w:gridCol w:w="666"/>
              <w:gridCol w:w="528"/>
              <w:gridCol w:w="528"/>
              <w:gridCol w:w="608"/>
            </w:tblGrid>
            <w:tr w14:paraId="74268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Merge w:val="restart"/>
                  <w:vAlign w:val="center"/>
                </w:tcPr>
                <w:p w14:paraId="51A8EE8A">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监测因子</w:t>
                  </w:r>
                </w:p>
              </w:tc>
              <w:tc>
                <w:tcPr>
                  <w:tcW w:w="1252" w:type="pct"/>
                  <w:gridSpan w:val="4"/>
                  <w:vAlign w:val="center"/>
                </w:tcPr>
                <w:p w14:paraId="58D40DB5">
                  <w:pPr>
                    <w:tabs>
                      <w:tab w:val="left" w:pos="1999"/>
                    </w:tabs>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厂内X1</w:t>
                  </w:r>
                </w:p>
              </w:tc>
              <w:tc>
                <w:tcPr>
                  <w:tcW w:w="1252" w:type="pct"/>
                  <w:gridSpan w:val="4"/>
                  <w:vAlign w:val="center"/>
                </w:tcPr>
                <w:p w14:paraId="5A1EAFF8">
                  <w:pPr>
                    <w:tabs>
                      <w:tab w:val="left" w:pos="1999"/>
                    </w:tabs>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厂内X2</w:t>
                  </w:r>
                </w:p>
              </w:tc>
              <w:tc>
                <w:tcPr>
                  <w:tcW w:w="1252" w:type="pct"/>
                  <w:gridSpan w:val="4"/>
                  <w:vAlign w:val="center"/>
                </w:tcPr>
                <w:p w14:paraId="6651A76A">
                  <w:pPr>
                    <w:tabs>
                      <w:tab w:val="left" w:pos="1999"/>
                    </w:tabs>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厂内X3</w:t>
                  </w:r>
                </w:p>
              </w:tc>
              <w:tc>
                <w:tcPr>
                  <w:tcW w:w="387" w:type="pct"/>
                  <w:vMerge w:val="restart"/>
                  <w:vAlign w:val="center"/>
                </w:tcPr>
                <w:p w14:paraId="6590840B">
                  <w:pPr>
                    <w:tabs>
                      <w:tab w:val="left" w:pos="1999"/>
                    </w:tabs>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评价标准</w:t>
                  </w:r>
                </w:p>
              </w:tc>
            </w:tr>
            <w:tr w14:paraId="48B40F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Merge w:val="continue"/>
                  <w:vAlign w:val="center"/>
                </w:tcPr>
                <w:p w14:paraId="0441D2E1">
                  <w:pPr>
                    <w:jc w:val="center"/>
                    <w:rPr>
                      <w:rFonts w:hint="default" w:ascii="Times New Roman" w:hAnsi="Times New Roman" w:eastAsia="宋体" w:cs="Times New Roman"/>
                      <w:b/>
                      <w:color w:val="auto"/>
                      <w:sz w:val="21"/>
                      <w:szCs w:val="21"/>
                      <w:highlight w:val="none"/>
                      <w:shd w:val="clear" w:color="auto" w:fill="FFFFFF" w:themeFill="background1"/>
                    </w:rPr>
                  </w:pPr>
                </w:p>
              </w:tc>
              <w:tc>
                <w:tcPr>
                  <w:tcW w:w="313" w:type="pct"/>
                  <w:vAlign w:val="center"/>
                </w:tcPr>
                <w:p w14:paraId="6C43C5FF">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一季度</w:t>
                  </w:r>
                </w:p>
              </w:tc>
              <w:tc>
                <w:tcPr>
                  <w:tcW w:w="313" w:type="pct"/>
                  <w:vAlign w:val="center"/>
                </w:tcPr>
                <w:p w14:paraId="7F0FB3AE">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二季度</w:t>
                  </w:r>
                </w:p>
              </w:tc>
              <w:tc>
                <w:tcPr>
                  <w:tcW w:w="313" w:type="pct"/>
                  <w:vAlign w:val="center"/>
                </w:tcPr>
                <w:p w14:paraId="186D17B8">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三季度</w:t>
                  </w:r>
                </w:p>
              </w:tc>
              <w:tc>
                <w:tcPr>
                  <w:tcW w:w="313" w:type="pct"/>
                  <w:vAlign w:val="center"/>
                </w:tcPr>
                <w:p w14:paraId="2C33AAE9">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四季度</w:t>
                  </w:r>
                </w:p>
              </w:tc>
              <w:tc>
                <w:tcPr>
                  <w:tcW w:w="313" w:type="pct"/>
                  <w:vAlign w:val="center"/>
                </w:tcPr>
                <w:p w14:paraId="553087E8">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一季度</w:t>
                  </w:r>
                </w:p>
              </w:tc>
              <w:tc>
                <w:tcPr>
                  <w:tcW w:w="313" w:type="pct"/>
                  <w:vAlign w:val="center"/>
                </w:tcPr>
                <w:p w14:paraId="41DAB243">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二季度</w:t>
                  </w:r>
                </w:p>
              </w:tc>
              <w:tc>
                <w:tcPr>
                  <w:tcW w:w="313" w:type="pct"/>
                  <w:vAlign w:val="center"/>
                </w:tcPr>
                <w:p w14:paraId="7DF58C27">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三季度</w:t>
                  </w:r>
                </w:p>
              </w:tc>
              <w:tc>
                <w:tcPr>
                  <w:tcW w:w="313" w:type="pct"/>
                  <w:vAlign w:val="center"/>
                </w:tcPr>
                <w:p w14:paraId="500EAFE0">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四季度</w:t>
                  </w:r>
                </w:p>
              </w:tc>
              <w:tc>
                <w:tcPr>
                  <w:tcW w:w="313" w:type="pct"/>
                  <w:vAlign w:val="center"/>
                </w:tcPr>
                <w:p w14:paraId="5E7DFA04">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一季度</w:t>
                  </w:r>
                </w:p>
              </w:tc>
              <w:tc>
                <w:tcPr>
                  <w:tcW w:w="313" w:type="pct"/>
                  <w:vAlign w:val="center"/>
                </w:tcPr>
                <w:p w14:paraId="21ED5CE6">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二季度</w:t>
                  </w:r>
                </w:p>
              </w:tc>
              <w:tc>
                <w:tcPr>
                  <w:tcW w:w="313" w:type="pct"/>
                  <w:vAlign w:val="center"/>
                </w:tcPr>
                <w:p w14:paraId="2A11972F">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三季度</w:t>
                  </w:r>
                </w:p>
              </w:tc>
              <w:tc>
                <w:tcPr>
                  <w:tcW w:w="313" w:type="pct"/>
                  <w:vAlign w:val="center"/>
                </w:tcPr>
                <w:p w14:paraId="7FE19F51">
                  <w:pPr>
                    <w:jc w:val="center"/>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四季度</w:t>
                  </w:r>
                </w:p>
              </w:tc>
              <w:tc>
                <w:tcPr>
                  <w:tcW w:w="387" w:type="pct"/>
                  <w:vMerge w:val="continue"/>
                  <w:vAlign w:val="center"/>
                </w:tcPr>
                <w:p w14:paraId="0DA9DDF1">
                  <w:pPr>
                    <w:jc w:val="center"/>
                    <w:rPr>
                      <w:rFonts w:hint="default" w:ascii="Times New Roman" w:hAnsi="Times New Roman" w:eastAsia="宋体" w:cs="Times New Roman"/>
                      <w:b/>
                      <w:color w:val="auto"/>
                      <w:sz w:val="21"/>
                      <w:szCs w:val="21"/>
                      <w:highlight w:val="none"/>
                      <w:shd w:val="clear" w:color="auto" w:fill="FFFFFF" w:themeFill="background1"/>
                    </w:rPr>
                  </w:pPr>
                </w:p>
              </w:tc>
            </w:tr>
            <w:tr w14:paraId="00EFD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EB962D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pH</w:t>
                  </w:r>
                </w:p>
              </w:tc>
              <w:tc>
                <w:tcPr>
                  <w:tcW w:w="313" w:type="pct"/>
                  <w:vAlign w:val="center"/>
                </w:tcPr>
                <w:p w14:paraId="6911971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7.4</w:t>
                  </w:r>
                </w:p>
              </w:tc>
              <w:tc>
                <w:tcPr>
                  <w:tcW w:w="313" w:type="pct"/>
                  <w:vAlign w:val="center"/>
                </w:tcPr>
                <w:p w14:paraId="62DF188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7.4</w:t>
                  </w:r>
                </w:p>
              </w:tc>
              <w:tc>
                <w:tcPr>
                  <w:tcW w:w="313" w:type="pct"/>
                  <w:vAlign w:val="center"/>
                </w:tcPr>
                <w:p w14:paraId="23BD3A4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6.8</w:t>
                  </w:r>
                </w:p>
              </w:tc>
              <w:tc>
                <w:tcPr>
                  <w:tcW w:w="313" w:type="pct"/>
                  <w:vAlign w:val="center"/>
                </w:tcPr>
                <w:p w14:paraId="2D718EF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7.8</w:t>
                  </w:r>
                </w:p>
              </w:tc>
              <w:tc>
                <w:tcPr>
                  <w:tcW w:w="313" w:type="pct"/>
                  <w:vAlign w:val="center"/>
                </w:tcPr>
                <w:p w14:paraId="78862CA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7.1</w:t>
                  </w:r>
                </w:p>
              </w:tc>
              <w:tc>
                <w:tcPr>
                  <w:tcW w:w="313" w:type="pct"/>
                  <w:vAlign w:val="center"/>
                </w:tcPr>
                <w:p w14:paraId="4E6D340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7.2</w:t>
                  </w:r>
                </w:p>
              </w:tc>
              <w:tc>
                <w:tcPr>
                  <w:tcW w:w="313" w:type="pct"/>
                  <w:vAlign w:val="center"/>
                </w:tcPr>
                <w:p w14:paraId="4E72C7F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7.2</w:t>
                  </w:r>
                </w:p>
              </w:tc>
              <w:tc>
                <w:tcPr>
                  <w:tcW w:w="313" w:type="pct"/>
                  <w:vAlign w:val="center"/>
                </w:tcPr>
                <w:p w14:paraId="246D2DA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7.0</w:t>
                  </w:r>
                </w:p>
              </w:tc>
              <w:tc>
                <w:tcPr>
                  <w:tcW w:w="313" w:type="pct"/>
                  <w:vAlign w:val="center"/>
                </w:tcPr>
                <w:p w14:paraId="0B7C8BD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7.3</w:t>
                  </w:r>
                </w:p>
              </w:tc>
              <w:tc>
                <w:tcPr>
                  <w:tcW w:w="313" w:type="pct"/>
                  <w:vAlign w:val="center"/>
                </w:tcPr>
                <w:p w14:paraId="440CEDA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7.4</w:t>
                  </w:r>
                </w:p>
              </w:tc>
              <w:tc>
                <w:tcPr>
                  <w:tcW w:w="313" w:type="pct"/>
                  <w:vAlign w:val="center"/>
                </w:tcPr>
                <w:p w14:paraId="3F06DF6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7.2</w:t>
                  </w:r>
                </w:p>
              </w:tc>
              <w:tc>
                <w:tcPr>
                  <w:tcW w:w="313" w:type="pct"/>
                  <w:vAlign w:val="center"/>
                </w:tcPr>
                <w:p w14:paraId="05B4B52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7.6</w:t>
                  </w:r>
                </w:p>
              </w:tc>
              <w:tc>
                <w:tcPr>
                  <w:tcW w:w="387" w:type="pct"/>
                  <w:vAlign w:val="center"/>
                </w:tcPr>
                <w:p w14:paraId="0095768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6.5-8.5</w:t>
                  </w:r>
                </w:p>
              </w:tc>
            </w:tr>
            <w:tr w14:paraId="22FE7E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0C6D5FE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COD</w:t>
                  </w:r>
                  <w:r>
                    <w:rPr>
                      <w:rFonts w:hint="default" w:ascii="Times New Roman" w:hAnsi="Times New Roman" w:eastAsia="宋体" w:cs="Times New Roman"/>
                      <w:color w:val="auto"/>
                      <w:sz w:val="21"/>
                      <w:szCs w:val="21"/>
                      <w:highlight w:val="none"/>
                      <w:shd w:val="clear" w:color="auto" w:fill="FFFFFF" w:themeFill="background1"/>
                      <w:vertAlign w:val="subscript"/>
                    </w:rPr>
                    <w:t>Mn</w:t>
                  </w:r>
                </w:p>
              </w:tc>
              <w:tc>
                <w:tcPr>
                  <w:tcW w:w="313" w:type="pct"/>
                  <w:vAlign w:val="center"/>
                </w:tcPr>
                <w:p w14:paraId="5B054AD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2.1</w:t>
                  </w:r>
                </w:p>
              </w:tc>
              <w:tc>
                <w:tcPr>
                  <w:tcW w:w="313" w:type="pct"/>
                  <w:vAlign w:val="center"/>
                </w:tcPr>
                <w:p w14:paraId="751404F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2.5</w:t>
                  </w:r>
                </w:p>
              </w:tc>
              <w:tc>
                <w:tcPr>
                  <w:tcW w:w="313" w:type="pct"/>
                  <w:vAlign w:val="center"/>
                </w:tcPr>
                <w:p w14:paraId="1C0F850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w:t>
                  </w:r>
                </w:p>
              </w:tc>
              <w:tc>
                <w:tcPr>
                  <w:tcW w:w="313" w:type="pct"/>
                  <w:vAlign w:val="center"/>
                </w:tcPr>
                <w:p w14:paraId="1A6FE70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1.7</w:t>
                  </w:r>
                </w:p>
              </w:tc>
              <w:tc>
                <w:tcPr>
                  <w:tcW w:w="313" w:type="pct"/>
                  <w:vAlign w:val="center"/>
                </w:tcPr>
                <w:p w14:paraId="51FE4D2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1.6</w:t>
                  </w:r>
                </w:p>
              </w:tc>
              <w:tc>
                <w:tcPr>
                  <w:tcW w:w="313" w:type="pct"/>
                  <w:vAlign w:val="center"/>
                </w:tcPr>
                <w:p w14:paraId="23E1F28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1.8</w:t>
                  </w:r>
                </w:p>
              </w:tc>
              <w:tc>
                <w:tcPr>
                  <w:tcW w:w="313" w:type="pct"/>
                  <w:vAlign w:val="center"/>
                </w:tcPr>
                <w:p w14:paraId="2E223BC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2.8</w:t>
                  </w:r>
                </w:p>
              </w:tc>
              <w:tc>
                <w:tcPr>
                  <w:tcW w:w="313" w:type="pct"/>
                  <w:vAlign w:val="center"/>
                </w:tcPr>
                <w:p w14:paraId="725CECA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2.7</w:t>
                  </w:r>
                </w:p>
              </w:tc>
              <w:tc>
                <w:tcPr>
                  <w:tcW w:w="313" w:type="pct"/>
                  <w:vAlign w:val="center"/>
                </w:tcPr>
                <w:p w14:paraId="71EECF6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1.2</w:t>
                  </w:r>
                </w:p>
              </w:tc>
              <w:tc>
                <w:tcPr>
                  <w:tcW w:w="313" w:type="pct"/>
                  <w:vAlign w:val="center"/>
                </w:tcPr>
                <w:p w14:paraId="71987B0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2.1</w:t>
                  </w:r>
                </w:p>
              </w:tc>
              <w:tc>
                <w:tcPr>
                  <w:tcW w:w="313" w:type="pct"/>
                  <w:vAlign w:val="center"/>
                </w:tcPr>
                <w:p w14:paraId="01B40A0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2.2</w:t>
                  </w:r>
                </w:p>
              </w:tc>
              <w:tc>
                <w:tcPr>
                  <w:tcW w:w="313" w:type="pct"/>
                  <w:vAlign w:val="center"/>
                </w:tcPr>
                <w:p w14:paraId="72F112E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w:t>
                  </w:r>
                </w:p>
              </w:tc>
              <w:tc>
                <w:tcPr>
                  <w:tcW w:w="387" w:type="pct"/>
                  <w:vAlign w:val="center"/>
                </w:tcPr>
                <w:p w14:paraId="256EB41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w:t>
                  </w:r>
                </w:p>
              </w:tc>
            </w:tr>
            <w:tr w14:paraId="0DC82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18418FB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氨氮</w:t>
                  </w:r>
                </w:p>
              </w:tc>
              <w:tc>
                <w:tcPr>
                  <w:tcW w:w="313" w:type="pct"/>
                  <w:vAlign w:val="center"/>
                </w:tcPr>
                <w:p w14:paraId="2634587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0.154</w:t>
                  </w:r>
                </w:p>
              </w:tc>
              <w:tc>
                <w:tcPr>
                  <w:tcW w:w="313" w:type="pct"/>
                  <w:vAlign w:val="center"/>
                </w:tcPr>
                <w:p w14:paraId="4131E0E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0.249</w:t>
                  </w:r>
                </w:p>
              </w:tc>
              <w:tc>
                <w:tcPr>
                  <w:tcW w:w="313" w:type="pct"/>
                  <w:vAlign w:val="center"/>
                </w:tcPr>
                <w:p w14:paraId="318D254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0.783</w:t>
                  </w:r>
                </w:p>
              </w:tc>
              <w:tc>
                <w:tcPr>
                  <w:tcW w:w="313" w:type="pct"/>
                  <w:vAlign w:val="center"/>
                </w:tcPr>
                <w:p w14:paraId="0EDBF33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0.061</w:t>
                  </w:r>
                </w:p>
              </w:tc>
              <w:tc>
                <w:tcPr>
                  <w:tcW w:w="313" w:type="pct"/>
                  <w:vAlign w:val="center"/>
                </w:tcPr>
                <w:p w14:paraId="270DE6A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0.253</w:t>
                  </w:r>
                </w:p>
              </w:tc>
              <w:tc>
                <w:tcPr>
                  <w:tcW w:w="313" w:type="pct"/>
                  <w:vAlign w:val="center"/>
                </w:tcPr>
                <w:p w14:paraId="5B55BF6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0.794</w:t>
                  </w:r>
                </w:p>
              </w:tc>
              <w:tc>
                <w:tcPr>
                  <w:tcW w:w="313" w:type="pct"/>
                  <w:vAlign w:val="center"/>
                </w:tcPr>
                <w:p w14:paraId="039C912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0.904</w:t>
                  </w:r>
                </w:p>
              </w:tc>
              <w:tc>
                <w:tcPr>
                  <w:tcW w:w="313" w:type="pct"/>
                  <w:vAlign w:val="center"/>
                </w:tcPr>
                <w:p w14:paraId="2878A07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0.704</w:t>
                  </w:r>
                </w:p>
              </w:tc>
              <w:tc>
                <w:tcPr>
                  <w:tcW w:w="313" w:type="pct"/>
                  <w:vAlign w:val="center"/>
                </w:tcPr>
                <w:p w14:paraId="36B0CA4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0.096</w:t>
                  </w:r>
                </w:p>
              </w:tc>
              <w:tc>
                <w:tcPr>
                  <w:tcW w:w="313" w:type="pct"/>
                  <w:vAlign w:val="center"/>
                </w:tcPr>
                <w:p w14:paraId="374CBF7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0.258</w:t>
                  </w:r>
                </w:p>
              </w:tc>
              <w:tc>
                <w:tcPr>
                  <w:tcW w:w="313" w:type="pct"/>
                  <w:vAlign w:val="center"/>
                </w:tcPr>
                <w:p w14:paraId="165AF30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0.834</w:t>
                  </w:r>
                </w:p>
              </w:tc>
              <w:tc>
                <w:tcPr>
                  <w:tcW w:w="313" w:type="pct"/>
                  <w:vAlign w:val="center"/>
                </w:tcPr>
                <w:p w14:paraId="3A2949F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0.042</w:t>
                  </w:r>
                </w:p>
              </w:tc>
              <w:tc>
                <w:tcPr>
                  <w:tcW w:w="387" w:type="pct"/>
                  <w:vAlign w:val="center"/>
                </w:tcPr>
                <w:p w14:paraId="5D07C2C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w:t>
                  </w:r>
                </w:p>
              </w:tc>
            </w:tr>
            <w:tr w14:paraId="222C6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527FD71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汞</w:t>
                  </w:r>
                </w:p>
              </w:tc>
              <w:tc>
                <w:tcPr>
                  <w:tcW w:w="313" w:type="pct"/>
                  <w:vAlign w:val="center"/>
                </w:tcPr>
                <w:p w14:paraId="0D6C7CC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0.00016</w:t>
                  </w:r>
                </w:p>
              </w:tc>
              <w:tc>
                <w:tcPr>
                  <w:tcW w:w="313" w:type="pct"/>
                  <w:vAlign w:val="center"/>
                </w:tcPr>
                <w:p w14:paraId="15FCBBB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0.0005</w:t>
                  </w:r>
                </w:p>
              </w:tc>
              <w:tc>
                <w:tcPr>
                  <w:tcW w:w="313" w:type="pct"/>
                  <w:vAlign w:val="center"/>
                </w:tcPr>
                <w:p w14:paraId="1BB9020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3900ED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895A2A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0.00026</w:t>
                  </w:r>
                </w:p>
              </w:tc>
              <w:tc>
                <w:tcPr>
                  <w:tcW w:w="313" w:type="pct"/>
                  <w:vAlign w:val="center"/>
                </w:tcPr>
                <w:p w14:paraId="4F8D86A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0.00043</w:t>
                  </w:r>
                </w:p>
              </w:tc>
              <w:tc>
                <w:tcPr>
                  <w:tcW w:w="313" w:type="pct"/>
                  <w:vAlign w:val="center"/>
                </w:tcPr>
                <w:p w14:paraId="0373B86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975BA9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484A3D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0.0002</w:t>
                  </w:r>
                </w:p>
              </w:tc>
              <w:tc>
                <w:tcPr>
                  <w:tcW w:w="313" w:type="pct"/>
                  <w:vAlign w:val="center"/>
                </w:tcPr>
                <w:p w14:paraId="6F8DB57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0.00036</w:t>
                  </w:r>
                </w:p>
              </w:tc>
              <w:tc>
                <w:tcPr>
                  <w:tcW w:w="313" w:type="pct"/>
                  <w:vAlign w:val="center"/>
                </w:tcPr>
                <w:p w14:paraId="2A783C1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1A6743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49C4E90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r>
            <w:tr w14:paraId="7AF75F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1C997D9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砷</w:t>
                  </w:r>
                </w:p>
              </w:tc>
              <w:tc>
                <w:tcPr>
                  <w:tcW w:w="313" w:type="pct"/>
                  <w:vAlign w:val="center"/>
                </w:tcPr>
                <w:p w14:paraId="477346A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C6A046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A37C2C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4839151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50EA7B9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E94ACE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8B9A0E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445DFA2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6453AF1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9720E2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794E7F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1694092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87" w:type="pct"/>
                  <w:vAlign w:val="center"/>
                </w:tcPr>
                <w:p w14:paraId="48302B3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0.01</w:t>
                  </w:r>
                </w:p>
              </w:tc>
            </w:tr>
            <w:tr w14:paraId="51EAFE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7F0E453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铜</w:t>
                  </w:r>
                </w:p>
              </w:tc>
              <w:tc>
                <w:tcPr>
                  <w:tcW w:w="313" w:type="pct"/>
                  <w:vAlign w:val="center"/>
                </w:tcPr>
                <w:p w14:paraId="6182FC1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0.003</w:t>
                  </w:r>
                </w:p>
              </w:tc>
              <w:tc>
                <w:tcPr>
                  <w:tcW w:w="313" w:type="pct"/>
                  <w:vAlign w:val="center"/>
                </w:tcPr>
                <w:p w14:paraId="790EE55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4B80F74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D9BFD8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45A9CA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3338A6B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0.005</w:t>
                  </w:r>
                </w:p>
              </w:tc>
              <w:tc>
                <w:tcPr>
                  <w:tcW w:w="313" w:type="pct"/>
                  <w:vAlign w:val="center"/>
                </w:tcPr>
                <w:p w14:paraId="1F613BA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0399EA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D89311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432DC62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4E16BA6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8FACAA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283D477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w:t>
                  </w:r>
                </w:p>
              </w:tc>
            </w:tr>
            <w:tr w14:paraId="4E629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F2D0BB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锌</w:t>
                  </w:r>
                </w:p>
              </w:tc>
              <w:tc>
                <w:tcPr>
                  <w:tcW w:w="313" w:type="pct"/>
                  <w:vAlign w:val="center"/>
                </w:tcPr>
                <w:p w14:paraId="3E27C58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16D16F3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BA33F2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0BBB12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B87551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11D766B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0F8C1F9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DA3FA8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6CE183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0B84627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0C1DFD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8B63EC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629377A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w:t>
                  </w:r>
                </w:p>
              </w:tc>
            </w:tr>
            <w:tr w14:paraId="6BD07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807DE1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六价铬</w:t>
                  </w:r>
                </w:p>
              </w:tc>
              <w:tc>
                <w:tcPr>
                  <w:tcW w:w="313" w:type="pct"/>
                  <w:vAlign w:val="center"/>
                </w:tcPr>
                <w:p w14:paraId="20E0826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5FF8A0E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6040DFA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3D11CE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84EA0D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B7D003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057D388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FEEA66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173887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846905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461C87D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F931C8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59BABC2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0.05</w:t>
                  </w:r>
                </w:p>
              </w:tc>
            </w:tr>
            <w:tr w14:paraId="17CC15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80CC67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铅</w:t>
                  </w:r>
                </w:p>
              </w:tc>
              <w:tc>
                <w:tcPr>
                  <w:tcW w:w="313" w:type="pct"/>
                  <w:vAlign w:val="center"/>
                </w:tcPr>
                <w:p w14:paraId="5D266DB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0.002</w:t>
                  </w:r>
                </w:p>
              </w:tc>
              <w:tc>
                <w:tcPr>
                  <w:tcW w:w="313" w:type="pct"/>
                  <w:vAlign w:val="center"/>
                </w:tcPr>
                <w:p w14:paraId="264BDEF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47B4BF1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C145CC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3439173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0D3B69E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0.001</w:t>
                  </w:r>
                </w:p>
              </w:tc>
              <w:tc>
                <w:tcPr>
                  <w:tcW w:w="313" w:type="pct"/>
                  <w:vAlign w:val="center"/>
                </w:tcPr>
                <w:p w14:paraId="3B597D4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0.005</w:t>
                  </w:r>
                </w:p>
              </w:tc>
              <w:tc>
                <w:tcPr>
                  <w:tcW w:w="313" w:type="pct"/>
                  <w:vAlign w:val="center"/>
                </w:tcPr>
                <w:p w14:paraId="7327205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3F11BCB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2681C16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5AE4543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0.004</w:t>
                  </w:r>
                </w:p>
              </w:tc>
              <w:tc>
                <w:tcPr>
                  <w:tcW w:w="313" w:type="pct"/>
                  <w:vAlign w:val="center"/>
                </w:tcPr>
                <w:p w14:paraId="0480BC9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87" w:type="pct"/>
                  <w:vAlign w:val="center"/>
                </w:tcPr>
                <w:p w14:paraId="59CFE68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0.01</w:t>
                  </w:r>
                </w:p>
              </w:tc>
            </w:tr>
            <w:tr w14:paraId="7F4FD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0B5CC42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总硬度</w:t>
                  </w:r>
                </w:p>
              </w:tc>
              <w:tc>
                <w:tcPr>
                  <w:tcW w:w="313" w:type="pct"/>
                  <w:vAlign w:val="center"/>
                </w:tcPr>
                <w:p w14:paraId="00DE534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C2CAFD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962B30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252</w:t>
                  </w:r>
                </w:p>
              </w:tc>
              <w:tc>
                <w:tcPr>
                  <w:tcW w:w="313" w:type="pct"/>
                  <w:vAlign w:val="center"/>
                </w:tcPr>
                <w:p w14:paraId="2A7B1CE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286</w:t>
                  </w:r>
                </w:p>
              </w:tc>
              <w:tc>
                <w:tcPr>
                  <w:tcW w:w="313" w:type="pct"/>
                  <w:vAlign w:val="center"/>
                </w:tcPr>
                <w:p w14:paraId="5010084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21A878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ECD0F1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319</w:t>
                  </w:r>
                </w:p>
              </w:tc>
              <w:tc>
                <w:tcPr>
                  <w:tcW w:w="313" w:type="pct"/>
                  <w:vAlign w:val="center"/>
                </w:tcPr>
                <w:p w14:paraId="3BC7E9A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192</w:t>
                  </w:r>
                </w:p>
              </w:tc>
              <w:tc>
                <w:tcPr>
                  <w:tcW w:w="313" w:type="pct"/>
                  <w:vAlign w:val="center"/>
                </w:tcPr>
                <w:p w14:paraId="7F5B636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001B8B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D1925C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280</w:t>
                  </w:r>
                </w:p>
              </w:tc>
              <w:tc>
                <w:tcPr>
                  <w:tcW w:w="313" w:type="pct"/>
                  <w:vAlign w:val="center"/>
                </w:tcPr>
                <w:p w14:paraId="18CABAD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248</w:t>
                  </w:r>
                </w:p>
              </w:tc>
              <w:tc>
                <w:tcPr>
                  <w:tcW w:w="387" w:type="pct"/>
                  <w:vAlign w:val="center"/>
                </w:tcPr>
                <w:p w14:paraId="346E1CB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450</w:t>
                  </w:r>
                </w:p>
              </w:tc>
            </w:tr>
            <w:tr w14:paraId="57D67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4D2533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溶解性总固体</w:t>
                  </w:r>
                </w:p>
              </w:tc>
              <w:tc>
                <w:tcPr>
                  <w:tcW w:w="313" w:type="pct"/>
                  <w:vAlign w:val="center"/>
                </w:tcPr>
                <w:p w14:paraId="03D0015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749</w:t>
                  </w:r>
                </w:p>
              </w:tc>
              <w:tc>
                <w:tcPr>
                  <w:tcW w:w="313" w:type="pct"/>
                  <w:vAlign w:val="center"/>
                </w:tcPr>
                <w:p w14:paraId="5DD0003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964</w:t>
                  </w:r>
                </w:p>
              </w:tc>
              <w:tc>
                <w:tcPr>
                  <w:tcW w:w="313" w:type="pct"/>
                  <w:vAlign w:val="center"/>
                </w:tcPr>
                <w:p w14:paraId="0FA5B5E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340D41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915100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960</w:t>
                  </w:r>
                </w:p>
              </w:tc>
              <w:tc>
                <w:tcPr>
                  <w:tcW w:w="313" w:type="pct"/>
                  <w:vAlign w:val="center"/>
                </w:tcPr>
                <w:p w14:paraId="4815CE8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827</w:t>
                  </w:r>
                </w:p>
              </w:tc>
              <w:tc>
                <w:tcPr>
                  <w:tcW w:w="313" w:type="pct"/>
                  <w:vAlign w:val="center"/>
                </w:tcPr>
                <w:p w14:paraId="07A15BB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448AF0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36EC1A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864</w:t>
                  </w:r>
                </w:p>
              </w:tc>
              <w:tc>
                <w:tcPr>
                  <w:tcW w:w="313" w:type="pct"/>
                  <w:vAlign w:val="center"/>
                </w:tcPr>
                <w:p w14:paraId="4B08336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890</w:t>
                  </w:r>
                </w:p>
              </w:tc>
              <w:tc>
                <w:tcPr>
                  <w:tcW w:w="313" w:type="pct"/>
                  <w:vAlign w:val="center"/>
                </w:tcPr>
                <w:p w14:paraId="14A7F8E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B04F95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58DE00E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1000</w:t>
                  </w:r>
                </w:p>
              </w:tc>
            </w:tr>
            <w:tr w14:paraId="0966D4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597F081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镉</w:t>
                  </w:r>
                </w:p>
              </w:tc>
              <w:tc>
                <w:tcPr>
                  <w:tcW w:w="313" w:type="pct"/>
                  <w:vAlign w:val="center"/>
                </w:tcPr>
                <w:p w14:paraId="796618F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w:t>
                  </w:r>
                </w:p>
              </w:tc>
              <w:tc>
                <w:tcPr>
                  <w:tcW w:w="313" w:type="pct"/>
                  <w:vAlign w:val="center"/>
                </w:tcPr>
                <w:p w14:paraId="5CD9C2C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0.0002</w:t>
                  </w:r>
                </w:p>
              </w:tc>
              <w:tc>
                <w:tcPr>
                  <w:tcW w:w="313" w:type="pct"/>
                  <w:vAlign w:val="center"/>
                </w:tcPr>
                <w:p w14:paraId="29124BE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DF676D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33A107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5596707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w:t>
                  </w:r>
                </w:p>
              </w:tc>
              <w:tc>
                <w:tcPr>
                  <w:tcW w:w="313" w:type="pct"/>
                  <w:vAlign w:val="center"/>
                </w:tcPr>
                <w:p w14:paraId="0765206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D99F35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618AF6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1C0E3D7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0.0001</w:t>
                  </w:r>
                </w:p>
              </w:tc>
              <w:tc>
                <w:tcPr>
                  <w:tcW w:w="313" w:type="pct"/>
                  <w:vAlign w:val="center"/>
                </w:tcPr>
                <w:p w14:paraId="6957D9E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A4FB2E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0E8E6FE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0.005</w:t>
                  </w:r>
                </w:p>
              </w:tc>
            </w:tr>
            <w:tr w14:paraId="07195E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48E64FC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亚硝酸盐</w:t>
                  </w:r>
                </w:p>
              </w:tc>
              <w:tc>
                <w:tcPr>
                  <w:tcW w:w="313" w:type="pct"/>
                  <w:vAlign w:val="center"/>
                </w:tcPr>
                <w:p w14:paraId="468EB30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6B76B61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443439B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297058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6BB38E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2781AB6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3498CFC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567E4D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DC2633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0564484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ND</w:t>
                  </w:r>
                </w:p>
              </w:tc>
              <w:tc>
                <w:tcPr>
                  <w:tcW w:w="313" w:type="pct"/>
                  <w:vAlign w:val="center"/>
                </w:tcPr>
                <w:p w14:paraId="7334F6A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1E8178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4FDA5C7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w:t>
                  </w:r>
                </w:p>
              </w:tc>
            </w:tr>
            <w:tr w14:paraId="1FCE45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733EB93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硝酸盐</w:t>
                  </w:r>
                </w:p>
              </w:tc>
              <w:tc>
                <w:tcPr>
                  <w:tcW w:w="313" w:type="pct"/>
                  <w:vAlign w:val="center"/>
                </w:tcPr>
                <w:p w14:paraId="485551A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5.91</w:t>
                  </w:r>
                </w:p>
              </w:tc>
              <w:tc>
                <w:tcPr>
                  <w:tcW w:w="313" w:type="pct"/>
                  <w:vAlign w:val="center"/>
                </w:tcPr>
                <w:p w14:paraId="0C2A03C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10.6</w:t>
                  </w:r>
                </w:p>
              </w:tc>
              <w:tc>
                <w:tcPr>
                  <w:tcW w:w="313" w:type="pct"/>
                  <w:vAlign w:val="center"/>
                </w:tcPr>
                <w:p w14:paraId="42DFC52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D9B5D8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C60079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1.85</w:t>
                  </w:r>
                </w:p>
              </w:tc>
              <w:tc>
                <w:tcPr>
                  <w:tcW w:w="313" w:type="pct"/>
                  <w:vAlign w:val="center"/>
                </w:tcPr>
                <w:p w14:paraId="3B1110B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1.67</w:t>
                  </w:r>
                </w:p>
              </w:tc>
              <w:tc>
                <w:tcPr>
                  <w:tcW w:w="313" w:type="pct"/>
                  <w:vAlign w:val="center"/>
                </w:tcPr>
                <w:p w14:paraId="18BC027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FB881D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45964A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8.04</w:t>
                  </w:r>
                </w:p>
              </w:tc>
              <w:tc>
                <w:tcPr>
                  <w:tcW w:w="313" w:type="pct"/>
                  <w:vAlign w:val="center"/>
                </w:tcPr>
                <w:p w14:paraId="54763A6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5.34</w:t>
                  </w:r>
                </w:p>
              </w:tc>
              <w:tc>
                <w:tcPr>
                  <w:tcW w:w="313" w:type="pct"/>
                  <w:vAlign w:val="center"/>
                </w:tcPr>
                <w:p w14:paraId="56AB209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E0E09E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7B9F0D4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20</w:t>
                  </w:r>
                </w:p>
              </w:tc>
            </w:tr>
            <w:tr w14:paraId="167528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4744637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氟化物</w:t>
                  </w:r>
                </w:p>
              </w:tc>
              <w:tc>
                <w:tcPr>
                  <w:tcW w:w="313" w:type="pct"/>
                  <w:vAlign w:val="center"/>
                </w:tcPr>
                <w:p w14:paraId="25A8F90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0.556</w:t>
                  </w:r>
                </w:p>
              </w:tc>
              <w:tc>
                <w:tcPr>
                  <w:tcW w:w="313" w:type="pct"/>
                  <w:vAlign w:val="center"/>
                </w:tcPr>
                <w:p w14:paraId="5E65E30C">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0.739</w:t>
                  </w:r>
                </w:p>
              </w:tc>
              <w:tc>
                <w:tcPr>
                  <w:tcW w:w="313" w:type="pct"/>
                  <w:vAlign w:val="center"/>
                </w:tcPr>
                <w:p w14:paraId="05C41FF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00B5A6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E986EDF">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0.366</w:t>
                  </w:r>
                </w:p>
              </w:tc>
              <w:tc>
                <w:tcPr>
                  <w:tcW w:w="313" w:type="pct"/>
                  <w:vAlign w:val="center"/>
                </w:tcPr>
                <w:p w14:paraId="18E23D1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0.415</w:t>
                  </w:r>
                </w:p>
              </w:tc>
              <w:tc>
                <w:tcPr>
                  <w:tcW w:w="313" w:type="pct"/>
                  <w:vAlign w:val="center"/>
                </w:tcPr>
                <w:p w14:paraId="3A4ECAF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BCE1CC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D3217F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0.452</w:t>
                  </w:r>
                </w:p>
              </w:tc>
              <w:tc>
                <w:tcPr>
                  <w:tcW w:w="313" w:type="pct"/>
                  <w:vAlign w:val="center"/>
                </w:tcPr>
                <w:p w14:paraId="75CD4DE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0.528</w:t>
                  </w:r>
                </w:p>
              </w:tc>
              <w:tc>
                <w:tcPr>
                  <w:tcW w:w="313" w:type="pct"/>
                  <w:vAlign w:val="center"/>
                </w:tcPr>
                <w:p w14:paraId="60321FC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DF9401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5E1CEB2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w:t>
                  </w:r>
                </w:p>
              </w:tc>
            </w:tr>
            <w:tr w14:paraId="1145B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27915D5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氯化物</w:t>
                  </w:r>
                </w:p>
              </w:tc>
              <w:tc>
                <w:tcPr>
                  <w:tcW w:w="313" w:type="pct"/>
                  <w:vAlign w:val="center"/>
                </w:tcPr>
                <w:p w14:paraId="0EB6CD4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117</w:t>
                  </w:r>
                </w:p>
              </w:tc>
              <w:tc>
                <w:tcPr>
                  <w:tcW w:w="313" w:type="pct"/>
                  <w:vAlign w:val="center"/>
                </w:tcPr>
                <w:p w14:paraId="15ED6A72">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150</w:t>
                  </w:r>
                </w:p>
              </w:tc>
              <w:tc>
                <w:tcPr>
                  <w:tcW w:w="313" w:type="pct"/>
                  <w:vAlign w:val="center"/>
                </w:tcPr>
                <w:p w14:paraId="5019487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4FEE2A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1497163">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128</w:t>
                  </w:r>
                </w:p>
              </w:tc>
              <w:tc>
                <w:tcPr>
                  <w:tcW w:w="313" w:type="pct"/>
                  <w:vAlign w:val="center"/>
                </w:tcPr>
                <w:p w14:paraId="298FCBA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156</w:t>
                  </w:r>
                </w:p>
              </w:tc>
              <w:tc>
                <w:tcPr>
                  <w:tcW w:w="313" w:type="pct"/>
                  <w:vAlign w:val="center"/>
                </w:tcPr>
                <w:p w14:paraId="0C8422F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443EA6D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2934DA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122</w:t>
                  </w:r>
                </w:p>
              </w:tc>
              <w:tc>
                <w:tcPr>
                  <w:tcW w:w="313" w:type="pct"/>
                  <w:vAlign w:val="center"/>
                </w:tcPr>
                <w:p w14:paraId="5817382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125</w:t>
                  </w:r>
                </w:p>
              </w:tc>
              <w:tc>
                <w:tcPr>
                  <w:tcW w:w="313" w:type="pct"/>
                  <w:vAlign w:val="center"/>
                </w:tcPr>
                <w:p w14:paraId="0DD19E9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DBCB9D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0C32BB3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250</w:t>
                  </w:r>
                </w:p>
              </w:tc>
            </w:tr>
            <w:tr w14:paraId="2851EB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B1EE131">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硫酸盐</w:t>
                  </w:r>
                </w:p>
              </w:tc>
              <w:tc>
                <w:tcPr>
                  <w:tcW w:w="313" w:type="pct"/>
                  <w:vAlign w:val="center"/>
                </w:tcPr>
                <w:p w14:paraId="2AB1E90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238</w:t>
                  </w:r>
                </w:p>
              </w:tc>
              <w:tc>
                <w:tcPr>
                  <w:tcW w:w="313" w:type="pct"/>
                  <w:vAlign w:val="center"/>
                </w:tcPr>
                <w:p w14:paraId="064544F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242</w:t>
                  </w:r>
                </w:p>
              </w:tc>
              <w:tc>
                <w:tcPr>
                  <w:tcW w:w="313" w:type="pct"/>
                  <w:vAlign w:val="center"/>
                </w:tcPr>
                <w:p w14:paraId="2A72F9D7">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7E7859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7FD05E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246</w:t>
                  </w:r>
                </w:p>
              </w:tc>
              <w:tc>
                <w:tcPr>
                  <w:tcW w:w="313" w:type="pct"/>
                  <w:vAlign w:val="center"/>
                </w:tcPr>
                <w:p w14:paraId="30D8B8DA">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178</w:t>
                  </w:r>
                </w:p>
              </w:tc>
              <w:tc>
                <w:tcPr>
                  <w:tcW w:w="313" w:type="pct"/>
                  <w:vAlign w:val="center"/>
                </w:tcPr>
                <w:p w14:paraId="05384AA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B95B3A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1918E6B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186</w:t>
                  </w:r>
                </w:p>
              </w:tc>
              <w:tc>
                <w:tcPr>
                  <w:tcW w:w="313" w:type="pct"/>
                  <w:vAlign w:val="center"/>
                </w:tcPr>
                <w:p w14:paraId="6B58531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194</w:t>
                  </w:r>
                </w:p>
              </w:tc>
              <w:tc>
                <w:tcPr>
                  <w:tcW w:w="313" w:type="pct"/>
                  <w:vAlign w:val="center"/>
                </w:tcPr>
                <w:p w14:paraId="3678C4A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521CAA6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30C2480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250</w:t>
                  </w:r>
                </w:p>
              </w:tc>
            </w:tr>
            <w:tr w14:paraId="5E93C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69CE930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细菌总数（CFU/mL）</w:t>
                  </w:r>
                </w:p>
              </w:tc>
              <w:tc>
                <w:tcPr>
                  <w:tcW w:w="313" w:type="pct"/>
                  <w:vAlign w:val="center"/>
                </w:tcPr>
                <w:p w14:paraId="34EB185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44</w:t>
                  </w:r>
                </w:p>
              </w:tc>
              <w:tc>
                <w:tcPr>
                  <w:tcW w:w="313" w:type="pct"/>
                  <w:vAlign w:val="center"/>
                </w:tcPr>
                <w:p w14:paraId="3A1155D6">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78</w:t>
                  </w:r>
                </w:p>
              </w:tc>
              <w:tc>
                <w:tcPr>
                  <w:tcW w:w="313" w:type="pct"/>
                  <w:vAlign w:val="center"/>
                </w:tcPr>
                <w:p w14:paraId="4616CE3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73F27EF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38FD4875">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77</w:t>
                  </w:r>
                </w:p>
              </w:tc>
              <w:tc>
                <w:tcPr>
                  <w:tcW w:w="313" w:type="pct"/>
                  <w:vAlign w:val="center"/>
                </w:tcPr>
                <w:p w14:paraId="67D1870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88</w:t>
                  </w:r>
                </w:p>
              </w:tc>
              <w:tc>
                <w:tcPr>
                  <w:tcW w:w="313" w:type="pct"/>
                  <w:vAlign w:val="center"/>
                </w:tcPr>
                <w:p w14:paraId="6C36A954">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080AF0C8">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26C3E679">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37</w:t>
                  </w:r>
                </w:p>
              </w:tc>
              <w:tc>
                <w:tcPr>
                  <w:tcW w:w="313" w:type="pct"/>
                  <w:vAlign w:val="center"/>
                </w:tcPr>
                <w:p w14:paraId="446D842D">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64</w:t>
                  </w:r>
                </w:p>
              </w:tc>
              <w:tc>
                <w:tcPr>
                  <w:tcW w:w="313" w:type="pct"/>
                  <w:vAlign w:val="center"/>
                </w:tcPr>
                <w:p w14:paraId="3874927B">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13" w:type="pct"/>
                  <w:vAlign w:val="center"/>
                </w:tcPr>
                <w:p w14:paraId="6B24543E">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387" w:type="pct"/>
                  <w:vAlign w:val="center"/>
                </w:tcPr>
                <w:p w14:paraId="6BC0CD60">
                  <w:pPr>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100</w:t>
                  </w:r>
                </w:p>
              </w:tc>
            </w:tr>
          </w:tbl>
          <w:p w14:paraId="59B9A7AE">
            <w:pPr>
              <w:jc w:val="both"/>
              <w:rPr>
                <w:rFonts w:hint="default" w:ascii="Times New Roman" w:hAnsi="Times New Roman" w:eastAsia="宋体" w:cs="Times New Roman"/>
                <w:color w:val="auto"/>
                <w:sz w:val="21"/>
                <w:szCs w:val="18"/>
                <w:highlight w:val="none"/>
                <w:shd w:val="clear" w:color="auto" w:fill="FFFFFF" w:themeFill="background1"/>
              </w:rPr>
            </w:pPr>
            <w:r>
              <w:rPr>
                <w:rFonts w:hint="default" w:ascii="Times New Roman" w:hAnsi="Times New Roman" w:eastAsia="宋体" w:cs="Times New Roman"/>
                <w:color w:val="auto"/>
                <w:sz w:val="21"/>
                <w:szCs w:val="18"/>
                <w:highlight w:val="none"/>
                <w:shd w:val="clear" w:color="auto" w:fill="FFFFFF" w:themeFill="background1"/>
              </w:rPr>
              <w:t>注：ND表示未检出，检出限为：砷0.0003mg/L，锌0.05mg/L，六价铬0.004mg/L，铅0.001mg/L，镉0.0001mg/L，亚硝酸盐0.016mg/L。</w:t>
            </w:r>
          </w:p>
          <w:p w14:paraId="4A6D8000">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5</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现有项目飞灰检测情况</w:t>
            </w:r>
          </w:p>
          <w:p w14:paraId="65D46274">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现有项目生活垃圾焚烧工程产生的飞灰在厂内稳定化处理后，送本厂区内生活垃圾填埋场4#库区填埋处置。根据江苏蓝天环境检测有限公司出具的检测报告，现有项目飞灰二噁英含量低于3μgTEQ/kg，各污染因子浸出毒性符合《</w:t>
            </w:r>
            <w:bookmarkStart w:id="49" w:name="OLE_LINK72"/>
            <w:bookmarkStart w:id="50" w:name="OLE_LINK73"/>
            <w:r>
              <w:rPr>
                <w:rFonts w:hint="default" w:eastAsia="宋体"/>
                <w:color w:val="auto"/>
                <w:sz w:val="24"/>
                <w:lang w:val="en-US" w:eastAsia="zh-CN"/>
              </w:rPr>
              <w:t>生活垃圾填埋场污染控制标准</w:t>
            </w:r>
            <w:bookmarkEnd w:id="49"/>
            <w:bookmarkEnd w:id="50"/>
            <w:r>
              <w:rPr>
                <w:rFonts w:hint="default" w:eastAsia="宋体"/>
                <w:color w:val="auto"/>
                <w:sz w:val="24"/>
                <w:lang w:val="en-US" w:eastAsia="zh-CN"/>
              </w:rPr>
              <w:t>》（GB16889-2024）表1中生活垃圾填埋标准要求，详见下表。</w:t>
            </w:r>
          </w:p>
          <w:p w14:paraId="53ED631C">
            <w:pPr>
              <w:pStyle w:val="156"/>
              <w:spacing w:line="500" w:lineRule="exac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ascii="Times New Roman" w:eastAsia="宋体" w:cs="Times New Roman"/>
                <w:color w:val="auto"/>
                <w:sz w:val="24"/>
                <w:highlight w:val="none"/>
                <w:lang w:val="en-US" w:eastAsia="zh-CN"/>
              </w:rPr>
              <w:t>2-24</w:t>
            </w:r>
            <w:r>
              <w:rPr>
                <w:rFonts w:hint="default" w:ascii="Times New Roman" w:hAnsi="Times New Roman" w:eastAsia="宋体" w:cs="Times New Roman"/>
                <w:color w:val="auto"/>
                <w:sz w:val="24"/>
                <w:highlight w:val="none"/>
              </w:rPr>
              <w:t xml:space="preserve">  现有项目2024年飞灰浸出毒性监测结果及评价</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554"/>
              <w:gridCol w:w="502"/>
              <w:gridCol w:w="554"/>
              <w:gridCol w:w="502"/>
              <w:gridCol w:w="555"/>
              <w:gridCol w:w="503"/>
              <w:gridCol w:w="503"/>
              <w:gridCol w:w="503"/>
              <w:gridCol w:w="555"/>
              <w:gridCol w:w="503"/>
              <w:gridCol w:w="555"/>
              <w:gridCol w:w="503"/>
              <w:gridCol w:w="634"/>
              <w:gridCol w:w="321"/>
            </w:tblGrid>
            <w:tr w14:paraId="4EA27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tblHeader/>
              </w:trPr>
              <w:tc>
                <w:tcPr>
                  <w:tcW w:w="907" w:type="pct"/>
                  <w:vMerge w:val="restart"/>
                  <w:shd w:val="clear" w:color="auto" w:fill="auto"/>
                  <w:vAlign w:val="center"/>
                </w:tcPr>
                <w:p w14:paraId="54FFFC1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检测项目</w:t>
                  </w:r>
                </w:p>
              </w:tc>
              <w:tc>
                <w:tcPr>
                  <w:tcW w:w="3566" w:type="pct"/>
                  <w:gridSpan w:val="12"/>
                  <w:shd w:val="clear" w:color="auto" w:fill="auto"/>
                  <w:noWrap/>
                  <w:vAlign w:val="center"/>
                </w:tcPr>
                <w:p w14:paraId="7B77E7A8">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监测结果</w:t>
                  </w:r>
                </w:p>
              </w:tc>
              <w:tc>
                <w:tcPr>
                  <w:tcW w:w="250" w:type="pct"/>
                  <w:vMerge w:val="restart"/>
                  <w:shd w:val="clear" w:color="auto" w:fill="auto"/>
                  <w:noWrap/>
                  <w:vAlign w:val="center"/>
                </w:tcPr>
                <w:p w14:paraId="41FF134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w:t>
                  </w:r>
                </w:p>
              </w:tc>
              <w:tc>
                <w:tcPr>
                  <w:tcW w:w="278" w:type="pct"/>
                  <w:vMerge w:val="restart"/>
                  <w:vAlign w:val="center"/>
                </w:tcPr>
                <w:p w14:paraId="7193D01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71716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trPr>
              <w:tc>
                <w:tcPr>
                  <w:tcW w:w="907" w:type="pct"/>
                  <w:vMerge w:val="continue"/>
                  <w:shd w:val="clear" w:color="auto" w:fill="auto"/>
                  <w:vAlign w:val="center"/>
                </w:tcPr>
                <w:p w14:paraId="49255148">
                  <w:pPr>
                    <w:adjustRightInd w:val="0"/>
                    <w:snapToGrid w:val="0"/>
                    <w:jc w:val="center"/>
                    <w:rPr>
                      <w:rFonts w:hint="default" w:ascii="Times New Roman" w:hAnsi="Times New Roman" w:eastAsia="宋体" w:cs="Times New Roman"/>
                      <w:b/>
                      <w:color w:val="auto"/>
                      <w:sz w:val="21"/>
                      <w:szCs w:val="21"/>
                      <w:highlight w:val="none"/>
                    </w:rPr>
                  </w:pPr>
                </w:p>
              </w:tc>
              <w:tc>
                <w:tcPr>
                  <w:tcW w:w="319" w:type="pct"/>
                  <w:shd w:val="clear" w:color="auto" w:fill="auto"/>
                  <w:noWrap/>
                  <w:vAlign w:val="center"/>
                </w:tcPr>
                <w:p w14:paraId="37AC0588">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1月</w:t>
                  </w:r>
                </w:p>
              </w:tc>
              <w:tc>
                <w:tcPr>
                  <w:tcW w:w="282" w:type="pct"/>
                  <w:vAlign w:val="center"/>
                </w:tcPr>
                <w:p w14:paraId="5D5D0C18">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2月</w:t>
                  </w:r>
                </w:p>
              </w:tc>
              <w:tc>
                <w:tcPr>
                  <w:tcW w:w="319" w:type="pct"/>
                  <w:vAlign w:val="center"/>
                </w:tcPr>
                <w:p w14:paraId="55A5DED1">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3月</w:t>
                  </w:r>
                </w:p>
              </w:tc>
              <w:tc>
                <w:tcPr>
                  <w:tcW w:w="282" w:type="pct"/>
                  <w:vAlign w:val="center"/>
                </w:tcPr>
                <w:p w14:paraId="5761D98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4月</w:t>
                  </w:r>
                </w:p>
              </w:tc>
              <w:tc>
                <w:tcPr>
                  <w:tcW w:w="319" w:type="pct"/>
                  <w:vAlign w:val="center"/>
                </w:tcPr>
                <w:p w14:paraId="5FE4106C">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5月</w:t>
                  </w:r>
                </w:p>
              </w:tc>
              <w:tc>
                <w:tcPr>
                  <w:tcW w:w="282" w:type="pct"/>
                  <w:vAlign w:val="center"/>
                </w:tcPr>
                <w:p w14:paraId="4B56F86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6月</w:t>
                  </w:r>
                </w:p>
              </w:tc>
              <w:tc>
                <w:tcPr>
                  <w:tcW w:w="282" w:type="pct"/>
                  <w:vAlign w:val="center"/>
                </w:tcPr>
                <w:p w14:paraId="6284098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7月</w:t>
                  </w:r>
                </w:p>
              </w:tc>
              <w:tc>
                <w:tcPr>
                  <w:tcW w:w="282" w:type="pct"/>
                  <w:vAlign w:val="center"/>
                </w:tcPr>
                <w:p w14:paraId="7E6DEA16">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8月</w:t>
                  </w:r>
                </w:p>
              </w:tc>
              <w:tc>
                <w:tcPr>
                  <w:tcW w:w="319" w:type="pct"/>
                  <w:vAlign w:val="center"/>
                </w:tcPr>
                <w:p w14:paraId="59BA45B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9月</w:t>
                  </w:r>
                </w:p>
              </w:tc>
              <w:tc>
                <w:tcPr>
                  <w:tcW w:w="282" w:type="pct"/>
                  <w:vAlign w:val="center"/>
                </w:tcPr>
                <w:p w14:paraId="5A11D499">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10月</w:t>
                  </w:r>
                </w:p>
              </w:tc>
              <w:tc>
                <w:tcPr>
                  <w:tcW w:w="319" w:type="pct"/>
                  <w:vAlign w:val="center"/>
                </w:tcPr>
                <w:p w14:paraId="7915DE3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11月</w:t>
                  </w:r>
                </w:p>
              </w:tc>
              <w:tc>
                <w:tcPr>
                  <w:tcW w:w="282" w:type="pct"/>
                  <w:vAlign w:val="center"/>
                </w:tcPr>
                <w:p w14:paraId="56FB3F7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12月</w:t>
                  </w:r>
                </w:p>
              </w:tc>
              <w:tc>
                <w:tcPr>
                  <w:tcW w:w="250" w:type="pct"/>
                  <w:vMerge w:val="continue"/>
                  <w:shd w:val="clear" w:color="auto" w:fill="auto"/>
                  <w:noWrap/>
                  <w:vAlign w:val="center"/>
                </w:tcPr>
                <w:p w14:paraId="7FBDD34C">
                  <w:pPr>
                    <w:adjustRightInd w:val="0"/>
                    <w:snapToGrid w:val="0"/>
                    <w:jc w:val="center"/>
                    <w:rPr>
                      <w:rFonts w:hint="default" w:ascii="Times New Roman" w:hAnsi="Times New Roman" w:eastAsia="宋体" w:cs="Times New Roman"/>
                      <w:b/>
                      <w:color w:val="auto"/>
                      <w:sz w:val="21"/>
                      <w:szCs w:val="21"/>
                      <w:highlight w:val="none"/>
                    </w:rPr>
                  </w:pPr>
                </w:p>
              </w:tc>
              <w:tc>
                <w:tcPr>
                  <w:tcW w:w="278" w:type="pct"/>
                  <w:vMerge w:val="continue"/>
                  <w:vAlign w:val="center"/>
                </w:tcPr>
                <w:p w14:paraId="3060177A">
                  <w:pPr>
                    <w:adjustRightInd w:val="0"/>
                    <w:snapToGrid w:val="0"/>
                    <w:jc w:val="center"/>
                    <w:rPr>
                      <w:rFonts w:hint="default" w:ascii="Times New Roman" w:hAnsi="Times New Roman" w:eastAsia="宋体" w:cs="Times New Roman"/>
                      <w:b/>
                      <w:color w:val="auto"/>
                      <w:sz w:val="21"/>
                      <w:szCs w:val="21"/>
                      <w:highlight w:val="none"/>
                    </w:rPr>
                  </w:pPr>
                </w:p>
              </w:tc>
            </w:tr>
            <w:tr w14:paraId="795A5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26E481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浸出毒性汞（mg/L）</w:t>
                  </w:r>
                </w:p>
              </w:tc>
              <w:tc>
                <w:tcPr>
                  <w:tcW w:w="319" w:type="pct"/>
                  <w:shd w:val="clear" w:color="auto" w:fill="auto"/>
                  <w:noWrap/>
                  <w:vAlign w:val="center"/>
                </w:tcPr>
                <w:p w14:paraId="2750E41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654ABF9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7FA5B68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0.00023</w:t>
                  </w:r>
                </w:p>
              </w:tc>
              <w:tc>
                <w:tcPr>
                  <w:tcW w:w="282" w:type="pct"/>
                  <w:vAlign w:val="center"/>
                </w:tcPr>
                <w:p w14:paraId="1358911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47C2173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0.00041</w:t>
                  </w:r>
                </w:p>
              </w:tc>
              <w:tc>
                <w:tcPr>
                  <w:tcW w:w="282" w:type="pct"/>
                  <w:vAlign w:val="center"/>
                </w:tcPr>
                <w:p w14:paraId="7C014AE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58A298E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0D0461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011E6D8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0.00088</w:t>
                  </w:r>
                </w:p>
              </w:tc>
              <w:tc>
                <w:tcPr>
                  <w:tcW w:w="282" w:type="pct"/>
                  <w:vAlign w:val="center"/>
                </w:tcPr>
                <w:p w14:paraId="075B8C5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5E247C7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0.00036</w:t>
                  </w:r>
                </w:p>
              </w:tc>
              <w:tc>
                <w:tcPr>
                  <w:tcW w:w="282" w:type="pct"/>
                  <w:vAlign w:val="center"/>
                </w:tcPr>
                <w:p w14:paraId="38C8AF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05F9DDB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278" w:type="pct"/>
                  <w:vAlign w:val="center"/>
                </w:tcPr>
                <w:p w14:paraId="5DBB66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B8FC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197499B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浸出毒性铜（mg/L）</w:t>
                  </w:r>
                </w:p>
              </w:tc>
              <w:tc>
                <w:tcPr>
                  <w:tcW w:w="319" w:type="pct"/>
                  <w:shd w:val="clear" w:color="auto" w:fill="auto"/>
                  <w:noWrap/>
                  <w:vAlign w:val="center"/>
                </w:tcPr>
                <w:p w14:paraId="293AA9F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4A9785C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31F418B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C64A36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3BDE9E5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666D07F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FD71D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A84DCF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561CE9A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2E3DBA3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111D891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3520877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3BFA2A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278" w:type="pct"/>
                  <w:vAlign w:val="center"/>
                </w:tcPr>
                <w:p w14:paraId="073EB41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458C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26B42E4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浸出毒性锌（mg/L）</w:t>
                  </w:r>
                </w:p>
              </w:tc>
              <w:tc>
                <w:tcPr>
                  <w:tcW w:w="319" w:type="pct"/>
                  <w:shd w:val="clear" w:color="auto" w:fill="auto"/>
                  <w:noWrap/>
                  <w:vAlign w:val="center"/>
                </w:tcPr>
                <w:p w14:paraId="69613A4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0.35</w:t>
                  </w:r>
                </w:p>
              </w:tc>
              <w:tc>
                <w:tcPr>
                  <w:tcW w:w="282" w:type="pct"/>
                  <w:vAlign w:val="center"/>
                </w:tcPr>
                <w:p w14:paraId="5204BA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0.40</w:t>
                  </w:r>
                </w:p>
              </w:tc>
              <w:tc>
                <w:tcPr>
                  <w:tcW w:w="319" w:type="pct"/>
                  <w:vAlign w:val="center"/>
                </w:tcPr>
                <w:p w14:paraId="1A697BD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0.38</w:t>
                  </w:r>
                </w:p>
              </w:tc>
              <w:tc>
                <w:tcPr>
                  <w:tcW w:w="282" w:type="pct"/>
                  <w:vAlign w:val="center"/>
                </w:tcPr>
                <w:p w14:paraId="5BC0E47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0.26</w:t>
                  </w:r>
                </w:p>
              </w:tc>
              <w:tc>
                <w:tcPr>
                  <w:tcW w:w="319" w:type="pct"/>
                  <w:vAlign w:val="center"/>
                </w:tcPr>
                <w:p w14:paraId="1209584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282" w:type="pct"/>
                  <w:vAlign w:val="center"/>
                </w:tcPr>
                <w:p w14:paraId="0B8CC50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w:t>
                  </w:r>
                </w:p>
              </w:tc>
              <w:tc>
                <w:tcPr>
                  <w:tcW w:w="282" w:type="pct"/>
                  <w:vAlign w:val="center"/>
                </w:tcPr>
                <w:p w14:paraId="3270907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0.38</w:t>
                  </w:r>
                </w:p>
              </w:tc>
              <w:tc>
                <w:tcPr>
                  <w:tcW w:w="282" w:type="pct"/>
                  <w:vAlign w:val="center"/>
                </w:tcPr>
                <w:p w14:paraId="2361F72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w:t>
                  </w:r>
                </w:p>
              </w:tc>
              <w:tc>
                <w:tcPr>
                  <w:tcW w:w="319" w:type="pct"/>
                  <w:vAlign w:val="center"/>
                </w:tcPr>
                <w:p w14:paraId="00542EB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0.46</w:t>
                  </w:r>
                </w:p>
              </w:tc>
              <w:tc>
                <w:tcPr>
                  <w:tcW w:w="282" w:type="pct"/>
                  <w:vAlign w:val="center"/>
                </w:tcPr>
                <w:p w14:paraId="3890491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319" w:type="pct"/>
                  <w:vAlign w:val="center"/>
                </w:tcPr>
                <w:p w14:paraId="1250DCD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0.24</w:t>
                  </w:r>
                </w:p>
              </w:tc>
              <w:tc>
                <w:tcPr>
                  <w:tcW w:w="282" w:type="pct"/>
                  <w:vAlign w:val="center"/>
                </w:tcPr>
                <w:p w14:paraId="4333D72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w:t>
                  </w:r>
                </w:p>
              </w:tc>
              <w:tc>
                <w:tcPr>
                  <w:tcW w:w="250" w:type="pct"/>
                  <w:shd w:val="clear" w:color="auto" w:fill="auto"/>
                  <w:noWrap/>
                  <w:vAlign w:val="center"/>
                </w:tcPr>
                <w:p w14:paraId="36D2BB5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278" w:type="pct"/>
                  <w:vAlign w:val="center"/>
                </w:tcPr>
                <w:p w14:paraId="4D6A5C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160A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5C5661A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浸出毒性铅（mg/L）</w:t>
                  </w:r>
                </w:p>
              </w:tc>
              <w:tc>
                <w:tcPr>
                  <w:tcW w:w="319" w:type="pct"/>
                  <w:shd w:val="clear" w:color="auto" w:fill="auto"/>
                  <w:noWrap/>
                  <w:vAlign w:val="center"/>
                </w:tcPr>
                <w:p w14:paraId="78EC9C1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282" w:type="pct"/>
                  <w:vAlign w:val="center"/>
                </w:tcPr>
                <w:p w14:paraId="282D953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319" w:type="pct"/>
                  <w:vAlign w:val="center"/>
                </w:tcPr>
                <w:p w14:paraId="77C358D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0.19</w:t>
                  </w:r>
                </w:p>
              </w:tc>
              <w:tc>
                <w:tcPr>
                  <w:tcW w:w="282" w:type="pct"/>
                  <w:vAlign w:val="center"/>
                </w:tcPr>
                <w:p w14:paraId="1C3430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w:t>
                  </w:r>
                </w:p>
              </w:tc>
              <w:tc>
                <w:tcPr>
                  <w:tcW w:w="319" w:type="pct"/>
                  <w:vAlign w:val="center"/>
                </w:tcPr>
                <w:p w14:paraId="1942379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0.18</w:t>
                  </w:r>
                </w:p>
              </w:tc>
              <w:tc>
                <w:tcPr>
                  <w:tcW w:w="282" w:type="pct"/>
                  <w:vAlign w:val="center"/>
                </w:tcPr>
                <w:p w14:paraId="1C5C72E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282" w:type="pct"/>
                  <w:vAlign w:val="center"/>
                </w:tcPr>
                <w:p w14:paraId="21AFEA5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w:t>
                  </w:r>
                </w:p>
              </w:tc>
              <w:tc>
                <w:tcPr>
                  <w:tcW w:w="282" w:type="pct"/>
                  <w:vAlign w:val="center"/>
                </w:tcPr>
                <w:p w14:paraId="74BE0C2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w:t>
                  </w:r>
                </w:p>
              </w:tc>
              <w:tc>
                <w:tcPr>
                  <w:tcW w:w="319" w:type="pct"/>
                  <w:vAlign w:val="center"/>
                </w:tcPr>
                <w:p w14:paraId="39E635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0.21</w:t>
                  </w:r>
                </w:p>
              </w:tc>
              <w:tc>
                <w:tcPr>
                  <w:tcW w:w="282" w:type="pct"/>
                  <w:vAlign w:val="center"/>
                </w:tcPr>
                <w:p w14:paraId="4F94B6E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w:t>
                  </w:r>
                </w:p>
              </w:tc>
              <w:tc>
                <w:tcPr>
                  <w:tcW w:w="319" w:type="pct"/>
                  <w:vAlign w:val="center"/>
                </w:tcPr>
                <w:p w14:paraId="173A9F8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282" w:type="pct"/>
                  <w:vAlign w:val="center"/>
                </w:tcPr>
                <w:p w14:paraId="3F06DA6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w:t>
                  </w:r>
                </w:p>
              </w:tc>
              <w:tc>
                <w:tcPr>
                  <w:tcW w:w="250" w:type="pct"/>
                  <w:shd w:val="clear" w:color="auto" w:fill="auto"/>
                  <w:noWrap/>
                  <w:vAlign w:val="center"/>
                </w:tcPr>
                <w:p w14:paraId="04F6866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w:t>
                  </w:r>
                </w:p>
              </w:tc>
              <w:tc>
                <w:tcPr>
                  <w:tcW w:w="278" w:type="pct"/>
                  <w:vAlign w:val="center"/>
                </w:tcPr>
                <w:p w14:paraId="008DF7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31B2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546316C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浸出毒性镉（mg/L）</w:t>
                  </w:r>
                </w:p>
              </w:tc>
              <w:tc>
                <w:tcPr>
                  <w:tcW w:w="319" w:type="pct"/>
                  <w:shd w:val="clear" w:color="auto" w:fill="auto"/>
                  <w:noWrap/>
                  <w:vAlign w:val="center"/>
                </w:tcPr>
                <w:p w14:paraId="786CB78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DC90EC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548E1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803ADC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402EAD8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59C3957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3F49E16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1058165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1E5DC1C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0DDEBAC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34B0C1A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C012D0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542A5DA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278" w:type="pct"/>
                  <w:vAlign w:val="center"/>
                </w:tcPr>
                <w:p w14:paraId="7858D61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DE7C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444F1F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浸出毒性铍（mg/L）</w:t>
                  </w:r>
                </w:p>
              </w:tc>
              <w:tc>
                <w:tcPr>
                  <w:tcW w:w="319" w:type="pct"/>
                  <w:shd w:val="clear" w:color="auto" w:fill="auto"/>
                  <w:noWrap/>
                  <w:vAlign w:val="center"/>
                </w:tcPr>
                <w:p w14:paraId="2A75C86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w:t>
                  </w:r>
                </w:p>
              </w:tc>
              <w:tc>
                <w:tcPr>
                  <w:tcW w:w="282" w:type="pct"/>
                  <w:vAlign w:val="center"/>
                </w:tcPr>
                <w:p w14:paraId="0395270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0.0024</w:t>
                  </w:r>
                </w:p>
              </w:tc>
              <w:tc>
                <w:tcPr>
                  <w:tcW w:w="319" w:type="pct"/>
                  <w:vAlign w:val="center"/>
                </w:tcPr>
                <w:p w14:paraId="0C06FFB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w:t>
                  </w:r>
                </w:p>
              </w:tc>
              <w:tc>
                <w:tcPr>
                  <w:tcW w:w="282" w:type="pct"/>
                  <w:vAlign w:val="center"/>
                </w:tcPr>
                <w:p w14:paraId="038C4CC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0.0016</w:t>
                  </w:r>
                </w:p>
              </w:tc>
              <w:tc>
                <w:tcPr>
                  <w:tcW w:w="319" w:type="pct"/>
                  <w:vAlign w:val="center"/>
                </w:tcPr>
                <w:p w14:paraId="386AEE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0.0007</w:t>
                  </w:r>
                </w:p>
              </w:tc>
              <w:tc>
                <w:tcPr>
                  <w:tcW w:w="282" w:type="pct"/>
                  <w:vAlign w:val="center"/>
                </w:tcPr>
                <w:p w14:paraId="795132A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0.0009</w:t>
                  </w:r>
                </w:p>
              </w:tc>
              <w:tc>
                <w:tcPr>
                  <w:tcW w:w="282" w:type="pct"/>
                  <w:vAlign w:val="center"/>
                </w:tcPr>
                <w:p w14:paraId="3B1162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282" w:type="pct"/>
                  <w:vAlign w:val="center"/>
                </w:tcPr>
                <w:p w14:paraId="250156E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0.0004</w:t>
                  </w:r>
                </w:p>
              </w:tc>
              <w:tc>
                <w:tcPr>
                  <w:tcW w:w="319" w:type="pct"/>
                  <w:vAlign w:val="center"/>
                </w:tcPr>
                <w:p w14:paraId="3F6F16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w:t>
                  </w:r>
                </w:p>
              </w:tc>
              <w:tc>
                <w:tcPr>
                  <w:tcW w:w="282" w:type="pct"/>
                  <w:vAlign w:val="center"/>
                </w:tcPr>
                <w:p w14:paraId="23B4D87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0.0002</w:t>
                  </w:r>
                </w:p>
              </w:tc>
              <w:tc>
                <w:tcPr>
                  <w:tcW w:w="319" w:type="pct"/>
                  <w:vAlign w:val="center"/>
                </w:tcPr>
                <w:p w14:paraId="6BE1DAF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w:t>
                  </w:r>
                </w:p>
              </w:tc>
              <w:tc>
                <w:tcPr>
                  <w:tcW w:w="282" w:type="pct"/>
                  <w:vAlign w:val="center"/>
                </w:tcPr>
                <w:p w14:paraId="529A58B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0.0012</w:t>
                  </w:r>
                </w:p>
              </w:tc>
              <w:tc>
                <w:tcPr>
                  <w:tcW w:w="250" w:type="pct"/>
                  <w:shd w:val="clear" w:color="auto" w:fill="auto"/>
                  <w:noWrap/>
                  <w:vAlign w:val="center"/>
                </w:tcPr>
                <w:p w14:paraId="0649A79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w:t>
                  </w:r>
                </w:p>
              </w:tc>
              <w:tc>
                <w:tcPr>
                  <w:tcW w:w="278" w:type="pct"/>
                  <w:vAlign w:val="center"/>
                </w:tcPr>
                <w:p w14:paraId="52AE25A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2B64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40202B3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浸出毒性钡（mg/L）</w:t>
                  </w:r>
                </w:p>
              </w:tc>
              <w:tc>
                <w:tcPr>
                  <w:tcW w:w="319" w:type="pct"/>
                  <w:shd w:val="clear" w:color="auto" w:fill="auto"/>
                  <w:noWrap/>
                  <w:vAlign w:val="center"/>
                </w:tcPr>
                <w:p w14:paraId="2D2783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282" w:type="pct"/>
                  <w:vAlign w:val="center"/>
                </w:tcPr>
                <w:p w14:paraId="5FE2072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319" w:type="pct"/>
                  <w:vAlign w:val="center"/>
                </w:tcPr>
                <w:p w14:paraId="7D39877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w:t>
                  </w:r>
                </w:p>
              </w:tc>
              <w:tc>
                <w:tcPr>
                  <w:tcW w:w="282" w:type="pct"/>
                  <w:vAlign w:val="center"/>
                </w:tcPr>
                <w:p w14:paraId="230F86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0.94</w:t>
                  </w:r>
                </w:p>
              </w:tc>
              <w:tc>
                <w:tcPr>
                  <w:tcW w:w="319" w:type="pct"/>
                  <w:vAlign w:val="center"/>
                </w:tcPr>
                <w:p w14:paraId="25B514C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282" w:type="pct"/>
                  <w:vAlign w:val="center"/>
                </w:tcPr>
                <w:p w14:paraId="2EEA663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3.26</w:t>
                  </w:r>
                </w:p>
              </w:tc>
              <w:tc>
                <w:tcPr>
                  <w:tcW w:w="282" w:type="pct"/>
                  <w:vAlign w:val="center"/>
                </w:tcPr>
                <w:p w14:paraId="715F281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282" w:type="pct"/>
                  <w:vAlign w:val="center"/>
                </w:tcPr>
                <w:p w14:paraId="6A92B0D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w:t>
                  </w:r>
                </w:p>
              </w:tc>
              <w:tc>
                <w:tcPr>
                  <w:tcW w:w="319" w:type="pct"/>
                  <w:vAlign w:val="center"/>
                </w:tcPr>
                <w:p w14:paraId="1897B6F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0.81</w:t>
                  </w:r>
                </w:p>
              </w:tc>
              <w:tc>
                <w:tcPr>
                  <w:tcW w:w="282" w:type="pct"/>
                  <w:vAlign w:val="center"/>
                </w:tcPr>
                <w:p w14:paraId="0F533A2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0.77</w:t>
                  </w:r>
                </w:p>
              </w:tc>
              <w:tc>
                <w:tcPr>
                  <w:tcW w:w="319" w:type="pct"/>
                  <w:vAlign w:val="center"/>
                </w:tcPr>
                <w:p w14:paraId="06EA15B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0.70</w:t>
                  </w:r>
                </w:p>
              </w:tc>
              <w:tc>
                <w:tcPr>
                  <w:tcW w:w="282" w:type="pct"/>
                  <w:vAlign w:val="center"/>
                </w:tcPr>
                <w:p w14:paraId="5D503F3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250" w:type="pct"/>
                  <w:shd w:val="clear" w:color="auto" w:fill="auto"/>
                  <w:noWrap/>
                  <w:vAlign w:val="center"/>
                </w:tcPr>
                <w:p w14:paraId="6A95CEC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278" w:type="pct"/>
                  <w:vAlign w:val="center"/>
                </w:tcPr>
                <w:p w14:paraId="1029E80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78EF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16DCFA7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浸出毒性镍（mg/L）</w:t>
                  </w:r>
                </w:p>
              </w:tc>
              <w:tc>
                <w:tcPr>
                  <w:tcW w:w="319" w:type="pct"/>
                  <w:shd w:val="clear" w:color="auto" w:fill="auto"/>
                  <w:noWrap/>
                  <w:vAlign w:val="center"/>
                </w:tcPr>
                <w:p w14:paraId="3681E52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3041B4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63B3CBE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03A35F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DA0E15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0FF2D5A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1FC115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6E32C32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C7562A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2E5625B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39F0B14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61CE7A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49468A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278" w:type="pct"/>
                  <w:vAlign w:val="center"/>
                </w:tcPr>
                <w:p w14:paraId="32404B2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F951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7396F01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浸出毒性砷（mg/L）</w:t>
                  </w:r>
                </w:p>
              </w:tc>
              <w:tc>
                <w:tcPr>
                  <w:tcW w:w="319" w:type="pct"/>
                  <w:shd w:val="clear" w:color="auto" w:fill="auto"/>
                  <w:noWrap/>
                  <w:vAlign w:val="center"/>
                </w:tcPr>
                <w:p w14:paraId="0085B31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0.00176</w:t>
                  </w:r>
                </w:p>
              </w:tc>
              <w:tc>
                <w:tcPr>
                  <w:tcW w:w="282" w:type="pct"/>
                  <w:vAlign w:val="center"/>
                </w:tcPr>
                <w:p w14:paraId="24355D0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0.0036</w:t>
                  </w:r>
                </w:p>
              </w:tc>
              <w:tc>
                <w:tcPr>
                  <w:tcW w:w="319" w:type="pct"/>
                  <w:vAlign w:val="center"/>
                </w:tcPr>
                <w:p w14:paraId="2E3F2BF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0.0062</w:t>
                  </w:r>
                </w:p>
              </w:tc>
              <w:tc>
                <w:tcPr>
                  <w:tcW w:w="282" w:type="pct"/>
                  <w:vAlign w:val="center"/>
                </w:tcPr>
                <w:p w14:paraId="488768B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319" w:type="pct"/>
                  <w:vAlign w:val="center"/>
                </w:tcPr>
                <w:p w14:paraId="0DC8B72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w:t>
                  </w:r>
                </w:p>
              </w:tc>
              <w:tc>
                <w:tcPr>
                  <w:tcW w:w="282" w:type="pct"/>
                  <w:vAlign w:val="center"/>
                </w:tcPr>
                <w:p w14:paraId="6826B7E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0.0035</w:t>
                  </w:r>
                </w:p>
              </w:tc>
              <w:tc>
                <w:tcPr>
                  <w:tcW w:w="282" w:type="pct"/>
                  <w:vAlign w:val="center"/>
                </w:tcPr>
                <w:p w14:paraId="3069A18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282" w:type="pct"/>
                  <w:vAlign w:val="center"/>
                </w:tcPr>
                <w:p w14:paraId="5F66DA5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319" w:type="pct"/>
                  <w:vAlign w:val="center"/>
                </w:tcPr>
                <w:p w14:paraId="07D2FFB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0.0006</w:t>
                  </w:r>
                </w:p>
              </w:tc>
              <w:tc>
                <w:tcPr>
                  <w:tcW w:w="282" w:type="pct"/>
                  <w:vAlign w:val="center"/>
                </w:tcPr>
                <w:p w14:paraId="44A8ED9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319" w:type="pct"/>
                  <w:vAlign w:val="center"/>
                </w:tcPr>
                <w:p w14:paraId="1FAF991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0.0019</w:t>
                  </w:r>
                </w:p>
              </w:tc>
              <w:tc>
                <w:tcPr>
                  <w:tcW w:w="282" w:type="pct"/>
                  <w:vAlign w:val="center"/>
                </w:tcPr>
                <w:p w14:paraId="2E90DC0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c>
                <w:tcPr>
                  <w:tcW w:w="250" w:type="pct"/>
                  <w:shd w:val="clear" w:color="auto" w:fill="auto"/>
                  <w:noWrap/>
                  <w:vAlign w:val="center"/>
                </w:tcPr>
                <w:p w14:paraId="0655B5C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278" w:type="pct"/>
                  <w:vAlign w:val="center"/>
                </w:tcPr>
                <w:p w14:paraId="212ABCA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7F66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151D3A0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浸出毒性总铬（mg/L）</w:t>
                  </w:r>
                </w:p>
              </w:tc>
              <w:tc>
                <w:tcPr>
                  <w:tcW w:w="319" w:type="pct"/>
                  <w:shd w:val="clear" w:color="auto" w:fill="auto"/>
                  <w:noWrap/>
                  <w:vAlign w:val="center"/>
                </w:tcPr>
                <w:p w14:paraId="1D491FE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19599B3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1DA44C9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431B45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083B8C0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6F77A6B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5C444AF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42FDE43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129DC9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5DFF69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A7CC17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0F16823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6D8D5FB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278" w:type="pct"/>
                  <w:vAlign w:val="center"/>
                </w:tcPr>
                <w:p w14:paraId="639E38D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2067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51D185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浸出毒性六价铬（mg/L）</w:t>
                  </w:r>
                </w:p>
              </w:tc>
              <w:tc>
                <w:tcPr>
                  <w:tcW w:w="319" w:type="pct"/>
                  <w:shd w:val="clear" w:color="auto" w:fill="auto"/>
                  <w:noWrap/>
                  <w:vAlign w:val="center"/>
                </w:tcPr>
                <w:p w14:paraId="6DF8D1C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D95CDE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77094A1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3A6B7A1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4836BCC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76F63AD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5F3C750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2D6200B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23C2DD7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05B6649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319" w:type="pct"/>
                  <w:vAlign w:val="center"/>
                </w:tcPr>
                <w:p w14:paraId="413E9AB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82" w:type="pct"/>
                  <w:vAlign w:val="center"/>
                </w:tcPr>
                <w:p w14:paraId="19C2942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ND</w:t>
                  </w:r>
                </w:p>
              </w:tc>
              <w:tc>
                <w:tcPr>
                  <w:tcW w:w="250" w:type="pct"/>
                  <w:shd w:val="clear" w:color="auto" w:fill="auto"/>
                  <w:noWrap/>
                  <w:vAlign w:val="center"/>
                </w:tcPr>
                <w:p w14:paraId="58BB94E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78" w:type="pct"/>
                  <w:vAlign w:val="center"/>
                </w:tcPr>
                <w:p w14:paraId="2F4C6D3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AD89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6E14B20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浸出毒性硒（mg/L）</w:t>
                  </w:r>
                </w:p>
              </w:tc>
              <w:tc>
                <w:tcPr>
                  <w:tcW w:w="319" w:type="pct"/>
                  <w:shd w:val="clear" w:color="auto" w:fill="auto"/>
                  <w:noWrap/>
                  <w:vAlign w:val="center"/>
                </w:tcPr>
                <w:p w14:paraId="2AFEBC3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0.0051</w:t>
                  </w:r>
                </w:p>
              </w:tc>
              <w:tc>
                <w:tcPr>
                  <w:tcW w:w="282" w:type="pct"/>
                  <w:vAlign w:val="center"/>
                </w:tcPr>
                <w:p w14:paraId="0987659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0.0102</w:t>
                  </w:r>
                </w:p>
              </w:tc>
              <w:tc>
                <w:tcPr>
                  <w:tcW w:w="319" w:type="pct"/>
                  <w:vAlign w:val="center"/>
                </w:tcPr>
                <w:p w14:paraId="2A523DD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282" w:type="pct"/>
                  <w:vAlign w:val="center"/>
                </w:tcPr>
                <w:p w14:paraId="301BE42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0.0005</w:t>
                  </w:r>
                </w:p>
              </w:tc>
              <w:tc>
                <w:tcPr>
                  <w:tcW w:w="319" w:type="pct"/>
                  <w:vAlign w:val="center"/>
                </w:tcPr>
                <w:p w14:paraId="390BC39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0.0039</w:t>
                  </w:r>
                </w:p>
              </w:tc>
              <w:tc>
                <w:tcPr>
                  <w:tcW w:w="282" w:type="pct"/>
                  <w:vAlign w:val="center"/>
                </w:tcPr>
                <w:p w14:paraId="135A7C0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0.0106</w:t>
                  </w:r>
                </w:p>
              </w:tc>
              <w:tc>
                <w:tcPr>
                  <w:tcW w:w="282" w:type="pct"/>
                  <w:vAlign w:val="center"/>
                </w:tcPr>
                <w:p w14:paraId="1153DC2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0.0069</w:t>
                  </w:r>
                </w:p>
              </w:tc>
              <w:tc>
                <w:tcPr>
                  <w:tcW w:w="282" w:type="pct"/>
                  <w:vAlign w:val="center"/>
                </w:tcPr>
                <w:p w14:paraId="59326B7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0.0026</w:t>
                  </w:r>
                </w:p>
              </w:tc>
              <w:tc>
                <w:tcPr>
                  <w:tcW w:w="319" w:type="pct"/>
                  <w:vAlign w:val="center"/>
                </w:tcPr>
                <w:p w14:paraId="7E5161C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282" w:type="pct"/>
                  <w:vAlign w:val="center"/>
                </w:tcPr>
                <w:p w14:paraId="132146A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0.0044</w:t>
                  </w:r>
                </w:p>
              </w:tc>
              <w:tc>
                <w:tcPr>
                  <w:tcW w:w="319" w:type="pct"/>
                  <w:vAlign w:val="center"/>
                </w:tcPr>
                <w:p w14:paraId="7E9FED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0.0022</w:t>
                  </w:r>
                </w:p>
              </w:tc>
              <w:tc>
                <w:tcPr>
                  <w:tcW w:w="282" w:type="pct"/>
                  <w:vAlign w:val="center"/>
                </w:tcPr>
                <w:p w14:paraId="586EC9F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0.0026</w:t>
                  </w:r>
                </w:p>
              </w:tc>
              <w:tc>
                <w:tcPr>
                  <w:tcW w:w="250" w:type="pct"/>
                  <w:shd w:val="clear" w:color="auto" w:fill="auto"/>
                  <w:noWrap/>
                  <w:vAlign w:val="center"/>
                </w:tcPr>
                <w:p w14:paraId="2D47C05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278" w:type="pct"/>
                  <w:vAlign w:val="center"/>
                </w:tcPr>
                <w:p w14:paraId="34AB4DE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ADDE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shd w:val="clear" w:color="auto" w:fill="auto"/>
                  <w:noWrap/>
                  <w:vAlign w:val="center"/>
                </w:tcPr>
                <w:p w14:paraId="524710A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二噁英（μgTEQ/kg）</w:t>
                  </w:r>
                </w:p>
              </w:tc>
              <w:tc>
                <w:tcPr>
                  <w:tcW w:w="319" w:type="pct"/>
                  <w:shd w:val="clear" w:color="auto" w:fill="auto"/>
                  <w:noWrap/>
                  <w:vAlign w:val="center"/>
                </w:tcPr>
                <w:p w14:paraId="0B563A2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0600893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9" w:type="pct"/>
                  <w:vAlign w:val="center"/>
                </w:tcPr>
                <w:p w14:paraId="5D9D91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00EB3DC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9" w:type="pct"/>
                  <w:vAlign w:val="center"/>
                </w:tcPr>
                <w:p w14:paraId="5BAD7BD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2973E52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0.034</w:t>
                  </w:r>
                </w:p>
              </w:tc>
              <w:tc>
                <w:tcPr>
                  <w:tcW w:w="282" w:type="pct"/>
                  <w:vAlign w:val="center"/>
                </w:tcPr>
                <w:p w14:paraId="5E2BFC5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587D4FC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9" w:type="pct"/>
                  <w:vAlign w:val="center"/>
                </w:tcPr>
                <w:p w14:paraId="5A6A76E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415FA40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9" w:type="pct"/>
                  <w:vAlign w:val="center"/>
                </w:tcPr>
                <w:p w14:paraId="0D2477E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82" w:type="pct"/>
                  <w:vAlign w:val="center"/>
                </w:tcPr>
                <w:p w14:paraId="4B18F7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50" w:type="pct"/>
                  <w:shd w:val="clear" w:color="auto" w:fill="auto"/>
                  <w:noWrap/>
                  <w:vAlign w:val="center"/>
                </w:tcPr>
                <w:p w14:paraId="17DD576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78" w:type="pct"/>
                  <w:vAlign w:val="center"/>
                </w:tcPr>
                <w:p w14:paraId="216FD8D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0D6E99D2">
            <w:pPr>
              <w:jc w:val="both"/>
              <w:rPr>
                <w:rFonts w:hint="default" w:ascii="Times New Roman" w:hAnsi="Times New Roman" w:eastAsia="宋体" w:cs="Times New Roman"/>
                <w:color w:val="auto"/>
                <w:sz w:val="21"/>
                <w:szCs w:val="18"/>
                <w:highlight w:val="none"/>
                <w:shd w:val="clear" w:color="auto" w:fill="FFFFFF" w:themeFill="background1"/>
              </w:rPr>
            </w:pPr>
            <w:r>
              <w:rPr>
                <w:rFonts w:hint="default" w:ascii="Times New Roman" w:hAnsi="Times New Roman" w:eastAsia="宋体" w:cs="Times New Roman"/>
                <w:color w:val="auto"/>
                <w:sz w:val="21"/>
                <w:szCs w:val="18"/>
                <w:highlight w:val="none"/>
                <w:shd w:val="clear" w:color="auto" w:fill="FFFFFF" w:themeFill="background1"/>
              </w:rPr>
              <w:t>注：ND表示未检出，检出限为：汞0.002mg/L，铜0.02mg/L，镉0.05mg/L，镍0.03mg/L，总铬0.03mg/L，六价铬0.004mg/L。</w:t>
            </w:r>
          </w:p>
          <w:p w14:paraId="65AD2AFB">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bookmarkStart w:id="51" w:name="_Toc30053"/>
            <w:bookmarkStart w:id="52" w:name="_Toc29589"/>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6</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现有项目主要污染物产排情况及排污许可证执行情况</w:t>
            </w:r>
            <w:bookmarkEnd w:id="48"/>
            <w:bookmarkEnd w:id="51"/>
            <w:bookmarkEnd w:id="52"/>
          </w:p>
          <w:p w14:paraId="3F56CCBB">
            <w:pPr>
              <w:widowControl/>
              <w:adjustRightInd w:val="0"/>
              <w:snapToGrid w:val="0"/>
              <w:spacing w:line="360" w:lineRule="auto"/>
              <w:ind w:firstLine="480" w:firstLineChars="200"/>
              <w:rPr>
                <w:rFonts w:hint="default" w:eastAsia="宋体"/>
                <w:color w:val="auto"/>
                <w:sz w:val="24"/>
                <w:lang w:val="en-US" w:eastAsia="zh-CN"/>
              </w:rPr>
            </w:pPr>
            <w:r>
              <w:rPr>
                <w:rFonts w:hint="default" w:eastAsia="宋体"/>
                <w:color w:val="auto"/>
                <w:sz w:val="24"/>
                <w:lang w:val="en-US" w:eastAsia="zh-CN"/>
              </w:rPr>
              <w:t>淮安零碳能源环保科技有限公司于2024年5月8日完成了排污许可证变更（编号：91320826060173974G001V），有效期限为2024年5月8日</w:t>
            </w:r>
            <w:r>
              <w:rPr>
                <w:rFonts w:hint="eastAsia"/>
                <w:color w:val="auto"/>
                <w:sz w:val="24"/>
                <w:lang w:val="en-US" w:eastAsia="zh-CN"/>
              </w:rPr>
              <w:t>—</w:t>
            </w:r>
            <w:r>
              <w:rPr>
                <w:rFonts w:hint="default" w:eastAsia="宋体"/>
                <w:color w:val="auto"/>
                <w:sz w:val="24"/>
                <w:lang w:val="en-US" w:eastAsia="zh-CN"/>
              </w:rPr>
              <w:t>2029年5月7日。现有项目污染物排放量情况详见下表</w:t>
            </w:r>
            <w:r>
              <w:rPr>
                <w:rFonts w:hint="eastAsia"/>
                <w:color w:val="auto"/>
                <w:sz w:val="24"/>
                <w:lang w:val="en-US" w:eastAsia="zh-CN"/>
              </w:rPr>
              <w:t>2-25</w:t>
            </w:r>
            <w:r>
              <w:rPr>
                <w:rFonts w:hint="default" w:eastAsia="宋体"/>
                <w:color w:val="auto"/>
                <w:sz w:val="24"/>
                <w:lang w:val="en-US" w:eastAsia="zh-CN"/>
              </w:rPr>
              <w:t>。</w:t>
            </w:r>
          </w:p>
          <w:p w14:paraId="7FF8EAD6">
            <w:pPr>
              <w:spacing w:line="500" w:lineRule="exact"/>
              <w:jc w:val="center"/>
              <w:rPr>
                <w:rFonts w:hint="default" w:ascii="Times New Roman" w:hAnsi="Times New Roman" w:eastAsia="宋体" w:cs="Times New Roman"/>
                <w:b/>
                <w:color w:val="auto"/>
                <w:highlight w:val="none"/>
                <w:shd w:val="clear" w:color="auto" w:fill="FFFFFF" w:themeFill="background1"/>
              </w:rPr>
            </w:pPr>
            <w:r>
              <w:rPr>
                <w:rFonts w:hint="default" w:ascii="Times New Roman" w:hAnsi="Times New Roman" w:eastAsia="宋体" w:cs="Times New Roman"/>
                <w:b/>
                <w:color w:val="auto"/>
                <w:highlight w:val="none"/>
                <w:shd w:val="clear" w:color="auto" w:fill="FFFFFF" w:themeFill="background1"/>
              </w:rPr>
              <w:t>表</w:t>
            </w:r>
            <w:r>
              <w:rPr>
                <w:rFonts w:hint="eastAsia" w:cs="Times New Roman"/>
                <w:b/>
                <w:color w:val="auto"/>
                <w:highlight w:val="none"/>
                <w:shd w:val="clear" w:color="auto" w:fill="FFFFFF" w:themeFill="background1"/>
                <w:lang w:val="en-US" w:eastAsia="zh-CN"/>
              </w:rPr>
              <w:t>2-25</w:t>
            </w:r>
            <w:r>
              <w:rPr>
                <w:rFonts w:hint="default" w:ascii="Times New Roman" w:hAnsi="Times New Roman" w:eastAsia="宋体" w:cs="Times New Roman"/>
                <w:b/>
                <w:color w:val="auto"/>
                <w:highlight w:val="none"/>
                <w:shd w:val="clear" w:color="auto" w:fill="FFFFFF" w:themeFill="background1"/>
              </w:rPr>
              <w:t xml:space="preserve">   现有项目污染物排放量情况汇总（单位：t/a）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70"/>
              <w:gridCol w:w="2718"/>
              <w:gridCol w:w="1239"/>
              <w:gridCol w:w="1933"/>
              <w:gridCol w:w="1365"/>
            </w:tblGrid>
            <w:tr w14:paraId="41CDA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tblHeader/>
                <w:jc w:val="center"/>
              </w:trPr>
              <w:tc>
                <w:tcPr>
                  <w:tcW w:w="804" w:type="pct"/>
                  <w:vAlign w:val="center"/>
                </w:tcPr>
                <w:p w14:paraId="0B5609D5">
                  <w:pPr>
                    <w:autoSpaceDE w:val="0"/>
                    <w:autoSpaceDN w:val="0"/>
                    <w:adjustRightInd w:val="0"/>
                    <w:snapToGrid w:val="0"/>
                    <w:jc w:val="center"/>
                    <w:textAlignment w:val="bottom"/>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种类</w:t>
                  </w:r>
                </w:p>
              </w:tc>
              <w:tc>
                <w:tcPr>
                  <w:tcW w:w="1535" w:type="pct"/>
                  <w:vAlign w:val="center"/>
                </w:tcPr>
                <w:p w14:paraId="7EC3EE0B">
                  <w:pPr>
                    <w:autoSpaceDE w:val="0"/>
                    <w:autoSpaceDN w:val="0"/>
                    <w:adjustRightInd w:val="0"/>
                    <w:snapToGrid w:val="0"/>
                    <w:jc w:val="center"/>
                    <w:textAlignment w:val="bottom"/>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污染物名称</w:t>
                  </w:r>
                </w:p>
              </w:tc>
              <w:tc>
                <w:tcPr>
                  <w:tcW w:w="728" w:type="pct"/>
                  <w:vAlign w:val="center"/>
                </w:tcPr>
                <w:p w14:paraId="3D9008A5">
                  <w:pPr>
                    <w:autoSpaceDE w:val="0"/>
                    <w:autoSpaceDN w:val="0"/>
                    <w:adjustRightInd w:val="0"/>
                    <w:snapToGrid w:val="0"/>
                    <w:jc w:val="center"/>
                    <w:textAlignment w:val="bottom"/>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排污许可量</w:t>
                  </w:r>
                </w:p>
              </w:tc>
              <w:tc>
                <w:tcPr>
                  <w:tcW w:w="1130" w:type="pct"/>
                  <w:vAlign w:val="center"/>
                </w:tcPr>
                <w:p w14:paraId="59A8641A">
                  <w:pPr>
                    <w:autoSpaceDE w:val="0"/>
                    <w:autoSpaceDN w:val="0"/>
                    <w:adjustRightInd w:val="0"/>
                    <w:snapToGrid w:val="0"/>
                    <w:jc w:val="center"/>
                    <w:textAlignment w:val="bottom"/>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环评批复排放量</w:t>
                  </w:r>
                </w:p>
              </w:tc>
              <w:tc>
                <w:tcPr>
                  <w:tcW w:w="801" w:type="pct"/>
                  <w:vAlign w:val="center"/>
                </w:tcPr>
                <w:p w14:paraId="2C152232">
                  <w:pPr>
                    <w:autoSpaceDE w:val="0"/>
                    <w:autoSpaceDN w:val="0"/>
                    <w:adjustRightInd w:val="0"/>
                    <w:snapToGrid w:val="0"/>
                    <w:jc w:val="center"/>
                    <w:textAlignment w:val="bottom"/>
                    <w:rPr>
                      <w:rFonts w:hint="default" w:ascii="Times New Roman" w:hAnsi="Times New Roman" w:eastAsia="宋体" w:cs="Times New Roman"/>
                      <w:b/>
                      <w:color w:val="auto"/>
                      <w:sz w:val="21"/>
                      <w:szCs w:val="21"/>
                      <w:highlight w:val="none"/>
                      <w:shd w:val="clear" w:color="auto" w:fill="FFFFFF" w:themeFill="background1"/>
                    </w:rPr>
                  </w:pPr>
                  <w:r>
                    <w:rPr>
                      <w:rFonts w:hint="default" w:ascii="Times New Roman" w:hAnsi="Times New Roman" w:eastAsia="宋体" w:cs="Times New Roman"/>
                      <w:b/>
                      <w:color w:val="auto"/>
                      <w:sz w:val="21"/>
                      <w:szCs w:val="21"/>
                      <w:highlight w:val="none"/>
                      <w:shd w:val="clear" w:color="auto" w:fill="FFFFFF" w:themeFill="background1"/>
                    </w:rPr>
                    <w:t>实际排放量*</w:t>
                  </w:r>
                </w:p>
              </w:tc>
            </w:tr>
            <w:tr w14:paraId="6B291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restart"/>
                  <w:vAlign w:val="center"/>
                </w:tcPr>
                <w:p w14:paraId="0AD0E670">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废水</w:t>
                  </w:r>
                </w:p>
                <w:p w14:paraId="0B24FC61">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（接管量/外排量）</w:t>
                  </w:r>
                </w:p>
              </w:tc>
              <w:tc>
                <w:tcPr>
                  <w:tcW w:w="1535" w:type="pct"/>
                  <w:vAlign w:val="center"/>
                </w:tcPr>
                <w:p w14:paraId="24F2D6BA">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废水量</w:t>
                  </w:r>
                </w:p>
              </w:tc>
              <w:tc>
                <w:tcPr>
                  <w:tcW w:w="728" w:type="pct"/>
                  <w:vAlign w:val="center"/>
                </w:tcPr>
                <w:p w14:paraId="13246DF9">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779B991C">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63996/63996</w:t>
                  </w:r>
                </w:p>
              </w:tc>
              <w:tc>
                <w:tcPr>
                  <w:tcW w:w="801" w:type="pct"/>
                  <w:vAlign w:val="center"/>
                </w:tcPr>
                <w:p w14:paraId="274DB518">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23333</w:t>
                  </w:r>
                </w:p>
              </w:tc>
            </w:tr>
            <w:tr w14:paraId="7DCA9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39DE9CD">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C1F190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COD</w:t>
                  </w:r>
                </w:p>
              </w:tc>
              <w:tc>
                <w:tcPr>
                  <w:tcW w:w="728" w:type="pct"/>
                  <w:vAlign w:val="center"/>
                </w:tcPr>
                <w:p w14:paraId="50107DF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23BDEF0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19.2/3.20</w:t>
                  </w:r>
                </w:p>
              </w:tc>
              <w:tc>
                <w:tcPr>
                  <w:tcW w:w="801" w:type="pct"/>
                  <w:vAlign w:val="center"/>
                </w:tcPr>
                <w:p w14:paraId="4886FDF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0.126841</w:t>
                  </w:r>
                </w:p>
              </w:tc>
            </w:tr>
            <w:tr w14:paraId="1EB01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6077F445">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4E2DF6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728" w:type="pct"/>
                  <w:vAlign w:val="center"/>
                </w:tcPr>
                <w:p w14:paraId="3EA107D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42B6E7D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19.2/1.28</w:t>
                  </w:r>
                </w:p>
              </w:tc>
              <w:tc>
                <w:tcPr>
                  <w:tcW w:w="801" w:type="pct"/>
                  <w:vAlign w:val="center"/>
                </w:tcPr>
                <w:p w14:paraId="7DEA404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0.003365</w:t>
                  </w:r>
                </w:p>
              </w:tc>
            </w:tr>
            <w:tr w14:paraId="48B99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63EAA72B">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3C1BF72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SS</w:t>
                  </w:r>
                </w:p>
              </w:tc>
              <w:tc>
                <w:tcPr>
                  <w:tcW w:w="728" w:type="pct"/>
                  <w:vAlign w:val="center"/>
                </w:tcPr>
                <w:p w14:paraId="17E4BD6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3D41E68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12.8/1.28</w:t>
                  </w:r>
                </w:p>
              </w:tc>
              <w:tc>
                <w:tcPr>
                  <w:tcW w:w="801" w:type="pct"/>
                  <w:vAlign w:val="center"/>
                </w:tcPr>
                <w:p w14:paraId="24360DB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0.00673</w:t>
                  </w:r>
                </w:p>
              </w:tc>
            </w:tr>
            <w:tr w14:paraId="1FEB8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20A2268">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29D6BB2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728" w:type="pct"/>
                  <w:vAlign w:val="center"/>
                </w:tcPr>
                <w:p w14:paraId="2DD6E36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27DE68D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0.96/0.32</w:t>
                  </w:r>
                </w:p>
              </w:tc>
              <w:tc>
                <w:tcPr>
                  <w:tcW w:w="801" w:type="pct"/>
                  <w:vAlign w:val="center"/>
                </w:tcPr>
                <w:p w14:paraId="1A67EC9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0.002147</w:t>
                  </w:r>
                </w:p>
              </w:tc>
            </w:tr>
            <w:tr w14:paraId="27163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93EF043">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E940AF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TN</w:t>
                  </w:r>
                </w:p>
              </w:tc>
              <w:tc>
                <w:tcPr>
                  <w:tcW w:w="728" w:type="pct"/>
                  <w:vAlign w:val="center"/>
                </w:tcPr>
                <w:p w14:paraId="40756A4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737B7A8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2.49/0.96</w:t>
                  </w:r>
                </w:p>
              </w:tc>
              <w:tc>
                <w:tcPr>
                  <w:tcW w:w="801" w:type="pct"/>
                  <w:vAlign w:val="center"/>
                </w:tcPr>
                <w:p w14:paraId="6317E76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0.02692</w:t>
                  </w:r>
                </w:p>
              </w:tc>
            </w:tr>
            <w:tr w14:paraId="5CB1D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AB8560C">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2CC9B8E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TP</w:t>
                  </w:r>
                </w:p>
              </w:tc>
              <w:tc>
                <w:tcPr>
                  <w:tcW w:w="728" w:type="pct"/>
                  <w:vAlign w:val="center"/>
                </w:tcPr>
                <w:p w14:paraId="51C6D4F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53E44B1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0.064/0.032</w:t>
                  </w:r>
                </w:p>
              </w:tc>
              <w:tc>
                <w:tcPr>
                  <w:tcW w:w="801" w:type="pct"/>
                  <w:vAlign w:val="center"/>
                </w:tcPr>
                <w:p w14:paraId="7822736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0.000404</w:t>
                  </w:r>
                </w:p>
              </w:tc>
            </w:tr>
            <w:tr w14:paraId="22A0E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EA09C5F">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29BC7D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粪大肠菌群</w:t>
                  </w:r>
                </w:p>
              </w:tc>
              <w:tc>
                <w:tcPr>
                  <w:tcW w:w="728" w:type="pct"/>
                  <w:vAlign w:val="center"/>
                </w:tcPr>
                <w:p w14:paraId="0D4D9EE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75D6C98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4.03E+10MPN</w:t>
                  </w:r>
                </w:p>
                <w:p w14:paraId="4BFF362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/6.40E+08 MPN</w:t>
                  </w:r>
                </w:p>
              </w:tc>
              <w:tc>
                <w:tcPr>
                  <w:tcW w:w="801" w:type="pct"/>
                  <w:vAlign w:val="center"/>
                </w:tcPr>
                <w:p w14:paraId="18CD9A3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58171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2E55834">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0375846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Hg</w:t>
                  </w:r>
                </w:p>
              </w:tc>
              <w:tc>
                <w:tcPr>
                  <w:tcW w:w="728" w:type="pct"/>
                  <w:vAlign w:val="center"/>
                </w:tcPr>
                <w:p w14:paraId="4E644DA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79033C3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0.003/0.0006</w:t>
                  </w:r>
                </w:p>
              </w:tc>
              <w:tc>
                <w:tcPr>
                  <w:tcW w:w="801" w:type="pct"/>
                  <w:vAlign w:val="center"/>
                </w:tcPr>
                <w:p w14:paraId="0C2A915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5E95B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08A15168">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2FBCBE3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Cd</w:t>
                  </w:r>
                </w:p>
              </w:tc>
              <w:tc>
                <w:tcPr>
                  <w:tcW w:w="728" w:type="pct"/>
                  <w:vAlign w:val="center"/>
                </w:tcPr>
                <w:p w14:paraId="76D985F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11F4391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0.005/0.006</w:t>
                  </w:r>
                </w:p>
              </w:tc>
              <w:tc>
                <w:tcPr>
                  <w:tcW w:w="801" w:type="pct"/>
                  <w:vAlign w:val="center"/>
                </w:tcPr>
                <w:p w14:paraId="613F907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6BD3A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0634615">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B84554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Cr</w:t>
                  </w:r>
                </w:p>
              </w:tc>
              <w:tc>
                <w:tcPr>
                  <w:tcW w:w="728" w:type="pct"/>
                  <w:vAlign w:val="center"/>
                </w:tcPr>
                <w:p w14:paraId="4EC7F00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67507D7B">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0.066/0.032</w:t>
                  </w:r>
                </w:p>
              </w:tc>
              <w:tc>
                <w:tcPr>
                  <w:tcW w:w="801" w:type="pct"/>
                  <w:vAlign w:val="center"/>
                </w:tcPr>
                <w:p w14:paraId="15EACD5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703D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12F5286">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F7D9E7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Cr</w:t>
                  </w:r>
                  <w:r>
                    <w:rPr>
                      <w:rFonts w:hint="default" w:ascii="Times New Roman" w:hAnsi="Times New Roman" w:eastAsia="宋体" w:cs="Times New Roman"/>
                      <w:color w:val="auto"/>
                      <w:sz w:val="21"/>
                      <w:szCs w:val="21"/>
                      <w:highlight w:val="none"/>
                      <w:vertAlign w:val="superscript"/>
                    </w:rPr>
                    <w:t>6+</w:t>
                  </w:r>
                </w:p>
              </w:tc>
              <w:tc>
                <w:tcPr>
                  <w:tcW w:w="728" w:type="pct"/>
                  <w:vAlign w:val="center"/>
                </w:tcPr>
                <w:p w14:paraId="113444F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1D47AC8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0.013/0.013</w:t>
                  </w:r>
                </w:p>
              </w:tc>
              <w:tc>
                <w:tcPr>
                  <w:tcW w:w="801" w:type="pct"/>
                  <w:vAlign w:val="center"/>
                </w:tcPr>
                <w:p w14:paraId="61B1776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44B00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033D211A">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5B2B963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As</w:t>
                  </w:r>
                </w:p>
              </w:tc>
              <w:tc>
                <w:tcPr>
                  <w:tcW w:w="728" w:type="pct"/>
                  <w:vAlign w:val="center"/>
                </w:tcPr>
                <w:p w14:paraId="322ECFE4">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48EA3DB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0.018/0.006</w:t>
                  </w:r>
                </w:p>
              </w:tc>
              <w:tc>
                <w:tcPr>
                  <w:tcW w:w="801" w:type="pct"/>
                  <w:vAlign w:val="center"/>
                </w:tcPr>
                <w:p w14:paraId="5D4F425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2D27C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F544A5E">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4FB5B33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Pb</w:t>
                  </w:r>
                </w:p>
              </w:tc>
              <w:tc>
                <w:tcPr>
                  <w:tcW w:w="728" w:type="pct"/>
                  <w:vAlign w:val="center"/>
                </w:tcPr>
                <w:p w14:paraId="08A83DB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3955347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0.057/0.032</w:t>
                  </w:r>
                </w:p>
              </w:tc>
              <w:tc>
                <w:tcPr>
                  <w:tcW w:w="801" w:type="pct"/>
                  <w:vAlign w:val="center"/>
                </w:tcPr>
                <w:p w14:paraId="14CA3A3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3E51B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69ADBDAE">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49529A7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石油类</w:t>
                  </w:r>
                </w:p>
              </w:tc>
              <w:tc>
                <w:tcPr>
                  <w:tcW w:w="728" w:type="pct"/>
                  <w:vAlign w:val="center"/>
                </w:tcPr>
                <w:p w14:paraId="00FCDAC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7F615DA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1.280/0.192</w:t>
                  </w:r>
                </w:p>
              </w:tc>
              <w:tc>
                <w:tcPr>
                  <w:tcW w:w="801" w:type="pct"/>
                  <w:vAlign w:val="center"/>
                </w:tcPr>
                <w:p w14:paraId="5551CDD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450F0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60276279">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1F9A5A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Co</w:t>
                  </w:r>
                </w:p>
              </w:tc>
              <w:tc>
                <w:tcPr>
                  <w:tcW w:w="728" w:type="pct"/>
                  <w:vAlign w:val="center"/>
                </w:tcPr>
                <w:p w14:paraId="4155E95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17E676D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0.002/0.002</w:t>
                  </w:r>
                </w:p>
              </w:tc>
              <w:tc>
                <w:tcPr>
                  <w:tcW w:w="801" w:type="pct"/>
                  <w:vAlign w:val="center"/>
                </w:tcPr>
                <w:p w14:paraId="7F6AF39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7FD6F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6CC4DB1A">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571669C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Cu</w:t>
                  </w:r>
                </w:p>
              </w:tc>
              <w:tc>
                <w:tcPr>
                  <w:tcW w:w="728" w:type="pct"/>
                  <w:vAlign w:val="center"/>
                </w:tcPr>
                <w:p w14:paraId="11E508E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1A9276CF">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0.045/0.032</w:t>
                  </w:r>
                </w:p>
              </w:tc>
              <w:tc>
                <w:tcPr>
                  <w:tcW w:w="801" w:type="pct"/>
                  <w:vAlign w:val="center"/>
                </w:tcPr>
                <w:p w14:paraId="7FE49938">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6FB20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74F9A3FC">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2814FBF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Mn</w:t>
                  </w:r>
                </w:p>
              </w:tc>
              <w:tc>
                <w:tcPr>
                  <w:tcW w:w="728" w:type="pct"/>
                  <w:vAlign w:val="center"/>
                </w:tcPr>
                <w:p w14:paraId="4812676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0516ABC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0.250/0.128</w:t>
                  </w:r>
                </w:p>
              </w:tc>
              <w:tc>
                <w:tcPr>
                  <w:tcW w:w="801" w:type="pct"/>
                  <w:vAlign w:val="center"/>
                </w:tcPr>
                <w:p w14:paraId="51C78E7C">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76F49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C721EA1">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10DCA7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Ni</w:t>
                  </w:r>
                </w:p>
              </w:tc>
              <w:tc>
                <w:tcPr>
                  <w:tcW w:w="728" w:type="pct"/>
                  <w:vAlign w:val="center"/>
                </w:tcPr>
                <w:p w14:paraId="691C6DF3">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02B2EAC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0.033/0.003</w:t>
                  </w:r>
                </w:p>
              </w:tc>
              <w:tc>
                <w:tcPr>
                  <w:tcW w:w="801" w:type="pct"/>
                  <w:vAlign w:val="center"/>
                </w:tcPr>
                <w:p w14:paraId="24E4C20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37D59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0661918">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07DD7BB9">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Sb</w:t>
                  </w:r>
                </w:p>
              </w:tc>
              <w:tc>
                <w:tcPr>
                  <w:tcW w:w="728" w:type="pct"/>
                  <w:vAlign w:val="center"/>
                </w:tcPr>
                <w:p w14:paraId="56E01F0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6F14346D">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0.004/0.004</w:t>
                  </w:r>
                </w:p>
              </w:tc>
              <w:tc>
                <w:tcPr>
                  <w:tcW w:w="801" w:type="pct"/>
                  <w:vAlign w:val="center"/>
                </w:tcPr>
                <w:p w14:paraId="752C195A">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20F37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819ECFE">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35A5907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动植物油</w:t>
                  </w:r>
                </w:p>
              </w:tc>
              <w:tc>
                <w:tcPr>
                  <w:tcW w:w="728" w:type="pct"/>
                  <w:vAlign w:val="center"/>
                </w:tcPr>
                <w:p w14:paraId="2BA3BD95">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43ACD83E">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0.043/0.043</w:t>
                  </w:r>
                </w:p>
              </w:tc>
              <w:tc>
                <w:tcPr>
                  <w:tcW w:w="801" w:type="pct"/>
                  <w:vAlign w:val="center"/>
                </w:tcPr>
                <w:p w14:paraId="58F09791">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23C8E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6F881E4">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69BE47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全盐量</w:t>
                  </w:r>
                </w:p>
              </w:tc>
              <w:tc>
                <w:tcPr>
                  <w:tcW w:w="728" w:type="pct"/>
                  <w:vAlign w:val="center"/>
                </w:tcPr>
                <w:p w14:paraId="55978A02">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c>
                <w:tcPr>
                  <w:tcW w:w="1130" w:type="pct"/>
                  <w:vAlign w:val="center"/>
                </w:tcPr>
                <w:p w14:paraId="3196492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320/640</w:t>
                  </w:r>
                </w:p>
              </w:tc>
              <w:tc>
                <w:tcPr>
                  <w:tcW w:w="801" w:type="pct"/>
                  <w:vAlign w:val="center"/>
                </w:tcPr>
                <w:p w14:paraId="6D81B350">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w:t>
                  </w:r>
                </w:p>
              </w:tc>
            </w:tr>
            <w:tr w14:paraId="6A10D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restart"/>
                  <w:vAlign w:val="center"/>
                </w:tcPr>
                <w:p w14:paraId="6CB3702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themeFill="background1"/>
                    </w:rPr>
                    <w:t>废气</w:t>
                  </w:r>
                </w:p>
                <w:p w14:paraId="3AE17EE6">
                  <w:pPr>
                    <w:adjustRightInd w:val="0"/>
                    <w:snapToGrid w:val="0"/>
                    <w:jc w:val="center"/>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rPr>
                    <w:t>（有组织）</w:t>
                  </w:r>
                </w:p>
              </w:tc>
              <w:tc>
                <w:tcPr>
                  <w:tcW w:w="1535" w:type="pct"/>
                  <w:vAlign w:val="center"/>
                </w:tcPr>
                <w:p w14:paraId="77CE206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28" w:type="pct"/>
                  <w:vAlign w:val="center"/>
                </w:tcPr>
                <w:p w14:paraId="39BD3FD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1130" w:type="pct"/>
                  <w:vAlign w:val="center"/>
                </w:tcPr>
                <w:p w14:paraId="2C471F3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801" w:type="pct"/>
                  <w:vAlign w:val="center"/>
                </w:tcPr>
                <w:p w14:paraId="3F84F0A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1.454</w:t>
                  </w:r>
                </w:p>
              </w:tc>
            </w:tr>
            <w:tr w14:paraId="48234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283C6B0">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346A226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728" w:type="pct"/>
                  <w:vAlign w:val="center"/>
                </w:tcPr>
                <w:p w14:paraId="66B5D84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1130" w:type="pct"/>
                  <w:vAlign w:val="center"/>
                </w:tcPr>
                <w:p w14:paraId="6936EAF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801" w:type="pct"/>
                  <w:vAlign w:val="center"/>
                </w:tcPr>
                <w:p w14:paraId="7AE1EBE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26.852</w:t>
                  </w:r>
                </w:p>
              </w:tc>
            </w:tr>
            <w:tr w14:paraId="410CB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0C581B0D">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2B126F6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728" w:type="pct"/>
                  <w:vAlign w:val="center"/>
                </w:tcPr>
                <w:p w14:paraId="7D49A12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226.2</w:t>
                  </w:r>
                </w:p>
              </w:tc>
              <w:tc>
                <w:tcPr>
                  <w:tcW w:w="1130" w:type="pct"/>
                  <w:vAlign w:val="center"/>
                </w:tcPr>
                <w:p w14:paraId="0CB85F5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226.2</w:t>
                  </w:r>
                </w:p>
              </w:tc>
              <w:tc>
                <w:tcPr>
                  <w:tcW w:w="801" w:type="pct"/>
                  <w:vAlign w:val="center"/>
                </w:tcPr>
                <w:p w14:paraId="182E3DF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131.77</w:t>
                  </w:r>
                </w:p>
              </w:tc>
            </w:tr>
            <w:tr w14:paraId="4D4B0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06BC96D">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21B1E5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HCl</w:t>
                  </w:r>
                </w:p>
              </w:tc>
              <w:tc>
                <w:tcPr>
                  <w:tcW w:w="728" w:type="pct"/>
                  <w:vAlign w:val="center"/>
                </w:tcPr>
                <w:p w14:paraId="4567848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2F53631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801" w:type="pct"/>
                  <w:vAlign w:val="center"/>
                </w:tcPr>
                <w:p w14:paraId="2D0C55F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13.751</w:t>
                  </w:r>
                </w:p>
              </w:tc>
            </w:tr>
            <w:tr w14:paraId="72E68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5156A74B">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045CB99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HF</w:t>
                  </w:r>
                </w:p>
              </w:tc>
              <w:tc>
                <w:tcPr>
                  <w:tcW w:w="728" w:type="pct"/>
                  <w:vAlign w:val="center"/>
                </w:tcPr>
                <w:p w14:paraId="7449C64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4D48708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801" w:type="pct"/>
                  <w:vAlign w:val="center"/>
                </w:tcPr>
                <w:p w14:paraId="6F10CF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049A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1944319">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FDECAC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728" w:type="pct"/>
                  <w:vAlign w:val="center"/>
                </w:tcPr>
                <w:p w14:paraId="2115428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47A6FF8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60.8</w:t>
                  </w:r>
                </w:p>
              </w:tc>
              <w:tc>
                <w:tcPr>
                  <w:tcW w:w="801" w:type="pct"/>
                  <w:vAlign w:val="center"/>
                </w:tcPr>
                <w:p w14:paraId="6CA6A66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3.177</w:t>
                  </w:r>
                </w:p>
              </w:tc>
            </w:tr>
            <w:tr w14:paraId="1A9A1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5D06160">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1634784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Hg</w:t>
                  </w:r>
                </w:p>
              </w:tc>
              <w:tc>
                <w:tcPr>
                  <w:tcW w:w="728" w:type="pct"/>
                  <w:vAlign w:val="center"/>
                </w:tcPr>
                <w:p w14:paraId="75F7959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36335CA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0.062</w:t>
                  </w:r>
                </w:p>
              </w:tc>
              <w:tc>
                <w:tcPr>
                  <w:tcW w:w="801" w:type="pct"/>
                  <w:vAlign w:val="center"/>
                </w:tcPr>
                <w:p w14:paraId="6B75A07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9BC9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3AAE422">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6DFEB8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Cd+Tl</w:t>
                  </w:r>
                </w:p>
              </w:tc>
              <w:tc>
                <w:tcPr>
                  <w:tcW w:w="728" w:type="pct"/>
                  <w:vAlign w:val="center"/>
                </w:tcPr>
                <w:p w14:paraId="5FF24F6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6DDCD0A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0.117</w:t>
                  </w:r>
                </w:p>
              </w:tc>
              <w:tc>
                <w:tcPr>
                  <w:tcW w:w="801" w:type="pct"/>
                  <w:vAlign w:val="center"/>
                </w:tcPr>
                <w:p w14:paraId="4B3D4CE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C0F2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237962E2">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02D32DD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Sb+As+Pb+Cr+Co+Cu+Mn+Ni</w:t>
                  </w:r>
                </w:p>
              </w:tc>
              <w:tc>
                <w:tcPr>
                  <w:tcW w:w="728" w:type="pct"/>
                  <w:vAlign w:val="center"/>
                </w:tcPr>
                <w:p w14:paraId="7A91DA8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487A70C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0.806</w:t>
                  </w:r>
                </w:p>
              </w:tc>
              <w:tc>
                <w:tcPr>
                  <w:tcW w:w="801" w:type="pct"/>
                  <w:vAlign w:val="center"/>
                </w:tcPr>
                <w:p w14:paraId="1C46329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4305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7BE0D0A5">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AB13C9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二噁英</w:t>
                  </w:r>
                </w:p>
              </w:tc>
              <w:tc>
                <w:tcPr>
                  <w:tcW w:w="728" w:type="pct"/>
                  <w:vAlign w:val="center"/>
                </w:tcPr>
                <w:p w14:paraId="7C6DF6A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219CF68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0.126gTEQ</w:t>
                  </w:r>
                </w:p>
              </w:tc>
              <w:tc>
                <w:tcPr>
                  <w:tcW w:w="801" w:type="pct"/>
                  <w:vAlign w:val="center"/>
                </w:tcPr>
                <w:p w14:paraId="1DAA955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58A1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E9DE006">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49A8274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28" w:type="pct"/>
                  <w:vAlign w:val="center"/>
                </w:tcPr>
                <w:p w14:paraId="52F804F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0FE2813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7.932</w:t>
                  </w:r>
                </w:p>
              </w:tc>
              <w:tc>
                <w:tcPr>
                  <w:tcW w:w="801" w:type="pct"/>
                  <w:vAlign w:val="center"/>
                </w:tcPr>
                <w:p w14:paraId="7F83275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0028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7CAA9F8E">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38B807B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28" w:type="pct"/>
                  <w:vAlign w:val="center"/>
                </w:tcPr>
                <w:p w14:paraId="070CDE8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13C0F1B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801" w:type="pct"/>
                  <w:vAlign w:val="center"/>
                </w:tcPr>
                <w:p w14:paraId="6C053D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5932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restart"/>
                  <w:vAlign w:val="center"/>
                </w:tcPr>
                <w:p w14:paraId="1BD74197">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废气</w:t>
                  </w:r>
                </w:p>
                <w:p w14:paraId="2BFBF574">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（无组织）</w:t>
                  </w:r>
                </w:p>
              </w:tc>
              <w:tc>
                <w:tcPr>
                  <w:tcW w:w="1535" w:type="pct"/>
                  <w:vAlign w:val="center"/>
                </w:tcPr>
                <w:p w14:paraId="7C0434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p>
              </w:tc>
              <w:tc>
                <w:tcPr>
                  <w:tcW w:w="728" w:type="pct"/>
                  <w:vAlign w:val="center"/>
                </w:tcPr>
                <w:p w14:paraId="485C899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2117956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801" w:type="pct"/>
                  <w:vAlign w:val="center"/>
                </w:tcPr>
                <w:p w14:paraId="20CBCD6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D6CE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3A20F20B">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1CF25B2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CH</w:t>
                  </w:r>
                  <w:r>
                    <w:rPr>
                      <w:rFonts w:hint="default" w:ascii="Times New Roman" w:hAnsi="Times New Roman" w:eastAsia="宋体" w:cs="Times New Roman"/>
                      <w:color w:val="auto"/>
                      <w:sz w:val="21"/>
                      <w:szCs w:val="21"/>
                      <w:highlight w:val="none"/>
                      <w:vertAlign w:val="subscript"/>
                    </w:rPr>
                    <w:t>4</w:t>
                  </w:r>
                </w:p>
              </w:tc>
              <w:tc>
                <w:tcPr>
                  <w:tcW w:w="728" w:type="pct"/>
                  <w:vAlign w:val="center"/>
                </w:tcPr>
                <w:p w14:paraId="189FA1C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3F0D91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166.89</w:t>
                  </w:r>
                </w:p>
              </w:tc>
              <w:tc>
                <w:tcPr>
                  <w:tcW w:w="801" w:type="pct"/>
                  <w:vAlign w:val="center"/>
                </w:tcPr>
                <w:p w14:paraId="068D150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1885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06A9DE77">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3DC8200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728" w:type="pct"/>
                  <w:vAlign w:val="center"/>
                </w:tcPr>
                <w:p w14:paraId="418140C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169EC76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801" w:type="pct"/>
                  <w:vAlign w:val="center"/>
                </w:tcPr>
                <w:p w14:paraId="6455256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33C1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57B6E4E8">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1E7889A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728" w:type="pct"/>
                  <w:vAlign w:val="center"/>
                </w:tcPr>
                <w:p w14:paraId="114578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3125EBE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w:t>
                  </w:r>
                </w:p>
              </w:tc>
              <w:tc>
                <w:tcPr>
                  <w:tcW w:w="801" w:type="pct"/>
                  <w:vAlign w:val="center"/>
                </w:tcPr>
                <w:p w14:paraId="16D70DE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D4D8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442C7054">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7DE0DC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728" w:type="pct"/>
                  <w:vAlign w:val="center"/>
                </w:tcPr>
                <w:p w14:paraId="1CC334C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07CD8E9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15.97</w:t>
                  </w:r>
                </w:p>
              </w:tc>
              <w:tc>
                <w:tcPr>
                  <w:tcW w:w="801" w:type="pct"/>
                  <w:vAlign w:val="center"/>
                </w:tcPr>
                <w:p w14:paraId="73E402D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0253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restart"/>
                  <w:vAlign w:val="center"/>
                </w:tcPr>
                <w:p w14:paraId="72248CEE">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r>
                    <w:rPr>
                      <w:rFonts w:hint="default" w:ascii="Times New Roman" w:hAnsi="Times New Roman" w:eastAsia="宋体" w:cs="Times New Roman"/>
                      <w:color w:val="auto"/>
                      <w:sz w:val="21"/>
                      <w:szCs w:val="21"/>
                      <w:highlight w:val="none"/>
                      <w:shd w:val="clear" w:color="auto" w:fill="FFFFFF" w:themeFill="background1"/>
                    </w:rPr>
                    <w:t>固废</w:t>
                  </w:r>
                </w:p>
              </w:tc>
              <w:tc>
                <w:tcPr>
                  <w:tcW w:w="1535" w:type="pct"/>
                  <w:vAlign w:val="center"/>
                </w:tcPr>
                <w:p w14:paraId="7F3F896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728" w:type="pct"/>
                  <w:vAlign w:val="center"/>
                </w:tcPr>
                <w:p w14:paraId="438854A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6024186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01" w:type="pct"/>
                  <w:vAlign w:val="center"/>
                </w:tcPr>
                <w:p w14:paraId="63C8244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9D06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7DB07420">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7563EBE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p>
              </w:tc>
              <w:tc>
                <w:tcPr>
                  <w:tcW w:w="728" w:type="pct"/>
                  <w:vAlign w:val="center"/>
                </w:tcPr>
                <w:p w14:paraId="155EF07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763CBBF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01" w:type="pct"/>
                  <w:vAlign w:val="center"/>
                </w:tcPr>
                <w:p w14:paraId="130389F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D1B0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04" w:type="pct"/>
                  <w:vMerge w:val="continue"/>
                  <w:vAlign w:val="center"/>
                </w:tcPr>
                <w:p w14:paraId="1A45FC73">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rPr>
                  </w:pPr>
                </w:p>
              </w:tc>
              <w:tc>
                <w:tcPr>
                  <w:tcW w:w="1535" w:type="pct"/>
                  <w:vAlign w:val="center"/>
                </w:tcPr>
                <w:p w14:paraId="09F299F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728" w:type="pct"/>
                  <w:vAlign w:val="center"/>
                </w:tcPr>
                <w:p w14:paraId="3B09C94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30" w:type="pct"/>
                  <w:vAlign w:val="center"/>
                </w:tcPr>
                <w:p w14:paraId="017AE71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01" w:type="pct"/>
                  <w:vAlign w:val="center"/>
                </w:tcPr>
                <w:p w14:paraId="62FFDF0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6050FF49">
            <w:pPr>
              <w:pStyle w:val="157"/>
              <w:rPr>
                <w:rFonts w:hint="default" w:ascii="Times New Roman" w:hAnsi="Times New Roman" w:eastAsia="宋体" w:cs="Times New Roman"/>
                <w:color w:val="auto"/>
                <w:sz w:val="21"/>
                <w:highlight w:val="none"/>
                <w:shd w:val="clear" w:color="auto" w:fill="FFFFFF" w:themeFill="background1"/>
              </w:rPr>
            </w:pPr>
            <w:r>
              <w:rPr>
                <w:rFonts w:hint="default" w:ascii="Times New Roman" w:hAnsi="Times New Roman" w:eastAsia="宋体" w:cs="Times New Roman"/>
                <w:color w:val="auto"/>
                <w:sz w:val="21"/>
                <w:highlight w:val="none"/>
                <w:shd w:val="clear" w:color="auto" w:fill="FFFFFF" w:themeFill="background1"/>
              </w:rPr>
              <w:t>*注：实际排放量</w:t>
            </w:r>
            <w:r>
              <w:rPr>
                <w:rFonts w:hint="eastAsia" w:cs="Times New Roman"/>
                <w:color w:val="auto"/>
                <w:sz w:val="21"/>
                <w:highlight w:val="none"/>
                <w:shd w:val="clear" w:color="auto" w:fill="FFFFFF" w:themeFill="background1"/>
                <w:lang w:eastAsia="zh-CN"/>
              </w:rPr>
              <w:t>来自</w:t>
            </w:r>
            <w:r>
              <w:rPr>
                <w:rFonts w:hint="default" w:ascii="Times New Roman" w:hAnsi="Times New Roman" w:eastAsia="宋体" w:cs="Times New Roman"/>
                <w:color w:val="auto"/>
                <w:sz w:val="21"/>
                <w:highlight w:val="none"/>
                <w:shd w:val="clear" w:color="auto" w:fill="FFFFFF" w:themeFill="background1"/>
              </w:rPr>
              <w:t>企业2024年排污许可执行报告</w:t>
            </w:r>
            <w:r>
              <w:rPr>
                <w:rFonts w:hint="eastAsia" w:cs="Times New Roman"/>
                <w:color w:val="auto"/>
                <w:sz w:val="21"/>
                <w:highlight w:val="none"/>
                <w:shd w:val="clear" w:color="auto" w:fill="FFFFFF" w:themeFill="background1"/>
                <w:lang w:eastAsia="zh-CN"/>
              </w:rPr>
              <w:t>，工况生产时间</w:t>
            </w:r>
            <w:r>
              <w:rPr>
                <w:rFonts w:hint="eastAsia" w:cs="Times New Roman"/>
                <w:color w:val="auto"/>
                <w:sz w:val="21"/>
                <w:highlight w:val="none"/>
                <w:shd w:val="clear" w:color="auto" w:fill="FFFFFF" w:themeFill="background1"/>
                <w:lang w:val="en-US" w:eastAsia="zh-CN"/>
              </w:rPr>
              <w:t>8370h</w:t>
            </w:r>
            <w:r>
              <w:rPr>
                <w:rFonts w:hint="default" w:ascii="Times New Roman" w:hAnsi="Times New Roman" w:eastAsia="宋体" w:cs="Times New Roman"/>
                <w:color w:val="auto"/>
                <w:sz w:val="21"/>
                <w:highlight w:val="none"/>
                <w:shd w:val="clear" w:color="auto" w:fill="FFFFFF" w:themeFill="background1"/>
              </w:rPr>
              <w:t>。</w:t>
            </w:r>
          </w:p>
          <w:p w14:paraId="198F1CC5">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5.现有项目存在的主要环境问题</w:t>
            </w:r>
            <w:r>
              <w:rPr>
                <w:rFonts w:hint="eastAsia" w:cs="Times New Roman"/>
                <w:b/>
                <w:bCs/>
                <w:color w:val="auto"/>
                <w:sz w:val="24"/>
                <w:lang w:eastAsia="zh-CN"/>
              </w:rPr>
              <w:t>及</w:t>
            </w:r>
            <w:r>
              <w:rPr>
                <w:rFonts w:hint="eastAsia" w:ascii="Times New Roman" w:hAnsi="Times New Roman" w:eastAsia="宋体" w:cs="Times New Roman"/>
                <w:b/>
                <w:bCs/>
                <w:color w:val="auto"/>
                <w:sz w:val="24"/>
              </w:rPr>
              <w:t>“以新带老”措施</w:t>
            </w:r>
          </w:p>
          <w:p w14:paraId="62CA74EE">
            <w:pPr>
              <w:adjustRightInd w:val="0"/>
              <w:snapToGrid w:val="0"/>
              <w:spacing w:line="360" w:lineRule="auto"/>
              <w:ind w:firstLine="480" w:firstLineChars="200"/>
              <w:rPr>
                <w:rFonts w:hint="default" w:hAnsi="宋体"/>
                <w:color w:val="auto"/>
                <w:sz w:val="24"/>
              </w:rPr>
            </w:pPr>
            <w:r>
              <w:rPr>
                <w:rFonts w:hint="default" w:hAnsi="宋体"/>
                <w:color w:val="auto"/>
                <w:sz w:val="24"/>
              </w:rPr>
              <w:t>经现场勘查，现有项目</w:t>
            </w:r>
            <w:r>
              <w:rPr>
                <w:rFonts w:hint="eastAsia" w:hAnsi="宋体"/>
                <w:color w:val="auto"/>
                <w:sz w:val="24"/>
                <w:lang w:eastAsia="zh-CN"/>
              </w:rPr>
              <w:t>废水</w:t>
            </w:r>
            <w:r>
              <w:rPr>
                <w:rFonts w:hint="default" w:hAnsi="宋体"/>
                <w:color w:val="auto"/>
                <w:sz w:val="24"/>
              </w:rPr>
              <w:t>排污口、</w:t>
            </w:r>
            <w:r>
              <w:rPr>
                <w:rFonts w:hint="eastAsia" w:hAnsi="宋体"/>
                <w:color w:val="auto"/>
                <w:sz w:val="24"/>
                <w:lang w:eastAsia="zh-CN"/>
              </w:rPr>
              <w:t>危废</w:t>
            </w:r>
            <w:r>
              <w:rPr>
                <w:rFonts w:hint="default" w:hAnsi="宋体"/>
                <w:color w:val="auto"/>
                <w:sz w:val="24"/>
              </w:rPr>
              <w:t>仓库均规范化设置及管理，同时，企业</w:t>
            </w:r>
            <w:r>
              <w:rPr>
                <w:rFonts w:hint="eastAsia" w:hAnsi="宋体"/>
                <w:color w:val="auto"/>
                <w:sz w:val="24"/>
                <w:lang w:eastAsia="zh-CN"/>
              </w:rPr>
              <w:t>已</w:t>
            </w:r>
            <w:r>
              <w:rPr>
                <w:rFonts w:hint="default" w:hAnsi="宋体"/>
                <w:color w:val="auto"/>
                <w:sz w:val="24"/>
              </w:rPr>
              <w:t>完善排污许可申报、执行报告</w:t>
            </w:r>
            <w:r>
              <w:rPr>
                <w:rFonts w:hint="eastAsia" w:hAnsi="宋体"/>
                <w:color w:val="auto"/>
                <w:sz w:val="24"/>
                <w:lang w:eastAsia="zh-CN"/>
              </w:rPr>
              <w:t>。但发现</w:t>
            </w:r>
            <w:r>
              <w:rPr>
                <w:rFonts w:hint="default" w:hAnsi="宋体"/>
                <w:color w:val="auto"/>
                <w:sz w:val="24"/>
              </w:rPr>
              <w:t>企业自行监测过程中未开展东厂界噪声监测。</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95"/>
              <w:gridCol w:w="2638"/>
              <w:gridCol w:w="5290"/>
            </w:tblGrid>
            <w:tr w14:paraId="02C908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03" w:type="pct"/>
                  <w:noWrap w:val="0"/>
                  <w:vAlign w:val="bottom"/>
                </w:tcPr>
                <w:p w14:paraId="4E3571C8">
                  <w:pPr>
                    <w:adjustRightInd/>
                    <w:snapToGrid/>
                    <w:spacing w:after="0"/>
                    <w:jc w:val="center"/>
                    <w:rPr>
                      <w:rFonts w:hint="eastAsia" w:ascii="Times New Roman" w:hAnsi="Times New Roman" w:eastAsia="宋体" w:cs="Times New Roman"/>
                      <w:b/>
                      <w:bCs/>
                      <w:color w:val="auto"/>
                      <w:sz w:val="22"/>
                      <w:szCs w:val="22"/>
                    </w:rPr>
                  </w:pPr>
                  <w:r>
                    <w:rPr>
                      <w:rFonts w:hint="eastAsia" w:ascii="Times New Roman" w:hAnsi="Times New Roman" w:eastAsia="宋体" w:cs="Times New Roman"/>
                      <w:b/>
                      <w:bCs/>
                      <w:color w:val="auto"/>
                      <w:sz w:val="22"/>
                      <w:szCs w:val="22"/>
                    </w:rPr>
                    <w:t>序号</w:t>
                  </w:r>
                </w:p>
              </w:tc>
              <w:tc>
                <w:tcPr>
                  <w:tcW w:w="1529" w:type="pct"/>
                  <w:noWrap w:val="0"/>
                  <w:vAlign w:val="bottom"/>
                </w:tcPr>
                <w:p w14:paraId="4D4052C3">
                  <w:pPr>
                    <w:adjustRightInd/>
                    <w:snapToGrid/>
                    <w:spacing w:after="0"/>
                    <w:jc w:val="center"/>
                    <w:rPr>
                      <w:rFonts w:hint="eastAsia" w:ascii="Times New Roman" w:hAnsi="Times New Roman" w:eastAsia="宋体" w:cs="Times New Roman"/>
                      <w:b/>
                      <w:bCs/>
                      <w:color w:val="auto"/>
                      <w:sz w:val="22"/>
                      <w:szCs w:val="22"/>
                    </w:rPr>
                  </w:pPr>
                  <w:r>
                    <w:rPr>
                      <w:rFonts w:hint="eastAsia" w:ascii="Times New Roman" w:hAnsi="Times New Roman" w:eastAsia="宋体" w:cs="Times New Roman"/>
                      <w:b/>
                      <w:bCs/>
                      <w:color w:val="auto"/>
                      <w:sz w:val="22"/>
                      <w:szCs w:val="22"/>
                    </w:rPr>
                    <w:t>现有主要环境问题</w:t>
                  </w:r>
                </w:p>
              </w:tc>
              <w:tc>
                <w:tcPr>
                  <w:tcW w:w="3066" w:type="pct"/>
                  <w:noWrap w:val="0"/>
                  <w:vAlign w:val="bottom"/>
                </w:tcPr>
                <w:p w14:paraId="0FFD6FF4">
                  <w:pPr>
                    <w:adjustRightInd/>
                    <w:snapToGrid/>
                    <w:spacing w:after="0"/>
                    <w:jc w:val="center"/>
                    <w:rPr>
                      <w:rFonts w:hint="eastAsia" w:ascii="Times New Roman" w:hAnsi="Times New Roman" w:eastAsia="宋体" w:cs="Times New Roman"/>
                      <w:b/>
                      <w:bCs/>
                      <w:color w:val="auto"/>
                      <w:sz w:val="22"/>
                      <w:szCs w:val="22"/>
                      <w:lang w:eastAsia="zh-CN"/>
                    </w:rPr>
                  </w:pPr>
                  <w:r>
                    <w:rPr>
                      <w:rFonts w:hint="eastAsia" w:ascii="Times New Roman" w:hAnsi="Times New Roman" w:eastAsia="宋体" w:cs="Times New Roman"/>
                      <w:b/>
                      <w:bCs/>
                      <w:color w:val="auto"/>
                      <w:sz w:val="22"/>
                      <w:szCs w:val="22"/>
                      <w:lang w:eastAsia="zh-CN"/>
                    </w:rPr>
                    <w:t>整改方案</w:t>
                  </w:r>
                </w:p>
              </w:tc>
            </w:tr>
            <w:tr w14:paraId="1EDE14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0" w:hRule="atLeast"/>
                <w:jc w:val="center"/>
              </w:trPr>
              <w:tc>
                <w:tcPr>
                  <w:tcW w:w="403" w:type="pct"/>
                  <w:noWrap w:val="0"/>
                  <w:vAlign w:val="center"/>
                </w:tcPr>
                <w:p w14:paraId="42394141">
                  <w:pPr>
                    <w:autoSpaceDE w:val="0"/>
                    <w:autoSpaceDN w:val="0"/>
                    <w:adjustRightInd w:val="0"/>
                    <w:snapToGrid w:val="0"/>
                    <w:jc w:val="center"/>
                    <w:textAlignment w:val="bottom"/>
                    <w:rPr>
                      <w:rFonts w:hint="eastAsia" w:ascii="Times New Roman" w:hAnsi="Times New Roman" w:eastAsia="宋体" w:cs="Times New Roman"/>
                      <w:color w:val="auto"/>
                      <w:sz w:val="21"/>
                      <w:szCs w:val="21"/>
                      <w:highlight w:val="none"/>
                      <w:shd w:val="clear" w:color="auto" w:fill="FFFFFF" w:themeFill="background1"/>
                      <w:lang w:val="en-US" w:eastAsia="zh-CN"/>
                    </w:rPr>
                  </w:pPr>
                  <w:r>
                    <w:rPr>
                      <w:rFonts w:hint="eastAsia" w:ascii="Times New Roman" w:hAnsi="Times New Roman" w:eastAsia="宋体" w:cs="Times New Roman"/>
                      <w:color w:val="auto"/>
                      <w:sz w:val="21"/>
                      <w:szCs w:val="21"/>
                      <w:highlight w:val="none"/>
                      <w:shd w:val="clear" w:color="auto" w:fill="FFFFFF" w:themeFill="background1"/>
                    </w:rPr>
                    <w:t>1</w:t>
                  </w:r>
                </w:p>
              </w:tc>
              <w:tc>
                <w:tcPr>
                  <w:tcW w:w="1529" w:type="pct"/>
                  <w:noWrap w:val="0"/>
                  <w:vAlign w:val="center"/>
                </w:tcPr>
                <w:p w14:paraId="54283111">
                  <w:pPr>
                    <w:autoSpaceDE w:val="0"/>
                    <w:autoSpaceDN w:val="0"/>
                    <w:adjustRightInd w:val="0"/>
                    <w:snapToGrid w:val="0"/>
                    <w:jc w:val="center"/>
                    <w:textAlignment w:val="bottom"/>
                    <w:rPr>
                      <w:rFonts w:hint="eastAsia" w:ascii="Times New Roman" w:hAnsi="Times New Roman" w:eastAsia="宋体" w:cs="Times New Roman"/>
                      <w:color w:val="auto"/>
                      <w:sz w:val="21"/>
                      <w:szCs w:val="21"/>
                      <w:highlight w:val="none"/>
                      <w:shd w:val="clear" w:color="auto" w:fill="FFFFFF" w:themeFill="background1"/>
                      <w:lang w:eastAsia="zh-CN"/>
                    </w:rPr>
                  </w:pPr>
                  <w:r>
                    <w:rPr>
                      <w:rFonts w:hint="default" w:ascii="Times New Roman" w:hAnsi="Times New Roman" w:eastAsia="宋体" w:cs="Times New Roman"/>
                      <w:color w:val="auto"/>
                      <w:sz w:val="21"/>
                      <w:szCs w:val="21"/>
                      <w:highlight w:val="none"/>
                      <w:shd w:val="clear" w:color="auto" w:fill="FFFFFF" w:themeFill="background1"/>
                    </w:rPr>
                    <w:t>现有企业自行监测过程中未开展东厂界噪声监测</w:t>
                  </w:r>
                </w:p>
              </w:tc>
              <w:tc>
                <w:tcPr>
                  <w:tcW w:w="3066" w:type="pct"/>
                  <w:noWrap w:val="0"/>
                  <w:vAlign w:val="center"/>
                </w:tcPr>
                <w:p w14:paraId="080DDB41">
                  <w:pPr>
                    <w:adjustRightInd/>
                    <w:snapToGrid/>
                    <w:spacing w:after="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highlight w:val="none"/>
                    </w:rPr>
                    <w:t>完善企业自行监测方案，补充东厂界噪声监测点位</w:t>
                  </w:r>
                </w:p>
              </w:tc>
            </w:tr>
            <w:tr w14:paraId="657C87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0" w:hRule="atLeast"/>
                <w:jc w:val="center"/>
              </w:trPr>
              <w:tc>
                <w:tcPr>
                  <w:tcW w:w="403" w:type="pct"/>
                  <w:noWrap w:val="0"/>
                  <w:vAlign w:val="center"/>
                </w:tcPr>
                <w:p w14:paraId="7EA68B24">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2</w:t>
                  </w:r>
                </w:p>
              </w:tc>
              <w:tc>
                <w:tcPr>
                  <w:tcW w:w="1529" w:type="pct"/>
                  <w:noWrap w:val="0"/>
                  <w:vAlign w:val="center"/>
                </w:tcPr>
                <w:p w14:paraId="54C53E36">
                  <w:pPr>
                    <w:autoSpaceDE w:val="0"/>
                    <w:autoSpaceDN w:val="0"/>
                    <w:adjustRightInd w:val="0"/>
                    <w:snapToGrid w:val="0"/>
                    <w:jc w:val="center"/>
                    <w:textAlignment w:val="bottom"/>
                    <w:rPr>
                      <w:rFonts w:hint="default" w:ascii="Times New Roman" w:hAnsi="Times New Roman" w:eastAsia="宋体" w:cs="Times New Roman"/>
                      <w:color w:val="auto"/>
                      <w:sz w:val="21"/>
                      <w:szCs w:val="21"/>
                      <w:highlight w:val="none"/>
                      <w:shd w:val="clear" w:color="auto" w:fill="FFFFFF" w:themeFill="background1"/>
                      <w:lang w:val="en-US" w:eastAsia="zh-CN"/>
                    </w:rPr>
                  </w:pPr>
                  <w:r>
                    <w:rPr>
                      <w:rFonts w:hint="eastAsia" w:cs="Times New Roman"/>
                      <w:color w:val="auto"/>
                      <w:sz w:val="21"/>
                      <w:szCs w:val="21"/>
                      <w:highlight w:val="none"/>
                      <w:shd w:val="clear" w:color="auto" w:fill="FFFFFF" w:themeFill="background1"/>
                      <w:lang w:val="en-US" w:eastAsia="zh-CN"/>
                    </w:rPr>
                    <w:t>DA003排气筒无标识</w:t>
                  </w:r>
                </w:p>
              </w:tc>
              <w:tc>
                <w:tcPr>
                  <w:tcW w:w="3066" w:type="pct"/>
                  <w:noWrap w:val="0"/>
                  <w:vAlign w:val="center"/>
                </w:tcPr>
                <w:p w14:paraId="26F43E01">
                  <w:pPr>
                    <w:adjustRightInd/>
                    <w:snapToGrid/>
                    <w:spacing w:after="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重新定制废气排口标识牌，进行安装。</w:t>
                  </w:r>
                </w:p>
              </w:tc>
            </w:tr>
          </w:tbl>
          <w:p w14:paraId="2EE30AB6">
            <w:pPr>
              <w:widowControl/>
              <w:adjustRightInd w:val="0"/>
              <w:snapToGrid w:val="0"/>
              <w:spacing w:line="360" w:lineRule="auto"/>
              <w:rPr>
                <w:rFonts w:hint="eastAsia" w:eastAsia="宋体"/>
                <w:color w:val="auto"/>
                <w:sz w:val="24"/>
                <w:lang w:val="en-US" w:eastAsia="zh-CN"/>
              </w:rPr>
            </w:pPr>
          </w:p>
        </w:tc>
      </w:tr>
    </w:tbl>
    <w:p w14:paraId="4B86F197">
      <w:pPr>
        <w:widowControl/>
        <w:jc w:val="center"/>
        <w:outlineLvl w:val="0"/>
        <w:rPr>
          <w:b/>
          <w:snapToGrid w:val="0"/>
          <w:color w:val="auto"/>
          <w:sz w:val="30"/>
          <w:szCs w:val="30"/>
        </w:rPr>
      </w:pPr>
      <w:r>
        <w:rPr>
          <w:snapToGrid w:val="0"/>
          <w:color w:val="auto"/>
          <w:sz w:val="36"/>
          <w:szCs w:val="36"/>
        </w:rPr>
        <w:br w:type="page"/>
      </w:r>
      <w:bookmarkStart w:id="53" w:name="_Toc22431"/>
      <w:r>
        <w:rPr>
          <w:rFonts w:hAnsi="宋体"/>
          <w:b/>
          <w:snapToGrid w:val="0"/>
          <w:color w:val="auto"/>
          <w:sz w:val="30"/>
          <w:szCs w:val="30"/>
        </w:rPr>
        <w:t>三、区域环境质量现状、环境保护目标及评价标准</w:t>
      </w:r>
      <w:bookmarkEnd w:id="53"/>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14:paraId="67E34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34" w:type="pct"/>
            <w:vAlign w:val="center"/>
          </w:tcPr>
          <w:p w14:paraId="3DE97023">
            <w:pPr>
              <w:adjustRightInd w:val="0"/>
              <w:snapToGrid w:val="0"/>
              <w:jc w:val="center"/>
              <w:rPr>
                <w:b/>
                <w:bCs/>
                <w:color w:val="auto"/>
                <w:kern w:val="0"/>
                <w:szCs w:val="21"/>
              </w:rPr>
            </w:pPr>
            <w:r>
              <w:rPr>
                <w:rFonts w:hAnsi="宋体"/>
                <w:b/>
                <w:bCs/>
                <w:color w:val="auto"/>
                <w:kern w:val="0"/>
                <w:szCs w:val="21"/>
              </w:rPr>
              <w:t>区域</w:t>
            </w:r>
          </w:p>
          <w:p w14:paraId="075D6AD3">
            <w:pPr>
              <w:adjustRightInd w:val="0"/>
              <w:snapToGrid w:val="0"/>
              <w:jc w:val="center"/>
              <w:rPr>
                <w:b/>
                <w:bCs/>
                <w:color w:val="auto"/>
                <w:kern w:val="0"/>
                <w:szCs w:val="21"/>
              </w:rPr>
            </w:pPr>
            <w:r>
              <w:rPr>
                <w:rFonts w:hAnsi="宋体"/>
                <w:b/>
                <w:bCs/>
                <w:color w:val="auto"/>
                <w:kern w:val="0"/>
                <w:szCs w:val="21"/>
              </w:rPr>
              <w:t>环境</w:t>
            </w:r>
          </w:p>
          <w:p w14:paraId="4D8B99E7">
            <w:pPr>
              <w:adjustRightInd w:val="0"/>
              <w:snapToGrid w:val="0"/>
              <w:jc w:val="center"/>
              <w:rPr>
                <w:b/>
                <w:bCs/>
                <w:color w:val="auto"/>
                <w:kern w:val="0"/>
                <w:szCs w:val="21"/>
              </w:rPr>
            </w:pPr>
            <w:r>
              <w:rPr>
                <w:rFonts w:hAnsi="宋体"/>
                <w:b/>
                <w:bCs/>
                <w:color w:val="auto"/>
                <w:kern w:val="0"/>
                <w:szCs w:val="21"/>
              </w:rPr>
              <w:t>质量</w:t>
            </w:r>
          </w:p>
          <w:p w14:paraId="6A9ABC87">
            <w:pPr>
              <w:adjustRightInd w:val="0"/>
              <w:snapToGrid w:val="0"/>
              <w:jc w:val="center"/>
              <w:rPr>
                <w:b/>
                <w:bCs/>
                <w:color w:val="auto"/>
                <w:kern w:val="0"/>
                <w:szCs w:val="21"/>
              </w:rPr>
            </w:pPr>
            <w:r>
              <w:rPr>
                <w:rFonts w:hAnsi="宋体"/>
                <w:b/>
                <w:bCs/>
                <w:color w:val="auto"/>
                <w:kern w:val="0"/>
                <w:szCs w:val="21"/>
              </w:rPr>
              <w:t>现状</w:t>
            </w:r>
          </w:p>
        </w:tc>
        <w:tc>
          <w:tcPr>
            <w:tcW w:w="4766" w:type="pct"/>
            <w:vAlign w:val="center"/>
          </w:tcPr>
          <w:p w14:paraId="582DB854">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大气环境质量</w:t>
            </w:r>
            <w:r>
              <w:rPr>
                <w:rFonts w:hAnsi="宋体"/>
                <w:b/>
                <w:color w:val="auto"/>
                <w:kern w:val="0"/>
                <w:sz w:val="24"/>
                <w:szCs w:val="28"/>
              </w:rPr>
              <w:t>现状</w:t>
            </w:r>
          </w:p>
          <w:p w14:paraId="4A757458">
            <w:pPr>
              <w:adjustRightInd w:val="0"/>
              <w:snapToGrid w:val="0"/>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）项目所在区域达标判断</w:t>
            </w:r>
          </w:p>
          <w:p w14:paraId="4A39762C">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r>
              <w:rPr>
                <w:color w:val="auto"/>
                <w:sz w:val="24"/>
              </w:rPr>
              <w:t>本项目位于</w:t>
            </w:r>
            <w:r>
              <w:rPr>
                <w:rFonts w:hint="eastAsia"/>
                <w:color w:val="auto"/>
                <w:sz w:val="24"/>
              </w:rPr>
              <w:t>淮安市</w:t>
            </w:r>
            <w:r>
              <w:rPr>
                <w:rFonts w:hint="eastAsia"/>
                <w:color w:val="auto"/>
                <w:sz w:val="24"/>
                <w:lang w:eastAsia="zh-CN"/>
              </w:rPr>
              <w:t>涟水县大东镇</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4DD184AD">
            <w:pPr>
              <w:widowControl/>
              <w:adjustRightInd w:val="0"/>
              <w:snapToGrid w:val="0"/>
              <w:spacing w:line="360" w:lineRule="auto"/>
              <w:ind w:firstLine="482" w:firstLineChars="200"/>
              <w:jc w:val="left"/>
              <w:rPr>
                <w:rFonts w:hAnsi="宋体"/>
                <w:b/>
                <w:color w:val="auto"/>
                <w:kern w:val="0"/>
                <w:sz w:val="24"/>
              </w:rPr>
            </w:pPr>
            <w:r>
              <w:rPr>
                <w:b/>
                <w:color w:val="auto"/>
                <w:kern w:val="0"/>
                <w:sz w:val="24"/>
                <w:szCs w:val="20"/>
              </w:rPr>
              <w:t>2.</w:t>
            </w:r>
            <w:r>
              <w:rPr>
                <w:rFonts w:hAnsi="宋体"/>
                <w:b/>
                <w:color w:val="auto"/>
                <w:kern w:val="0"/>
                <w:sz w:val="24"/>
                <w:szCs w:val="20"/>
              </w:rPr>
              <w:t>地表水环境质量</w:t>
            </w:r>
            <w:r>
              <w:rPr>
                <w:rFonts w:hAnsi="宋体"/>
                <w:b/>
                <w:color w:val="auto"/>
                <w:kern w:val="0"/>
                <w:sz w:val="24"/>
              </w:rPr>
              <w:t>现状</w:t>
            </w:r>
          </w:p>
          <w:p w14:paraId="56C4A259">
            <w:pPr>
              <w:adjustRightInd w:val="0"/>
              <w:snapToGrid w:val="0"/>
              <w:spacing w:line="360" w:lineRule="auto"/>
              <w:ind w:firstLine="480" w:firstLineChars="200"/>
              <w:rPr>
                <w:rFonts w:hint="default" w:ascii="Times New Roman" w:hAnsi="宋体" w:eastAsia="宋体" w:cs="Times New Roman"/>
                <w:color w:val="auto"/>
                <w:sz w:val="24"/>
                <w:lang w:val="en-US" w:eastAsia="zh-CN"/>
              </w:rPr>
            </w:pPr>
            <w:r>
              <w:rPr>
                <w:rFonts w:hint="default" w:ascii="Times New Roman" w:hAnsi="宋体" w:eastAsia="宋体" w:cs="Times New Roman"/>
                <w:color w:val="auto"/>
                <w:sz w:val="24"/>
                <w:lang w:val="en-US" w:eastAsia="zh-CN"/>
              </w:rPr>
              <w:t>根据《2024年淮安市生态环境状况公报》，纳入“十四五”国家地表水环境质量考核的11个断面达标率为100%，年均水质达到或好于《地表水环境质量标准》（GB3838—2002）Ⅲ类标准的断面有9个，其中Ⅱ断面有5个，优Ⅲ比例为81.8%。</w:t>
            </w:r>
          </w:p>
          <w:p w14:paraId="548AE103">
            <w:pPr>
              <w:adjustRightInd w:val="0"/>
              <w:snapToGrid w:val="0"/>
              <w:spacing w:before="120" w:beforeLines="50" w:line="360" w:lineRule="auto"/>
              <w:ind w:firstLine="482" w:firstLineChars="200"/>
              <w:rPr>
                <w:b/>
                <w:color w:val="auto"/>
                <w:kern w:val="0"/>
                <w:sz w:val="24"/>
                <w:szCs w:val="20"/>
              </w:rPr>
            </w:pPr>
            <w:r>
              <w:rPr>
                <w:b/>
                <w:color w:val="auto"/>
                <w:kern w:val="0"/>
                <w:sz w:val="24"/>
                <w:szCs w:val="20"/>
              </w:rPr>
              <w:t>3.</w:t>
            </w:r>
            <w:r>
              <w:rPr>
                <w:rFonts w:hAnsi="宋体"/>
                <w:b/>
                <w:color w:val="auto"/>
                <w:kern w:val="0"/>
                <w:sz w:val="24"/>
                <w:szCs w:val="20"/>
              </w:rPr>
              <w:t>声环境质量现状</w:t>
            </w:r>
          </w:p>
          <w:p w14:paraId="5E12D37F">
            <w:pPr>
              <w:pStyle w:val="32"/>
              <w:keepNext w:val="0"/>
              <w:keepLines w:val="0"/>
              <w:pageBreakBefore w:val="0"/>
              <w:kinsoku/>
              <w:wordWrap/>
              <w:overflowPunct/>
              <w:topLinePunct w:val="0"/>
              <w:bidi w:val="0"/>
              <w:spacing w:after="0" w:line="360" w:lineRule="auto"/>
              <w:ind w:left="0" w:leftChars="0" w:firstLine="480"/>
              <w:textAlignment w:val="auto"/>
              <w:rPr>
                <w:rFonts w:hint="eastAsia" w:cs="Times New Roman"/>
                <w:color w:val="auto"/>
                <w:sz w:val="24"/>
                <w:lang w:val="en-US" w:eastAsia="zh-CN"/>
              </w:rPr>
            </w:pPr>
            <w:r>
              <w:rPr>
                <w:rFonts w:hint="default" w:ascii="Times New Roman" w:hAnsi="Times New Roman" w:eastAsia="宋体"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r>
              <w:rPr>
                <w:rFonts w:hint="eastAsia" w:cs="Times New Roman"/>
                <w:color w:val="auto"/>
                <w:sz w:val="24"/>
                <w:lang w:val="en-US" w:eastAsia="zh-CN"/>
              </w:rPr>
              <w:t>具体监测结果见下表：</w:t>
            </w:r>
          </w:p>
          <w:p w14:paraId="10472C76">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2024年涟水县各功能区噪声监测结果统计表  单位：dB（A）</w:t>
            </w:r>
          </w:p>
          <w:tbl>
            <w:tblPr>
              <w:tblStyle w:val="3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770"/>
              <w:gridCol w:w="934"/>
              <w:gridCol w:w="934"/>
              <w:gridCol w:w="935"/>
              <w:gridCol w:w="935"/>
              <w:gridCol w:w="935"/>
              <w:gridCol w:w="935"/>
              <w:gridCol w:w="935"/>
            </w:tblGrid>
            <w:tr w14:paraId="5A755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1097" w:type="dxa"/>
                  <w:vMerge w:val="restart"/>
                  <w:tcBorders>
                    <w:tl2br w:val="nil"/>
                    <w:tr2bl w:val="nil"/>
                  </w:tcBorders>
                  <w:vAlign w:val="center"/>
                </w:tcPr>
                <w:p w14:paraId="3D261168">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年度</w:t>
                  </w:r>
                </w:p>
              </w:tc>
              <w:tc>
                <w:tcPr>
                  <w:tcW w:w="1704" w:type="dxa"/>
                  <w:gridSpan w:val="2"/>
                  <w:tcBorders>
                    <w:tl2br w:val="nil"/>
                    <w:tr2bl w:val="nil"/>
                  </w:tcBorders>
                  <w:vAlign w:val="center"/>
                </w:tcPr>
                <w:p w14:paraId="567D72BB">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1类区</w:t>
                  </w:r>
                </w:p>
              </w:tc>
              <w:tc>
                <w:tcPr>
                  <w:tcW w:w="1869" w:type="dxa"/>
                  <w:gridSpan w:val="2"/>
                  <w:tcBorders>
                    <w:tl2br w:val="nil"/>
                    <w:tr2bl w:val="nil"/>
                  </w:tcBorders>
                  <w:vAlign w:val="center"/>
                </w:tcPr>
                <w:p w14:paraId="760C9ED8">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2类区</w:t>
                  </w:r>
                </w:p>
              </w:tc>
              <w:tc>
                <w:tcPr>
                  <w:tcW w:w="1870" w:type="dxa"/>
                  <w:gridSpan w:val="2"/>
                  <w:tcBorders>
                    <w:tl2br w:val="nil"/>
                    <w:tr2bl w:val="nil"/>
                  </w:tcBorders>
                  <w:vAlign w:val="center"/>
                </w:tcPr>
                <w:p w14:paraId="2F4C05AE">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3类区</w:t>
                  </w:r>
                </w:p>
              </w:tc>
              <w:tc>
                <w:tcPr>
                  <w:tcW w:w="1870" w:type="dxa"/>
                  <w:gridSpan w:val="2"/>
                  <w:tcBorders>
                    <w:tl2br w:val="nil"/>
                    <w:tr2bl w:val="nil"/>
                  </w:tcBorders>
                  <w:vAlign w:val="center"/>
                </w:tcPr>
                <w:p w14:paraId="73E7B963">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4类区</w:t>
                  </w:r>
                </w:p>
              </w:tc>
            </w:tr>
            <w:tr w14:paraId="7A96F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tcBorders>
                    <w:tl2br w:val="nil"/>
                    <w:tr2bl w:val="nil"/>
                  </w:tcBorders>
                  <w:vAlign w:val="center"/>
                </w:tcPr>
                <w:p w14:paraId="79F08CBD">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p>
              </w:tc>
              <w:tc>
                <w:tcPr>
                  <w:tcW w:w="770" w:type="dxa"/>
                  <w:tcBorders>
                    <w:tl2br w:val="nil"/>
                    <w:tr2bl w:val="nil"/>
                  </w:tcBorders>
                  <w:vAlign w:val="center"/>
                </w:tcPr>
                <w:p w14:paraId="590B870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4" w:type="dxa"/>
                  <w:tcBorders>
                    <w:tl2br w:val="nil"/>
                    <w:tr2bl w:val="nil"/>
                  </w:tcBorders>
                  <w:vAlign w:val="center"/>
                </w:tcPr>
                <w:p w14:paraId="54B78096">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4" w:type="dxa"/>
                  <w:tcBorders>
                    <w:tl2br w:val="nil"/>
                    <w:tr2bl w:val="nil"/>
                  </w:tcBorders>
                  <w:vAlign w:val="center"/>
                </w:tcPr>
                <w:p w14:paraId="4B43D86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09291A8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0408169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52C7B474">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70BA19B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0C11B9B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r>
            <w:tr w14:paraId="097DC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2EF14DC6">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2024</w:t>
                  </w:r>
                </w:p>
              </w:tc>
              <w:tc>
                <w:tcPr>
                  <w:tcW w:w="770" w:type="dxa"/>
                  <w:tcBorders>
                    <w:tl2br w:val="nil"/>
                    <w:tr2bl w:val="nil"/>
                  </w:tcBorders>
                  <w:vAlign w:val="center"/>
                </w:tcPr>
                <w:p w14:paraId="4B816D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48.3</w:t>
                  </w:r>
                </w:p>
              </w:tc>
              <w:tc>
                <w:tcPr>
                  <w:tcW w:w="934" w:type="dxa"/>
                  <w:tcBorders>
                    <w:tl2br w:val="nil"/>
                    <w:tr2bl w:val="nil"/>
                  </w:tcBorders>
                  <w:vAlign w:val="center"/>
                </w:tcPr>
                <w:p w14:paraId="191E22B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41.7</w:t>
                  </w:r>
                </w:p>
              </w:tc>
              <w:tc>
                <w:tcPr>
                  <w:tcW w:w="934" w:type="dxa"/>
                  <w:tcBorders>
                    <w:tl2br w:val="nil"/>
                    <w:tr2bl w:val="nil"/>
                  </w:tcBorders>
                  <w:vAlign w:val="center"/>
                </w:tcPr>
                <w:p w14:paraId="63F783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54.8</w:t>
                  </w:r>
                </w:p>
              </w:tc>
              <w:tc>
                <w:tcPr>
                  <w:tcW w:w="935" w:type="dxa"/>
                  <w:tcBorders>
                    <w:tl2br w:val="nil"/>
                    <w:tr2bl w:val="nil"/>
                  </w:tcBorders>
                  <w:vAlign w:val="center"/>
                </w:tcPr>
                <w:p w14:paraId="54A665C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47.2</w:t>
                  </w:r>
                </w:p>
              </w:tc>
              <w:tc>
                <w:tcPr>
                  <w:tcW w:w="935" w:type="dxa"/>
                  <w:tcBorders>
                    <w:tl2br w:val="nil"/>
                    <w:tr2bl w:val="nil"/>
                  </w:tcBorders>
                  <w:vAlign w:val="center"/>
                </w:tcPr>
                <w:p w14:paraId="35CCE3BB">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59.1</w:t>
                  </w:r>
                </w:p>
              </w:tc>
              <w:tc>
                <w:tcPr>
                  <w:tcW w:w="935" w:type="dxa"/>
                  <w:tcBorders>
                    <w:tl2br w:val="nil"/>
                    <w:tr2bl w:val="nil"/>
                  </w:tcBorders>
                  <w:vAlign w:val="center"/>
                </w:tcPr>
                <w:p w14:paraId="0DC4B119">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50.6</w:t>
                  </w:r>
                </w:p>
              </w:tc>
              <w:tc>
                <w:tcPr>
                  <w:tcW w:w="935" w:type="dxa"/>
                  <w:tcBorders>
                    <w:tl2br w:val="nil"/>
                    <w:tr2bl w:val="nil"/>
                  </w:tcBorders>
                  <w:vAlign w:val="center"/>
                </w:tcPr>
                <w:p w14:paraId="1C7AECB5">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59.5</w:t>
                  </w:r>
                </w:p>
              </w:tc>
              <w:tc>
                <w:tcPr>
                  <w:tcW w:w="935" w:type="dxa"/>
                  <w:tcBorders>
                    <w:tl2br w:val="nil"/>
                    <w:tr2bl w:val="nil"/>
                  </w:tcBorders>
                  <w:vAlign w:val="center"/>
                </w:tcPr>
                <w:p w14:paraId="3582792B">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52.4</w:t>
                  </w:r>
                </w:p>
              </w:tc>
            </w:tr>
            <w:tr w14:paraId="42275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29DF977C">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标准</w:t>
                  </w:r>
                </w:p>
              </w:tc>
              <w:tc>
                <w:tcPr>
                  <w:tcW w:w="770" w:type="dxa"/>
                  <w:tcBorders>
                    <w:tl2br w:val="nil"/>
                    <w:tr2bl w:val="nil"/>
                  </w:tcBorders>
                  <w:vAlign w:val="center"/>
                </w:tcPr>
                <w:p w14:paraId="265C19D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4" w:type="dxa"/>
                  <w:tcBorders>
                    <w:tl2br w:val="nil"/>
                    <w:tr2bl w:val="nil"/>
                  </w:tcBorders>
                  <w:vAlign w:val="center"/>
                </w:tcPr>
                <w:p w14:paraId="74DAF2E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w:t>
                  </w:r>
                  <w:r>
                    <w:rPr>
                      <w:color w:val="auto"/>
                      <w:sz w:val="21"/>
                      <w:szCs w:val="21"/>
                    </w:rPr>
                    <w:t>5</w:t>
                  </w:r>
                </w:p>
              </w:tc>
              <w:tc>
                <w:tcPr>
                  <w:tcW w:w="934" w:type="dxa"/>
                  <w:tcBorders>
                    <w:tl2br w:val="nil"/>
                    <w:tr2bl w:val="nil"/>
                  </w:tcBorders>
                  <w:vAlign w:val="center"/>
                </w:tcPr>
                <w:p w14:paraId="6F2029E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0</w:t>
                  </w:r>
                </w:p>
              </w:tc>
              <w:tc>
                <w:tcPr>
                  <w:tcW w:w="935" w:type="dxa"/>
                  <w:tcBorders>
                    <w:tl2br w:val="nil"/>
                    <w:tr2bl w:val="nil"/>
                  </w:tcBorders>
                  <w:vAlign w:val="center"/>
                </w:tcPr>
                <w:p w14:paraId="1946158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0</w:t>
                  </w:r>
                </w:p>
              </w:tc>
              <w:tc>
                <w:tcPr>
                  <w:tcW w:w="935" w:type="dxa"/>
                  <w:tcBorders>
                    <w:tl2br w:val="nil"/>
                    <w:tr2bl w:val="nil"/>
                  </w:tcBorders>
                  <w:vAlign w:val="center"/>
                </w:tcPr>
                <w:p w14:paraId="056CDB7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5</w:t>
                  </w:r>
                </w:p>
              </w:tc>
              <w:tc>
                <w:tcPr>
                  <w:tcW w:w="935" w:type="dxa"/>
                  <w:tcBorders>
                    <w:tl2br w:val="nil"/>
                    <w:tr2bl w:val="nil"/>
                  </w:tcBorders>
                  <w:vAlign w:val="center"/>
                </w:tcPr>
                <w:p w14:paraId="2D11328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5" w:type="dxa"/>
                  <w:tcBorders>
                    <w:tl2br w:val="nil"/>
                    <w:tr2bl w:val="nil"/>
                  </w:tcBorders>
                  <w:vAlign w:val="center"/>
                </w:tcPr>
                <w:p w14:paraId="41575B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7</w:t>
                  </w:r>
                  <w:r>
                    <w:rPr>
                      <w:color w:val="auto"/>
                      <w:sz w:val="21"/>
                      <w:szCs w:val="21"/>
                    </w:rPr>
                    <w:t>0</w:t>
                  </w:r>
                </w:p>
              </w:tc>
              <w:tc>
                <w:tcPr>
                  <w:tcW w:w="935" w:type="dxa"/>
                  <w:tcBorders>
                    <w:tl2br w:val="nil"/>
                    <w:tr2bl w:val="nil"/>
                  </w:tcBorders>
                  <w:vAlign w:val="center"/>
                </w:tcPr>
                <w:p w14:paraId="4AE9B9C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r>
            <w:tr w14:paraId="6CB8D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511726EA">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是否达标</w:t>
                  </w:r>
                </w:p>
              </w:tc>
              <w:tc>
                <w:tcPr>
                  <w:tcW w:w="770" w:type="dxa"/>
                  <w:tcBorders>
                    <w:tl2br w:val="nil"/>
                    <w:tr2bl w:val="nil"/>
                  </w:tcBorders>
                  <w:vAlign w:val="center"/>
                </w:tcPr>
                <w:p w14:paraId="2530FC8E">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达标</w:t>
                  </w:r>
                </w:p>
              </w:tc>
              <w:tc>
                <w:tcPr>
                  <w:tcW w:w="934" w:type="dxa"/>
                  <w:tcBorders>
                    <w:tl2br w:val="nil"/>
                    <w:tr2bl w:val="nil"/>
                  </w:tcBorders>
                  <w:vAlign w:val="center"/>
                </w:tcPr>
                <w:p w14:paraId="15076E8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4" w:type="dxa"/>
                  <w:tcBorders>
                    <w:tl2br w:val="nil"/>
                    <w:tr2bl w:val="nil"/>
                  </w:tcBorders>
                  <w:vAlign w:val="center"/>
                </w:tcPr>
                <w:p w14:paraId="7693972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3EDA5D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8A9D20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3D5F5D7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A1120B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4308101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r>
          </w:tbl>
          <w:p w14:paraId="588E9377">
            <w:pPr>
              <w:pStyle w:val="32"/>
              <w:keepNext w:val="0"/>
              <w:keepLines w:val="0"/>
              <w:pageBreakBefore w:val="0"/>
              <w:kinsoku/>
              <w:wordWrap/>
              <w:overflowPunct/>
              <w:topLinePunct w:val="0"/>
              <w:bidi w:val="0"/>
              <w:spacing w:after="0" w:line="360" w:lineRule="auto"/>
              <w:ind w:left="0" w:leftChars="0" w:firstLine="480"/>
              <w:textAlignment w:val="auto"/>
              <w:rPr>
                <w:rFonts w:hint="default" w:eastAsia="宋体"/>
                <w:color w:val="auto"/>
                <w:sz w:val="24"/>
                <w:lang w:val="en-US" w:eastAsia="zh-CN"/>
              </w:rPr>
            </w:pPr>
            <w:r>
              <w:rPr>
                <w:rFonts w:hint="eastAsia"/>
                <w:color w:val="auto"/>
                <w:sz w:val="24"/>
                <w:lang w:val="en-US" w:eastAsia="zh-CN"/>
              </w:rPr>
              <w:t>根据上表数据，2024年涟水县声环境质量为达标区。</w:t>
            </w:r>
          </w:p>
          <w:p w14:paraId="4976D13D">
            <w:pPr>
              <w:pStyle w:val="32"/>
              <w:keepNext w:val="0"/>
              <w:keepLines w:val="0"/>
              <w:pageBreakBefore w:val="0"/>
              <w:kinsoku/>
              <w:wordWrap/>
              <w:overflowPunct/>
              <w:topLinePunct w:val="0"/>
              <w:bidi w:val="0"/>
              <w:spacing w:after="0" w:line="360" w:lineRule="auto"/>
              <w:ind w:left="0" w:leftChars="0" w:firstLine="480"/>
              <w:textAlignment w:val="auto"/>
              <w:rPr>
                <w:rFonts w:hint="eastAsia"/>
                <w:color w:val="auto"/>
              </w:rPr>
            </w:pPr>
            <w:r>
              <w:rPr>
                <w:rFonts w:hint="eastAsia"/>
                <w:color w:val="auto"/>
                <w:sz w:val="24"/>
              </w:rPr>
              <w:t>本项目厂界外50米范围内无声环境保护目标，无需开展声环境质量现状监测。</w:t>
            </w:r>
          </w:p>
          <w:p w14:paraId="47484078">
            <w:pPr>
              <w:widowControl/>
              <w:tabs>
                <w:tab w:val="left" w:pos="443"/>
              </w:tabs>
              <w:adjustRightInd w:val="0"/>
              <w:snapToGrid w:val="0"/>
              <w:spacing w:line="360" w:lineRule="auto"/>
              <w:ind w:firstLine="482" w:firstLineChars="200"/>
              <w:jc w:val="left"/>
              <w:rPr>
                <w:b/>
                <w:color w:val="auto"/>
                <w:kern w:val="0"/>
                <w:sz w:val="24"/>
                <w:szCs w:val="20"/>
              </w:rPr>
            </w:pPr>
            <w:r>
              <w:rPr>
                <w:b/>
                <w:color w:val="auto"/>
                <w:kern w:val="0"/>
                <w:sz w:val="24"/>
                <w:szCs w:val="20"/>
              </w:rPr>
              <w:t>4.</w:t>
            </w:r>
            <w:r>
              <w:rPr>
                <w:rFonts w:hint="eastAsia"/>
                <w:b/>
                <w:color w:val="auto"/>
                <w:kern w:val="0"/>
                <w:sz w:val="24"/>
                <w:szCs w:val="20"/>
                <w:lang w:eastAsia="zh-CN"/>
              </w:rPr>
              <w:t>土壤、</w:t>
            </w:r>
            <w:r>
              <w:rPr>
                <w:rFonts w:hAnsi="宋体"/>
                <w:b/>
                <w:color w:val="auto"/>
                <w:kern w:val="0"/>
                <w:sz w:val="24"/>
                <w:szCs w:val="20"/>
              </w:rPr>
              <w:t>地下水环境质量现状</w:t>
            </w:r>
          </w:p>
          <w:p w14:paraId="73DD7459">
            <w:pPr>
              <w:adjustRightInd w:val="0"/>
              <w:snapToGrid w:val="0"/>
              <w:spacing w:line="360" w:lineRule="auto"/>
              <w:ind w:firstLine="480" w:firstLineChars="200"/>
              <w:rPr>
                <w:color w:val="auto"/>
                <w:sz w:val="24"/>
              </w:rPr>
            </w:pPr>
            <w:r>
              <w:rPr>
                <w:color w:val="auto"/>
                <w:sz w:val="24"/>
              </w:rPr>
              <w:t>本项目周边无土壤环境敏感目标，且本项目厂界外500米范围内无地下水集中饮用水水源、热水、矿泉水、温泉等特殊地下水资源。厂区内防渗措施到位，无土壤、地下水环境污染途径，对照《建设项目环境影响报告表编制技术指南（污染影响类）（试行）》，不开展土壤、地下水环境质量现状调查。</w:t>
            </w:r>
          </w:p>
          <w:p w14:paraId="1ABF5144">
            <w:pPr>
              <w:widowControl/>
              <w:tabs>
                <w:tab w:val="left" w:pos="443"/>
              </w:tabs>
              <w:adjustRightInd w:val="0"/>
              <w:snapToGrid w:val="0"/>
              <w:spacing w:line="360" w:lineRule="auto"/>
              <w:ind w:firstLine="482" w:firstLineChars="200"/>
              <w:jc w:val="left"/>
              <w:rPr>
                <w:b/>
                <w:color w:val="auto"/>
                <w:kern w:val="0"/>
                <w:sz w:val="24"/>
                <w:szCs w:val="20"/>
              </w:rPr>
            </w:pPr>
            <w:r>
              <w:rPr>
                <w:rFonts w:hint="eastAsia"/>
                <w:b/>
                <w:color w:val="auto"/>
                <w:kern w:val="0"/>
                <w:sz w:val="24"/>
                <w:szCs w:val="20"/>
                <w:lang w:val="en-US" w:eastAsia="zh-CN"/>
              </w:rPr>
              <w:t>5</w:t>
            </w:r>
            <w:r>
              <w:rPr>
                <w:b/>
                <w:color w:val="auto"/>
                <w:kern w:val="0"/>
                <w:sz w:val="24"/>
                <w:szCs w:val="20"/>
              </w:rPr>
              <w:t>.</w:t>
            </w:r>
            <w:r>
              <w:rPr>
                <w:rFonts w:hAnsi="宋体"/>
                <w:b/>
                <w:color w:val="auto"/>
                <w:kern w:val="0"/>
                <w:sz w:val="24"/>
                <w:szCs w:val="20"/>
              </w:rPr>
              <w:t>生态环境质量现状</w:t>
            </w:r>
          </w:p>
          <w:p w14:paraId="7E80BA81">
            <w:pPr>
              <w:widowControl/>
              <w:adjustRightInd w:val="0"/>
              <w:snapToGrid w:val="0"/>
              <w:spacing w:line="360" w:lineRule="auto"/>
              <w:ind w:firstLine="480" w:firstLineChars="200"/>
              <w:jc w:val="left"/>
              <w:rPr>
                <w:color w:val="auto"/>
                <w:kern w:val="0"/>
                <w:sz w:val="24"/>
              </w:rPr>
            </w:pPr>
            <w:r>
              <w:rPr>
                <w:rFonts w:hAnsi="宋体"/>
                <w:color w:val="auto"/>
                <w:sz w:val="24"/>
              </w:rPr>
              <w:t>本项目</w:t>
            </w:r>
            <w:r>
              <w:rPr>
                <w:rFonts w:hint="eastAsia" w:hAnsi="宋体"/>
                <w:color w:val="auto"/>
                <w:sz w:val="24"/>
              </w:rPr>
              <w:t>在</w:t>
            </w:r>
            <w:r>
              <w:rPr>
                <w:rFonts w:hAnsi="宋体"/>
                <w:color w:val="auto"/>
                <w:sz w:val="24"/>
              </w:rPr>
              <w:t>现有厂房</w:t>
            </w:r>
            <w:r>
              <w:rPr>
                <w:rFonts w:hint="eastAsia" w:hAnsi="宋体"/>
                <w:color w:val="auto"/>
                <w:sz w:val="24"/>
              </w:rPr>
              <w:t>内实施</w:t>
            </w:r>
            <w:r>
              <w:rPr>
                <w:rFonts w:hAnsi="宋体"/>
                <w:color w:val="auto"/>
                <w:sz w:val="24"/>
              </w:rPr>
              <w:t>，</w:t>
            </w:r>
            <w:r>
              <w:rPr>
                <w:rFonts w:hint="eastAsia" w:hAnsi="宋体"/>
                <w:color w:val="auto"/>
                <w:sz w:val="24"/>
              </w:rPr>
              <w:t>不</w:t>
            </w:r>
            <w:r>
              <w:rPr>
                <w:rFonts w:hint="eastAsia" w:hAnsi="宋体"/>
                <w:color w:val="auto"/>
                <w:sz w:val="24"/>
                <w:lang w:eastAsia="zh-CN"/>
              </w:rPr>
              <w:t>新增</w:t>
            </w:r>
            <w:r>
              <w:rPr>
                <w:rFonts w:hint="eastAsia" w:hAnsi="宋体"/>
                <w:color w:val="auto"/>
                <w:sz w:val="24"/>
              </w:rPr>
              <w:t>用地，</w:t>
            </w:r>
            <w:r>
              <w:rPr>
                <w:rFonts w:hAnsi="宋体"/>
                <w:color w:val="auto"/>
                <w:sz w:val="24"/>
              </w:rPr>
              <w:t>不涉及生态环境保护目标，故无需进行生态现状调查</w:t>
            </w:r>
            <w:r>
              <w:rPr>
                <w:rFonts w:hAnsi="宋体"/>
                <w:color w:val="auto"/>
                <w:kern w:val="0"/>
                <w:sz w:val="24"/>
              </w:rPr>
              <w:t>。</w:t>
            </w:r>
          </w:p>
          <w:p w14:paraId="54F94317">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val="en-US" w:eastAsia="zh-CN"/>
              </w:rPr>
              <w:t>6</w:t>
            </w:r>
            <w:r>
              <w:rPr>
                <w:b/>
                <w:color w:val="auto"/>
                <w:kern w:val="0"/>
                <w:sz w:val="24"/>
              </w:rPr>
              <w:t>.</w:t>
            </w:r>
            <w:r>
              <w:rPr>
                <w:rFonts w:hAnsi="宋体"/>
                <w:b/>
                <w:color w:val="auto"/>
                <w:kern w:val="0"/>
                <w:sz w:val="24"/>
              </w:rPr>
              <w:t>电磁辐射</w:t>
            </w:r>
          </w:p>
          <w:p w14:paraId="77469834">
            <w:pPr>
              <w:widowControl/>
              <w:adjustRightInd w:val="0"/>
              <w:snapToGrid w:val="0"/>
              <w:spacing w:line="360" w:lineRule="auto"/>
              <w:ind w:firstLine="480" w:firstLineChars="200"/>
              <w:jc w:val="left"/>
              <w:rPr>
                <w:color w:val="auto"/>
                <w:kern w:val="0"/>
                <w:sz w:val="24"/>
              </w:rPr>
            </w:pPr>
            <w:r>
              <w:rPr>
                <w:rFonts w:hAnsi="宋体"/>
                <w:color w:val="auto"/>
                <w:kern w:val="0"/>
                <w:sz w:val="24"/>
              </w:rPr>
              <w:t>建设项目不涉及电磁辐射环境影响。</w:t>
            </w:r>
          </w:p>
        </w:tc>
      </w:tr>
      <w:tr w14:paraId="5200E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14:paraId="15EC8D4F">
            <w:pPr>
              <w:adjustRightInd w:val="0"/>
              <w:snapToGrid w:val="0"/>
              <w:jc w:val="center"/>
              <w:rPr>
                <w:b/>
                <w:bCs/>
                <w:color w:val="auto"/>
                <w:kern w:val="0"/>
                <w:szCs w:val="21"/>
              </w:rPr>
            </w:pPr>
            <w:r>
              <w:rPr>
                <w:rFonts w:hAnsi="宋体"/>
                <w:b/>
                <w:bCs/>
                <w:color w:val="auto"/>
                <w:kern w:val="0"/>
                <w:szCs w:val="21"/>
              </w:rPr>
              <w:t>环</w:t>
            </w:r>
          </w:p>
          <w:p w14:paraId="11436647">
            <w:pPr>
              <w:adjustRightInd w:val="0"/>
              <w:snapToGrid w:val="0"/>
              <w:jc w:val="center"/>
              <w:rPr>
                <w:b/>
                <w:bCs/>
                <w:color w:val="auto"/>
                <w:kern w:val="0"/>
                <w:szCs w:val="21"/>
              </w:rPr>
            </w:pPr>
            <w:r>
              <w:rPr>
                <w:rFonts w:hAnsi="宋体"/>
                <w:b/>
                <w:bCs/>
                <w:color w:val="auto"/>
                <w:kern w:val="0"/>
                <w:szCs w:val="21"/>
              </w:rPr>
              <w:t>境</w:t>
            </w:r>
          </w:p>
          <w:p w14:paraId="36C0D947">
            <w:pPr>
              <w:adjustRightInd w:val="0"/>
              <w:snapToGrid w:val="0"/>
              <w:jc w:val="center"/>
              <w:rPr>
                <w:b/>
                <w:bCs/>
                <w:color w:val="auto"/>
                <w:kern w:val="0"/>
                <w:szCs w:val="21"/>
              </w:rPr>
            </w:pPr>
            <w:r>
              <w:rPr>
                <w:rFonts w:hAnsi="宋体"/>
                <w:b/>
                <w:bCs/>
                <w:color w:val="auto"/>
                <w:kern w:val="0"/>
                <w:szCs w:val="21"/>
              </w:rPr>
              <w:t>保护</w:t>
            </w:r>
          </w:p>
          <w:p w14:paraId="2EFAAC0E">
            <w:pPr>
              <w:adjustRightInd w:val="0"/>
              <w:snapToGrid w:val="0"/>
              <w:jc w:val="center"/>
              <w:rPr>
                <w:b/>
                <w:bCs/>
                <w:color w:val="auto"/>
                <w:kern w:val="0"/>
                <w:szCs w:val="21"/>
              </w:rPr>
            </w:pPr>
            <w:r>
              <w:rPr>
                <w:rFonts w:hAnsi="宋体"/>
                <w:b/>
                <w:bCs/>
                <w:color w:val="auto"/>
                <w:kern w:val="0"/>
                <w:szCs w:val="21"/>
              </w:rPr>
              <w:t>目标</w:t>
            </w:r>
          </w:p>
        </w:tc>
        <w:tc>
          <w:tcPr>
            <w:tcW w:w="4766" w:type="pct"/>
            <w:vAlign w:val="center"/>
          </w:tcPr>
          <w:p w14:paraId="67655421">
            <w:pPr>
              <w:adjustRightInd w:val="0"/>
              <w:snapToGrid w:val="0"/>
              <w:spacing w:before="120" w:beforeLines="50" w:line="360" w:lineRule="auto"/>
              <w:ind w:firstLine="480" w:firstLineChars="200"/>
              <w:rPr>
                <w:color w:val="auto"/>
                <w:sz w:val="24"/>
              </w:rPr>
            </w:pPr>
            <w:r>
              <w:rPr>
                <w:rFonts w:hAnsi="宋体"/>
                <w:color w:val="auto"/>
                <w:sz w:val="24"/>
              </w:rPr>
              <w:t>建设项目位</w:t>
            </w:r>
            <w:r>
              <w:rPr>
                <w:rFonts w:hint="eastAsia" w:ascii="Times New Roman" w:hAnsi="宋体" w:eastAsia="宋体" w:cs="Times New Roman"/>
                <w:color w:val="auto"/>
                <w:sz w:val="24"/>
              </w:rPr>
              <w:t>于</w:t>
            </w:r>
            <w:r>
              <w:rPr>
                <w:rFonts w:hint="eastAsia" w:hAnsi="宋体" w:cs="Times New Roman"/>
                <w:color w:val="auto"/>
                <w:sz w:val="24"/>
                <w:lang w:val="en-US" w:eastAsia="zh-CN"/>
              </w:rPr>
              <w:t>江苏省淮安市涟水县大东镇马棚农场</w:t>
            </w:r>
            <w:r>
              <w:rPr>
                <w:rStyle w:val="41"/>
                <w:rFonts w:hAnsi="宋体"/>
                <w:color w:val="auto"/>
              </w:rPr>
              <w:t>，</w:t>
            </w:r>
            <w:r>
              <w:rPr>
                <w:rFonts w:hAnsi="宋体"/>
                <w:color w:val="auto"/>
                <w:sz w:val="24"/>
              </w:rPr>
              <w:t>项目周边状况详见</w:t>
            </w:r>
            <w:r>
              <w:rPr>
                <w:rFonts w:hAnsi="宋体"/>
                <w:b/>
                <w:color w:val="auto"/>
                <w:sz w:val="24"/>
              </w:rPr>
              <w:t>附图</w:t>
            </w:r>
            <w:r>
              <w:rPr>
                <w:rFonts w:hint="eastAsia"/>
                <w:b/>
                <w:color w:val="auto"/>
                <w:sz w:val="24"/>
                <w:lang w:val="en-US" w:eastAsia="zh-CN"/>
              </w:rPr>
              <w:t>6</w:t>
            </w:r>
            <w:r>
              <w:rPr>
                <w:rFonts w:hAnsi="宋体"/>
                <w:color w:val="auto"/>
                <w:sz w:val="24"/>
              </w:rPr>
              <w:t>。</w:t>
            </w:r>
          </w:p>
          <w:p w14:paraId="639FB5CC">
            <w:pPr>
              <w:tabs>
                <w:tab w:val="left" w:pos="1800"/>
              </w:tabs>
              <w:adjustRightInd w:val="0"/>
              <w:snapToGrid w:val="0"/>
              <w:spacing w:line="360" w:lineRule="auto"/>
              <w:ind w:firstLine="480" w:firstLineChars="200"/>
              <w:rPr>
                <w:color w:val="auto"/>
                <w:sz w:val="24"/>
                <w:szCs w:val="22"/>
              </w:rPr>
            </w:pPr>
            <w:r>
              <w:rPr>
                <w:rFonts w:hAnsi="宋体"/>
                <w:color w:val="auto"/>
                <w:sz w:val="24"/>
                <w:szCs w:val="22"/>
              </w:rPr>
              <w:t>根据项目的周边情况，确定主要环境保护目标见表</w:t>
            </w:r>
            <w:r>
              <w:rPr>
                <w:color w:val="auto"/>
                <w:sz w:val="24"/>
                <w:szCs w:val="22"/>
              </w:rPr>
              <w:t>3-</w:t>
            </w:r>
            <w:r>
              <w:rPr>
                <w:rFonts w:hint="eastAsia"/>
                <w:color w:val="auto"/>
                <w:sz w:val="24"/>
                <w:szCs w:val="22"/>
                <w:lang w:val="en-US" w:eastAsia="zh-CN"/>
              </w:rPr>
              <w:t>3</w:t>
            </w:r>
            <w:r>
              <w:rPr>
                <w:rFonts w:hAnsi="宋体"/>
                <w:color w:val="auto"/>
                <w:sz w:val="24"/>
                <w:szCs w:val="22"/>
              </w:rPr>
              <w:t>。</w:t>
            </w:r>
          </w:p>
          <w:p w14:paraId="1EC48D21">
            <w:pPr>
              <w:tabs>
                <w:tab w:val="left" w:pos="1800"/>
              </w:tabs>
              <w:adjustRightInd w:val="0"/>
              <w:snapToGrid w:val="0"/>
              <w:jc w:val="center"/>
              <w:rPr>
                <w:color w:val="auto"/>
              </w:rPr>
            </w:pPr>
            <w:r>
              <w:rPr>
                <w:rFonts w:hAnsi="宋体"/>
                <w:b/>
                <w:color w:val="auto"/>
                <w:sz w:val="24"/>
                <w:szCs w:val="22"/>
              </w:rPr>
              <w:t>表</w:t>
            </w:r>
            <w:r>
              <w:rPr>
                <w:b/>
                <w:color w:val="auto"/>
                <w:sz w:val="24"/>
                <w:szCs w:val="22"/>
              </w:rPr>
              <w:t>3-</w:t>
            </w:r>
            <w:r>
              <w:rPr>
                <w:rFonts w:hint="eastAsia"/>
                <w:b/>
                <w:color w:val="auto"/>
                <w:sz w:val="24"/>
                <w:szCs w:val="22"/>
                <w:lang w:val="en-US" w:eastAsia="zh-CN"/>
              </w:rPr>
              <w:t>3</w:t>
            </w:r>
            <w:r>
              <w:rPr>
                <w:rFonts w:hAnsi="宋体"/>
                <w:b/>
                <w:color w:val="auto"/>
                <w:sz w:val="24"/>
                <w:szCs w:val="22"/>
              </w:rPr>
              <w:t>主要环境保护目标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1"/>
              <w:gridCol w:w="783"/>
              <w:gridCol w:w="261"/>
              <w:gridCol w:w="957"/>
              <w:gridCol w:w="861"/>
              <w:gridCol w:w="766"/>
              <w:gridCol w:w="896"/>
              <w:gridCol w:w="1046"/>
              <w:gridCol w:w="2250"/>
            </w:tblGrid>
            <w:tr w14:paraId="0E68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7" w:type="pct"/>
                  <w:vMerge w:val="restart"/>
                  <w:vAlign w:val="center"/>
                </w:tcPr>
                <w:p w14:paraId="6542466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w:t>
                  </w:r>
                </w:p>
                <w:p w14:paraId="1121302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188" w:type="pct"/>
                  <w:gridSpan w:val="3"/>
                  <w:vAlign w:val="center"/>
                </w:tcPr>
                <w:p w14:paraId="78F187A8">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510" w:type="pct"/>
                  <w:vMerge w:val="restart"/>
                  <w:vAlign w:val="center"/>
                </w:tcPr>
                <w:p w14:paraId="7268A829">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454" w:type="pct"/>
                  <w:vMerge w:val="restart"/>
                  <w:vAlign w:val="center"/>
                </w:tcPr>
                <w:p w14:paraId="27E62978">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p w14:paraId="694CE7EA">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w:t>
                  </w:r>
                </w:p>
              </w:tc>
              <w:tc>
                <w:tcPr>
                  <w:tcW w:w="532" w:type="pct"/>
                  <w:vMerge w:val="restart"/>
                  <w:vAlign w:val="center"/>
                </w:tcPr>
                <w:p w14:paraId="3E5865E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621" w:type="pct"/>
                  <w:vMerge w:val="restart"/>
                  <w:vAlign w:val="center"/>
                </w:tcPr>
                <w:p w14:paraId="6ADBC569">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相对厂界距离（米）</w:t>
                  </w:r>
                </w:p>
              </w:tc>
              <w:tc>
                <w:tcPr>
                  <w:tcW w:w="1335" w:type="pct"/>
                  <w:vMerge w:val="restart"/>
                  <w:vAlign w:val="center"/>
                </w:tcPr>
                <w:p w14:paraId="676FFC88">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环境功能区</w:t>
                  </w:r>
                </w:p>
              </w:tc>
            </w:tr>
            <w:tr w14:paraId="30DD2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7" w:type="pct"/>
                  <w:vMerge w:val="continue"/>
                  <w:vAlign w:val="center"/>
                </w:tcPr>
                <w:p w14:paraId="29D41EC1">
                  <w:pPr>
                    <w:adjustRightInd w:val="0"/>
                    <w:snapToGrid w:val="0"/>
                    <w:jc w:val="center"/>
                    <w:rPr>
                      <w:rFonts w:hint="default" w:ascii="Times New Roman" w:hAnsi="Times New Roman" w:cs="Times New Roman"/>
                      <w:bCs/>
                      <w:color w:val="auto"/>
                      <w:sz w:val="21"/>
                      <w:szCs w:val="21"/>
                    </w:rPr>
                  </w:pPr>
                </w:p>
              </w:tc>
              <w:tc>
                <w:tcPr>
                  <w:tcW w:w="620" w:type="pct"/>
                  <w:gridSpan w:val="2"/>
                  <w:vAlign w:val="center"/>
                </w:tcPr>
                <w:p w14:paraId="47993EC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经度</w:t>
                  </w:r>
                </w:p>
              </w:tc>
              <w:tc>
                <w:tcPr>
                  <w:tcW w:w="567" w:type="pct"/>
                  <w:vAlign w:val="center"/>
                </w:tcPr>
                <w:p w14:paraId="1CA4D70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纬度</w:t>
                  </w:r>
                </w:p>
              </w:tc>
              <w:tc>
                <w:tcPr>
                  <w:tcW w:w="510" w:type="pct"/>
                  <w:vMerge w:val="continue"/>
                  <w:vAlign w:val="center"/>
                </w:tcPr>
                <w:p w14:paraId="2BEDB471">
                  <w:pPr>
                    <w:adjustRightInd w:val="0"/>
                    <w:snapToGrid w:val="0"/>
                    <w:jc w:val="center"/>
                    <w:rPr>
                      <w:rFonts w:hint="default" w:ascii="Times New Roman" w:hAnsi="Times New Roman" w:cs="Times New Roman"/>
                      <w:bCs/>
                      <w:color w:val="auto"/>
                      <w:sz w:val="21"/>
                      <w:szCs w:val="21"/>
                    </w:rPr>
                  </w:pPr>
                </w:p>
              </w:tc>
              <w:tc>
                <w:tcPr>
                  <w:tcW w:w="454" w:type="pct"/>
                  <w:vMerge w:val="continue"/>
                  <w:vAlign w:val="center"/>
                </w:tcPr>
                <w:p w14:paraId="3E5356C9">
                  <w:pPr>
                    <w:adjustRightInd w:val="0"/>
                    <w:snapToGrid w:val="0"/>
                    <w:jc w:val="center"/>
                    <w:rPr>
                      <w:rFonts w:hint="default" w:ascii="Times New Roman" w:hAnsi="Times New Roman" w:cs="Times New Roman"/>
                      <w:bCs/>
                      <w:color w:val="auto"/>
                      <w:sz w:val="21"/>
                      <w:szCs w:val="21"/>
                    </w:rPr>
                  </w:pPr>
                </w:p>
              </w:tc>
              <w:tc>
                <w:tcPr>
                  <w:tcW w:w="532" w:type="pct"/>
                  <w:vMerge w:val="continue"/>
                  <w:vAlign w:val="center"/>
                </w:tcPr>
                <w:p w14:paraId="4054626D">
                  <w:pPr>
                    <w:adjustRightInd w:val="0"/>
                    <w:snapToGrid w:val="0"/>
                    <w:jc w:val="center"/>
                    <w:rPr>
                      <w:rFonts w:hint="default" w:ascii="Times New Roman" w:hAnsi="Times New Roman" w:cs="Times New Roman"/>
                      <w:bCs/>
                      <w:color w:val="auto"/>
                      <w:sz w:val="21"/>
                      <w:szCs w:val="21"/>
                    </w:rPr>
                  </w:pPr>
                </w:p>
              </w:tc>
              <w:tc>
                <w:tcPr>
                  <w:tcW w:w="621" w:type="pct"/>
                  <w:vMerge w:val="continue"/>
                  <w:vAlign w:val="center"/>
                </w:tcPr>
                <w:p w14:paraId="6E08A3AA">
                  <w:pPr>
                    <w:adjustRightInd w:val="0"/>
                    <w:snapToGrid w:val="0"/>
                    <w:jc w:val="center"/>
                    <w:rPr>
                      <w:rFonts w:hint="default" w:ascii="Times New Roman" w:hAnsi="Times New Roman" w:cs="Times New Roman"/>
                      <w:color w:val="auto"/>
                      <w:sz w:val="21"/>
                      <w:szCs w:val="21"/>
                    </w:rPr>
                  </w:pPr>
                </w:p>
              </w:tc>
              <w:tc>
                <w:tcPr>
                  <w:tcW w:w="1335" w:type="pct"/>
                  <w:vMerge w:val="continue"/>
                  <w:vAlign w:val="center"/>
                </w:tcPr>
                <w:p w14:paraId="562BB3C0">
                  <w:pPr>
                    <w:adjustRightInd w:val="0"/>
                    <w:snapToGrid w:val="0"/>
                    <w:jc w:val="center"/>
                    <w:rPr>
                      <w:rFonts w:hint="default" w:ascii="Times New Roman" w:hAnsi="Times New Roman" w:cs="Times New Roman"/>
                      <w:color w:val="auto"/>
                      <w:sz w:val="21"/>
                      <w:szCs w:val="21"/>
                    </w:rPr>
                  </w:pPr>
                </w:p>
              </w:tc>
            </w:tr>
            <w:tr w14:paraId="7F2CC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57" w:type="pct"/>
                  <w:vAlign w:val="center"/>
                </w:tcPr>
                <w:p w14:paraId="41F3208A">
                  <w:pPr>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大气环境</w:t>
                  </w:r>
                </w:p>
              </w:tc>
              <w:tc>
                <w:tcPr>
                  <w:tcW w:w="620" w:type="pct"/>
                  <w:gridSpan w:val="2"/>
                  <w:shd w:val="clear" w:color="auto" w:fill="auto"/>
                  <w:vAlign w:val="center"/>
                </w:tcPr>
                <w:p w14:paraId="2FC6375F">
                  <w:pPr>
                    <w:jc w:val="center"/>
                    <w:textAlignment w:val="center"/>
                    <w:rPr>
                      <w:color w:val="auto"/>
                    </w:rPr>
                  </w:pPr>
                  <w:r>
                    <w:rPr>
                      <w:rFonts w:hint="eastAsia" w:cs="Times New Roman"/>
                      <w:color w:val="auto"/>
                      <w:kern w:val="2"/>
                      <w:sz w:val="21"/>
                      <w:szCs w:val="24"/>
                      <w:lang w:val="en-US" w:eastAsia="zh-CN" w:bidi="ar-SA"/>
                    </w:rPr>
                    <w:t>119.23437</w:t>
                  </w:r>
                </w:p>
                <w:p w14:paraId="3F1D4C47">
                  <w:pPr>
                    <w:rPr>
                      <w:color w:val="auto"/>
                    </w:rPr>
                  </w:pPr>
                </w:p>
              </w:tc>
              <w:tc>
                <w:tcPr>
                  <w:tcW w:w="567" w:type="pct"/>
                  <w:shd w:val="clear" w:color="auto" w:fill="auto"/>
                  <w:vAlign w:val="center"/>
                </w:tcPr>
                <w:p w14:paraId="3B5946B9">
                  <w:pPr>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33.525377</w:t>
                  </w:r>
                </w:p>
              </w:tc>
              <w:tc>
                <w:tcPr>
                  <w:tcW w:w="510" w:type="pct"/>
                  <w:shd w:val="clear" w:color="auto" w:fill="auto"/>
                  <w:vAlign w:val="center"/>
                </w:tcPr>
                <w:p w14:paraId="7F983E52">
                  <w:pPr>
                    <w:jc w:val="both"/>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马棚庄</w:t>
                  </w:r>
                </w:p>
              </w:tc>
              <w:tc>
                <w:tcPr>
                  <w:tcW w:w="454" w:type="pct"/>
                  <w:shd w:val="clear" w:color="auto" w:fill="auto"/>
                  <w:vAlign w:val="center"/>
                </w:tcPr>
                <w:p w14:paraId="1EDC36EA">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bidi="ar"/>
                    </w:rPr>
                    <w:t>25</w:t>
                  </w:r>
                </w:p>
              </w:tc>
              <w:tc>
                <w:tcPr>
                  <w:tcW w:w="532" w:type="pct"/>
                  <w:shd w:val="clear" w:color="auto" w:fill="auto"/>
                  <w:vAlign w:val="center"/>
                </w:tcPr>
                <w:p w14:paraId="3FB3FF59">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W</w:t>
                  </w:r>
                </w:p>
              </w:tc>
              <w:tc>
                <w:tcPr>
                  <w:tcW w:w="621" w:type="pct"/>
                  <w:shd w:val="clear" w:color="auto" w:fill="auto"/>
                  <w:vAlign w:val="center"/>
                </w:tcPr>
                <w:p w14:paraId="2C1ED590">
                  <w:pPr>
                    <w:pStyle w:val="159"/>
                    <w:rPr>
                      <w:rFonts w:hint="default" w:ascii="Times New Roman" w:hAnsi="Times New Roman" w:eastAsia="宋体" w:cs="Times New Roman"/>
                      <w:snapToGrid w:val="0"/>
                      <w:color w:val="auto"/>
                      <w:kern w:val="2"/>
                      <w:sz w:val="21"/>
                      <w:szCs w:val="21"/>
                      <w:highlight w:val="none"/>
                      <w:shd w:val="clear" w:color="auto" w:fill="FFFFFF" w:themeFill="background1"/>
                      <w:lang w:val="en-US" w:eastAsia="zh-CN" w:bidi="ar-SA"/>
                    </w:rPr>
                  </w:pPr>
                  <w:r>
                    <w:rPr>
                      <w:rFonts w:hint="eastAsia" w:cs="Times New Roman"/>
                      <w:snapToGrid w:val="0"/>
                      <w:color w:val="auto"/>
                      <w:kern w:val="2"/>
                      <w:sz w:val="21"/>
                      <w:szCs w:val="21"/>
                      <w:highlight w:val="none"/>
                      <w:shd w:val="clear" w:color="auto" w:fill="FFFFFF" w:themeFill="background1"/>
                      <w:lang w:val="en-US" w:eastAsia="zh-CN" w:bidi="ar-SA"/>
                    </w:rPr>
                    <w:t>340</w:t>
                  </w:r>
                </w:p>
              </w:tc>
              <w:tc>
                <w:tcPr>
                  <w:tcW w:w="1335" w:type="pct"/>
                  <w:shd w:val="clear" w:color="auto" w:fill="auto"/>
                  <w:vAlign w:val="center"/>
                </w:tcPr>
                <w:p w14:paraId="788C0183">
                  <w:pPr>
                    <w:pStyle w:val="159"/>
                    <w:rPr>
                      <w:rFonts w:hint="default" w:ascii="Times New Roman" w:hAnsi="Times New Roman" w:eastAsia="宋体" w:cs="Times New Roman"/>
                      <w:snapToGrid w:val="0"/>
                      <w:color w:val="auto"/>
                      <w:kern w:val="2"/>
                      <w:sz w:val="21"/>
                      <w:szCs w:val="21"/>
                      <w:highlight w:val="none"/>
                      <w:shd w:val="clear" w:color="auto" w:fill="FFFFFF" w:themeFill="background1"/>
                      <w:lang w:val="en-US" w:eastAsia="zh-CN" w:bidi="ar-SA"/>
                    </w:rPr>
                  </w:pPr>
                  <w:r>
                    <w:rPr>
                      <w:rFonts w:hint="default" w:ascii="Times New Roman" w:hAnsi="Times New Roman" w:eastAsia="宋体" w:cs="Times New Roman"/>
                      <w:color w:val="auto"/>
                      <w:sz w:val="21"/>
                      <w:szCs w:val="21"/>
                      <w:highlight w:val="none"/>
                      <w:lang w:bidi="ar"/>
                    </w:rPr>
                    <w:t>《环境空气质量标准》</w:t>
                  </w:r>
                  <w:r>
                    <w:rPr>
                      <w:rFonts w:hint="eastAsia"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GB3095-2012</w:t>
                  </w:r>
                  <w:r>
                    <w:rPr>
                      <w:rFonts w:hint="eastAsia"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二类区</w:t>
                  </w:r>
                </w:p>
              </w:tc>
            </w:tr>
            <w:tr w14:paraId="4EA2C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57" w:type="pct"/>
                  <w:vAlign w:val="center"/>
                </w:tcPr>
                <w:p w14:paraId="1B6A99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4642" w:type="pct"/>
                  <w:gridSpan w:val="8"/>
                  <w:vAlign w:val="center"/>
                </w:tcPr>
                <w:p w14:paraId="7B753FEB">
                  <w:pPr>
                    <w:tabs>
                      <w:tab w:val="left" w:pos="1800"/>
                    </w:tabs>
                    <w:adjustRightInd w:val="0"/>
                    <w:snapToGrid w:val="0"/>
                    <w:jc w:val="center"/>
                    <w:rPr>
                      <w:rFonts w:hint="default" w:ascii="Times New Roman" w:hAnsi="Times New Roman" w:cs="Times New Roman"/>
                      <w:color w:val="auto"/>
                      <w:sz w:val="21"/>
                      <w:szCs w:val="21"/>
                    </w:rPr>
                  </w:pPr>
                  <w:r>
                    <w:rPr>
                      <w:rFonts w:hint="eastAsia" w:hAnsiTheme="minorEastAsia" w:eastAsiaTheme="minorEastAsia"/>
                      <w:color w:val="auto"/>
                      <w:sz w:val="21"/>
                      <w:szCs w:val="21"/>
                    </w:rPr>
                    <w:t>建设项目</w:t>
                  </w:r>
                  <w:r>
                    <w:rPr>
                      <w:rFonts w:hAnsiTheme="minorEastAsia" w:eastAsiaTheme="minorEastAsia"/>
                      <w:color w:val="auto"/>
                      <w:sz w:val="21"/>
                      <w:szCs w:val="21"/>
                    </w:rPr>
                    <w:t>厂界外</w:t>
                  </w:r>
                  <w:r>
                    <w:rPr>
                      <w:rFonts w:eastAsiaTheme="minorEastAsia"/>
                      <w:color w:val="auto"/>
                      <w:sz w:val="21"/>
                      <w:szCs w:val="21"/>
                    </w:rPr>
                    <w:t>50</w:t>
                  </w:r>
                  <w:r>
                    <w:rPr>
                      <w:rFonts w:hAnsiTheme="minorEastAsia" w:eastAsiaTheme="minorEastAsia"/>
                      <w:color w:val="auto"/>
                      <w:sz w:val="21"/>
                      <w:szCs w:val="21"/>
                    </w:rPr>
                    <w:t>米范围内无声环境保护目标</w:t>
                  </w:r>
                </w:p>
              </w:tc>
            </w:tr>
            <w:tr w14:paraId="6CB57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822" w:type="pct"/>
                  <w:gridSpan w:val="2"/>
                  <w:vAlign w:val="center"/>
                </w:tcPr>
                <w:p w14:paraId="09CCD7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234" w:type="pct"/>
                  <w:gridSpan w:val="3"/>
                  <w:vAlign w:val="center"/>
                </w:tcPr>
                <w:p w14:paraId="20B2DC3A">
                  <w:pPr>
                    <w:pStyle w:val="159"/>
                    <w:rPr>
                      <w:rFonts w:hint="default" w:ascii="Times New Roman" w:hAnsi="Times New Roman" w:cs="Times New Roman"/>
                      <w:color w:val="auto"/>
                      <w:sz w:val="21"/>
                      <w:szCs w:val="21"/>
                    </w:rPr>
                  </w:pPr>
                  <w:r>
                    <w:rPr>
                      <w:rFonts w:hint="default" w:ascii="Times New Roman" w:hAnsi="Times New Roman" w:eastAsia="宋体" w:cs="Times New Roman"/>
                      <w:snapToGrid w:val="0"/>
                      <w:color w:val="auto"/>
                      <w:highlight w:val="none"/>
                    </w:rPr>
                    <w:t>渠西河</w:t>
                  </w:r>
                </w:p>
              </w:tc>
              <w:tc>
                <w:tcPr>
                  <w:tcW w:w="454" w:type="pct"/>
                  <w:vAlign w:val="center"/>
                </w:tcPr>
                <w:p w14:paraId="2065BF75">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纳污河</w:t>
                  </w:r>
                </w:p>
              </w:tc>
              <w:tc>
                <w:tcPr>
                  <w:tcW w:w="532" w:type="pct"/>
                  <w:vAlign w:val="center"/>
                </w:tcPr>
                <w:p w14:paraId="6290DE15">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snapToGrid w:val="0"/>
                      <w:color w:val="auto"/>
                      <w:highlight w:val="none"/>
                    </w:rPr>
                    <w:t>W</w:t>
                  </w:r>
                </w:p>
              </w:tc>
              <w:tc>
                <w:tcPr>
                  <w:tcW w:w="621" w:type="pct"/>
                  <w:vAlign w:val="center"/>
                </w:tcPr>
                <w:p w14:paraId="405283C7">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1335" w:type="pct"/>
                  <w:vAlign w:val="center"/>
                </w:tcPr>
                <w:p w14:paraId="27AC42CC">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snapToGrid w:val="0"/>
                      <w:color w:val="auto"/>
                      <w:highlight w:val="none"/>
                    </w:rPr>
                    <w:t>Ⅳ</w:t>
                  </w:r>
                  <w:r>
                    <w:rPr>
                      <w:rFonts w:hint="default" w:ascii="Times New Roman" w:hAnsi="Times New Roman" w:cs="Times New Roman"/>
                      <w:color w:val="auto"/>
                      <w:sz w:val="21"/>
                      <w:szCs w:val="21"/>
                    </w:rPr>
                    <w:t>类标准</w:t>
                  </w:r>
                </w:p>
              </w:tc>
            </w:tr>
            <w:tr w14:paraId="43DDD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2" w:type="pct"/>
                  <w:gridSpan w:val="2"/>
                  <w:vAlign w:val="center"/>
                </w:tcPr>
                <w:p w14:paraId="69A68363">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w:t>
                  </w:r>
                </w:p>
              </w:tc>
              <w:tc>
                <w:tcPr>
                  <w:tcW w:w="4177" w:type="pct"/>
                  <w:gridSpan w:val="7"/>
                  <w:vAlign w:val="center"/>
                </w:tcPr>
                <w:p w14:paraId="6CD74277">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厂界外500米范围内无地下水集中式饮用水水源和热水、矿泉水、温泉等特殊地下水资源</w:t>
                  </w:r>
                </w:p>
              </w:tc>
            </w:tr>
            <w:tr w14:paraId="69E2F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2" w:type="pct"/>
                  <w:gridSpan w:val="2"/>
                  <w:vAlign w:val="center"/>
                </w:tcPr>
                <w:p w14:paraId="18D3854F">
                  <w:pPr>
                    <w:pStyle w:val="159"/>
                    <w:rPr>
                      <w:rFonts w:hint="default" w:ascii="Times New Roman" w:hAnsi="Times New Roman" w:cs="Times New Roman"/>
                      <w:color w:val="auto"/>
                      <w:sz w:val="21"/>
                      <w:szCs w:val="21"/>
                    </w:rPr>
                  </w:pPr>
                  <w:r>
                    <w:rPr>
                      <w:rFonts w:hint="default" w:ascii="Times New Roman" w:hAnsi="Times New Roman" w:eastAsia="宋体" w:cs="Times New Roman"/>
                      <w:snapToGrid w:val="0"/>
                      <w:color w:val="auto"/>
                      <w:highlight w:val="none"/>
                      <w:shd w:val="clear" w:color="auto" w:fill="FFFFFF" w:themeFill="background1"/>
                      <w:lang w:val="zh-CN"/>
                    </w:rPr>
                    <w:t>土壤环境</w:t>
                  </w:r>
                </w:p>
              </w:tc>
              <w:tc>
                <w:tcPr>
                  <w:tcW w:w="1689" w:type="pct"/>
                  <w:gridSpan w:val="4"/>
                  <w:vAlign w:val="center"/>
                </w:tcPr>
                <w:p w14:paraId="14F7E42F">
                  <w:pPr>
                    <w:pStyle w:val="15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snapToGrid w:val="0"/>
                      <w:color w:val="auto"/>
                      <w:highlight w:val="none"/>
                      <w:shd w:val="clear" w:color="auto" w:fill="FFFFFF" w:themeFill="background1"/>
                      <w:lang w:val="zh-CN"/>
                    </w:rPr>
                    <w:t>项目占地范围外0.2km</w:t>
                  </w:r>
                  <w:r>
                    <w:rPr>
                      <w:rFonts w:hint="default" w:ascii="Times New Roman" w:hAnsi="Times New Roman" w:eastAsia="宋体" w:cs="Times New Roman"/>
                      <w:snapToGrid w:val="0"/>
                      <w:color w:val="auto"/>
                      <w:highlight w:val="none"/>
                      <w:shd w:val="clear" w:color="auto" w:fill="FFFFFF" w:themeFill="background1"/>
                    </w:rPr>
                    <w:t>内永久基本农田</w:t>
                  </w:r>
                </w:p>
              </w:tc>
              <w:tc>
                <w:tcPr>
                  <w:tcW w:w="532" w:type="pct"/>
                  <w:vAlign w:val="center"/>
                </w:tcPr>
                <w:p w14:paraId="08F3BF7C">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21" w:type="pct"/>
                  <w:vAlign w:val="center"/>
                </w:tcPr>
                <w:p w14:paraId="3BF5C33B">
                  <w:pPr>
                    <w:tabs>
                      <w:tab w:val="left" w:pos="1800"/>
                    </w:tabs>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335" w:type="pct"/>
                  <w:vAlign w:val="center"/>
                </w:tcPr>
                <w:p w14:paraId="7385DD77">
                  <w:pPr>
                    <w:tabs>
                      <w:tab w:val="left" w:pos="1800"/>
                    </w:tabs>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7D43B91A">
            <w:pPr>
              <w:autoSpaceDE w:val="0"/>
              <w:autoSpaceDN w:val="0"/>
              <w:snapToGrid w:val="0"/>
              <w:jc w:val="left"/>
              <w:rPr>
                <w:color w:val="auto"/>
              </w:rPr>
            </w:pPr>
          </w:p>
        </w:tc>
      </w:tr>
      <w:tr w14:paraId="467DC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2" w:hRule="atLeast"/>
          <w:jc w:val="center"/>
        </w:trPr>
        <w:tc>
          <w:tcPr>
            <w:tcW w:w="234" w:type="pct"/>
            <w:tcMar>
              <w:left w:w="28" w:type="dxa"/>
              <w:right w:w="28" w:type="dxa"/>
            </w:tcMar>
            <w:vAlign w:val="center"/>
          </w:tcPr>
          <w:p w14:paraId="7C7D8500">
            <w:pPr>
              <w:adjustRightInd w:val="0"/>
              <w:snapToGrid w:val="0"/>
              <w:jc w:val="center"/>
              <w:rPr>
                <w:b/>
                <w:bCs/>
                <w:color w:val="auto"/>
                <w:kern w:val="0"/>
                <w:sz w:val="24"/>
              </w:rPr>
            </w:pPr>
            <w:r>
              <w:rPr>
                <w:rFonts w:hAnsi="宋体"/>
                <w:b/>
                <w:bCs/>
                <w:color w:val="auto"/>
                <w:kern w:val="0"/>
                <w:sz w:val="24"/>
              </w:rPr>
              <w:t>污染</w:t>
            </w:r>
          </w:p>
          <w:p w14:paraId="20253DB6">
            <w:pPr>
              <w:adjustRightInd w:val="0"/>
              <w:snapToGrid w:val="0"/>
              <w:jc w:val="center"/>
              <w:rPr>
                <w:b/>
                <w:bCs/>
                <w:color w:val="auto"/>
                <w:kern w:val="0"/>
                <w:sz w:val="24"/>
              </w:rPr>
            </w:pPr>
            <w:r>
              <w:rPr>
                <w:rFonts w:hAnsi="宋体"/>
                <w:b/>
                <w:bCs/>
                <w:color w:val="auto"/>
                <w:kern w:val="0"/>
                <w:sz w:val="24"/>
              </w:rPr>
              <w:t>物排</w:t>
            </w:r>
          </w:p>
          <w:p w14:paraId="53E8E57A">
            <w:pPr>
              <w:adjustRightInd w:val="0"/>
              <w:snapToGrid w:val="0"/>
              <w:jc w:val="center"/>
              <w:rPr>
                <w:b/>
                <w:bCs/>
                <w:color w:val="auto"/>
                <w:kern w:val="0"/>
                <w:sz w:val="24"/>
              </w:rPr>
            </w:pPr>
            <w:r>
              <w:rPr>
                <w:rFonts w:hAnsi="宋体"/>
                <w:b/>
                <w:bCs/>
                <w:color w:val="auto"/>
                <w:kern w:val="0"/>
                <w:sz w:val="24"/>
              </w:rPr>
              <w:t>放控</w:t>
            </w:r>
          </w:p>
          <w:p w14:paraId="66E0C2F1">
            <w:pPr>
              <w:adjustRightInd w:val="0"/>
              <w:snapToGrid w:val="0"/>
              <w:jc w:val="center"/>
              <w:rPr>
                <w:b/>
                <w:bCs/>
                <w:color w:val="auto"/>
                <w:kern w:val="0"/>
                <w:sz w:val="24"/>
              </w:rPr>
            </w:pPr>
            <w:r>
              <w:rPr>
                <w:rFonts w:hAnsi="宋体"/>
                <w:b/>
                <w:bCs/>
                <w:color w:val="auto"/>
                <w:kern w:val="0"/>
                <w:sz w:val="24"/>
              </w:rPr>
              <w:t>制标</w:t>
            </w:r>
          </w:p>
          <w:p w14:paraId="2FB6A141">
            <w:pPr>
              <w:adjustRightInd w:val="0"/>
              <w:snapToGrid w:val="0"/>
              <w:jc w:val="center"/>
              <w:rPr>
                <w:b/>
                <w:bCs/>
                <w:color w:val="auto"/>
                <w:kern w:val="0"/>
                <w:sz w:val="24"/>
              </w:rPr>
            </w:pPr>
            <w:r>
              <w:rPr>
                <w:rFonts w:hAnsi="宋体"/>
                <w:b/>
                <w:bCs/>
                <w:color w:val="auto"/>
                <w:kern w:val="0"/>
                <w:sz w:val="24"/>
              </w:rPr>
              <w:t>准</w:t>
            </w:r>
          </w:p>
        </w:tc>
        <w:tc>
          <w:tcPr>
            <w:tcW w:w="4766" w:type="pct"/>
          </w:tcPr>
          <w:p w14:paraId="57B463DC">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废气</w:t>
            </w:r>
          </w:p>
          <w:p w14:paraId="360750C5">
            <w:pPr>
              <w:autoSpaceDE w:val="0"/>
              <w:autoSpaceDN w:val="0"/>
              <w:adjustRightInd w:val="0"/>
              <w:spacing w:line="360" w:lineRule="auto"/>
              <w:ind w:firstLine="480" w:firstLineChars="200"/>
              <w:rPr>
                <w:rFonts w:hint="default" w:ascii="Calibri" w:hAnsi="Calibri" w:eastAsia="宋体" w:cs="Calibri"/>
                <w:color w:val="auto"/>
                <w:sz w:val="24"/>
                <w:lang w:eastAsia="zh-CN"/>
              </w:rPr>
            </w:pPr>
            <w:r>
              <w:rPr>
                <w:rFonts w:hint="eastAsia" w:ascii="Calibri" w:hAnsi="Calibri" w:eastAsia="宋体" w:cs="Calibri"/>
                <w:color w:val="auto"/>
                <w:sz w:val="24"/>
                <w:lang w:eastAsia="zh-CN"/>
              </w:rPr>
              <w:t>①施工期</w:t>
            </w:r>
          </w:p>
          <w:p w14:paraId="12C1024C">
            <w:pPr>
              <w:autoSpaceDE w:val="0"/>
              <w:autoSpaceDN w:val="0"/>
              <w:adjustRightInd w:val="0"/>
              <w:spacing w:line="360" w:lineRule="auto"/>
              <w:ind w:firstLine="480" w:firstLineChars="200"/>
              <w:rPr>
                <w:rFonts w:hint="default" w:ascii="Calibri" w:hAnsi="Calibri" w:eastAsia="宋体" w:cs="Calibri"/>
                <w:color w:val="auto"/>
                <w:sz w:val="24"/>
                <w:lang w:eastAsia="zh-CN"/>
              </w:rPr>
            </w:pPr>
            <w:r>
              <w:rPr>
                <w:rFonts w:hint="eastAsia" w:ascii="Calibri" w:hAnsi="Calibri" w:eastAsia="宋体" w:cs="Calibri"/>
                <w:color w:val="auto"/>
                <w:sz w:val="24"/>
                <w:lang w:eastAsia="zh-CN"/>
              </w:rPr>
              <w:t>改建项目新建飞灰暂存库，涉及土建，施工期间场地扬尘应执行江苏省地方标准《施工场地扬尘排放标准》（GB32/4437-2022），具体执行标准详见表</w:t>
            </w:r>
            <w:r>
              <w:rPr>
                <w:rFonts w:hint="eastAsia" w:ascii="Calibri" w:hAnsi="Calibri" w:eastAsia="宋体" w:cs="Calibri"/>
                <w:color w:val="auto"/>
                <w:sz w:val="24"/>
                <w:lang w:val="en-US" w:eastAsia="zh-CN"/>
              </w:rPr>
              <w:t>6-4</w:t>
            </w:r>
            <w:r>
              <w:rPr>
                <w:rFonts w:hint="eastAsia" w:ascii="Calibri" w:hAnsi="Calibri" w:eastAsia="宋体" w:cs="Calibri"/>
                <w:color w:val="auto"/>
                <w:sz w:val="24"/>
                <w:lang w:eastAsia="zh-CN"/>
              </w:rPr>
              <w:t>。</w:t>
            </w:r>
          </w:p>
          <w:p w14:paraId="64EBBC34">
            <w:pPr>
              <w:pStyle w:val="9"/>
              <w:spacing w:before="120"/>
              <w:ind w:left="960" w:hanging="480"/>
              <w:rPr>
                <w:rFonts w:ascii="Times New Roman" w:hAnsi="Times New Roman" w:eastAsia="宋体" w:cs="Times New Roman"/>
                <w:color w:val="auto"/>
              </w:rPr>
            </w:pPr>
            <w:r>
              <w:rPr>
                <w:rFonts w:hint="eastAsia" w:ascii="Times New Roman" w:hAnsi="Times New Roman" w:eastAsia="宋体" w:cs="Times New Roman"/>
                <w:color w:val="auto"/>
              </w:rPr>
              <w:t>表</w:t>
            </w:r>
            <w:r>
              <w:rPr>
                <w:rFonts w:hint="eastAsia" w:ascii="Times New Roman" w:hAnsi="Times New Roman" w:eastAsia="宋体" w:cs="Times New Roman"/>
                <w:color w:val="auto"/>
                <w:lang w:val="en-US" w:eastAsia="zh-CN"/>
              </w:rPr>
              <w:t>3-4</w:t>
            </w:r>
            <w:r>
              <w:rPr>
                <w:rFonts w:hint="eastAsia" w:ascii="Times New Roman" w:hAnsi="Times New Roman" w:eastAsia="宋体" w:cs="Times New Roman"/>
                <w:color w:val="auto"/>
              </w:rPr>
              <w:t xml:space="preserve">  施工场地扬尘排放浓度限值</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1612"/>
              <w:gridCol w:w="6809"/>
            </w:tblGrid>
            <w:tr w14:paraId="31662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57" w:type="pct"/>
                  <w:vAlign w:val="center"/>
                </w:tcPr>
                <w:p w14:paraId="3A0B0CC5">
                  <w:pPr>
                    <w:adjustRightInd w:val="0"/>
                    <w:snapToGrid w:val="0"/>
                    <w:spacing w:line="240" w:lineRule="auto"/>
                    <w:ind w:firstLine="0" w:firstLineChars="0"/>
                    <w:jc w:val="center"/>
                    <w:rPr>
                      <w:b/>
                      <w:color w:val="auto"/>
                      <w:sz w:val="21"/>
                      <w:szCs w:val="21"/>
                    </w:rPr>
                  </w:pPr>
                  <w:r>
                    <w:rPr>
                      <w:rFonts w:hint="eastAsia"/>
                      <w:b/>
                      <w:color w:val="auto"/>
                      <w:sz w:val="21"/>
                      <w:szCs w:val="21"/>
                    </w:rPr>
                    <w:t>监测项目</w:t>
                  </w:r>
                </w:p>
              </w:tc>
              <w:tc>
                <w:tcPr>
                  <w:tcW w:w="4043" w:type="pct"/>
                  <w:vAlign w:val="center"/>
                </w:tcPr>
                <w:p w14:paraId="55E44B0F">
                  <w:pPr>
                    <w:adjustRightInd w:val="0"/>
                    <w:snapToGrid w:val="0"/>
                    <w:spacing w:line="240" w:lineRule="auto"/>
                    <w:ind w:firstLine="0" w:firstLineChars="0"/>
                    <w:jc w:val="center"/>
                    <w:rPr>
                      <w:b/>
                      <w:color w:val="auto"/>
                      <w:sz w:val="21"/>
                      <w:szCs w:val="21"/>
                    </w:rPr>
                  </w:pPr>
                  <w:r>
                    <w:rPr>
                      <w:rFonts w:hint="eastAsia"/>
                      <w:b/>
                      <w:color w:val="auto"/>
                      <w:sz w:val="21"/>
                      <w:szCs w:val="21"/>
                    </w:rPr>
                    <w:t>浓度限值/（</w:t>
                  </w:r>
                  <w:r>
                    <w:rPr>
                      <w:rFonts w:hint="default" w:ascii="Times New Roman" w:hAnsi="Times New Roman" w:eastAsia="宋体" w:cs="Times New Roman"/>
                      <w:b/>
                      <w:color w:val="auto"/>
                      <w:szCs w:val="21"/>
                    </w:rPr>
                    <w:t>μ</w:t>
                  </w:r>
                  <w:r>
                    <w:rPr>
                      <w:rFonts w:hint="eastAsia" w:ascii="Times New Roman" w:hAnsi="Times New Roman" w:eastAsia="宋体" w:cs="Times New Roman"/>
                      <w:b/>
                      <w:color w:val="auto"/>
                      <w:szCs w:val="21"/>
                    </w:rPr>
                    <w:t>g/m</w:t>
                  </w:r>
                  <w:r>
                    <w:rPr>
                      <w:rFonts w:hint="eastAsia" w:ascii="Times New Roman" w:hAnsi="Times New Roman" w:eastAsia="宋体" w:cs="Times New Roman"/>
                      <w:b/>
                      <w:color w:val="auto"/>
                      <w:szCs w:val="21"/>
                      <w:vertAlign w:val="superscript"/>
                    </w:rPr>
                    <w:t>3</w:t>
                  </w:r>
                  <w:r>
                    <w:rPr>
                      <w:rFonts w:hint="eastAsia"/>
                      <w:b/>
                      <w:color w:val="auto"/>
                      <w:sz w:val="21"/>
                      <w:szCs w:val="21"/>
                    </w:rPr>
                    <w:t>）</w:t>
                  </w:r>
                </w:p>
              </w:tc>
            </w:tr>
            <w:tr w14:paraId="0F4CB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57" w:type="pct"/>
                  <w:vAlign w:val="center"/>
                </w:tcPr>
                <w:p w14:paraId="7F52053C">
                  <w:pPr>
                    <w:adjustRightInd w:val="0"/>
                    <w:snapToGrid w:val="0"/>
                    <w:spacing w:line="240" w:lineRule="auto"/>
                    <w:ind w:firstLine="0" w:firstLineChars="0"/>
                    <w:jc w:val="center"/>
                    <w:rPr>
                      <w:b/>
                      <w:color w:val="auto"/>
                      <w:sz w:val="21"/>
                      <w:szCs w:val="21"/>
                    </w:rPr>
                  </w:pPr>
                  <w:r>
                    <w:rPr>
                      <w:rFonts w:hint="eastAsia"/>
                      <w:color w:val="auto"/>
                      <w:sz w:val="21"/>
                      <w:szCs w:val="21"/>
                    </w:rPr>
                    <w:t>TSP</w:t>
                  </w:r>
                </w:p>
              </w:tc>
              <w:tc>
                <w:tcPr>
                  <w:tcW w:w="4043" w:type="pct"/>
                  <w:vAlign w:val="center"/>
                </w:tcPr>
                <w:p w14:paraId="3403CAE4">
                  <w:pPr>
                    <w:adjustRightInd w:val="0"/>
                    <w:snapToGrid w:val="0"/>
                    <w:spacing w:line="240" w:lineRule="auto"/>
                    <w:ind w:firstLine="0" w:firstLineChars="0"/>
                    <w:jc w:val="center"/>
                    <w:rPr>
                      <w:color w:val="auto"/>
                      <w:sz w:val="21"/>
                      <w:szCs w:val="21"/>
                    </w:rPr>
                  </w:pPr>
                  <w:r>
                    <w:rPr>
                      <w:rFonts w:hint="eastAsia"/>
                      <w:color w:val="auto"/>
                      <w:sz w:val="21"/>
                      <w:szCs w:val="21"/>
                    </w:rPr>
                    <w:t>500</w:t>
                  </w:r>
                </w:p>
              </w:tc>
            </w:tr>
            <w:tr w14:paraId="7DE68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957" w:type="pct"/>
                  <w:vAlign w:val="center"/>
                </w:tcPr>
                <w:p w14:paraId="45F3205B">
                  <w:pPr>
                    <w:adjustRightInd w:val="0"/>
                    <w:snapToGrid w:val="0"/>
                    <w:spacing w:line="240" w:lineRule="auto"/>
                    <w:ind w:firstLine="0" w:firstLineChars="0"/>
                    <w:jc w:val="center"/>
                    <w:rPr>
                      <w:b/>
                      <w:color w:val="auto"/>
                      <w:sz w:val="21"/>
                      <w:szCs w:val="21"/>
                    </w:rPr>
                  </w:pPr>
                  <w:r>
                    <w:rPr>
                      <w:rFonts w:hint="eastAsia"/>
                      <w:color w:val="auto"/>
                      <w:sz w:val="21"/>
                      <w:szCs w:val="21"/>
                    </w:rPr>
                    <w:t>PM</w:t>
                  </w:r>
                  <w:r>
                    <w:rPr>
                      <w:rFonts w:hint="eastAsia"/>
                      <w:color w:val="auto"/>
                      <w:sz w:val="21"/>
                      <w:szCs w:val="21"/>
                      <w:vertAlign w:val="subscript"/>
                    </w:rPr>
                    <w:t>10</w:t>
                  </w:r>
                </w:p>
              </w:tc>
              <w:tc>
                <w:tcPr>
                  <w:tcW w:w="4043" w:type="pct"/>
                  <w:vAlign w:val="center"/>
                </w:tcPr>
                <w:p w14:paraId="3DE4C735">
                  <w:pPr>
                    <w:adjustRightInd w:val="0"/>
                    <w:snapToGrid w:val="0"/>
                    <w:spacing w:line="240" w:lineRule="auto"/>
                    <w:ind w:firstLine="0" w:firstLineChars="0"/>
                    <w:jc w:val="center"/>
                    <w:rPr>
                      <w:color w:val="auto"/>
                      <w:sz w:val="21"/>
                      <w:szCs w:val="21"/>
                    </w:rPr>
                  </w:pPr>
                  <w:r>
                    <w:rPr>
                      <w:rFonts w:hint="eastAsia"/>
                      <w:color w:val="auto"/>
                      <w:sz w:val="21"/>
                      <w:szCs w:val="21"/>
                    </w:rPr>
                    <w:t>80</w:t>
                  </w:r>
                </w:p>
              </w:tc>
            </w:tr>
            <w:tr w14:paraId="5E4C2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5000" w:type="pct"/>
                  <w:gridSpan w:val="2"/>
                  <w:vAlign w:val="center"/>
                </w:tcPr>
                <w:p w14:paraId="6B0A280B">
                  <w:pPr>
                    <w:adjustRightInd w:val="0"/>
                    <w:snapToGrid w:val="0"/>
                    <w:spacing w:line="240" w:lineRule="auto"/>
                    <w:ind w:firstLine="0" w:firstLineChars="0"/>
                    <w:rPr>
                      <w:color w:val="auto"/>
                      <w:sz w:val="21"/>
                      <w:szCs w:val="21"/>
                    </w:rPr>
                  </w:pPr>
                  <w:r>
                    <w:rPr>
                      <w:rFonts w:hint="eastAsia"/>
                      <w:color w:val="auto"/>
                      <w:sz w:val="21"/>
                      <w:szCs w:val="21"/>
                    </w:rPr>
                    <w:t>a任一监控点</w:t>
                  </w:r>
                  <w:r>
                    <w:rPr>
                      <w:rFonts w:hint="eastAsia"/>
                      <w:color w:val="auto"/>
                      <w:sz w:val="21"/>
                      <w:szCs w:val="21"/>
                      <w:lang w:eastAsia="zh-CN"/>
                    </w:rPr>
                    <w:t>（</w:t>
                  </w:r>
                  <w:r>
                    <w:rPr>
                      <w:rFonts w:hint="eastAsia"/>
                      <w:color w:val="auto"/>
                      <w:sz w:val="21"/>
                      <w:szCs w:val="21"/>
                    </w:rPr>
                    <w:t>TSP自动监测</w:t>
                  </w:r>
                  <w:r>
                    <w:rPr>
                      <w:rFonts w:hint="eastAsia"/>
                      <w:color w:val="auto"/>
                      <w:sz w:val="21"/>
                      <w:szCs w:val="21"/>
                      <w:lang w:eastAsia="zh-CN"/>
                    </w:rPr>
                    <w:t>）</w:t>
                  </w:r>
                  <w:r>
                    <w:rPr>
                      <w:rFonts w:hint="eastAsia"/>
                      <w:color w:val="auto"/>
                      <w:sz w:val="21"/>
                      <w:szCs w:val="21"/>
                    </w:rPr>
                    <w:t>自整时起依次顺延15min的总悬浮颗粒物浓度平均值不应</w:t>
                  </w:r>
                  <w:r>
                    <w:rPr>
                      <w:rFonts w:hint="eastAsia"/>
                      <w:color w:val="auto"/>
                      <w:sz w:val="21"/>
                      <w:szCs w:val="21"/>
                      <w:lang w:eastAsia="zh-CN"/>
                    </w:rPr>
                    <w:t>超过</w:t>
                  </w:r>
                  <w:r>
                    <w:rPr>
                      <w:rFonts w:hint="eastAsia"/>
                      <w:color w:val="auto"/>
                      <w:sz w:val="21"/>
                      <w:szCs w:val="21"/>
                    </w:rPr>
                    <w:t>限值。根据H]633判定设区市AQI在200~300之间且首要污染物为PM</w:t>
                  </w:r>
                  <w:r>
                    <w:rPr>
                      <w:rFonts w:hint="eastAsia"/>
                      <w:color w:val="auto"/>
                      <w:sz w:val="21"/>
                      <w:szCs w:val="21"/>
                      <w:vertAlign w:val="subscript"/>
                    </w:rPr>
                    <w:t>10</w:t>
                  </w:r>
                  <w:r>
                    <w:rPr>
                      <w:rFonts w:hint="eastAsia"/>
                      <w:color w:val="auto"/>
                      <w:sz w:val="21"/>
                      <w:szCs w:val="21"/>
                    </w:rPr>
                    <w:t>或PM</w:t>
                  </w:r>
                  <w:r>
                    <w:rPr>
                      <w:rFonts w:hint="eastAsia"/>
                      <w:color w:val="auto"/>
                      <w:sz w:val="21"/>
                      <w:szCs w:val="21"/>
                      <w:vertAlign w:val="subscript"/>
                    </w:rPr>
                    <w:t>2.5</w:t>
                  </w:r>
                  <w:r>
                    <w:rPr>
                      <w:rFonts w:hint="eastAsia"/>
                      <w:color w:val="auto"/>
                      <w:sz w:val="21"/>
                      <w:szCs w:val="21"/>
                    </w:rPr>
                    <w:t>时，TSP实测值扣除200μg/m</w:t>
                  </w:r>
                  <w:r>
                    <w:rPr>
                      <w:rFonts w:hint="eastAsia"/>
                      <w:color w:val="auto"/>
                      <w:sz w:val="21"/>
                      <w:szCs w:val="21"/>
                      <w:vertAlign w:val="superscript"/>
                    </w:rPr>
                    <w:t>3</w:t>
                  </w:r>
                  <w:r>
                    <w:rPr>
                      <w:rFonts w:hint="eastAsia"/>
                      <w:color w:val="auto"/>
                      <w:sz w:val="21"/>
                      <w:szCs w:val="21"/>
                    </w:rPr>
                    <w:t>后再进行评价。</w:t>
                  </w:r>
                </w:p>
                <w:p w14:paraId="63F477C5">
                  <w:pPr>
                    <w:adjustRightInd w:val="0"/>
                    <w:snapToGrid w:val="0"/>
                    <w:spacing w:line="240" w:lineRule="auto"/>
                    <w:ind w:firstLine="0" w:firstLineChars="0"/>
                    <w:rPr>
                      <w:color w:val="auto"/>
                      <w:sz w:val="21"/>
                      <w:szCs w:val="21"/>
                    </w:rPr>
                  </w:pPr>
                  <w:r>
                    <w:rPr>
                      <w:rFonts w:hint="eastAsia"/>
                      <w:color w:val="auto"/>
                      <w:sz w:val="21"/>
                      <w:szCs w:val="21"/>
                    </w:rPr>
                    <w:t>b任一监控点</w:t>
                  </w:r>
                  <w:r>
                    <w:rPr>
                      <w:rFonts w:hint="eastAsia"/>
                      <w:color w:val="auto"/>
                      <w:sz w:val="21"/>
                      <w:szCs w:val="21"/>
                      <w:lang w:eastAsia="zh-CN"/>
                    </w:rPr>
                    <w:t>（</w:t>
                  </w:r>
                  <w:r>
                    <w:rPr>
                      <w:rFonts w:hint="eastAsia"/>
                      <w:color w:val="auto"/>
                      <w:sz w:val="21"/>
                      <w:szCs w:val="21"/>
                    </w:rPr>
                    <w:t>PM</w:t>
                  </w:r>
                  <w:r>
                    <w:rPr>
                      <w:rFonts w:hint="eastAsia"/>
                      <w:color w:val="auto"/>
                      <w:sz w:val="21"/>
                      <w:szCs w:val="21"/>
                      <w:vertAlign w:val="subscript"/>
                    </w:rPr>
                    <w:t>10</w:t>
                  </w:r>
                  <w:r>
                    <w:rPr>
                      <w:rFonts w:hint="eastAsia"/>
                      <w:color w:val="auto"/>
                      <w:sz w:val="21"/>
                      <w:szCs w:val="21"/>
                    </w:rPr>
                    <w:t>自动监测</w:t>
                  </w:r>
                  <w:r>
                    <w:rPr>
                      <w:rFonts w:hint="eastAsia"/>
                      <w:color w:val="auto"/>
                      <w:sz w:val="21"/>
                      <w:szCs w:val="21"/>
                      <w:lang w:eastAsia="zh-CN"/>
                    </w:rPr>
                    <w:t>）</w:t>
                  </w:r>
                  <w:r>
                    <w:rPr>
                      <w:rFonts w:hint="eastAsia"/>
                      <w:color w:val="auto"/>
                      <w:sz w:val="21"/>
                      <w:szCs w:val="21"/>
                    </w:rPr>
                    <w:t>自整时起依次顺延1h的PM</w:t>
                  </w:r>
                  <w:r>
                    <w:rPr>
                      <w:rFonts w:hint="eastAsia"/>
                      <w:color w:val="auto"/>
                      <w:sz w:val="21"/>
                      <w:szCs w:val="21"/>
                      <w:vertAlign w:val="subscript"/>
                    </w:rPr>
                    <w:t>10</w:t>
                  </w:r>
                  <w:r>
                    <w:rPr>
                      <w:rFonts w:hint="eastAsia"/>
                      <w:color w:val="auto"/>
                      <w:sz w:val="21"/>
                      <w:szCs w:val="21"/>
                    </w:rPr>
                    <w:t>浓度平均值与同时段所属设区市PM</w:t>
                  </w:r>
                  <w:r>
                    <w:rPr>
                      <w:rFonts w:hint="eastAsia"/>
                      <w:color w:val="auto"/>
                      <w:sz w:val="21"/>
                      <w:szCs w:val="21"/>
                      <w:vertAlign w:val="subscript"/>
                    </w:rPr>
                    <w:t>10</w:t>
                  </w:r>
                  <w:r>
                    <w:rPr>
                      <w:rFonts w:hint="eastAsia"/>
                      <w:color w:val="auto"/>
                      <w:sz w:val="21"/>
                      <w:szCs w:val="21"/>
                    </w:rPr>
                    <w:t>小时平均浓度的差值不应</w:t>
                  </w:r>
                  <w:r>
                    <w:rPr>
                      <w:rFonts w:hint="eastAsia"/>
                      <w:color w:val="auto"/>
                      <w:sz w:val="21"/>
                      <w:szCs w:val="21"/>
                      <w:lang w:eastAsia="zh-CN"/>
                    </w:rPr>
                    <w:t>超过</w:t>
                  </w:r>
                  <w:r>
                    <w:rPr>
                      <w:rFonts w:hint="eastAsia"/>
                      <w:color w:val="auto"/>
                      <w:sz w:val="21"/>
                      <w:szCs w:val="21"/>
                    </w:rPr>
                    <w:t>限值。</w:t>
                  </w:r>
                </w:p>
              </w:tc>
            </w:tr>
          </w:tbl>
          <w:p w14:paraId="5814882E">
            <w:pPr>
              <w:autoSpaceDE w:val="0"/>
              <w:autoSpaceDN w:val="0"/>
              <w:adjustRightInd w:val="0"/>
              <w:spacing w:line="360" w:lineRule="auto"/>
              <w:ind w:firstLine="480" w:firstLineChars="200"/>
              <w:rPr>
                <w:rFonts w:hint="eastAsia" w:eastAsia="宋体"/>
                <w:color w:val="auto"/>
                <w:sz w:val="24"/>
                <w:lang w:val="en-US" w:eastAsia="zh-CN"/>
              </w:rPr>
            </w:pPr>
            <w:r>
              <w:rPr>
                <w:rFonts w:hint="default" w:ascii="Calibri" w:hAnsi="Calibri" w:cs="Calibri"/>
                <w:color w:val="auto"/>
                <w:sz w:val="24"/>
                <w:lang w:eastAsia="zh-CN"/>
              </w:rPr>
              <w:t>②</w:t>
            </w:r>
            <w:r>
              <w:rPr>
                <w:rFonts w:hint="eastAsia" w:ascii="Calibri" w:hAnsi="Calibri" w:cs="Calibri"/>
                <w:color w:val="auto"/>
                <w:sz w:val="24"/>
                <w:lang w:eastAsia="zh-CN"/>
              </w:rPr>
              <w:t>营运期</w:t>
            </w:r>
          </w:p>
          <w:p w14:paraId="53759FA1">
            <w:pPr>
              <w:autoSpaceDE w:val="0"/>
              <w:autoSpaceDN w:val="0"/>
              <w:adjustRightInd w:val="0"/>
              <w:spacing w:line="360" w:lineRule="auto"/>
              <w:ind w:firstLine="480" w:firstLineChars="200"/>
              <w:rPr>
                <w:color w:val="auto"/>
                <w:sz w:val="24"/>
              </w:rPr>
            </w:pPr>
            <w:r>
              <w:rPr>
                <w:rFonts w:hint="eastAsia"/>
                <w:color w:val="auto"/>
                <w:sz w:val="24"/>
                <w:lang w:eastAsia="zh-CN"/>
              </w:rPr>
              <w:t>改建</w:t>
            </w:r>
            <w:r>
              <w:rPr>
                <w:color w:val="auto"/>
                <w:sz w:val="24"/>
              </w:rPr>
              <w:t>项目</w:t>
            </w:r>
            <w:r>
              <w:rPr>
                <w:rFonts w:hint="eastAsia"/>
                <w:color w:val="auto"/>
                <w:sz w:val="24"/>
                <w:lang w:eastAsia="zh-CN"/>
              </w:rPr>
              <w:t>飞灰暂存仓库有</w:t>
            </w:r>
            <w:r>
              <w:rPr>
                <w:color w:val="auto"/>
                <w:sz w:val="24"/>
              </w:rPr>
              <w:t>组织氨、</w:t>
            </w:r>
            <w:r>
              <w:rPr>
                <w:rFonts w:hint="eastAsia"/>
                <w:color w:val="auto"/>
                <w:sz w:val="24"/>
                <w:lang w:eastAsia="zh-CN"/>
              </w:rPr>
              <w:t>臭气</w:t>
            </w:r>
            <w:r>
              <w:rPr>
                <w:color w:val="auto"/>
                <w:sz w:val="24"/>
              </w:rPr>
              <w:t>浓度排放执行《恶臭污染物排放标准》（GB14554-93）中</w:t>
            </w:r>
            <w:r>
              <w:rPr>
                <w:rFonts w:hint="eastAsia"/>
                <w:color w:val="auto"/>
                <w:sz w:val="24"/>
              </w:rPr>
              <w:t>表</w:t>
            </w:r>
            <w:r>
              <w:rPr>
                <w:rFonts w:hint="eastAsia"/>
                <w:color w:val="auto"/>
                <w:sz w:val="24"/>
                <w:lang w:val="en-US" w:eastAsia="zh-CN"/>
              </w:rPr>
              <w:t>2标准，无组织排放的</w:t>
            </w:r>
            <w:r>
              <w:rPr>
                <w:color w:val="auto"/>
                <w:sz w:val="24"/>
              </w:rPr>
              <w:t>氨、</w:t>
            </w:r>
            <w:r>
              <w:rPr>
                <w:rFonts w:hint="eastAsia"/>
                <w:color w:val="auto"/>
                <w:sz w:val="24"/>
                <w:lang w:eastAsia="zh-CN"/>
              </w:rPr>
              <w:t>臭气</w:t>
            </w:r>
            <w:r>
              <w:rPr>
                <w:color w:val="auto"/>
                <w:sz w:val="24"/>
              </w:rPr>
              <w:t>浓度排放执行《恶臭污染物排放标准》（GB14554-93）中</w:t>
            </w:r>
            <w:r>
              <w:rPr>
                <w:rFonts w:hint="eastAsia"/>
                <w:color w:val="auto"/>
                <w:sz w:val="24"/>
                <w:lang w:eastAsia="zh-CN"/>
              </w:rPr>
              <w:t>表</w:t>
            </w:r>
            <w:r>
              <w:rPr>
                <w:rFonts w:hint="eastAsia"/>
                <w:color w:val="auto"/>
                <w:sz w:val="24"/>
                <w:lang w:val="en-US" w:eastAsia="zh-CN"/>
              </w:rPr>
              <w:t>1二级新扩改建标准，</w:t>
            </w:r>
            <w:r>
              <w:rPr>
                <w:rFonts w:hint="eastAsia"/>
                <w:color w:val="auto"/>
                <w:sz w:val="24"/>
              </w:rPr>
              <w:t>恶臭污染物</w:t>
            </w:r>
            <w:r>
              <w:rPr>
                <w:color w:val="auto"/>
                <w:sz w:val="24"/>
              </w:rPr>
              <w:t>厂界标准值中的二级（新扩改建）排放标准，具体详见表3-</w:t>
            </w:r>
            <w:r>
              <w:rPr>
                <w:rFonts w:hint="eastAsia"/>
                <w:color w:val="auto"/>
                <w:sz w:val="24"/>
                <w:lang w:val="en-US" w:eastAsia="zh-CN"/>
              </w:rPr>
              <w:t>5</w:t>
            </w:r>
            <w:r>
              <w:rPr>
                <w:color w:val="auto"/>
                <w:sz w:val="24"/>
              </w:rPr>
              <w:t>。</w:t>
            </w:r>
          </w:p>
          <w:p w14:paraId="73C632B9">
            <w:pPr>
              <w:pStyle w:val="9"/>
              <w:spacing w:before="120"/>
              <w:ind w:left="960" w:hanging="480"/>
              <w:rPr>
                <w:rFonts w:eastAsia="宋体"/>
                <w:color w:val="auto"/>
              </w:rPr>
            </w:pPr>
            <w:r>
              <w:rPr>
                <w:rFonts w:eastAsia="宋体"/>
                <w:color w:val="auto"/>
              </w:rPr>
              <w:t>表3-</w:t>
            </w:r>
            <w:r>
              <w:rPr>
                <w:rFonts w:hint="eastAsia" w:eastAsia="宋体"/>
                <w:color w:val="auto"/>
                <w:lang w:val="en-US" w:eastAsia="zh-CN"/>
              </w:rPr>
              <w:t>5</w:t>
            </w:r>
            <w:r>
              <w:rPr>
                <w:rFonts w:eastAsia="宋体"/>
                <w:color w:val="auto"/>
              </w:rPr>
              <w:t xml:space="preserve"> 恶臭污染物厂界标准限值</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02"/>
              <w:gridCol w:w="5577"/>
            </w:tblGrid>
            <w:tr w14:paraId="2641E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tcBorders>
                    <w:top w:val="single" w:color="auto" w:sz="12" w:space="0"/>
                    <w:bottom w:val="single" w:color="auto" w:sz="12" w:space="0"/>
                  </w:tcBorders>
                  <w:noWrap/>
                  <w:vAlign w:val="center"/>
                </w:tcPr>
                <w:p w14:paraId="116953AB">
                  <w:pPr>
                    <w:jc w:val="center"/>
                    <w:rPr>
                      <w:b/>
                      <w:bCs/>
                      <w:color w:val="auto"/>
                      <w:szCs w:val="21"/>
                    </w:rPr>
                  </w:pPr>
                  <w:r>
                    <w:rPr>
                      <w:rFonts w:hint="eastAsia"/>
                      <w:b/>
                      <w:bCs/>
                      <w:color w:val="auto"/>
                      <w:szCs w:val="21"/>
                    </w:rPr>
                    <w:t>污染物名称</w:t>
                  </w:r>
                </w:p>
              </w:tc>
              <w:tc>
                <w:tcPr>
                  <w:tcW w:w="951" w:type="pct"/>
                  <w:tcBorders>
                    <w:top w:val="single" w:color="auto" w:sz="12" w:space="0"/>
                    <w:bottom w:val="single" w:color="auto" w:sz="12" w:space="0"/>
                  </w:tcBorders>
                  <w:vAlign w:val="center"/>
                </w:tcPr>
                <w:p w14:paraId="0934DDC3">
                  <w:pPr>
                    <w:jc w:val="center"/>
                    <w:rPr>
                      <w:b/>
                      <w:bCs/>
                      <w:color w:val="auto"/>
                      <w:szCs w:val="21"/>
                    </w:rPr>
                  </w:pPr>
                  <w:r>
                    <w:rPr>
                      <w:rFonts w:hint="eastAsia"/>
                      <w:b/>
                      <w:bCs/>
                      <w:color w:val="auto"/>
                      <w:szCs w:val="21"/>
                    </w:rPr>
                    <w:t>二级新改</w:t>
                  </w:r>
                  <w:r>
                    <w:rPr>
                      <w:rFonts w:hint="eastAsia"/>
                      <w:b/>
                      <w:bCs/>
                      <w:color w:val="auto"/>
                      <w:szCs w:val="21"/>
                      <w:lang w:eastAsia="zh-CN"/>
                    </w:rPr>
                    <w:t>扩建</w:t>
                  </w:r>
                  <w:r>
                    <w:rPr>
                      <w:rFonts w:hint="eastAsia"/>
                      <w:b/>
                      <w:bCs/>
                      <w:color w:val="auto"/>
                      <w:szCs w:val="21"/>
                    </w:rPr>
                    <w:t>排放标准（</w:t>
                  </w:r>
                  <w:r>
                    <w:rPr>
                      <w:b/>
                      <w:color w:val="auto"/>
                      <w:szCs w:val="21"/>
                    </w:rPr>
                    <w:t>mg/m</w:t>
                  </w:r>
                  <w:r>
                    <w:rPr>
                      <w:b/>
                      <w:color w:val="auto"/>
                      <w:szCs w:val="21"/>
                      <w:vertAlign w:val="superscript"/>
                    </w:rPr>
                    <w:t>3</w:t>
                  </w:r>
                  <w:r>
                    <w:rPr>
                      <w:rFonts w:hint="eastAsia"/>
                      <w:b/>
                      <w:bCs/>
                      <w:color w:val="auto"/>
                      <w:szCs w:val="21"/>
                    </w:rPr>
                    <w:t>）</w:t>
                  </w:r>
                </w:p>
              </w:tc>
              <w:tc>
                <w:tcPr>
                  <w:tcW w:w="3310" w:type="pct"/>
                  <w:tcBorders>
                    <w:top w:val="single" w:color="auto" w:sz="12" w:space="0"/>
                    <w:bottom w:val="single" w:color="auto" w:sz="12" w:space="0"/>
                  </w:tcBorders>
                  <w:noWrap/>
                  <w:vAlign w:val="center"/>
                </w:tcPr>
                <w:p w14:paraId="58A61DBF">
                  <w:pPr>
                    <w:jc w:val="center"/>
                    <w:rPr>
                      <w:b/>
                      <w:bCs/>
                      <w:color w:val="auto"/>
                      <w:szCs w:val="21"/>
                    </w:rPr>
                  </w:pPr>
                  <w:r>
                    <w:rPr>
                      <w:rFonts w:hint="eastAsia"/>
                      <w:b/>
                      <w:bCs/>
                      <w:color w:val="auto"/>
                      <w:szCs w:val="21"/>
                    </w:rPr>
                    <w:t>标准来源</w:t>
                  </w:r>
                </w:p>
              </w:tc>
            </w:tr>
            <w:tr w14:paraId="00DD4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tcBorders>
                    <w:top w:val="single" w:color="auto" w:sz="12" w:space="0"/>
                  </w:tcBorders>
                  <w:noWrap/>
                  <w:vAlign w:val="center"/>
                </w:tcPr>
                <w:p w14:paraId="6FA99E82">
                  <w:pPr>
                    <w:jc w:val="center"/>
                    <w:rPr>
                      <w:color w:val="auto"/>
                      <w:szCs w:val="21"/>
                    </w:rPr>
                  </w:pPr>
                  <w:r>
                    <w:rPr>
                      <w:rFonts w:hint="eastAsia"/>
                      <w:color w:val="auto"/>
                      <w:szCs w:val="21"/>
                    </w:rPr>
                    <w:t>氨</w:t>
                  </w:r>
                </w:p>
              </w:tc>
              <w:tc>
                <w:tcPr>
                  <w:tcW w:w="951" w:type="pct"/>
                  <w:tcBorders>
                    <w:top w:val="single" w:color="auto" w:sz="12" w:space="0"/>
                  </w:tcBorders>
                  <w:vAlign w:val="center"/>
                </w:tcPr>
                <w:p w14:paraId="13C93380">
                  <w:pPr>
                    <w:jc w:val="center"/>
                    <w:rPr>
                      <w:rFonts w:hint="default" w:eastAsia="宋体"/>
                      <w:color w:val="auto"/>
                      <w:szCs w:val="21"/>
                      <w:lang w:val="en-US" w:eastAsia="zh-CN"/>
                    </w:rPr>
                  </w:pPr>
                  <w:r>
                    <w:rPr>
                      <w:rFonts w:hint="eastAsia"/>
                      <w:color w:val="auto"/>
                      <w:szCs w:val="21"/>
                      <w:lang w:val="en-US" w:eastAsia="zh-CN"/>
                    </w:rPr>
                    <w:t>4.9</w:t>
                  </w:r>
                </w:p>
              </w:tc>
              <w:tc>
                <w:tcPr>
                  <w:tcW w:w="3310" w:type="pct"/>
                  <w:vMerge w:val="restart"/>
                  <w:tcBorders>
                    <w:top w:val="single" w:color="auto" w:sz="12" w:space="0"/>
                  </w:tcBorders>
                  <w:noWrap/>
                  <w:vAlign w:val="center"/>
                </w:tcPr>
                <w:p w14:paraId="717AFDED">
                  <w:pPr>
                    <w:jc w:val="center"/>
                    <w:rPr>
                      <w:color w:val="auto"/>
                      <w:szCs w:val="21"/>
                    </w:rPr>
                  </w:pPr>
                  <w:r>
                    <w:rPr>
                      <w:color w:val="auto"/>
                      <w:szCs w:val="21"/>
                    </w:rPr>
                    <w:t>《恶臭污染物排放标准》（GB14554-93）</w:t>
                  </w:r>
                  <w:r>
                    <w:rPr>
                      <w:rFonts w:hint="eastAsia"/>
                      <w:color w:val="auto"/>
                      <w:szCs w:val="21"/>
                    </w:rPr>
                    <w:t>表</w:t>
                  </w:r>
                  <w:r>
                    <w:rPr>
                      <w:rFonts w:hint="eastAsia"/>
                      <w:color w:val="auto"/>
                      <w:szCs w:val="21"/>
                      <w:lang w:val="en-US" w:eastAsia="zh-CN"/>
                    </w:rPr>
                    <w:t>2</w:t>
                  </w:r>
                  <w:r>
                    <w:rPr>
                      <w:rFonts w:hint="eastAsia"/>
                      <w:color w:val="auto"/>
                      <w:szCs w:val="21"/>
                    </w:rPr>
                    <w:t>标准</w:t>
                  </w:r>
                </w:p>
              </w:tc>
            </w:tr>
            <w:tr w14:paraId="54867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noWrap/>
                  <w:vAlign w:val="center"/>
                </w:tcPr>
                <w:p w14:paraId="29F39C0E">
                  <w:pPr>
                    <w:jc w:val="center"/>
                    <w:rPr>
                      <w:rFonts w:hint="eastAsia" w:eastAsia="宋体"/>
                      <w:color w:val="auto"/>
                      <w:szCs w:val="21"/>
                      <w:lang w:eastAsia="zh-CN"/>
                    </w:rPr>
                  </w:pPr>
                  <w:r>
                    <w:rPr>
                      <w:rFonts w:hint="eastAsia"/>
                      <w:color w:val="auto"/>
                      <w:szCs w:val="21"/>
                      <w:lang w:eastAsia="zh-CN"/>
                    </w:rPr>
                    <w:t>臭气浓度</w:t>
                  </w:r>
                </w:p>
              </w:tc>
              <w:tc>
                <w:tcPr>
                  <w:tcW w:w="951" w:type="pct"/>
                  <w:vAlign w:val="center"/>
                </w:tcPr>
                <w:p w14:paraId="4DDD3017">
                  <w:pPr>
                    <w:jc w:val="center"/>
                    <w:rPr>
                      <w:rFonts w:hint="default" w:eastAsia="宋体"/>
                      <w:color w:val="auto"/>
                      <w:szCs w:val="21"/>
                      <w:lang w:val="en-US" w:eastAsia="zh-CN"/>
                    </w:rPr>
                  </w:pPr>
                  <w:r>
                    <w:rPr>
                      <w:rFonts w:hint="eastAsia"/>
                      <w:color w:val="auto"/>
                      <w:szCs w:val="21"/>
                      <w:lang w:val="en-US" w:eastAsia="zh-CN"/>
                    </w:rPr>
                    <w:t>2000（无量纲）</w:t>
                  </w:r>
                </w:p>
              </w:tc>
              <w:tc>
                <w:tcPr>
                  <w:tcW w:w="3310" w:type="pct"/>
                  <w:vMerge w:val="continue"/>
                  <w:noWrap/>
                  <w:vAlign w:val="center"/>
                </w:tcPr>
                <w:p w14:paraId="278128C6">
                  <w:pPr>
                    <w:jc w:val="center"/>
                    <w:rPr>
                      <w:color w:val="auto"/>
                      <w:szCs w:val="21"/>
                    </w:rPr>
                  </w:pPr>
                </w:p>
              </w:tc>
            </w:tr>
            <w:tr w14:paraId="59F95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noWrap/>
                  <w:vAlign w:val="center"/>
                </w:tcPr>
                <w:p w14:paraId="11231C68">
                  <w:pPr>
                    <w:jc w:val="center"/>
                    <w:rPr>
                      <w:rFonts w:hint="eastAsia"/>
                      <w:color w:val="auto"/>
                      <w:szCs w:val="21"/>
                    </w:rPr>
                  </w:pPr>
                  <w:r>
                    <w:rPr>
                      <w:rFonts w:hint="eastAsia"/>
                      <w:color w:val="auto"/>
                      <w:szCs w:val="21"/>
                    </w:rPr>
                    <w:t>氨</w:t>
                  </w:r>
                </w:p>
              </w:tc>
              <w:tc>
                <w:tcPr>
                  <w:tcW w:w="951" w:type="pct"/>
                  <w:vAlign w:val="center"/>
                </w:tcPr>
                <w:p w14:paraId="0DFE9BEB">
                  <w:pPr>
                    <w:jc w:val="center"/>
                    <w:rPr>
                      <w:rFonts w:hint="default"/>
                      <w:color w:val="auto"/>
                      <w:szCs w:val="21"/>
                      <w:lang w:val="en-US" w:eastAsia="zh-CN"/>
                    </w:rPr>
                  </w:pPr>
                  <w:r>
                    <w:rPr>
                      <w:rFonts w:hint="eastAsia"/>
                      <w:color w:val="auto"/>
                      <w:szCs w:val="21"/>
                      <w:lang w:val="en-US" w:eastAsia="zh-CN"/>
                    </w:rPr>
                    <w:t>1.5</w:t>
                  </w:r>
                </w:p>
              </w:tc>
              <w:tc>
                <w:tcPr>
                  <w:tcW w:w="3310" w:type="pct"/>
                  <w:vMerge w:val="restart"/>
                  <w:noWrap/>
                  <w:vAlign w:val="center"/>
                </w:tcPr>
                <w:p w14:paraId="663011B6">
                  <w:pPr>
                    <w:jc w:val="center"/>
                    <w:rPr>
                      <w:color w:val="auto"/>
                      <w:szCs w:val="21"/>
                    </w:rPr>
                  </w:pPr>
                  <w:r>
                    <w:rPr>
                      <w:color w:val="auto"/>
                      <w:szCs w:val="21"/>
                    </w:rPr>
                    <w:t>《恶臭污染物排放标准》（GB14554-93）</w:t>
                  </w:r>
                  <w:r>
                    <w:rPr>
                      <w:rFonts w:hint="eastAsia"/>
                      <w:color w:val="auto"/>
                      <w:szCs w:val="21"/>
                    </w:rPr>
                    <w:t>表</w:t>
                  </w:r>
                  <w:r>
                    <w:rPr>
                      <w:rFonts w:hint="eastAsia"/>
                      <w:color w:val="auto"/>
                      <w:szCs w:val="21"/>
                      <w:lang w:val="en-US" w:eastAsia="zh-CN"/>
                    </w:rPr>
                    <w:t>1二级新扩改建</w:t>
                  </w:r>
                  <w:r>
                    <w:rPr>
                      <w:rFonts w:hint="eastAsia"/>
                      <w:color w:val="auto"/>
                      <w:szCs w:val="21"/>
                    </w:rPr>
                    <w:t>标准</w:t>
                  </w:r>
                </w:p>
              </w:tc>
            </w:tr>
            <w:tr w14:paraId="79B78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tcBorders>
                    <w:bottom w:val="single" w:color="auto" w:sz="12" w:space="0"/>
                  </w:tcBorders>
                  <w:noWrap/>
                  <w:vAlign w:val="center"/>
                </w:tcPr>
                <w:p w14:paraId="7A2F8CBA">
                  <w:pPr>
                    <w:jc w:val="center"/>
                    <w:rPr>
                      <w:rFonts w:hint="eastAsia"/>
                      <w:color w:val="auto"/>
                      <w:szCs w:val="21"/>
                    </w:rPr>
                  </w:pPr>
                  <w:r>
                    <w:rPr>
                      <w:rFonts w:hint="eastAsia"/>
                      <w:color w:val="auto"/>
                      <w:szCs w:val="21"/>
                      <w:lang w:eastAsia="zh-CN"/>
                    </w:rPr>
                    <w:t>臭气浓度</w:t>
                  </w:r>
                </w:p>
              </w:tc>
              <w:tc>
                <w:tcPr>
                  <w:tcW w:w="951" w:type="pct"/>
                  <w:tcBorders>
                    <w:bottom w:val="single" w:color="auto" w:sz="12" w:space="0"/>
                  </w:tcBorders>
                  <w:vAlign w:val="center"/>
                </w:tcPr>
                <w:p w14:paraId="37EFFAE4">
                  <w:pPr>
                    <w:jc w:val="center"/>
                    <w:rPr>
                      <w:rFonts w:hint="eastAsia"/>
                      <w:color w:val="auto"/>
                      <w:szCs w:val="21"/>
                      <w:lang w:val="en-US" w:eastAsia="zh-CN"/>
                    </w:rPr>
                  </w:pPr>
                  <w:r>
                    <w:rPr>
                      <w:rFonts w:hint="eastAsia"/>
                      <w:color w:val="auto"/>
                      <w:szCs w:val="21"/>
                      <w:lang w:val="en-US" w:eastAsia="zh-CN"/>
                    </w:rPr>
                    <w:t>20（无量纲）</w:t>
                  </w:r>
                </w:p>
              </w:tc>
              <w:tc>
                <w:tcPr>
                  <w:tcW w:w="3310" w:type="pct"/>
                  <w:vMerge w:val="continue"/>
                  <w:tcBorders>
                    <w:bottom w:val="single" w:color="auto" w:sz="12" w:space="0"/>
                  </w:tcBorders>
                  <w:noWrap/>
                  <w:vAlign w:val="center"/>
                </w:tcPr>
                <w:p w14:paraId="51CD8BBC">
                  <w:pPr>
                    <w:jc w:val="center"/>
                    <w:rPr>
                      <w:color w:val="auto"/>
                      <w:szCs w:val="21"/>
                    </w:rPr>
                  </w:pPr>
                </w:p>
              </w:tc>
            </w:tr>
          </w:tbl>
          <w:p w14:paraId="256B0E3F">
            <w:pPr>
              <w:adjustRightInd w:val="0"/>
              <w:snapToGrid w:val="0"/>
              <w:spacing w:line="360" w:lineRule="auto"/>
              <w:ind w:firstLine="482" w:firstLineChars="200"/>
              <w:rPr>
                <w:b/>
                <w:color w:val="auto"/>
                <w:kern w:val="0"/>
                <w:sz w:val="24"/>
                <w:szCs w:val="20"/>
              </w:rPr>
            </w:pPr>
            <w:r>
              <w:rPr>
                <w:b/>
                <w:color w:val="auto"/>
                <w:kern w:val="0"/>
                <w:sz w:val="24"/>
                <w:szCs w:val="20"/>
              </w:rPr>
              <w:t>2.</w:t>
            </w:r>
            <w:r>
              <w:rPr>
                <w:rFonts w:hAnsi="宋体"/>
                <w:b/>
                <w:color w:val="auto"/>
                <w:kern w:val="0"/>
                <w:sz w:val="24"/>
                <w:szCs w:val="20"/>
              </w:rPr>
              <w:t>废水</w:t>
            </w:r>
          </w:p>
          <w:p w14:paraId="6B574422">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①施工期</w:t>
            </w:r>
          </w:p>
          <w:p w14:paraId="612EF5A6">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主要是基础施工</w:t>
            </w:r>
            <w:r>
              <w:rPr>
                <w:rFonts w:hint="eastAsia" w:cs="Times New Roman"/>
                <w:color w:val="auto"/>
                <w:sz w:val="24"/>
                <w:lang w:eastAsia="zh-CN"/>
              </w:rPr>
              <w:t>以及</w:t>
            </w:r>
            <w:r>
              <w:rPr>
                <w:rFonts w:hint="default" w:ascii="Times New Roman" w:hAnsi="Times New Roman" w:eastAsia="宋体" w:cs="Times New Roman"/>
                <w:color w:val="auto"/>
                <w:sz w:val="24"/>
                <w:lang w:eastAsia="zh-CN"/>
              </w:rPr>
              <w:t>施工人员生活污水，污染因子为SS、COD、氨氮。</w:t>
            </w:r>
            <w:r>
              <w:rPr>
                <w:rFonts w:hint="eastAsia" w:ascii="Times New Roman" w:hAnsi="Times New Roman" w:eastAsia="宋体" w:cs="Times New Roman"/>
                <w:color w:val="auto"/>
                <w:sz w:val="24"/>
                <w:lang w:eastAsia="zh-CN"/>
              </w:rPr>
              <w:t>依托现有项目生活厕所。</w:t>
            </w:r>
          </w:p>
          <w:p w14:paraId="34A8B974">
            <w:pPr>
              <w:autoSpaceDE w:val="0"/>
              <w:autoSpaceDN w:val="0"/>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②营运期</w:t>
            </w:r>
          </w:p>
          <w:p w14:paraId="38C83541">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改建项目不涉及生产废水和生活污水。</w:t>
            </w:r>
          </w:p>
          <w:p w14:paraId="0CF9EEEE">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3.</w:t>
            </w:r>
            <w:r>
              <w:rPr>
                <w:rFonts w:hAnsi="宋体"/>
                <w:b/>
                <w:color w:val="auto"/>
                <w:kern w:val="0"/>
                <w:sz w:val="24"/>
                <w:szCs w:val="20"/>
              </w:rPr>
              <w:t>噪声</w:t>
            </w:r>
          </w:p>
          <w:p w14:paraId="4F2968AB">
            <w:pPr>
              <w:autoSpaceDE w:val="0"/>
              <w:autoSpaceDN w:val="0"/>
              <w:adjustRightInd w:val="0"/>
              <w:spacing w:line="360" w:lineRule="auto"/>
              <w:ind w:firstLine="480" w:firstLineChars="200"/>
              <w:rPr>
                <w:rFonts w:hint="eastAsia"/>
                <w:color w:val="auto"/>
                <w:sz w:val="24"/>
              </w:rPr>
            </w:pPr>
            <w:r>
              <w:rPr>
                <w:rFonts w:hint="eastAsia"/>
                <w:color w:val="auto"/>
                <w:sz w:val="24"/>
                <w:lang w:eastAsia="zh-CN"/>
              </w:rPr>
              <w:t>改建项目</w:t>
            </w:r>
            <w:r>
              <w:rPr>
                <w:rFonts w:hint="eastAsia"/>
                <w:color w:val="auto"/>
                <w:sz w:val="24"/>
              </w:rPr>
              <w:t>施工期各厂界噪声标准</w:t>
            </w:r>
            <w:r>
              <w:rPr>
                <w:color w:val="auto"/>
                <w:sz w:val="24"/>
              </w:rPr>
              <w:t>执行</w:t>
            </w:r>
            <w:r>
              <w:rPr>
                <w:rFonts w:hint="eastAsia"/>
                <w:color w:val="auto"/>
                <w:sz w:val="24"/>
              </w:rPr>
              <w:t>《</w:t>
            </w:r>
            <w:r>
              <w:rPr>
                <w:rFonts w:hint="eastAsia"/>
                <w:color w:val="auto"/>
                <w:sz w:val="24"/>
                <w:lang w:val="en-US" w:eastAsia="zh-CN"/>
              </w:rPr>
              <w:t>建筑施工场界环境噪声排放标准</w:t>
            </w:r>
            <w:r>
              <w:rPr>
                <w:rFonts w:hint="eastAsia"/>
                <w:color w:val="auto"/>
                <w:sz w:val="24"/>
              </w:rPr>
              <w:t>》（GB</w:t>
            </w:r>
            <w:r>
              <w:rPr>
                <w:rFonts w:hint="eastAsia"/>
                <w:color w:val="auto"/>
                <w:sz w:val="24"/>
                <w:lang w:val="en-US" w:eastAsia="zh-CN"/>
              </w:rPr>
              <w:t>12523-2011</w:t>
            </w:r>
            <w:r>
              <w:rPr>
                <w:rFonts w:hint="eastAsia"/>
                <w:color w:val="auto"/>
                <w:sz w:val="24"/>
              </w:rPr>
              <w:t>）标准见表3-</w:t>
            </w:r>
            <w:r>
              <w:rPr>
                <w:rFonts w:hint="eastAsia"/>
                <w:color w:val="auto"/>
                <w:sz w:val="24"/>
                <w:lang w:val="en-US" w:eastAsia="zh-CN"/>
              </w:rPr>
              <w:t>6</w:t>
            </w:r>
            <w:r>
              <w:rPr>
                <w:rFonts w:hint="eastAsia"/>
                <w:color w:val="auto"/>
                <w:sz w:val="24"/>
              </w:rPr>
              <w:t>。</w:t>
            </w:r>
          </w:p>
          <w:p w14:paraId="0C8988C6">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6</w:t>
            </w:r>
            <w:r>
              <w:rPr>
                <w:rFonts w:hint="eastAsia"/>
                <w:b/>
                <w:bCs/>
                <w:color w:val="auto"/>
                <w:sz w:val="24"/>
              </w:rPr>
              <w:t>施工期</w:t>
            </w:r>
            <w:r>
              <w:rPr>
                <w:b/>
                <w:color w:val="auto"/>
                <w:sz w:val="24"/>
              </w:rPr>
              <w:t xml:space="preserve">厂界环境噪声排放标准 </w:t>
            </w:r>
            <w:r>
              <w:rPr>
                <w:b/>
                <w:color w:val="auto"/>
                <w:sz w:val="24"/>
                <w:szCs w:val="21"/>
              </w:rPr>
              <w:t>单位：</w:t>
            </w:r>
            <w:r>
              <w:rPr>
                <w:b/>
                <w:bCs/>
                <w:color w:val="auto"/>
                <w:sz w:val="24"/>
                <w:szCs w:val="21"/>
              </w:rPr>
              <w:t>dB(A)</w:t>
            </w:r>
          </w:p>
          <w:tbl>
            <w:tblPr>
              <w:tblStyle w:val="33"/>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444"/>
              <w:gridCol w:w="1601"/>
              <w:gridCol w:w="3292"/>
            </w:tblGrid>
            <w:tr w14:paraId="752033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013BC55F">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60CB6BA2">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7187AFB5">
                  <w:pPr>
                    <w:jc w:val="center"/>
                    <w:rPr>
                      <w:b/>
                      <w:bCs/>
                      <w:color w:val="auto"/>
                      <w:szCs w:val="21"/>
                    </w:rPr>
                  </w:pPr>
                  <w:r>
                    <w:rPr>
                      <w:b/>
                      <w:bCs/>
                      <w:color w:val="auto"/>
                      <w:szCs w:val="21"/>
                    </w:rPr>
                    <w:t>夜间</w:t>
                  </w:r>
                </w:p>
              </w:tc>
            </w:tr>
            <w:tr w14:paraId="44923C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6C3ED9E8">
                  <w:pPr>
                    <w:jc w:val="center"/>
                    <w:rPr>
                      <w:color w:val="auto"/>
                      <w:szCs w:val="21"/>
                    </w:rPr>
                  </w:pPr>
                  <w:r>
                    <w:rPr>
                      <w:color w:val="auto"/>
                      <w:szCs w:val="21"/>
                    </w:rPr>
                    <w:t>GB12348-2008中3类标准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5523D60D">
                  <w:pPr>
                    <w:jc w:val="center"/>
                    <w:rPr>
                      <w:rFonts w:hint="default" w:eastAsia="宋体"/>
                      <w:color w:val="auto"/>
                      <w:szCs w:val="21"/>
                      <w:lang w:val="en-US" w:eastAsia="zh-CN"/>
                    </w:rPr>
                  </w:pPr>
                  <w:r>
                    <w:rPr>
                      <w:color w:val="auto"/>
                      <w:szCs w:val="21"/>
                    </w:rPr>
                    <w:t>≤</w:t>
                  </w:r>
                  <w:r>
                    <w:rPr>
                      <w:rFonts w:hint="eastAsia"/>
                      <w:color w:val="auto"/>
                      <w:szCs w:val="21"/>
                      <w:lang w:val="en-US" w:eastAsia="zh-CN"/>
                    </w:rPr>
                    <w:t>70</w:t>
                  </w:r>
                </w:p>
              </w:tc>
              <w:tc>
                <w:tcPr>
                  <w:tcW w:w="3292" w:type="dxa"/>
                  <w:tcBorders>
                    <w:top w:val="single" w:color="auto" w:sz="12" w:space="0"/>
                    <w:left w:val="single" w:color="auto" w:sz="2" w:space="0"/>
                    <w:bottom w:val="single" w:color="auto" w:sz="12" w:space="0"/>
                    <w:right w:val="nil"/>
                  </w:tcBorders>
                  <w:vAlign w:val="center"/>
                </w:tcPr>
                <w:p w14:paraId="31792B94">
                  <w:pPr>
                    <w:jc w:val="center"/>
                    <w:rPr>
                      <w:color w:val="auto"/>
                      <w:szCs w:val="21"/>
                    </w:rPr>
                  </w:pPr>
                  <w:r>
                    <w:rPr>
                      <w:color w:val="auto"/>
                      <w:szCs w:val="21"/>
                    </w:rPr>
                    <w:t>≤55</w:t>
                  </w:r>
                </w:p>
              </w:tc>
            </w:tr>
          </w:tbl>
          <w:p w14:paraId="655814CD">
            <w:pPr>
              <w:autoSpaceDE w:val="0"/>
              <w:autoSpaceDN w:val="0"/>
              <w:adjustRightInd w:val="0"/>
              <w:spacing w:line="360" w:lineRule="auto"/>
              <w:ind w:firstLine="480" w:firstLineChars="200"/>
              <w:rPr>
                <w:color w:val="auto"/>
                <w:kern w:val="0"/>
                <w:sz w:val="24"/>
              </w:rPr>
            </w:pPr>
            <w:r>
              <w:rPr>
                <w:rFonts w:hint="eastAsia"/>
                <w:color w:val="auto"/>
                <w:sz w:val="24"/>
                <w:lang w:eastAsia="zh-CN"/>
              </w:rPr>
              <w:t>改建项目</w:t>
            </w:r>
            <w:r>
              <w:rPr>
                <w:color w:val="auto"/>
                <w:sz w:val="24"/>
              </w:rPr>
              <w:t>运营期各厂界噪声执行《工业企业厂界环境噪声排放标准》（GB12348-2008）</w:t>
            </w:r>
            <w:r>
              <w:rPr>
                <w:rFonts w:hint="eastAsia"/>
                <w:color w:val="auto"/>
                <w:sz w:val="24"/>
                <w:lang w:val="en-US" w:eastAsia="zh-CN"/>
              </w:rPr>
              <w:t>2</w:t>
            </w:r>
            <w:r>
              <w:rPr>
                <w:color w:val="auto"/>
                <w:sz w:val="24"/>
              </w:rPr>
              <w:t>类标准见表3-</w:t>
            </w:r>
            <w:r>
              <w:rPr>
                <w:rFonts w:hint="eastAsia"/>
                <w:color w:val="auto"/>
                <w:sz w:val="24"/>
                <w:lang w:val="en-US" w:eastAsia="zh-CN"/>
              </w:rPr>
              <w:t>8</w:t>
            </w:r>
            <w:r>
              <w:rPr>
                <w:color w:val="auto"/>
                <w:sz w:val="24"/>
              </w:rPr>
              <w:t>。</w:t>
            </w:r>
          </w:p>
          <w:p w14:paraId="3EB2F03E">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7</w:t>
            </w:r>
            <w:r>
              <w:rPr>
                <w:b/>
                <w:bCs/>
                <w:color w:val="auto"/>
                <w:sz w:val="24"/>
              </w:rPr>
              <w:t xml:space="preserve"> </w:t>
            </w:r>
            <w:r>
              <w:rPr>
                <w:b/>
                <w:color w:val="auto"/>
                <w:sz w:val="24"/>
              </w:rPr>
              <w:t xml:space="preserve">工业企业厂界环境噪声排放标准 </w:t>
            </w:r>
            <w:r>
              <w:rPr>
                <w:b/>
                <w:color w:val="auto"/>
                <w:sz w:val="24"/>
                <w:szCs w:val="21"/>
              </w:rPr>
              <w:t>单位：</w:t>
            </w:r>
            <w:r>
              <w:rPr>
                <w:b/>
                <w:bCs/>
                <w:color w:val="auto"/>
                <w:sz w:val="24"/>
                <w:szCs w:val="21"/>
              </w:rPr>
              <w:t>dB(A)</w:t>
            </w:r>
          </w:p>
          <w:tbl>
            <w:tblPr>
              <w:tblStyle w:val="33"/>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444"/>
              <w:gridCol w:w="1601"/>
              <w:gridCol w:w="3292"/>
            </w:tblGrid>
            <w:tr w14:paraId="05274D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7D46ED58">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53F6B1E9">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317A4E96">
                  <w:pPr>
                    <w:jc w:val="center"/>
                    <w:rPr>
                      <w:b/>
                      <w:bCs/>
                      <w:color w:val="auto"/>
                      <w:szCs w:val="21"/>
                    </w:rPr>
                  </w:pPr>
                  <w:r>
                    <w:rPr>
                      <w:b/>
                      <w:bCs/>
                      <w:color w:val="auto"/>
                      <w:szCs w:val="21"/>
                    </w:rPr>
                    <w:t>夜间</w:t>
                  </w:r>
                </w:p>
              </w:tc>
            </w:tr>
            <w:tr w14:paraId="3163CD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44C9B0BC">
                  <w:pPr>
                    <w:jc w:val="center"/>
                    <w:rPr>
                      <w:color w:val="auto"/>
                      <w:szCs w:val="21"/>
                    </w:rPr>
                  </w:pPr>
                  <w:r>
                    <w:rPr>
                      <w:color w:val="auto"/>
                      <w:szCs w:val="21"/>
                    </w:rPr>
                    <w:t>GB12348-2008中</w:t>
                  </w:r>
                  <w:r>
                    <w:rPr>
                      <w:rFonts w:hint="eastAsia"/>
                      <w:color w:val="auto"/>
                      <w:szCs w:val="21"/>
                      <w:lang w:val="en-US" w:eastAsia="zh-CN"/>
                    </w:rPr>
                    <w:t>2</w:t>
                  </w:r>
                  <w:r>
                    <w:rPr>
                      <w:color w:val="auto"/>
                      <w:szCs w:val="21"/>
                    </w:rPr>
                    <w:t>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72EA15B2">
                  <w:pPr>
                    <w:jc w:val="center"/>
                    <w:rPr>
                      <w:rFonts w:hint="default" w:eastAsia="宋体"/>
                      <w:color w:val="auto"/>
                      <w:szCs w:val="21"/>
                      <w:lang w:val="en-US" w:eastAsia="zh-CN"/>
                    </w:rPr>
                  </w:pPr>
                  <w:r>
                    <w:rPr>
                      <w:color w:val="auto"/>
                      <w:szCs w:val="21"/>
                    </w:rPr>
                    <w:t>≤</w:t>
                  </w:r>
                  <w:r>
                    <w:rPr>
                      <w:rFonts w:hint="eastAsia"/>
                      <w:color w:val="auto"/>
                      <w:szCs w:val="21"/>
                      <w:lang w:val="en-US" w:eastAsia="zh-CN"/>
                    </w:rPr>
                    <w:t>60</w:t>
                  </w:r>
                </w:p>
              </w:tc>
              <w:tc>
                <w:tcPr>
                  <w:tcW w:w="3292" w:type="dxa"/>
                  <w:tcBorders>
                    <w:top w:val="single" w:color="auto" w:sz="12" w:space="0"/>
                    <w:left w:val="single" w:color="auto" w:sz="2" w:space="0"/>
                    <w:bottom w:val="single" w:color="auto" w:sz="12" w:space="0"/>
                    <w:right w:val="nil"/>
                  </w:tcBorders>
                  <w:vAlign w:val="center"/>
                </w:tcPr>
                <w:p w14:paraId="47DD7868">
                  <w:pPr>
                    <w:jc w:val="center"/>
                    <w:rPr>
                      <w:rFonts w:hint="eastAsia" w:eastAsia="宋体"/>
                      <w:color w:val="auto"/>
                      <w:szCs w:val="21"/>
                      <w:lang w:eastAsia="zh-CN"/>
                    </w:rPr>
                  </w:pPr>
                  <w:r>
                    <w:rPr>
                      <w:color w:val="auto"/>
                      <w:szCs w:val="21"/>
                    </w:rPr>
                    <w:t>≤5</w:t>
                  </w:r>
                  <w:r>
                    <w:rPr>
                      <w:rFonts w:hint="eastAsia"/>
                      <w:color w:val="auto"/>
                      <w:szCs w:val="21"/>
                      <w:lang w:val="en-US" w:eastAsia="zh-CN"/>
                    </w:rPr>
                    <w:t>0</w:t>
                  </w:r>
                </w:p>
              </w:tc>
            </w:tr>
          </w:tbl>
          <w:p w14:paraId="37008130">
            <w:pPr>
              <w:widowControl/>
              <w:adjustRightInd w:val="0"/>
              <w:snapToGrid w:val="0"/>
              <w:spacing w:before="120" w:beforeLines="50" w:line="360" w:lineRule="auto"/>
              <w:ind w:firstLine="482" w:firstLineChars="200"/>
              <w:rPr>
                <w:b/>
                <w:color w:val="auto"/>
                <w:sz w:val="24"/>
                <w:szCs w:val="20"/>
              </w:rPr>
            </w:pPr>
            <w:r>
              <w:rPr>
                <w:b/>
                <w:color w:val="auto"/>
                <w:sz w:val="24"/>
                <w:szCs w:val="20"/>
              </w:rPr>
              <w:t>4.</w:t>
            </w:r>
            <w:r>
              <w:rPr>
                <w:rFonts w:hAnsi="宋体"/>
                <w:b/>
                <w:color w:val="auto"/>
                <w:sz w:val="24"/>
                <w:szCs w:val="20"/>
              </w:rPr>
              <w:t>固废</w:t>
            </w:r>
          </w:p>
          <w:p w14:paraId="7B299AA4">
            <w:pPr>
              <w:adjustRightInd w:val="0"/>
              <w:spacing w:line="346" w:lineRule="auto"/>
              <w:ind w:firstLine="480" w:firstLineChars="200"/>
              <w:rPr>
                <w:color w:val="auto"/>
                <w:sz w:val="24"/>
              </w:rPr>
            </w:pPr>
            <w:r>
              <w:rPr>
                <w:rFonts w:hint="eastAsia"/>
                <w:color w:val="auto"/>
                <w:sz w:val="24"/>
                <w:lang w:eastAsia="zh-CN"/>
              </w:rPr>
              <w:t>改建</w:t>
            </w:r>
            <w:r>
              <w:rPr>
                <w:rFonts w:hAnsi="宋体"/>
                <w:color w:val="auto"/>
                <w:sz w:val="24"/>
              </w:rPr>
              <w:t>项目固体废物属性鉴别执行《固体废物鉴别标准通则》（</w:t>
            </w:r>
            <w:r>
              <w:rPr>
                <w:color w:val="auto"/>
                <w:sz w:val="24"/>
              </w:rPr>
              <w:t>GB34330-</w:t>
            </w:r>
            <w:r>
              <w:rPr>
                <w:rFonts w:hint="eastAsia"/>
                <w:color w:val="auto"/>
                <w:sz w:val="24"/>
                <w:lang w:val="en-US" w:eastAsia="zh-CN"/>
              </w:rPr>
              <w:t>2025</w:t>
            </w:r>
            <w:r>
              <w:rPr>
                <w:rFonts w:hAnsi="宋体"/>
                <w:color w:val="auto"/>
                <w:sz w:val="24"/>
              </w:rPr>
              <w:t>），危险废物属性鉴别执行《危险废物鉴别标准通则》（</w:t>
            </w:r>
            <w:r>
              <w:rPr>
                <w:color w:val="auto"/>
                <w:sz w:val="24"/>
              </w:rPr>
              <w:t>GB5085.7-2019</w:t>
            </w:r>
            <w:r>
              <w:rPr>
                <w:rFonts w:hAnsi="宋体"/>
                <w:color w:val="auto"/>
                <w:sz w:val="24"/>
              </w:rPr>
              <w:t>）。</w:t>
            </w:r>
          </w:p>
          <w:p w14:paraId="2AB2FEA0">
            <w:pPr>
              <w:adjustRightInd w:val="0"/>
              <w:spacing w:line="346" w:lineRule="auto"/>
              <w:ind w:firstLine="480" w:firstLineChars="200"/>
              <w:rPr>
                <w:rFonts w:hAnsi="宋体"/>
                <w:color w:val="auto"/>
                <w:sz w:val="24"/>
              </w:rPr>
            </w:pPr>
            <w:r>
              <w:rPr>
                <w:rFonts w:hAnsi="宋体"/>
                <w:color w:val="auto"/>
                <w:sz w:val="24"/>
              </w:rPr>
              <w:t>危险废物贮存执行《危险废物识别标志设置技术规范》（</w:t>
            </w:r>
            <w:r>
              <w:rPr>
                <w:color w:val="auto"/>
                <w:sz w:val="24"/>
              </w:rPr>
              <w:t>HJ1276-2022</w:t>
            </w:r>
            <w:r>
              <w:rPr>
                <w:rFonts w:hAnsi="宋体"/>
                <w:color w:val="auto"/>
                <w:sz w:val="24"/>
              </w:rPr>
              <w:t>）、《危险废物贮存污染控制标准》（</w:t>
            </w:r>
            <w:r>
              <w:rPr>
                <w:color w:val="auto"/>
                <w:sz w:val="24"/>
              </w:rPr>
              <w:t>GB18597-2023</w:t>
            </w:r>
            <w:r>
              <w:rPr>
                <w:rFonts w:hAnsi="宋体"/>
                <w:color w:val="auto"/>
                <w:sz w:val="24"/>
              </w:rPr>
              <w:t>）和《危险废物收集贮存运输技术规范》（</w:t>
            </w:r>
            <w:r>
              <w:rPr>
                <w:color w:val="auto"/>
                <w:sz w:val="24"/>
              </w:rPr>
              <w:t>HJ2025-2012</w:t>
            </w:r>
            <w:r>
              <w:rPr>
                <w:rFonts w:hAnsi="宋体"/>
                <w:color w:val="auto"/>
                <w:sz w:val="24"/>
              </w:rPr>
              <w:t>）中相关规定；固废贮存场所标志执行《危险废物识别标志设置技术规范》（</w:t>
            </w:r>
            <w:r>
              <w:rPr>
                <w:color w:val="auto"/>
                <w:sz w:val="24"/>
              </w:rPr>
              <w:t>HJ1276-2022</w:t>
            </w:r>
            <w:r>
              <w:rPr>
                <w:rFonts w:hAnsi="宋体"/>
                <w:color w:val="auto"/>
                <w:sz w:val="24"/>
              </w:rPr>
              <w:t>）、《环境保护图形标志固体废物贮存（处置）场》（</w:t>
            </w:r>
            <w:r>
              <w:rPr>
                <w:color w:val="auto"/>
                <w:sz w:val="24"/>
              </w:rPr>
              <w:t>GB15562.2-1995</w:t>
            </w:r>
            <w:r>
              <w:rPr>
                <w:rFonts w:hAnsi="宋体"/>
                <w:color w:val="auto"/>
                <w:sz w:val="24"/>
              </w:rPr>
              <w:t>）及修改单、</w:t>
            </w:r>
            <w:r>
              <w:rPr>
                <w:rFonts w:hint="eastAsia" w:ascii="Times New Roman" w:hAnsi="Times New Roman" w:eastAsia="宋体" w:cs="Times New Roman"/>
                <w:color w:val="auto"/>
                <w:kern w:val="0"/>
                <w:sz w:val="24"/>
              </w:rPr>
              <w:t>《江苏省固体废物全过程环境监管工作意见》的通知</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苏环办</w:t>
            </w:r>
            <w:r>
              <w:rPr>
                <w:rFonts w:hint="eastAsia" w:cs="Times New Roman"/>
                <w:color w:val="auto"/>
                <w:kern w:val="0"/>
                <w:sz w:val="24"/>
                <w:lang w:eastAsia="zh-CN"/>
              </w:rPr>
              <w:t>〔2024〕16号）</w:t>
            </w:r>
            <w:r>
              <w:rPr>
                <w:rFonts w:hAnsi="宋体"/>
                <w:color w:val="auto"/>
                <w:sz w:val="24"/>
              </w:rPr>
              <w:t>、《江苏省危险废物集中收集体系建设工作方案（试行）》（苏环办〔</w:t>
            </w:r>
            <w:r>
              <w:rPr>
                <w:color w:val="auto"/>
                <w:sz w:val="24"/>
              </w:rPr>
              <w:t>2021</w:t>
            </w:r>
            <w:r>
              <w:rPr>
                <w:rFonts w:hAnsi="宋体"/>
                <w:color w:val="auto"/>
                <w:sz w:val="24"/>
              </w:rPr>
              <w:t>〕</w:t>
            </w:r>
            <w:r>
              <w:rPr>
                <w:color w:val="auto"/>
                <w:sz w:val="24"/>
              </w:rPr>
              <w:t>290</w:t>
            </w:r>
            <w:r>
              <w:rPr>
                <w:rFonts w:hAnsi="宋体"/>
                <w:color w:val="auto"/>
                <w:sz w:val="24"/>
              </w:rPr>
              <w:t>号）、</w:t>
            </w:r>
            <w:bookmarkStart w:id="54" w:name="_Hlk140322507"/>
            <w:r>
              <w:rPr>
                <w:rFonts w:hAnsi="宋体"/>
                <w:color w:val="auto"/>
                <w:sz w:val="24"/>
              </w:rPr>
              <w:t>《省生态环境厅关于做好</w:t>
            </w:r>
            <w:r>
              <w:rPr>
                <w:rFonts w:hint="eastAsia" w:hAnsi="宋体"/>
                <w:color w:val="auto"/>
                <w:sz w:val="24"/>
                <w:lang w:eastAsia="zh-CN"/>
              </w:rPr>
              <w:t>〈</w:t>
            </w:r>
            <w:r>
              <w:rPr>
                <w:rFonts w:hAnsi="宋体"/>
                <w:color w:val="auto"/>
                <w:sz w:val="24"/>
              </w:rPr>
              <w:t>危险废物贮存污染控制标准</w:t>
            </w:r>
            <w:r>
              <w:rPr>
                <w:rFonts w:hint="eastAsia" w:hAnsi="宋体"/>
                <w:color w:val="auto"/>
                <w:sz w:val="24"/>
                <w:lang w:eastAsia="zh-CN"/>
              </w:rPr>
              <w:t>〉</w:t>
            </w:r>
            <w:r>
              <w:rPr>
                <w:rFonts w:hAnsi="宋体"/>
                <w:color w:val="auto"/>
                <w:sz w:val="24"/>
              </w:rPr>
              <w:t>标准规范实施后危险废物环境管理衔接工作的通知》（苏环办</w:t>
            </w:r>
            <w:r>
              <w:rPr>
                <w:rFonts w:hint="eastAsia" w:hAnsi="宋体"/>
                <w:color w:val="auto"/>
                <w:sz w:val="24"/>
                <w:lang w:eastAsia="zh-CN"/>
              </w:rPr>
              <w:t>〔2023〕154号</w:t>
            </w:r>
            <w:r>
              <w:rPr>
                <w:rFonts w:hAnsi="宋体"/>
                <w:color w:val="auto"/>
                <w:sz w:val="24"/>
              </w:rPr>
              <w:t>）要求。</w:t>
            </w:r>
            <w:bookmarkEnd w:id="54"/>
          </w:p>
          <w:p w14:paraId="03E0034E">
            <w:pPr>
              <w:tabs>
                <w:tab w:val="left" w:pos="720"/>
              </w:tabs>
              <w:adjustRightInd w:val="0"/>
              <w:snapToGrid w:val="0"/>
              <w:spacing w:line="360" w:lineRule="auto"/>
              <w:ind w:firstLine="482" w:firstLineChars="200"/>
              <w:rPr>
                <w:b/>
                <w:bCs/>
                <w:color w:val="auto"/>
                <w:sz w:val="24"/>
              </w:rPr>
            </w:pPr>
            <w:r>
              <w:rPr>
                <w:rFonts w:hint="eastAsia"/>
                <w:b/>
                <w:bCs/>
                <w:color w:val="auto"/>
                <w:sz w:val="24"/>
                <w:lang w:val="en-US" w:eastAsia="zh-CN"/>
              </w:rPr>
              <w:t>5</w:t>
            </w:r>
            <w:r>
              <w:rPr>
                <w:b/>
                <w:bCs/>
                <w:color w:val="auto"/>
                <w:sz w:val="24"/>
              </w:rPr>
              <w:t>总量控制指标</w:t>
            </w:r>
          </w:p>
          <w:p w14:paraId="1B9CE5EB">
            <w:pPr>
              <w:tabs>
                <w:tab w:val="left" w:pos="720"/>
              </w:tabs>
              <w:adjustRightInd w:val="0"/>
              <w:snapToGrid w:val="0"/>
              <w:spacing w:line="360" w:lineRule="auto"/>
              <w:ind w:firstLine="480" w:firstLineChars="200"/>
              <w:rPr>
                <w:rFonts w:hint="eastAsia" w:eastAsia="宋体"/>
                <w:bCs/>
                <w:color w:val="auto"/>
                <w:sz w:val="24"/>
                <w:lang w:eastAsia="zh-CN"/>
              </w:rPr>
            </w:pPr>
            <w:r>
              <w:rPr>
                <w:rFonts w:hint="eastAsia"/>
                <w:color w:val="auto"/>
                <w:sz w:val="24"/>
                <w:lang w:eastAsia="zh-CN"/>
              </w:rPr>
              <w:t>本次改建</w:t>
            </w:r>
            <w:r>
              <w:rPr>
                <w:bCs/>
                <w:color w:val="auto"/>
                <w:sz w:val="24"/>
              </w:rPr>
              <w:t>项目</w:t>
            </w:r>
            <w:r>
              <w:rPr>
                <w:rFonts w:hint="eastAsia"/>
                <w:bCs/>
                <w:color w:val="auto"/>
                <w:sz w:val="24"/>
                <w:lang w:eastAsia="zh-CN"/>
              </w:rPr>
              <w:t>不涉及新增废气废水</w:t>
            </w:r>
            <w:r>
              <w:rPr>
                <w:bCs/>
                <w:color w:val="auto"/>
                <w:sz w:val="24"/>
              </w:rPr>
              <w:t>污染物</w:t>
            </w:r>
            <w:r>
              <w:rPr>
                <w:rFonts w:hint="eastAsia"/>
                <w:bCs/>
                <w:color w:val="auto"/>
                <w:sz w:val="24"/>
                <w:lang w:eastAsia="zh-CN"/>
              </w:rPr>
              <w:t>。</w:t>
            </w:r>
          </w:p>
          <w:p w14:paraId="2EAF6A24">
            <w:pPr>
              <w:widowControl/>
              <w:adjustRightInd w:val="0"/>
              <w:snapToGrid w:val="0"/>
              <w:spacing w:before="120" w:beforeLines="50" w:line="360" w:lineRule="auto"/>
              <w:ind w:firstLine="723" w:firstLineChars="300"/>
              <w:jc w:val="left"/>
              <w:rPr>
                <w:b/>
                <w:color w:val="auto"/>
                <w:kern w:val="0"/>
                <w:sz w:val="24"/>
              </w:rPr>
            </w:pPr>
            <w:r>
              <w:rPr>
                <w:b/>
                <w:color w:val="auto"/>
                <w:kern w:val="0"/>
                <w:sz w:val="24"/>
              </w:rPr>
              <w:t>建设项目总量控制指标：</w:t>
            </w:r>
          </w:p>
          <w:p w14:paraId="7E8F2BE9">
            <w:pPr>
              <w:adjustRightInd w:val="0"/>
              <w:snapToGrid w:val="0"/>
              <w:spacing w:line="360" w:lineRule="auto"/>
              <w:ind w:firstLine="480" w:firstLineChars="200"/>
              <w:rPr>
                <w:bCs/>
                <w:color w:val="auto"/>
                <w:kern w:val="0"/>
                <w:sz w:val="24"/>
                <w:szCs w:val="20"/>
              </w:rPr>
            </w:pPr>
            <w:r>
              <w:rPr>
                <w:color w:val="auto"/>
                <w:sz w:val="24"/>
              </w:rPr>
              <w:t>（1）废气</w:t>
            </w:r>
          </w:p>
          <w:p w14:paraId="52670F69">
            <w:pPr>
              <w:wordWrap w:val="0"/>
              <w:snapToGrid w:val="0"/>
              <w:spacing w:line="360" w:lineRule="auto"/>
              <w:ind w:firstLine="720" w:firstLineChars="300"/>
              <w:jc w:val="left"/>
              <w:rPr>
                <w:rFonts w:hint="eastAsia"/>
                <w:color w:val="auto"/>
                <w:kern w:val="0"/>
                <w:sz w:val="24"/>
              </w:rPr>
            </w:pPr>
            <w:r>
              <w:rPr>
                <w:rFonts w:hint="eastAsia"/>
                <w:color w:val="auto"/>
                <w:kern w:val="0"/>
                <w:sz w:val="24"/>
                <w:lang w:eastAsia="zh-CN"/>
              </w:rPr>
              <w:t>改建项目不涉及新增有组织量，无需从</w:t>
            </w:r>
            <w:r>
              <w:rPr>
                <w:rFonts w:hint="eastAsia"/>
                <w:color w:val="auto"/>
                <w:kern w:val="0"/>
                <w:sz w:val="24"/>
              </w:rPr>
              <w:t>淮安市涟水生态环境局从境内企业削减总量中替代平衡。</w:t>
            </w:r>
          </w:p>
          <w:p w14:paraId="00788963">
            <w:pPr>
              <w:pStyle w:val="79"/>
              <w:widowControl/>
              <w:adjustRightInd w:val="0"/>
              <w:snapToGrid w:val="0"/>
              <w:spacing w:line="360" w:lineRule="auto"/>
              <w:ind w:left="480" w:firstLine="0" w:firstLineChars="0"/>
              <w:jc w:val="left"/>
              <w:rPr>
                <w:bCs/>
                <w:color w:val="auto"/>
                <w:kern w:val="0"/>
                <w:sz w:val="24"/>
                <w:szCs w:val="20"/>
              </w:rPr>
            </w:pPr>
            <w:r>
              <w:rPr>
                <w:rFonts w:hint="eastAsia"/>
                <w:bCs/>
                <w:color w:val="auto"/>
                <w:kern w:val="0"/>
                <w:sz w:val="24"/>
                <w:szCs w:val="20"/>
              </w:rPr>
              <w:t>（2）废水</w:t>
            </w:r>
          </w:p>
          <w:p w14:paraId="6FC6BED0">
            <w:pPr>
              <w:wordWrap w:val="0"/>
              <w:snapToGrid w:val="0"/>
              <w:spacing w:line="360" w:lineRule="auto"/>
              <w:ind w:firstLine="480" w:firstLineChars="200"/>
              <w:jc w:val="left"/>
              <w:rPr>
                <w:rFonts w:hint="eastAsia" w:eastAsia="宋体"/>
                <w:color w:val="auto"/>
                <w:kern w:val="0"/>
                <w:sz w:val="24"/>
                <w:lang w:eastAsia="zh-CN"/>
              </w:rPr>
            </w:pPr>
            <w:r>
              <w:rPr>
                <w:rFonts w:hint="eastAsia"/>
                <w:color w:val="auto"/>
                <w:kern w:val="0"/>
                <w:sz w:val="24"/>
              </w:rPr>
              <w:t>本次</w:t>
            </w:r>
            <w:r>
              <w:rPr>
                <w:rFonts w:hint="eastAsia"/>
                <w:color w:val="auto"/>
                <w:kern w:val="0"/>
                <w:sz w:val="24"/>
                <w:lang w:eastAsia="zh-CN"/>
              </w:rPr>
              <w:t>改建</w:t>
            </w:r>
            <w:r>
              <w:rPr>
                <w:rFonts w:hint="eastAsia"/>
                <w:color w:val="auto"/>
                <w:kern w:val="0"/>
                <w:sz w:val="24"/>
              </w:rPr>
              <w:t>项目</w:t>
            </w:r>
            <w:r>
              <w:rPr>
                <w:rFonts w:hint="eastAsia"/>
                <w:color w:val="auto"/>
                <w:kern w:val="0"/>
                <w:sz w:val="24"/>
                <w:lang w:eastAsia="zh-CN"/>
              </w:rPr>
              <w:t>不涉及新增废水总量，在厂内平衡，无需从</w:t>
            </w:r>
            <w:r>
              <w:rPr>
                <w:rFonts w:hint="eastAsia"/>
                <w:color w:val="auto"/>
                <w:kern w:val="0"/>
                <w:sz w:val="24"/>
              </w:rPr>
              <w:t>淮安市涟水生态环境局从境内企业削减总量中替代平衡。</w:t>
            </w:r>
          </w:p>
          <w:p w14:paraId="77B7E2D8">
            <w:pPr>
              <w:widowControl/>
              <w:tabs>
                <w:tab w:val="left" w:pos="4922"/>
              </w:tabs>
              <w:adjustRightInd w:val="0"/>
              <w:snapToGrid w:val="0"/>
              <w:spacing w:line="360" w:lineRule="auto"/>
              <w:ind w:firstLine="465"/>
              <w:jc w:val="left"/>
              <w:rPr>
                <w:color w:val="auto"/>
                <w:kern w:val="0"/>
                <w:sz w:val="24"/>
              </w:rPr>
            </w:pPr>
            <w:r>
              <w:rPr>
                <w:color w:val="auto"/>
                <w:kern w:val="0"/>
                <w:sz w:val="24"/>
              </w:rPr>
              <w:t>（3）固废</w:t>
            </w:r>
          </w:p>
          <w:p w14:paraId="0A2144CF">
            <w:pPr>
              <w:widowControl/>
              <w:adjustRightInd w:val="0"/>
              <w:snapToGrid w:val="0"/>
              <w:spacing w:line="360" w:lineRule="auto"/>
              <w:ind w:firstLine="480" w:firstLineChars="200"/>
              <w:jc w:val="left"/>
              <w:rPr>
                <w:color w:val="auto"/>
                <w:kern w:val="0"/>
                <w:sz w:val="24"/>
                <w:szCs w:val="22"/>
              </w:rPr>
            </w:pPr>
            <w:r>
              <w:rPr>
                <w:rFonts w:hint="eastAsia"/>
                <w:color w:val="auto"/>
                <w:kern w:val="0"/>
                <w:sz w:val="24"/>
              </w:rPr>
              <w:t>本次</w:t>
            </w:r>
            <w:r>
              <w:rPr>
                <w:rFonts w:hint="eastAsia"/>
                <w:color w:val="auto"/>
                <w:kern w:val="0"/>
                <w:sz w:val="24"/>
                <w:lang w:eastAsia="zh-CN"/>
              </w:rPr>
              <w:t>改建</w:t>
            </w:r>
            <w:r>
              <w:rPr>
                <w:rFonts w:hint="eastAsia"/>
                <w:color w:val="auto"/>
                <w:kern w:val="0"/>
                <w:sz w:val="24"/>
              </w:rPr>
              <w:t>项目</w:t>
            </w:r>
            <w:r>
              <w:rPr>
                <w:rFonts w:hint="eastAsia"/>
                <w:color w:val="auto"/>
                <w:kern w:val="0"/>
                <w:sz w:val="24"/>
                <w:lang w:eastAsia="zh-CN"/>
              </w:rPr>
              <w:t>为暂存库建设项目，不产生固废</w:t>
            </w:r>
            <w:r>
              <w:rPr>
                <w:color w:val="auto"/>
                <w:kern w:val="0"/>
                <w:sz w:val="24"/>
                <w:szCs w:val="22"/>
              </w:rPr>
              <w:t>。</w:t>
            </w:r>
          </w:p>
          <w:p w14:paraId="603DF2F3">
            <w:pPr>
              <w:pStyle w:val="12"/>
              <w:rPr>
                <w:color w:val="auto"/>
              </w:rPr>
            </w:pPr>
          </w:p>
        </w:tc>
      </w:tr>
    </w:tbl>
    <w:p w14:paraId="32243F9C">
      <w:pPr>
        <w:adjustRightInd w:val="0"/>
        <w:snapToGrid w:val="0"/>
        <w:jc w:val="center"/>
        <w:rPr>
          <w:b/>
          <w:bCs/>
          <w:color w:val="auto"/>
          <w:kern w:val="0"/>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F190295">
      <w:pPr>
        <w:widowControl/>
        <w:jc w:val="center"/>
        <w:outlineLvl w:val="0"/>
        <w:rPr>
          <w:rFonts w:hAnsi="宋体"/>
          <w:b/>
          <w:snapToGrid w:val="0"/>
          <w:color w:val="auto"/>
          <w:sz w:val="30"/>
          <w:szCs w:val="30"/>
        </w:rPr>
      </w:pPr>
      <w:bookmarkStart w:id="55" w:name="_Toc31692"/>
      <w:r>
        <w:rPr>
          <w:rFonts w:hint="eastAsia" w:hAnsi="宋体"/>
          <w:b/>
          <w:snapToGrid w:val="0"/>
          <w:color w:val="auto"/>
          <w:sz w:val="30"/>
          <w:szCs w:val="30"/>
          <w:lang w:eastAsia="zh-CN"/>
        </w:rPr>
        <w:t>四、</w:t>
      </w:r>
      <w:r>
        <w:rPr>
          <w:rFonts w:hAnsi="宋体"/>
          <w:b/>
          <w:snapToGrid w:val="0"/>
          <w:color w:val="auto"/>
          <w:sz w:val="30"/>
          <w:szCs w:val="30"/>
        </w:rPr>
        <w:t>主要环境影响和保护措施</w:t>
      </w:r>
      <w:bookmarkEnd w:id="55"/>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473"/>
      </w:tblGrid>
      <w:tr w14:paraId="46818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7" w:hRule="atLeast"/>
          <w:jc w:val="center"/>
        </w:trPr>
        <w:tc>
          <w:tcPr>
            <w:tcW w:w="508" w:type="dxa"/>
            <w:tcMar>
              <w:left w:w="28" w:type="dxa"/>
              <w:right w:w="28" w:type="dxa"/>
            </w:tcMar>
            <w:vAlign w:val="center"/>
          </w:tcPr>
          <w:p w14:paraId="5A526A6A">
            <w:pPr>
              <w:pStyle w:val="29"/>
              <w:spacing w:before="0" w:beforeAutospacing="0" w:after="0" w:afterAutospacing="0"/>
              <w:jc w:val="center"/>
              <w:outlineLvl w:val="0"/>
              <w:rPr>
                <w:rFonts w:ascii="Times New Roman" w:hAnsi="Times New Roman"/>
                <w:b/>
                <w:color w:val="auto"/>
                <w:kern w:val="2"/>
                <w:sz w:val="21"/>
                <w:szCs w:val="21"/>
              </w:rPr>
            </w:pPr>
            <w:bookmarkStart w:id="56" w:name="_Toc13240"/>
            <w:r>
              <w:rPr>
                <w:rFonts w:ascii="Times New Roman"/>
                <w:b/>
                <w:color w:val="auto"/>
                <w:kern w:val="2"/>
                <w:sz w:val="21"/>
                <w:szCs w:val="21"/>
              </w:rPr>
              <w:t>施工</w:t>
            </w:r>
            <w:bookmarkEnd w:id="56"/>
          </w:p>
          <w:p w14:paraId="33E2ABE0">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期环</w:t>
            </w:r>
          </w:p>
          <w:p w14:paraId="6D765E39">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境保</w:t>
            </w:r>
          </w:p>
          <w:p w14:paraId="2B67EA46">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护措</w:t>
            </w:r>
          </w:p>
          <w:p w14:paraId="18FCC4A9">
            <w:pPr>
              <w:pStyle w:val="29"/>
              <w:adjustRightInd w:val="0"/>
              <w:snapToGrid w:val="0"/>
              <w:spacing w:before="0" w:beforeAutospacing="0" w:after="0" w:afterAutospacing="0"/>
              <w:jc w:val="center"/>
              <w:rPr>
                <w:rFonts w:ascii="Times New Roman" w:hAnsi="Times New Roman"/>
                <w:b/>
                <w:bCs/>
                <w:color w:val="auto"/>
                <w:kern w:val="2"/>
                <w:sz w:val="21"/>
                <w:szCs w:val="21"/>
              </w:rPr>
            </w:pPr>
            <w:r>
              <w:rPr>
                <w:rFonts w:ascii="Times New Roman"/>
                <w:b/>
                <w:color w:val="auto"/>
                <w:kern w:val="2"/>
                <w:sz w:val="21"/>
                <w:szCs w:val="21"/>
              </w:rPr>
              <w:t>施</w:t>
            </w:r>
          </w:p>
        </w:tc>
        <w:tc>
          <w:tcPr>
            <w:tcW w:w="8473" w:type="dxa"/>
            <w:vAlign w:val="center"/>
          </w:tcPr>
          <w:p w14:paraId="5801D9C7">
            <w:pPr>
              <w:keepNext w:val="0"/>
              <w:keepLines w:val="0"/>
              <w:pageBreakBefore w:val="0"/>
              <w:widowControl/>
              <w:kinsoku/>
              <w:wordWrap/>
              <w:overflowPunct/>
              <w:topLinePunct w:val="0"/>
              <w:autoSpaceDE/>
              <w:autoSpaceDN/>
              <w:bidi w:val="0"/>
              <w:adjustRightInd w:val="0"/>
              <w:snapToGrid w:val="0"/>
              <w:spacing w:line="360" w:lineRule="auto"/>
              <w:ind w:firstLine="723" w:firstLineChars="300"/>
              <w:jc w:val="left"/>
              <w:textAlignment w:val="auto"/>
              <w:rPr>
                <w:rFonts w:hint="default" w:ascii="Times New Roman" w:hAnsi="Times New Roman" w:eastAsia="宋体" w:cs="Times New Roman"/>
                <w:b/>
                <w:bCs w:val="0"/>
                <w:color w:val="auto"/>
                <w:kern w:val="0"/>
                <w:sz w:val="24"/>
              </w:rPr>
            </w:pPr>
            <w:r>
              <w:rPr>
                <w:rFonts w:hint="eastAsia" w:cs="Times New Roman"/>
                <w:b/>
                <w:bCs w:val="0"/>
                <w:color w:val="auto"/>
                <w:kern w:val="0"/>
                <w:sz w:val="24"/>
                <w:lang w:val="en-US" w:eastAsia="zh-CN"/>
              </w:rPr>
              <w:t>1.</w:t>
            </w:r>
            <w:r>
              <w:rPr>
                <w:rFonts w:hint="default" w:ascii="Times New Roman" w:hAnsi="Times New Roman" w:eastAsia="宋体" w:cs="Times New Roman"/>
                <w:b/>
                <w:bCs w:val="0"/>
                <w:color w:val="auto"/>
                <w:kern w:val="0"/>
                <w:sz w:val="24"/>
              </w:rPr>
              <w:t>施工期</w:t>
            </w:r>
            <w:r>
              <w:rPr>
                <w:rFonts w:hint="eastAsia" w:cs="Times New Roman"/>
                <w:b/>
                <w:bCs w:val="0"/>
                <w:color w:val="auto"/>
                <w:kern w:val="0"/>
                <w:sz w:val="24"/>
                <w:lang w:eastAsia="zh-CN"/>
              </w:rPr>
              <w:t>环</w:t>
            </w:r>
            <w:r>
              <w:rPr>
                <w:rFonts w:hint="default" w:ascii="Times New Roman" w:hAnsi="Times New Roman" w:eastAsia="宋体" w:cs="Times New Roman"/>
                <w:b/>
                <w:bCs w:val="0"/>
                <w:color w:val="auto"/>
                <w:kern w:val="0"/>
                <w:sz w:val="24"/>
              </w:rPr>
              <w:t>境空气污染防治措施</w:t>
            </w:r>
          </w:p>
          <w:p w14:paraId="39781A06">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（1）</w:t>
            </w:r>
            <w:r>
              <w:rPr>
                <w:rFonts w:hint="default" w:ascii="Times New Roman" w:hAnsi="Times New Roman" w:eastAsia="宋体" w:cs="Times New Roman"/>
                <w:b w:val="0"/>
                <w:bCs/>
                <w:color w:val="auto"/>
                <w:kern w:val="0"/>
                <w:sz w:val="24"/>
              </w:rPr>
              <w:t>施工扬尘防治措施</w:t>
            </w:r>
          </w:p>
          <w:p w14:paraId="2F69E17E">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ascii="Times New Roman" w:hAnsi="Times New Roman" w:eastAsia="宋体" w:cs="Times New Roman"/>
                <w:b w:val="0"/>
                <w:bCs/>
                <w:color w:val="auto"/>
                <w:kern w:val="0"/>
                <w:sz w:val="24"/>
                <w:lang w:eastAsia="zh-CN"/>
              </w:rPr>
            </w:pPr>
            <w:r>
              <w:rPr>
                <w:rFonts w:hint="default" w:ascii="Times New Roman" w:hAnsi="Times New Roman" w:eastAsia="宋体" w:cs="Times New Roman"/>
                <w:b w:val="0"/>
                <w:bCs/>
                <w:color w:val="auto"/>
                <w:kern w:val="0"/>
                <w:sz w:val="24"/>
              </w:rPr>
              <w:t>①土石方开挖避免在大风天气进行，完工后及时回填、平整场地</w:t>
            </w:r>
            <w:r>
              <w:rPr>
                <w:rFonts w:hint="eastAsia" w:cs="Times New Roman"/>
                <w:b w:val="0"/>
                <w:bCs/>
                <w:color w:val="auto"/>
                <w:kern w:val="0"/>
                <w:sz w:val="24"/>
                <w:lang w:eastAsia="zh-CN"/>
              </w:rPr>
              <w:t>；</w:t>
            </w:r>
          </w:p>
          <w:p w14:paraId="61530FE5">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ascii="Times New Roman" w:hAnsi="Times New Roman" w:eastAsia="宋体" w:cs="Times New Roman"/>
                <w:b w:val="0"/>
                <w:bCs/>
                <w:color w:val="auto"/>
                <w:kern w:val="0"/>
                <w:sz w:val="24"/>
                <w:lang w:eastAsia="zh-CN"/>
              </w:rPr>
            </w:pPr>
            <w:r>
              <w:rPr>
                <w:rFonts w:hint="default" w:ascii="Times New Roman" w:hAnsi="Times New Roman" w:eastAsia="宋体" w:cs="Times New Roman"/>
                <w:b w:val="0"/>
                <w:bCs/>
                <w:color w:val="auto"/>
                <w:kern w:val="0"/>
                <w:sz w:val="24"/>
              </w:rPr>
              <w:t>②易产生扬尘的建筑材料采用封闭车辆运输</w:t>
            </w:r>
            <w:r>
              <w:rPr>
                <w:rFonts w:hint="eastAsia" w:cs="Times New Roman"/>
                <w:b w:val="0"/>
                <w:bCs/>
                <w:color w:val="auto"/>
                <w:kern w:val="0"/>
                <w:sz w:val="24"/>
                <w:lang w:eastAsia="zh-CN"/>
              </w:rPr>
              <w:t>；</w:t>
            </w:r>
          </w:p>
          <w:p w14:paraId="62BA45F1">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ascii="Times New Roman" w:hAnsi="Times New Roman" w:eastAsia="宋体" w:cs="Times New Roman"/>
                <w:b w:val="0"/>
                <w:bCs/>
                <w:color w:val="auto"/>
                <w:kern w:val="0"/>
                <w:sz w:val="24"/>
                <w:lang w:eastAsia="zh-CN"/>
              </w:rPr>
            </w:pPr>
            <w:r>
              <w:rPr>
                <w:rFonts w:hint="default" w:ascii="Times New Roman" w:hAnsi="Times New Roman" w:eastAsia="宋体" w:cs="Times New Roman"/>
                <w:b w:val="0"/>
                <w:bCs/>
                <w:color w:val="auto"/>
                <w:kern w:val="0"/>
                <w:sz w:val="24"/>
              </w:rPr>
              <w:t>③禁止物料高空抛撒，弃置围布、挡板，防止运输物料撒落</w:t>
            </w:r>
            <w:r>
              <w:rPr>
                <w:rFonts w:hint="eastAsia" w:cs="Times New Roman"/>
                <w:b w:val="0"/>
                <w:bCs/>
                <w:color w:val="auto"/>
                <w:kern w:val="0"/>
                <w:sz w:val="24"/>
                <w:lang w:eastAsia="zh-CN"/>
              </w:rPr>
              <w:t>；</w:t>
            </w:r>
          </w:p>
          <w:p w14:paraId="65C6123F">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b w:val="0"/>
                <w:bCs/>
                <w:color w:val="auto"/>
                <w:kern w:val="0"/>
                <w:sz w:val="24"/>
              </w:rPr>
              <w:t>④不设置混凝土搅拌站，采用外购成品混凝土。</w:t>
            </w:r>
          </w:p>
          <w:p w14:paraId="21EC9BF5">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（2）</w:t>
            </w:r>
            <w:r>
              <w:rPr>
                <w:rFonts w:hint="default" w:ascii="Times New Roman" w:hAnsi="Times New Roman" w:eastAsia="宋体" w:cs="Times New Roman"/>
                <w:b w:val="0"/>
                <w:bCs/>
                <w:color w:val="auto"/>
                <w:kern w:val="0"/>
                <w:sz w:val="24"/>
              </w:rPr>
              <w:t>运输道路扬尘采用定期</w:t>
            </w:r>
            <w:r>
              <w:rPr>
                <w:rFonts w:hint="eastAsia" w:cs="Times New Roman"/>
                <w:b w:val="0"/>
                <w:bCs/>
                <w:color w:val="auto"/>
                <w:kern w:val="0"/>
                <w:sz w:val="24"/>
                <w:lang w:eastAsia="zh-CN"/>
              </w:rPr>
              <w:t>洒</w:t>
            </w:r>
            <w:r>
              <w:rPr>
                <w:rFonts w:hint="default" w:ascii="Times New Roman" w:hAnsi="Times New Roman" w:eastAsia="宋体" w:cs="Times New Roman"/>
                <w:b w:val="0"/>
                <w:bCs/>
                <w:color w:val="auto"/>
                <w:kern w:val="0"/>
                <w:sz w:val="24"/>
              </w:rPr>
              <w:t>水治理措施，依托焚烧厂</w:t>
            </w:r>
            <w:r>
              <w:rPr>
                <w:rFonts w:hint="eastAsia" w:cs="Times New Roman"/>
                <w:b w:val="0"/>
                <w:bCs/>
                <w:color w:val="auto"/>
                <w:kern w:val="0"/>
                <w:sz w:val="24"/>
                <w:lang w:eastAsia="zh-CN"/>
              </w:rPr>
              <w:t>洒</w:t>
            </w:r>
            <w:r>
              <w:rPr>
                <w:rFonts w:hint="default" w:ascii="Times New Roman" w:hAnsi="Times New Roman" w:eastAsia="宋体" w:cs="Times New Roman"/>
                <w:b w:val="0"/>
                <w:bCs/>
                <w:color w:val="auto"/>
                <w:kern w:val="0"/>
                <w:sz w:val="24"/>
              </w:rPr>
              <w:t>水车，定时对运输道路进行</w:t>
            </w:r>
            <w:r>
              <w:rPr>
                <w:rFonts w:hint="eastAsia" w:cs="Times New Roman"/>
                <w:b w:val="0"/>
                <w:bCs/>
                <w:color w:val="auto"/>
                <w:kern w:val="0"/>
                <w:sz w:val="24"/>
                <w:lang w:eastAsia="zh-CN"/>
              </w:rPr>
              <w:t>洒</w:t>
            </w:r>
            <w:r>
              <w:rPr>
                <w:rFonts w:hint="default" w:ascii="Times New Roman" w:hAnsi="Times New Roman" w:eastAsia="宋体" w:cs="Times New Roman"/>
                <w:b w:val="0"/>
                <w:bCs/>
                <w:color w:val="auto"/>
                <w:kern w:val="0"/>
                <w:sz w:val="24"/>
              </w:rPr>
              <w:t>水</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合理选择施工运输路线，车速应适当控制，以减少道路扬尘。</w:t>
            </w:r>
          </w:p>
          <w:p w14:paraId="142C12A5">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（3）散装</w:t>
            </w:r>
            <w:r>
              <w:rPr>
                <w:rFonts w:hint="default" w:ascii="Times New Roman" w:hAnsi="Times New Roman" w:eastAsia="宋体" w:cs="Times New Roman"/>
                <w:b w:val="0"/>
                <w:bCs/>
                <w:color w:val="auto"/>
                <w:kern w:val="0"/>
                <w:sz w:val="24"/>
              </w:rPr>
              <w:t>建材应调置简易材料棚，在天气干燥、风速较大时，易扬尘物料应采用帆布或物料布覆盖。</w:t>
            </w:r>
          </w:p>
          <w:p w14:paraId="729FA5C9">
            <w:pPr>
              <w:keepNext w:val="0"/>
              <w:keepLines w:val="0"/>
              <w:pageBreakBefore w:val="0"/>
              <w:widowControl/>
              <w:kinsoku/>
              <w:wordWrap/>
              <w:overflowPunct/>
              <w:topLinePunct w:val="0"/>
              <w:autoSpaceDE/>
              <w:autoSpaceDN/>
              <w:bidi w:val="0"/>
              <w:adjustRightInd w:val="0"/>
              <w:snapToGrid w:val="0"/>
              <w:spacing w:line="360" w:lineRule="auto"/>
              <w:ind w:firstLine="723" w:firstLineChars="300"/>
              <w:jc w:val="left"/>
              <w:textAlignment w:val="auto"/>
              <w:rPr>
                <w:rFonts w:hint="default" w:ascii="Times New Roman" w:hAnsi="Times New Roman" w:eastAsia="宋体" w:cs="Times New Roman"/>
                <w:b/>
                <w:bCs w:val="0"/>
                <w:color w:val="auto"/>
                <w:kern w:val="0"/>
                <w:sz w:val="24"/>
              </w:rPr>
            </w:pPr>
            <w:r>
              <w:rPr>
                <w:rFonts w:hint="eastAsia" w:cs="Times New Roman"/>
                <w:b/>
                <w:bCs w:val="0"/>
                <w:color w:val="auto"/>
                <w:kern w:val="0"/>
                <w:sz w:val="24"/>
                <w:lang w:eastAsia="zh-CN"/>
              </w:rPr>
              <w:t>2.</w:t>
            </w:r>
            <w:r>
              <w:rPr>
                <w:rFonts w:hint="default" w:ascii="Times New Roman" w:hAnsi="Times New Roman" w:eastAsia="宋体" w:cs="Times New Roman"/>
                <w:b/>
                <w:bCs w:val="0"/>
                <w:color w:val="auto"/>
                <w:kern w:val="0"/>
                <w:sz w:val="24"/>
              </w:rPr>
              <w:t>施工期废水控制措施</w:t>
            </w:r>
          </w:p>
          <w:p w14:paraId="330171D1">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cs="Times New Roman"/>
                <w:b w:val="0"/>
                <w:bCs/>
                <w:color w:val="auto"/>
                <w:kern w:val="0"/>
                <w:sz w:val="24"/>
                <w:lang w:eastAsia="zh-CN"/>
              </w:rPr>
            </w:pPr>
            <w:r>
              <w:rPr>
                <w:rFonts w:hint="eastAsia" w:cs="Times New Roman"/>
                <w:b w:val="0"/>
                <w:bCs/>
                <w:color w:val="auto"/>
                <w:kern w:val="0"/>
                <w:sz w:val="24"/>
                <w:lang w:eastAsia="zh-CN"/>
              </w:rPr>
              <w:t>（1）</w:t>
            </w:r>
            <w:r>
              <w:rPr>
                <w:rFonts w:hint="default" w:ascii="Times New Roman" w:hAnsi="Times New Roman" w:eastAsia="宋体" w:cs="Times New Roman"/>
                <w:b w:val="0"/>
                <w:bCs/>
                <w:color w:val="auto"/>
                <w:kern w:val="0"/>
                <w:sz w:val="24"/>
              </w:rPr>
              <w:t>施工人员生活废水依托焚烧厂现有施工营地化粪池处理</w:t>
            </w:r>
            <w:r>
              <w:rPr>
                <w:rFonts w:hint="eastAsia" w:cs="Times New Roman"/>
                <w:b w:val="0"/>
                <w:bCs/>
                <w:color w:val="auto"/>
                <w:kern w:val="0"/>
                <w:sz w:val="24"/>
                <w:lang w:eastAsia="zh-CN"/>
              </w:rPr>
              <w:t>；</w:t>
            </w:r>
          </w:p>
          <w:p w14:paraId="6C07A808">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（2）</w:t>
            </w:r>
            <w:r>
              <w:rPr>
                <w:rFonts w:hint="default" w:ascii="Times New Roman" w:hAnsi="Times New Roman" w:eastAsia="宋体" w:cs="Times New Roman"/>
                <w:b w:val="0"/>
                <w:bCs/>
                <w:color w:val="auto"/>
                <w:kern w:val="0"/>
                <w:sz w:val="24"/>
              </w:rPr>
              <w:t>施工期生产废水主要为施工过程中的</w:t>
            </w:r>
            <w:r>
              <w:rPr>
                <w:rFonts w:hint="eastAsia" w:cs="Times New Roman"/>
                <w:b w:val="0"/>
                <w:bCs/>
                <w:color w:val="auto"/>
                <w:kern w:val="0"/>
                <w:sz w:val="24"/>
                <w:lang w:eastAsia="zh-CN"/>
              </w:rPr>
              <w:t>洒</w:t>
            </w:r>
            <w:r>
              <w:rPr>
                <w:rFonts w:hint="default" w:ascii="Times New Roman" w:hAnsi="Times New Roman" w:eastAsia="宋体" w:cs="Times New Roman"/>
                <w:b w:val="0"/>
                <w:bCs/>
                <w:color w:val="auto"/>
                <w:kern w:val="0"/>
                <w:sz w:val="24"/>
              </w:rPr>
              <w:t>水降尘和冲洗废水，现场设置沉淀池，该部分废水可循环利用，不外排。</w:t>
            </w:r>
          </w:p>
          <w:p w14:paraId="63AB83F1">
            <w:pPr>
              <w:keepNext w:val="0"/>
              <w:keepLines w:val="0"/>
              <w:pageBreakBefore w:val="0"/>
              <w:widowControl/>
              <w:kinsoku/>
              <w:wordWrap/>
              <w:overflowPunct/>
              <w:topLinePunct w:val="0"/>
              <w:autoSpaceDE/>
              <w:autoSpaceDN/>
              <w:bidi w:val="0"/>
              <w:adjustRightInd w:val="0"/>
              <w:snapToGrid w:val="0"/>
              <w:spacing w:line="360" w:lineRule="auto"/>
              <w:ind w:firstLine="723" w:firstLineChars="300"/>
              <w:jc w:val="left"/>
              <w:textAlignment w:val="auto"/>
              <w:rPr>
                <w:rFonts w:hint="default" w:ascii="Times New Roman" w:hAnsi="Times New Roman" w:eastAsia="宋体" w:cs="Times New Roman"/>
                <w:b/>
                <w:bCs w:val="0"/>
                <w:color w:val="auto"/>
                <w:kern w:val="0"/>
                <w:sz w:val="24"/>
              </w:rPr>
            </w:pPr>
            <w:r>
              <w:rPr>
                <w:rFonts w:hint="eastAsia" w:cs="Times New Roman"/>
                <w:b/>
                <w:bCs w:val="0"/>
                <w:color w:val="auto"/>
                <w:kern w:val="0"/>
                <w:sz w:val="24"/>
                <w:lang w:eastAsia="zh-CN"/>
              </w:rPr>
              <w:t>3.</w:t>
            </w:r>
            <w:r>
              <w:rPr>
                <w:rFonts w:hint="default" w:ascii="Times New Roman" w:hAnsi="Times New Roman" w:eastAsia="宋体" w:cs="Times New Roman"/>
                <w:b/>
                <w:bCs w:val="0"/>
                <w:color w:val="auto"/>
                <w:kern w:val="0"/>
                <w:sz w:val="24"/>
              </w:rPr>
              <w:t>施工期噪声控制措施</w:t>
            </w:r>
          </w:p>
          <w:p w14:paraId="2FC36654">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（1）</w:t>
            </w:r>
            <w:r>
              <w:rPr>
                <w:rFonts w:hint="default" w:ascii="Times New Roman" w:hAnsi="Times New Roman" w:eastAsia="宋体" w:cs="Times New Roman"/>
                <w:b w:val="0"/>
                <w:bCs/>
                <w:color w:val="auto"/>
                <w:kern w:val="0"/>
                <w:sz w:val="24"/>
              </w:rPr>
              <w:t>选用低噪声的施工设备、合理安排施工计划，设备要定期维修</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安排施工计划时避免同一地点集中</w:t>
            </w:r>
            <w:r>
              <w:rPr>
                <w:rFonts w:hint="eastAsia" w:cs="Times New Roman"/>
                <w:b w:val="0"/>
                <w:bCs/>
                <w:color w:val="auto"/>
                <w:kern w:val="0"/>
                <w:sz w:val="24"/>
                <w:lang w:eastAsia="zh-CN"/>
              </w:rPr>
              <w:t>使用</w:t>
            </w:r>
            <w:r>
              <w:rPr>
                <w:rFonts w:hint="default" w:ascii="Times New Roman" w:hAnsi="Times New Roman" w:eastAsia="宋体" w:cs="Times New Roman"/>
                <w:b w:val="0"/>
                <w:bCs/>
                <w:color w:val="auto"/>
                <w:kern w:val="0"/>
                <w:sz w:val="24"/>
              </w:rPr>
              <w:t>高噪声设备。</w:t>
            </w:r>
          </w:p>
          <w:p w14:paraId="747E9BF3">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（2）</w:t>
            </w:r>
            <w:r>
              <w:rPr>
                <w:rFonts w:hint="default" w:ascii="Times New Roman" w:hAnsi="Times New Roman" w:eastAsia="宋体" w:cs="Times New Roman"/>
                <w:b w:val="0"/>
                <w:bCs/>
                <w:color w:val="auto"/>
                <w:kern w:val="0"/>
                <w:sz w:val="24"/>
              </w:rPr>
              <w:t>合理安排作业时间</w:t>
            </w:r>
          </w:p>
          <w:p w14:paraId="2237BB20">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b w:val="0"/>
                <w:bCs/>
                <w:color w:val="auto"/>
                <w:kern w:val="0"/>
                <w:sz w:val="24"/>
              </w:rPr>
              <w:t>原则上禁止夜间</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夜间10:00</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次日上午6:00</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内施工，如果确需在此时段内施工，要提前向环境管理部门通报。</w:t>
            </w:r>
          </w:p>
          <w:p w14:paraId="5AF3EEC4">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（3）</w:t>
            </w:r>
            <w:r>
              <w:rPr>
                <w:rFonts w:hint="default" w:ascii="Times New Roman" w:hAnsi="Times New Roman" w:eastAsia="宋体" w:cs="Times New Roman"/>
                <w:b w:val="0"/>
                <w:bCs/>
                <w:color w:val="auto"/>
                <w:kern w:val="0"/>
                <w:sz w:val="24"/>
              </w:rPr>
              <w:t>合理安排运输路线和运输时间施工运输的大型车辆，应尽量避开居民稠密区，严格按照规定的运输路线和运输时间进行运输。运输车辆穿过村镇时，要限速行驶，禁止鸣笛。</w:t>
            </w:r>
          </w:p>
          <w:p w14:paraId="19EDC500">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（4）</w:t>
            </w:r>
            <w:r>
              <w:rPr>
                <w:rFonts w:hint="default" w:ascii="Times New Roman" w:hAnsi="Times New Roman" w:eastAsia="宋体" w:cs="Times New Roman"/>
                <w:b w:val="0"/>
                <w:bCs/>
                <w:color w:val="auto"/>
                <w:kern w:val="0"/>
                <w:sz w:val="24"/>
              </w:rPr>
              <w:t>高噪声机械设备操作人员采取轮流工作制，减少工人接触高噪声的时间，并要求</w:t>
            </w:r>
            <w:r>
              <w:rPr>
                <w:rFonts w:hint="eastAsia" w:cs="Times New Roman"/>
                <w:b w:val="0"/>
                <w:bCs/>
                <w:color w:val="auto"/>
                <w:kern w:val="0"/>
                <w:sz w:val="24"/>
                <w:lang w:eastAsia="zh-CN"/>
              </w:rPr>
              <w:t>佩戴</w:t>
            </w:r>
            <w:r>
              <w:rPr>
                <w:rFonts w:hint="default" w:ascii="Times New Roman" w:hAnsi="Times New Roman" w:eastAsia="宋体" w:cs="Times New Roman"/>
                <w:b w:val="0"/>
                <w:bCs/>
                <w:color w:val="auto"/>
                <w:kern w:val="0"/>
                <w:sz w:val="24"/>
              </w:rPr>
              <w:t>防护耳塞。</w:t>
            </w:r>
          </w:p>
          <w:p w14:paraId="5E0F5701">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（5）</w:t>
            </w:r>
            <w:r>
              <w:rPr>
                <w:rFonts w:hint="default" w:ascii="Times New Roman" w:hAnsi="Times New Roman" w:eastAsia="宋体" w:cs="Times New Roman"/>
                <w:b w:val="0"/>
                <w:bCs/>
                <w:color w:val="auto"/>
                <w:kern w:val="0"/>
                <w:sz w:val="24"/>
              </w:rPr>
              <w:t>建设单位在进行工程承包时</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应将有关施工噪声控制纳入承包内容并在施工和工程监理过程中</w:t>
            </w:r>
            <w:r>
              <w:rPr>
                <w:rFonts w:hint="eastAsia" w:cs="Times New Roman"/>
                <w:b w:val="0"/>
                <w:bCs/>
                <w:color w:val="auto"/>
                <w:kern w:val="0"/>
                <w:sz w:val="24"/>
                <w:lang w:eastAsia="zh-CN"/>
              </w:rPr>
              <w:t>设立</w:t>
            </w:r>
            <w:r>
              <w:rPr>
                <w:rFonts w:hint="default" w:ascii="Times New Roman" w:hAnsi="Times New Roman" w:eastAsia="宋体" w:cs="Times New Roman"/>
                <w:b w:val="0"/>
                <w:bCs/>
                <w:color w:val="auto"/>
                <w:kern w:val="0"/>
                <w:sz w:val="24"/>
              </w:rPr>
              <w:t>专人负责，施工单位应主动接受环保部门的监督管理和检查。</w:t>
            </w:r>
          </w:p>
          <w:p w14:paraId="1B8C8068">
            <w:pPr>
              <w:keepNext w:val="0"/>
              <w:keepLines w:val="0"/>
              <w:pageBreakBefore w:val="0"/>
              <w:widowControl/>
              <w:kinsoku/>
              <w:wordWrap/>
              <w:overflowPunct/>
              <w:topLinePunct w:val="0"/>
              <w:autoSpaceDE/>
              <w:autoSpaceDN/>
              <w:bidi w:val="0"/>
              <w:adjustRightInd w:val="0"/>
              <w:snapToGrid w:val="0"/>
              <w:spacing w:line="360" w:lineRule="auto"/>
              <w:ind w:firstLine="723" w:firstLineChars="300"/>
              <w:jc w:val="left"/>
              <w:textAlignment w:val="auto"/>
              <w:rPr>
                <w:rFonts w:hint="default" w:ascii="Times New Roman" w:hAnsi="Times New Roman" w:eastAsia="宋体" w:cs="Times New Roman"/>
                <w:b/>
                <w:bCs w:val="0"/>
                <w:color w:val="auto"/>
                <w:kern w:val="0"/>
                <w:sz w:val="24"/>
              </w:rPr>
            </w:pPr>
            <w:r>
              <w:rPr>
                <w:rFonts w:hint="eastAsia" w:cs="Times New Roman"/>
                <w:b/>
                <w:bCs w:val="0"/>
                <w:color w:val="auto"/>
                <w:kern w:val="0"/>
                <w:sz w:val="24"/>
                <w:lang w:eastAsia="zh-CN"/>
              </w:rPr>
              <w:t>4.</w:t>
            </w:r>
            <w:r>
              <w:rPr>
                <w:rFonts w:hint="default" w:ascii="Times New Roman" w:hAnsi="Times New Roman" w:eastAsia="宋体" w:cs="Times New Roman"/>
                <w:b/>
                <w:bCs w:val="0"/>
                <w:color w:val="auto"/>
                <w:kern w:val="0"/>
                <w:sz w:val="24"/>
              </w:rPr>
              <w:t>施工期固体废物控制措施</w:t>
            </w:r>
          </w:p>
          <w:p w14:paraId="54B79F74">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eastAsia" w:cs="Times New Roman"/>
                <w:b w:val="0"/>
                <w:bCs/>
                <w:color w:val="auto"/>
                <w:kern w:val="0"/>
                <w:sz w:val="24"/>
                <w:lang w:eastAsia="zh-CN"/>
              </w:rPr>
              <w:t>（1）</w:t>
            </w:r>
            <w:r>
              <w:rPr>
                <w:rFonts w:hint="default" w:ascii="Times New Roman" w:hAnsi="Times New Roman" w:eastAsia="宋体" w:cs="Times New Roman"/>
                <w:b w:val="0"/>
                <w:bCs/>
                <w:color w:val="auto"/>
                <w:kern w:val="0"/>
                <w:sz w:val="24"/>
              </w:rPr>
              <w:t>本项目利用焚烧厂现有用地地块进行建设</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项目区域地势平坦施工期多余的少量土方用于厂区绿化用土</w:t>
            </w:r>
            <w:r>
              <w:rPr>
                <w:rFonts w:hint="eastAsia" w:cs="Times New Roman"/>
                <w:b w:val="0"/>
                <w:bCs/>
                <w:color w:val="auto"/>
                <w:kern w:val="0"/>
                <w:sz w:val="24"/>
                <w:lang w:eastAsia="zh-CN"/>
              </w:rPr>
              <w:t>，</w:t>
            </w:r>
            <w:r>
              <w:rPr>
                <w:rFonts w:hint="default" w:ascii="Times New Roman" w:hAnsi="Times New Roman" w:eastAsia="宋体" w:cs="Times New Roman"/>
                <w:b w:val="0"/>
                <w:bCs/>
                <w:color w:val="auto"/>
                <w:kern w:val="0"/>
                <w:sz w:val="24"/>
              </w:rPr>
              <w:t>项目施工期可以做到土石方平衡。施工现场废弃的建筑垃圾宜分类回收，施工中产生的碎砖、石、砼块、黄沙等建筑垃圾，可回收利用的全部回收利用，不可回收的建筑废料外运需向市容环境卫生主管部门</w:t>
            </w:r>
            <w:r>
              <w:rPr>
                <w:rFonts w:hint="eastAsia" w:cs="Times New Roman"/>
                <w:b w:val="0"/>
                <w:bCs/>
                <w:color w:val="auto"/>
                <w:kern w:val="0"/>
                <w:sz w:val="24"/>
                <w:lang w:eastAsia="zh-CN"/>
              </w:rPr>
              <w:t>申请</w:t>
            </w:r>
            <w:r>
              <w:rPr>
                <w:rFonts w:hint="default" w:ascii="Times New Roman" w:hAnsi="Times New Roman" w:eastAsia="宋体" w:cs="Times New Roman"/>
                <w:b w:val="0"/>
                <w:bCs/>
                <w:color w:val="auto"/>
                <w:kern w:val="0"/>
                <w:sz w:val="24"/>
              </w:rPr>
              <w:t>，堆放至其指定</w:t>
            </w:r>
            <w:r>
              <w:rPr>
                <w:rFonts w:hint="eastAsia" w:cs="Times New Roman"/>
                <w:b w:val="0"/>
                <w:bCs/>
                <w:color w:val="auto"/>
                <w:kern w:val="0"/>
                <w:sz w:val="24"/>
                <w:lang w:eastAsia="zh-CN"/>
              </w:rPr>
              <w:t>的履有</w:t>
            </w:r>
            <w:r>
              <w:rPr>
                <w:rFonts w:hint="default" w:ascii="Times New Roman" w:hAnsi="Times New Roman" w:eastAsia="宋体" w:cs="Times New Roman"/>
                <w:b w:val="0"/>
                <w:bCs/>
                <w:color w:val="auto"/>
                <w:kern w:val="0"/>
                <w:sz w:val="24"/>
              </w:rPr>
              <w:t>相关手续的合法弃土场，严禁随意乱倒。</w:t>
            </w:r>
          </w:p>
          <w:p w14:paraId="019F3302">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ascii="Times New Roman" w:hAnsi="Times New Roman" w:eastAsia="宋体" w:cs="Times New Roman"/>
                <w:b w:val="0"/>
                <w:bCs/>
                <w:color w:val="auto"/>
                <w:kern w:val="0"/>
                <w:sz w:val="24"/>
                <w:lang w:val="en-US" w:eastAsia="zh-CN"/>
              </w:rPr>
            </w:pPr>
            <w:r>
              <w:rPr>
                <w:rFonts w:hint="eastAsia" w:cs="Times New Roman"/>
                <w:b w:val="0"/>
                <w:bCs/>
                <w:color w:val="auto"/>
                <w:kern w:val="0"/>
                <w:sz w:val="24"/>
                <w:lang w:eastAsia="zh-CN"/>
              </w:rPr>
              <w:t>（2）</w:t>
            </w:r>
            <w:r>
              <w:rPr>
                <w:rFonts w:hint="default" w:ascii="Times New Roman" w:hAnsi="Times New Roman" w:eastAsia="宋体" w:cs="Times New Roman"/>
                <w:b w:val="0"/>
                <w:bCs/>
                <w:color w:val="auto"/>
                <w:kern w:val="0"/>
                <w:sz w:val="24"/>
              </w:rPr>
              <w:t>施工人员生活垃圾由焚烧厂现有施工营地处置。</w:t>
            </w:r>
          </w:p>
          <w:p w14:paraId="06BFEC0F">
            <w:pPr>
              <w:widowControl/>
              <w:adjustRightInd w:val="0"/>
              <w:snapToGrid w:val="0"/>
              <w:spacing w:before="120" w:beforeLines="50" w:line="360" w:lineRule="auto"/>
              <w:ind w:firstLine="723" w:firstLineChars="300"/>
              <w:jc w:val="left"/>
              <w:rPr>
                <w:rFonts w:ascii="Times New Roman" w:hAnsi="Times New Roman" w:eastAsia="宋体" w:cs="Times New Roman"/>
                <w:b/>
                <w:color w:val="auto"/>
                <w:kern w:val="0"/>
                <w:sz w:val="24"/>
              </w:rPr>
            </w:pPr>
          </w:p>
          <w:p w14:paraId="7B4BA4D7">
            <w:pPr>
              <w:widowControl/>
              <w:adjustRightInd w:val="0"/>
              <w:snapToGrid w:val="0"/>
              <w:spacing w:before="120" w:beforeLines="50" w:line="360" w:lineRule="auto"/>
              <w:ind w:firstLine="723" w:firstLineChars="300"/>
              <w:jc w:val="left"/>
              <w:rPr>
                <w:rFonts w:ascii="Times New Roman" w:hAnsi="Times New Roman" w:eastAsia="宋体" w:cs="Times New Roman"/>
                <w:b/>
                <w:color w:val="auto"/>
                <w:kern w:val="0"/>
                <w:sz w:val="24"/>
              </w:rPr>
            </w:pPr>
          </w:p>
          <w:p w14:paraId="0D7E0CBB">
            <w:pPr>
              <w:pStyle w:val="42"/>
              <w:rPr>
                <w:rFonts w:ascii="Times New Roman" w:hAnsi="Times New Roman" w:eastAsia="宋体" w:cs="Times New Roman"/>
                <w:b/>
                <w:color w:val="auto"/>
                <w:kern w:val="0"/>
                <w:sz w:val="24"/>
              </w:rPr>
            </w:pPr>
          </w:p>
          <w:p w14:paraId="482B77D1">
            <w:pPr>
              <w:pStyle w:val="32"/>
              <w:rPr>
                <w:rFonts w:ascii="Times New Roman" w:hAnsi="Times New Roman" w:eastAsia="宋体" w:cs="Times New Roman"/>
                <w:b/>
                <w:color w:val="auto"/>
                <w:kern w:val="0"/>
                <w:sz w:val="24"/>
              </w:rPr>
            </w:pPr>
          </w:p>
          <w:p w14:paraId="31CDE9A7">
            <w:pPr>
              <w:pStyle w:val="42"/>
              <w:rPr>
                <w:rFonts w:ascii="Times New Roman" w:hAnsi="Times New Roman" w:eastAsia="宋体" w:cs="Times New Roman"/>
                <w:b/>
                <w:color w:val="auto"/>
                <w:kern w:val="0"/>
                <w:sz w:val="24"/>
              </w:rPr>
            </w:pPr>
          </w:p>
          <w:p w14:paraId="0B116003">
            <w:pPr>
              <w:pStyle w:val="32"/>
              <w:rPr>
                <w:rFonts w:ascii="Times New Roman" w:hAnsi="Times New Roman" w:eastAsia="宋体" w:cs="Times New Roman"/>
                <w:b/>
                <w:color w:val="auto"/>
                <w:kern w:val="0"/>
                <w:sz w:val="24"/>
              </w:rPr>
            </w:pPr>
          </w:p>
          <w:p w14:paraId="7372DAF0">
            <w:pPr>
              <w:pStyle w:val="42"/>
              <w:rPr>
                <w:rFonts w:ascii="Times New Roman" w:hAnsi="Times New Roman" w:eastAsia="宋体" w:cs="Times New Roman"/>
                <w:b/>
                <w:color w:val="auto"/>
                <w:kern w:val="0"/>
                <w:sz w:val="24"/>
              </w:rPr>
            </w:pPr>
          </w:p>
          <w:p w14:paraId="625D97A9">
            <w:pPr>
              <w:pStyle w:val="32"/>
              <w:rPr>
                <w:rFonts w:ascii="Times New Roman" w:hAnsi="Times New Roman" w:eastAsia="宋体" w:cs="Times New Roman"/>
                <w:b/>
                <w:color w:val="auto"/>
                <w:kern w:val="0"/>
                <w:sz w:val="24"/>
              </w:rPr>
            </w:pPr>
          </w:p>
          <w:p w14:paraId="183E342D">
            <w:pPr>
              <w:pStyle w:val="42"/>
              <w:rPr>
                <w:rFonts w:ascii="Times New Roman" w:hAnsi="Times New Roman" w:eastAsia="宋体" w:cs="Times New Roman"/>
                <w:b/>
                <w:color w:val="auto"/>
                <w:kern w:val="0"/>
                <w:sz w:val="24"/>
              </w:rPr>
            </w:pPr>
          </w:p>
          <w:p w14:paraId="2584B329">
            <w:pPr>
              <w:pStyle w:val="32"/>
              <w:rPr>
                <w:rFonts w:ascii="Times New Roman" w:hAnsi="Times New Roman" w:eastAsia="宋体" w:cs="Times New Roman"/>
                <w:b/>
                <w:color w:val="auto"/>
                <w:kern w:val="0"/>
                <w:sz w:val="24"/>
              </w:rPr>
            </w:pPr>
          </w:p>
          <w:p w14:paraId="343DD9FB">
            <w:pPr>
              <w:pStyle w:val="42"/>
              <w:rPr>
                <w:rFonts w:ascii="Times New Roman" w:hAnsi="Times New Roman" w:eastAsia="宋体" w:cs="Times New Roman"/>
                <w:b/>
                <w:color w:val="auto"/>
                <w:kern w:val="0"/>
                <w:sz w:val="24"/>
              </w:rPr>
            </w:pPr>
          </w:p>
          <w:p w14:paraId="10C6470D">
            <w:pPr>
              <w:pStyle w:val="32"/>
              <w:rPr>
                <w:rFonts w:ascii="Times New Roman" w:hAnsi="Times New Roman" w:eastAsia="宋体" w:cs="Times New Roman"/>
                <w:b/>
                <w:color w:val="auto"/>
                <w:kern w:val="0"/>
                <w:sz w:val="24"/>
              </w:rPr>
            </w:pPr>
          </w:p>
          <w:p w14:paraId="7382DDA4">
            <w:pPr>
              <w:pStyle w:val="42"/>
              <w:rPr>
                <w:rFonts w:ascii="Times New Roman" w:hAnsi="Times New Roman" w:eastAsia="宋体" w:cs="Times New Roman"/>
                <w:b/>
                <w:color w:val="auto"/>
                <w:kern w:val="0"/>
                <w:sz w:val="24"/>
              </w:rPr>
            </w:pPr>
          </w:p>
          <w:p w14:paraId="37E033AA">
            <w:pPr>
              <w:pStyle w:val="32"/>
              <w:rPr>
                <w:rFonts w:ascii="Times New Roman" w:hAnsi="Times New Roman" w:eastAsia="宋体" w:cs="Times New Roman"/>
                <w:b/>
                <w:color w:val="auto"/>
                <w:kern w:val="0"/>
                <w:sz w:val="24"/>
              </w:rPr>
            </w:pPr>
          </w:p>
          <w:p w14:paraId="1B8BF4FE">
            <w:pPr>
              <w:pStyle w:val="42"/>
              <w:rPr>
                <w:rFonts w:ascii="Times New Roman" w:hAnsi="Times New Roman" w:eastAsia="宋体" w:cs="Times New Roman"/>
                <w:b/>
                <w:color w:val="auto"/>
                <w:kern w:val="0"/>
                <w:sz w:val="24"/>
              </w:rPr>
            </w:pPr>
          </w:p>
          <w:p w14:paraId="21B9EC6A">
            <w:pPr>
              <w:pStyle w:val="32"/>
              <w:rPr>
                <w:rFonts w:ascii="Times New Roman" w:hAnsi="Times New Roman" w:eastAsia="宋体" w:cs="Times New Roman"/>
                <w:b/>
                <w:color w:val="auto"/>
                <w:kern w:val="0"/>
                <w:sz w:val="24"/>
              </w:rPr>
            </w:pPr>
          </w:p>
          <w:p w14:paraId="52685A89">
            <w:pPr>
              <w:pStyle w:val="42"/>
              <w:rPr>
                <w:rFonts w:ascii="Times New Roman" w:hAnsi="Times New Roman" w:eastAsia="宋体" w:cs="Times New Roman"/>
                <w:b/>
                <w:color w:val="auto"/>
                <w:kern w:val="0"/>
                <w:sz w:val="24"/>
              </w:rPr>
            </w:pPr>
          </w:p>
          <w:p w14:paraId="51C8EB09">
            <w:pPr>
              <w:pStyle w:val="32"/>
              <w:rPr>
                <w:rFonts w:ascii="Times New Roman" w:hAnsi="Times New Roman" w:eastAsia="宋体" w:cs="Times New Roman"/>
                <w:b/>
                <w:color w:val="auto"/>
                <w:kern w:val="0"/>
                <w:sz w:val="24"/>
              </w:rPr>
            </w:pPr>
          </w:p>
          <w:p w14:paraId="14E74499">
            <w:pPr>
              <w:pStyle w:val="42"/>
              <w:rPr>
                <w:rFonts w:ascii="Times New Roman" w:hAnsi="Times New Roman" w:eastAsia="宋体" w:cs="Times New Roman"/>
                <w:b/>
                <w:color w:val="auto"/>
                <w:kern w:val="0"/>
                <w:sz w:val="24"/>
              </w:rPr>
            </w:pPr>
          </w:p>
          <w:p w14:paraId="3743D66F">
            <w:pPr>
              <w:pStyle w:val="32"/>
              <w:rPr>
                <w:rFonts w:ascii="Times New Roman" w:hAnsi="Times New Roman" w:eastAsia="宋体" w:cs="Times New Roman"/>
                <w:b/>
                <w:color w:val="auto"/>
                <w:kern w:val="0"/>
                <w:sz w:val="24"/>
              </w:rPr>
            </w:pPr>
          </w:p>
          <w:p w14:paraId="1E34B367">
            <w:pPr>
              <w:pStyle w:val="42"/>
              <w:rPr>
                <w:rFonts w:ascii="Times New Roman" w:hAnsi="Times New Roman" w:eastAsia="宋体" w:cs="Times New Roman"/>
                <w:b/>
                <w:color w:val="auto"/>
                <w:kern w:val="0"/>
                <w:sz w:val="24"/>
              </w:rPr>
            </w:pPr>
          </w:p>
          <w:p w14:paraId="50E2A727">
            <w:pPr>
              <w:pStyle w:val="32"/>
              <w:rPr>
                <w:rFonts w:ascii="Times New Roman" w:hAnsi="Times New Roman" w:eastAsia="宋体" w:cs="Times New Roman"/>
                <w:b/>
                <w:color w:val="auto"/>
                <w:kern w:val="0"/>
                <w:sz w:val="24"/>
              </w:rPr>
            </w:pPr>
          </w:p>
          <w:p w14:paraId="2A4A5DAF">
            <w:pPr>
              <w:pStyle w:val="42"/>
              <w:rPr>
                <w:rFonts w:ascii="Times New Roman" w:hAnsi="Times New Roman" w:eastAsia="宋体" w:cs="Times New Roman"/>
                <w:b/>
                <w:color w:val="auto"/>
                <w:kern w:val="0"/>
                <w:sz w:val="24"/>
              </w:rPr>
            </w:pPr>
          </w:p>
          <w:p w14:paraId="2C12A36A">
            <w:pPr>
              <w:autoSpaceDE w:val="0"/>
              <w:autoSpaceDN w:val="0"/>
              <w:adjustRightInd w:val="0"/>
              <w:snapToGrid w:val="0"/>
              <w:spacing w:line="360" w:lineRule="auto"/>
              <w:ind w:firstLine="482" w:firstLineChars="200"/>
              <w:rPr>
                <w:b/>
                <w:color w:val="auto"/>
                <w:sz w:val="24"/>
              </w:rPr>
            </w:pPr>
          </w:p>
        </w:tc>
      </w:tr>
    </w:tbl>
    <w:p w14:paraId="2921F16F">
      <w:pPr>
        <w:adjustRightInd w:val="0"/>
        <w:snapToGrid w:val="0"/>
        <w:jc w:val="center"/>
        <w:rPr>
          <w:rFonts w:hAnsi="宋体"/>
          <w:b/>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hAnsi="宋体"/>
          <w:b/>
          <w:bCs/>
          <w:color w:val="auto"/>
          <w:sz w:val="24"/>
        </w:rPr>
        <w:br w:type="page"/>
      </w:r>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2"/>
      </w:tblGrid>
      <w:tr w14:paraId="25554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4" w:hRule="atLeast"/>
          <w:jc w:val="center"/>
        </w:trPr>
        <w:tc>
          <w:tcPr>
            <w:tcW w:w="131" w:type="pct"/>
            <w:tcMar>
              <w:left w:w="28" w:type="dxa"/>
              <w:right w:w="28" w:type="dxa"/>
            </w:tcMar>
            <w:vAlign w:val="center"/>
          </w:tcPr>
          <w:p w14:paraId="35EA1CF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br w:type="page"/>
            </w:r>
            <w:r>
              <w:rPr>
                <w:rFonts w:hint="default" w:ascii="Times New Roman" w:hAnsi="Times New Roman" w:cs="Times New Roman"/>
                <w:b/>
                <w:bCs/>
                <w:color w:val="auto"/>
                <w:sz w:val="24"/>
              </w:rPr>
              <w:t>运营</w:t>
            </w:r>
          </w:p>
          <w:p w14:paraId="79F87A6B">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14:paraId="55081DA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14:paraId="0950563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14:paraId="10A72F1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14:paraId="2C308313">
            <w:pPr>
              <w:pStyle w:val="29"/>
              <w:adjustRightInd w:val="0"/>
              <w:snapToGrid w:val="0"/>
              <w:spacing w:before="0" w:beforeAutospacing="0" w:after="0" w:afterAutospacing="0"/>
              <w:jc w:val="center"/>
              <w:rPr>
                <w:rFonts w:hint="default" w:ascii="Times New Roman" w:hAnsi="Times New Roman" w:cs="Times New Roman"/>
                <w:b/>
                <w:color w:val="auto"/>
                <w:kern w:val="2"/>
                <w:sz w:val="21"/>
                <w:szCs w:val="21"/>
              </w:rPr>
            </w:pPr>
            <w:r>
              <w:rPr>
                <w:rFonts w:hint="default" w:ascii="Times New Roman" w:hAnsi="Times New Roman" w:cs="Times New Roman"/>
                <w:b/>
                <w:bCs/>
                <w:color w:val="auto"/>
              </w:rPr>
              <w:t>措施</w:t>
            </w:r>
          </w:p>
        </w:tc>
        <w:tc>
          <w:tcPr>
            <w:tcW w:w="4868" w:type="pct"/>
            <w:vAlign w:val="center"/>
          </w:tcPr>
          <w:p w14:paraId="1CAD308A">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1.废气</w:t>
            </w:r>
          </w:p>
          <w:p w14:paraId="03591207">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1.1废气产生环节及源强分析</w:t>
            </w:r>
          </w:p>
          <w:p w14:paraId="7CA487F8">
            <w:pPr>
              <w:widowControl/>
              <w:adjustRightInd w:val="0"/>
              <w:snapToGrid w:val="0"/>
              <w:spacing w:line="360" w:lineRule="auto"/>
              <w:ind w:firstLine="480" w:firstLineChars="200"/>
              <w:rPr>
                <w:rFonts w:hint="eastAsia"/>
                <w:color w:val="auto"/>
                <w:sz w:val="24"/>
                <w:u w:val="none"/>
              </w:rPr>
            </w:pPr>
            <w:r>
              <w:rPr>
                <w:rFonts w:hint="eastAsia"/>
                <w:color w:val="auto"/>
                <w:sz w:val="24"/>
                <w:lang w:eastAsia="zh-CN"/>
              </w:rPr>
              <w:t>飞灰暂存库产生氨气体，经</w:t>
            </w:r>
            <w:r>
              <w:rPr>
                <w:rFonts w:hint="eastAsia"/>
                <w:color w:val="auto"/>
                <w:sz w:val="24"/>
                <w:lang w:val="en-US" w:eastAsia="zh-CN"/>
              </w:rPr>
              <w:t>15米高排气筒排放。</w:t>
            </w:r>
            <w:r>
              <w:rPr>
                <w:rFonts w:hint="eastAsia"/>
                <w:color w:val="auto"/>
                <w:sz w:val="24"/>
                <w:u w:val="none"/>
              </w:rPr>
              <w:t>项目飞灰为粉夹粒状态，同时，企业在运输前将</w:t>
            </w:r>
            <w:r>
              <w:rPr>
                <w:rFonts w:hint="eastAsia"/>
                <w:color w:val="auto"/>
                <w:sz w:val="24"/>
                <w:u w:val="none"/>
                <w:lang w:eastAsia="zh-CN"/>
              </w:rPr>
              <w:t>螯合后</w:t>
            </w:r>
            <w:r>
              <w:rPr>
                <w:rFonts w:hint="eastAsia"/>
                <w:color w:val="auto"/>
                <w:sz w:val="24"/>
                <w:u w:val="none"/>
              </w:rPr>
              <w:t>飞灰密封包装于防水吨包内，通过专门运输车辆密闭运输至飞灰贮存库，本项目飞灰暂存过程没有粉尘产生；叉车运输会产生少量汽车尾气，定期维护保养车辆减少汽车尾气产生，因此本项目对周围环境空气影响较小。</w:t>
            </w:r>
          </w:p>
          <w:p w14:paraId="5004E680">
            <w:pPr>
              <w:pStyle w:val="150"/>
              <w:adjustRightInd/>
              <w:snapToGrid/>
              <w:spacing w:line="360" w:lineRule="auto"/>
              <w:rPr>
                <w:rFonts w:hint="eastAsia"/>
                <w:color w:val="auto"/>
                <w:sz w:val="24"/>
                <w:lang w:eastAsia="zh-CN"/>
              </w:rPr>
            </w:pPr>
            <w:r>
              <w:rPr>
                <w:rFonts w:hint="eastAsia"/>
                <w:color w:val="auto"/>
                <w:sz w:val="24"/>
                <w:lang w:eastAsia="zh-CN"/>
              </w:rPr>
              <w:t>本次改建项目废气处理措施依托现有项目，现有项目已批已验项目对全厂</w:t>
            </w:r>
            <w:r>
              <w:rPr>
                <w:rFonts w:hint="eastAsia"/>
                <w:color w:val="auto"/>
                <w:sz w:val="24"/>
                <w:lang w:val="en-US" w:eastAsia="zh-CN"/>
              </w:rPr>
              <w:t>产生的</w:t>
            </w:r>
            <w:r>
              <w:rPr>
                <w:color w:val="auto"/>
                <w:sz w:val="24"/>
              </w:rPr>
              <w:t>氨</w:t>
            </w:r>
            <w:r>
              <w:rPr>
                <w:rFonts w:hint="eastAsia"/>
                <w:color w:val="auto"/>
                <w:sz w:val="24"/>
                <w:lang w:eastAsia="zh-CN"/>
              </w:rPr>
              <w:t>排放量按照满负荷飞灰量</w:t>
            </w:r>
            <w:r>
              <w:rPr>
                <w:rFonts w:hint="eastAsia"/>
                <w:color w:val="auto"/>
                <w:sz w:val="24"/>
                <w:lang w:val="en-US" w:eastAsia="zh-CN"/>
              </w:rPr>
              <w:t>15000吨</w:t>
            </w:r>
            <w:r>
              <w:rPr>
                <w:rFonts w:hint="eastAsia"/>
                <w:color w:val="auto"/>
                <w:sz w:val="24"/>
                <w:lang w:eastAsia="zh-CN"/>
              </w:rPr>
              <w:t>计算，（根</w:t>
            </w:r>
            <w:r>
              <w:rPr>
                <w:rFonts w:hint="eastAsia"/>
                <w:color w:val="auto"/>
                <w:sz w:val="24"/>
                <w:szCs w:val="24"/>
                <w:lang w:eastAsia="zh-CN"/>
              </w:rPr>
              <w:t>据现有环评中描述氨的源强计算过程如下：</w:t>
            </w:r>
            <w:r>
              <w:rPr>
                <w:rFonts w:hint="eastAsia" w:ascii="Times new  man" w:hAnsi="Times new  man"/>
                <w:color w:val="auto"/>
                <w:sz w:val="24"/>
                <w:szCs w:val="24"/>
              </w:rPr>
              <w:t>飞灰暂存场所恶臭，本次环评根据企业提供的2</w:t>
            </w:r>
            <w:r>
              <w:rPr>
                <w:rFonts w:ascii="Times new  man" w:hAnsi="Times new  man"/>
                <w:color w:val="auto"/>
                <w:sz w:val="24"/>
                <w:szCs w:val="24"/>
              </w:rPr>
              <w:t>021</w:t>
            </w:r>
            <w:r>
              <w:rPr>
                <w:rFonts w:hint="eastAsia" w:ascii="Times new  man" w:hAnsi="Times new  man"/>
                <w:color w:val="auto"/>
                <w:sz w:val="24"/>
                <w:szCs w:val="24"/>
              </w:rPr>
              <w:t>年检测数据来核算恶臭</w:t>
            </w:r>
            <w:r>
              <w:rPr>
                <w:rFonts w:hint="eastAsia" w:ascii="Times new  man" w:hAnsi="Times new  man"/>
                <w:color w:val="auto"/>
                <w:sz w:val="24"/>
                <w:szCs w:val="24"/>
                <w:lang w:eastAsia="zh-CN"/>
              </w:rPr>
              <w:t>废气</w:t>
            </w:r>
            <w:r>
              <w:rPr>
                <w:rFonts w:hint="eastAsia" w:ascii="Times new  man" w:hAnsi="Times new  man"/>
                <w:color w:val="auto"/>
                <w:sz w:val="24"/>
                <w:szCs w:val="24"/>
              </w:rPr>
              <w:t>排放量，根据2</w:t>
            </w:r>
            <w:r>
              <w:rPr>
                <w:rFonts w:ascii="Times new  man" w:hAnsi="Times new  man"/>
                <w:color w:val="auto"/>
                <w:sz w:val="24"/>
                <w:szCs w:val="24"/>
              </w:rPr>
              <w:t>021</w:t>
            </w:r>
            <w:r>
              <w:rPr>
                <w:rFonts w:hint="eastAsia" w:ascii="Times new  man" w:hAnsi="Times new  man"/>
                <w:color w:val="auto"/>
                <w:sz w:val="24"/>
                <w:szCs w:val="24"/>
              </w:rPr>
              <w:t>年1-</w:t>
            </w:r>
            <w:r>
              <w:rPr>
                <w:rFonts w:ascii="Times new  man" w:hAnsi="Times new  man"/>
                <w:color w:val="auto"/>
                <w:sz w:val="24"/>
                <w:szCs w:val="24"/>
              </w:rPr>
              <w:t>12</w:t>
            </w:r>
            <w:r>
              <w:rPr>
                <w:rFonts w:hint="eastAsia" w:ascii="Times new  man" w:hAnsi="Times new  man"/>
                <w:color w:val="auto"/>
                <w:sz w:val="24"/>
                <w:szCs w:val="24"/>
              </w:rPr>
              <w:t>月份监测报告，氨全年平均速率0</w:t>
            </w:r>
            <w:r>
              <w:rPr>
                <w:rFonts w:ascii="Times new  man" w:hAnsi="Times new  man"/>
                <w:color w:val="auto"/>
                <w:sz w:val="24"/>
                <w:szCs w:val="24"/>
              </w:rPr>
              <w:t>.043</w:t>
            </w:r>
            <w:r>
              <w:rPr>
                <w:rFonts w:hint="eastAsia" w:ascii="Times new  man" w:hAnsi="Times new  man"/>
                <w:color w:val="auto"/>
                <w:sz w:val="24"/>
                <w:szCs w:val="24"/>
              </w:rPr>
              <w:t>kg/h，全年按</w:t>
            </w:r>
            <w:r>
              <w:rPr>
                <w:rFonts w:ascii="Times new  man" w:hAnsi="Times new  man"/>
                <w:color w:val="auto"/>
                <w:sz w:val="24"/>
                <w:szCs w:val="24"/>
              </w:rPr>
              <w:t>8760</w:t>
            </w:r>
            <w:r>
              <w:rPr>
                <w:rFonts w:hint="eastAsia" w:ascii="Times new  man" w:hAnsi="Times new  man"/>
                <w:color w:val="auto"/>
                <w:sz w:val="24"/>
                <w:szCs w:val="24"/>
              </w:rPr>
              <w:t>h计算，年排放氨0</w:t>
            </w:r>
            <w:r>
              <w:rPr>
                <w:rFonts w:ascii="Times new  man" w:hAnsi="Times new  man"/>
                <w:color w:val="auto"/>
                <w:sz w:val="24"/>
                <w:szCs w:val="24"/>
              </w:rPr>
              <w:t>.377</w:t>
            </w:r>
            <w:r>
              <w:rPr>
                <w:rFonts w:hint="eastAsia" w:ascii="Times new  man" w:hAnsi="Times new  man"/>
                <w:color w:val="auto"/>
                <w:sz w:val="24"/>
                <w:szCs w:val="24"/>
              </w:rPr>
              <w:t>t。2</w:t>
            </w:r>
            <w:r>
              <w:rPr>
                <w:rFonts w:ascii="Times new  man" w:hAnsi="Times new  man"/>
                <w:color w:val="auto"/>
                <w:sz w:val="24"/>
                <w:szCs w:val="24"/>
              </w:rPr>
              <w:t>021</w:t>
            </w:r>
            <w:r>
              <w:rPr>
                <w:rFonts w:hint="eastAsia" w:ascii="Times new  man" w:hAnsi="Times new  man"/>
                <w:color w:val="auto"/>
                <w:sz w:val="24"/>
                <w:szCs w:val="24"/>
              </w:rPr>
              <w:t>年飞灰产生量为8</w:t>
            </w:r>
            <w:r>
              <w:rPr>
                <w:rFonts w:ascii="Times new  man" w:hAnsi="Times new  man"/>
                <w:color w:val="auto"/>
                <w:sz w:val="24"/>
                <w:szCs w:val="24"/>
              </w:rPr>
              <w:t>807.058</w:t>
            </w:r>
            <w:r>
              <w:rPr>
                <w:rFonts w:hint="eastAsia" w:ascii="Times new  man" w:hAnsi="Times new  man"/>
                <w:color w:val="auto"/>
                <w:sz w:val="24"/>
                <w:szCs w:val="24"/>
              </w:rPr>
              <w:t>t，按照设计产生飞灰1</w:t>
            </w:r>
            <w:r>
              <w:rPr>
                <w:rFonts w:ascii="Times new  man" w:hAnsi="Times new  man"/>
                <w:color w:val="auto"/>
                <w:sz w:val="24"/>
                <w:szCs w:val="24"/>
              </w:rPr>
              <w:t>500</w:t>
            </w:r>
            <w:r>
              <w:rPr>
                <w:rFonts w:hint="eastAsia" w:ascii="Times new  man" w:hAnsi="Times new  man"/>
                <w:color w:val="auto"/>
                <w:sz w:val="24"/>
                <w:szCs w:val="24"/>
                <w:lang w:val="en-US" w:eastAsia="zh-CN"/>
              </w:rPr>
              <w:t>0</w:t>
            </w:r>
            <w:r>
              <w:rPr>
                <w:rFonts w:hint="eastAsia" w:ascii="Times new  man" w:hAnsi="Times new  man"/>
                <w:color w:val="auto"/>
                <w:sz w:val="24"/>
                <w:szCs w:val="24"/>
              </w:rPr>
              <w:t>t折算，类比现有项目，年排放氨</w:t>
            </w:r>
            <w:r>
              <w:rPr>
                <w:rFonts w:ascii="Times new  man" w:hAnsi="Times new  man"/>
                <w:color w:val="auto"/>
                <w:sz w:val="24"/>
                <w:szCs w:val="24"/>
              </w:rPr>
              <w:t>0.636</w:t>
            </w:r>
            <w:r>
              <w:rPr>
                <w:rFonts w:hint="eastAsia" w:ascii="Times new  man" w:hAnsi="Times new  man"/>
                <w:color w:val="auto"/>
                <w:sz w:val="24"/>
                <w:szCs w:val="24"/>
              </w:rPr>
              <w:t>t。</w:t>
            </w:r>
            <w:r>
              <w:rPr>
                <w:rFonts w:hint="eastAsia"/>
                <w:color w:val="auto"/>
                <w:sz w:val="24"/>
                <w:lang w:eastAsia="zh-CN"/>
              </w:rPr>
              <w:t>）因此本次依托现有项目</w:t>
            </w:r>
            <w:r>
              <w:rPr>
                <w:rFonts w:hint="eastAsia"/>
                <w:color w:val="auto"/>
                <w:sz w:val="24"/>
                <w:lang w:val="en-US" w:eastAsia="zh-CN"/>
              </w:rPr>
              <w:t>DA003排气筒</w:t>
            </w:r>
            <w:r>
              <w:rPr>
                <w:rFonts w:hint="eastAsia"/>
                <w:color w:val="auto"/>
                <w:sz w:val="24"/>
                <w:lang w:eastAsia="zh-CN"/>
              </w:rPr>
              <w:t>不用对</w:t>
            </w:r>
            <w:r>
              <w:rPr>
                <w:color w:val="auto"/>
                <w:sz w:val="24"/>
              </w:rPr>
              <w:t>臭气</w:t>
            </w:r>
            <w:r>
              <w:rPr>
                <w:rFonts w:hint="eastAsia"/>
                <w:color w:val="auto"/>
                <w:sz w:val="24"/>
                <w:lang w:eastAsia="zh-CN"/>
              </w:rPr>
              <w:t>进行重复核算。本章节不作详细分析。</w:t>
            </w:r>
          </w:p>
          <w:p w14:paraId="2D511590">
            <w:pPr>
              <w:spacing w:line="360" w:lineRule="auto"/>
              <w:ind w:firstLine="482" w:firstLineChars="200"/>
              <w:rPr>
                <w:rFonts w:hint="eastAsia" w:ascii="Times New Roman" w:hAnsi="Times New Roman" w:eastAsia="宋体" w:cs="Times New Roman"/>
                <w:b/>
                <w:color w:val="auto"/>
                <w:kern w:val="0"/>
                <w:sz w:val="24"/>
                <w:lang w:eastAsia="zh-CN"/>
              </w:rPr>
            </w:pPr>
            <w:r>
              <w:rPr>
                <w:rFonts w:hint="eastAsia" w:ascii="Times New Roman" w:hAnsi="Times New Roman" w:eastAsia="宋体" w:cs="Times New Roman"/>
                <w:b/>
                <w:color w:val="auto"/>
                <w:kern w:val="0"/>
                <w:sz w:val="24"/>
                <w:lang w:val="en-US" w:eastAsia="zh-CN"/>
              </w:rPr>
              <w:t>1.2废气</w:t>
            </w:r>
            <w:r>
              <w:rPr>
                <w:rFonts w:hint="eastAsia" w:ascii="Times New Roman" w:hAnsi="Times New Roman" w:eastAsia="宋体" w:cs="Times New Roman"/>
                <w:b/>
                <w:color w:val="auto"/>
                <w:kern w:val="0"/>
                <w:sz w:val="24"/>
                <w:lang w:eastAsia="zh-CN"/>
              </w:rPr>
              <w:t>依托现有污染防治措施的可行性</w:t>
            </w:r>
          </w:p>
          <w:p w14:paraId="481F6125">
            <w:pPr>
              <w:pStyle w:val="142"/>
              <w:widowControl w:val="0"/>
              <w:wordWrap w:val="0"/>
              <w:snapToGrid/>
              <w:spacing w:line="360" w:lineRule="auto"/>
              <w:ind w:firstLineChars="200"/>
              <w:contextualSpacing/>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本次</w:t>
            </w:r>
            <w:r>
              <w:rPr>
                <w:rFonts w:hint="eastAsia" w:ascii="Times New Roman" w:hAnsi="Times New Roman" w:eastAsia="宋体" w:cs="Times New Roman"/>
                <w:color w:val="auto"/>
                <w:kern w:val="2"/>
                <w:sz w:val="24"/>
                <w:szCs w:val="24"/>
                <w:lang w:eastAsia="zh-CN"/>
              </w:rPr>
              <w:t>改建</w:t>
            </w:r>
            <w:r>
              <w:rPr>
                <w:rFonts w:hint="default" w:ascii="Times New Roman" w:hAnsi="Times New Roman" w:eastAsia="宋体" w:cs="Times New Roman"/>
                <w:color w:val="auto"/>
                <w:kern w:val="2"/>
                <w:sz w:val="24"/>
                <w:szCs w:val="24"/>
              </w:rPr>
              <w:t>项目，主要依托的现有废气治理设施及废气排气筒为</w:t>
            </w:r>
            <w:r>
              <w:rPr>
                <w:rFonts w:hint="eastAsia" w:ascii="Times New Roman" w:hAnsi="Times New Roman" w:eastAsia="宋体" w:cs="Times New Roman"/>
                <w:color w:val="auto"/>
                <w:kern w:val="2"/>
                <w:sz w:val="24"/>
                <w:szCs w:val="24"/>
                <w:lang w:eastAsia="zh-CN"/>
              </w:rPr>
              <w:t>原</w:t>
            </w:r>
            <w:r>
              <w:rPr>
                <w:rFonts w:hint="eastAsia" w:ascii="Times New Roman" w:hAnsi="Times New Roman" w:eastAsia="宋体" w:cs="Times New Roman"/>
                <w:color w:val="auto"/>
                <w:kern w:val="2"/>
                <w:sz w:val="24"/>
                <w:szCs w:val="24"/>
                <w:lang w:val="en-US" w:eastAsia="zh-CN"/>
              </w:rPr>
              <w:t>1#飞灰暂存库水</w:t>
            </w:r>
            <w:r>
              <w:rPr>
                <w:rFonts w:hint="default" w:ascii="Times New Roman" w:hAnsi="Times New Roman" w:eastAsia="宋体" w:cs="Times New Roman"/>
                <w:color w:val="auto"/>
                <w:kern w:val="2"/>
                <w:sz w:val="24"/>
                <w:szCs w:val="24"/>
              </w:rPr>
              <w:t>喷淋</w:t>
            </w:r>
            <w:r>
              <w:rPr>
                <w:rFonts w:hint="eastAsia" w:ascii="Times New Roman" w:hAnsi="Times New Roman" w:eastAsia="宋体" w:cs="Times New Roman"/>
                <w:color w:val="auto"/>
                <w:kern w:val="2"/>
                <w:sz w:val="24"/>
                <w:szCs w:val="24"/>
                <w:lang w:eastAsia="zh-CN"/>
              </w:rPr>
              <w:t>除氨系统装置，</w:t>
            </w:r>
            <w:r>
              <w:rPr>
                <w:rFonts w:hint="default" w:ascii="Times New Roman" w:hAnsi="Times New Roman" w:eastAsia="宋体" w:cs="Times New Roman"/>
                <w:color w:val="auto"/>
                <w:kern w:val="2"/>
                <w:sz w:val="24"/>
                <w:szCs w:val="24"/>
              </w:rPr>
              <w:t>现有项目该废气治理设施——</w:t>
            </w:r>
            <w:r>
              <w:rPr>
                <w:rFonts w:hint="eastAsia" w:ascii="Times New Roman" w:hAnsi="Times New Roman" w:eastAsia="宋体" w:cs="Times New Roman"/>
                <w:color w:val="auto"/>
                <w:kern w:val="2"/>
                <w:sz w:val="24"/>
                <w:szCs w:val="24"/>
                <w:lang w:eastAsia="zh-CN"/>
              </w:rPr>
              <w:t>水</w:t>
            </w:r>
            <w:r>
              <w:rPr>
                <w:rFonts w:hint="default" w:ascii="Times New Roman" w:hAnsi="Times New Roman" w:eastAsia="宋体" w:cs="Times New Roman"/>
                <w:color w:val="auto"/>
                <w:kern w:val="2"/>
                <w:sz w:val="24"/>
                <w:szCs w:val="24"/>
              </w:rPr>
              <w:t>喷淋塔，废气污染物主要为：</w:t>
            </w:r>
            <w:r>
              <w:rPr>
                <w:rFonts w:hint="eastAsia" w:ascii="Times New Roman" w:hAnsi="Times New Roman" w:eastAsia="宋体" w:cs="Times New Roman"/>
                <w:color w:val="auto"/>
                <w:kern w:val="2"/>
                <w:sz w:val="24"/>
                <w:szCs w:val="24"/>
                <w:lang w:eastAsia="zh-CN"/>
              </w:rPr>
              <w:t>氨。</w:t>
            </w:r>
            <w:r>
              <w:rPr>
                <w:rFonts w:hint="default" w:ascii="Times New Roman" w:hAnsi="Times New Roman" w:eastAsia="宋体" w:cs="Times New Roman"/>
                <w:color w:val="auto"/>
                <w:kern w:val="2"/>
                <w:sz w:val="24"/>
                <w:szCs w:val="24"/>
              </w:rPr>
              <w:t>本次</w:t>
            </w:r>
            <w:r>
              <w:rPr>
                <w:rFonts w:hint="eastAsia" w:ascii="Times New Roman" w:hAnsi="Times New Roman" w:eastAsia="宋体" w:cs="Times New Roman"/>
                <w:color w:val="auto"/>
                <w:kern w:val="2"/>
                <w:sz w:val="24"/>
                <w:szCs w:val="24"/>
                <w:lang w:eastAsia="zh-CN"/>
              </w:rPr>
              <w:t>改建项目飞灰暂存库</w:t>
            </w:r>
            <w:r>
              <w:rPr>
                <w:rFonts w:hint="default" w:ascii="Times New Roman" w:hAnsi="Times New Roman" w:eastAsia="宋体" w:cs="Times New Roman"/>
                <w:color w:val="auto"/>
                <w:kern w:val="2"/>
                <w:sz w:val="24"/>
                <w:szCs w:val="24"/>
              </w:rPr>
              <w:t>涉及的</w:t>
            </w:r>
            <w:r>
              <w:rPr>
                <w:rFonts w:hint="eastAsia" w:ascii="Times New Roman" w:hAnsi="Times New Roman" w:eastAsia="宋体" w:cs="Times New Roman"/>
                <w:color w:val="auto"/>
                <w:kern w:val="2"/>
                <w:sz w:val="24"/>
                <w:szCs w:val="24"/>
                <w:lang w:eastAsia="zh-CN"/>
              </w:rPr>
              <w:t>氨</w:t>
            </w:r>
            <w:r>
              <w:rPr>
                <w:rFonts w:hint="default"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1#与2#飞灰暂存库紧邻</w:t>
            </w:r>
            <w:r>
              <w:rPr>
                <w:rFonts w:hint="default" w:ascii="Times New Roman" w:hAnsi="Times New Roman" w:eastAsia="宋体" w:cs="Times New Roman"/>
                <w:color w:val="auto"/>
                <w:kern w:val="2"/>
                <w:sz w:val="24"/>
                <w:szCs w:val="24"/>
              </w:rPr>
              <w:t>，距离该废气处理设施较近，废气可直接接入该废气治理设施。</w:t>
            </w:r>
          </w:p>
          <w:p w14:paraId="7BB96ED4">
            <w:pPr>
              <w:pStyle w:val="142"/>
              <w:widowControl w:val="0"/>
              <w:snapToGrid/>
              <w:spacing w:line="360" w:lineRule="auto"/>
              <w:ind w:firstLineChars="200"/>
              <w:contextualSpacing/>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本项目所依托现有污染防治设施均正常运行，</w:t>
            </w:r>
            <w:r>
              <w:rPr>
                <w:rFonts w:hint="eastAsia" w:cs="Times New Roman"/>
                <w:color w:val="auto"/>
                <w:kern w:val="2"/>
                <w:sz w:val="24"/>
                <w:szCs w:val="24"/>
                <w:lang w:eastAsia="zh-CN"/>
              </w:rPr>
              <w:t>根据</w:t>
            </w:r>
            <w:r>
              <w:rPr>
                <w:rFonts w:hint="default" w:ascii="Times New Roman" w:hAnsi="Times New Roman" w:eastAsia="宋体" w:cs="Times New Roman"/>
                <w:color w:val="auto"/>
                <w:kern w:val="2"/>
                <w:sz w:val="24"/>
                <w:szCs w:val="24"/>
              </w:rPr>
              <w:t>历次自行监测污染物排放浓度远小于排放标准，由于全厂飞灰贮存规模</w:t>
            </w:r>
            <w:r>
              <w:rPr>
                <w:rFonts w:hint="eastAsia" w:ascii="Times New Roman" w:hAnsi="Times New Roman" w:eastAsia="宋体" w:cs="Times New Roman"/>
                <w:color w:val="auto"/>
                <w:kern w:val="2"/>
                <w:sz w:val="24"/>
                <w:szCs w:val="24"/>
                <w:lang w:val="en-US" w:eastAsia="zh-CN"/>
              </w:rPr>
              <w:t>15000t/a</w:t>
            </w:r>
            <w:r>
              <w:rPr>
                <w:rFonts w:hint="default" w:ascii="Times New Roman" w:hAnsi="Times New Roman" w:eastAsia="宋体" w:cs="Times New Roman"/>
                <w:color w:val="auto"/>
                <w:kern w:val="2"/>
                <w:sz w:val="24"/>
                <w:szCs w:val="24"/>
              </w:rPr>
              <w:t>不变，</w:t>
            </w:r>
            <w:r>
              <w:rPr>
                <w:rFonts w:hint="eastAsia" w:ascii="Times New Roman" w:hAnsi="Times New Roman" w:eastAsia="宋体" w:cs="Times New Roman"/>
                <w:color w:val="auto"/>
                <w:kern w:val="2"/>
                <w:sz w:val="24"/>
                <w:szCs w:val="24"/>
                <w:lang w:eastAsia="zh-CN"/>
              </w:rPr>
              <w:t>从原来</w:t>
            </w:r>
            <w:r>
              <w:rPr>
                <w:rFonts w:hint="eastAsia" w:ascii="Times New Roman" w:hAnsi="Times New Roman" w:eastAsia="宋体" w:cs="Times New Roman"/>
                <w:color w:val="auto"/>
                <w:kern w:val="2"/>
                <w:sz w:val="24"/>
                <w:szCs w:val="24"/>
                <w:lang w:val="en-US" w:eastAsia="zh-CN"/>
              </w:rPr>
              <w:t>1#飞灰库贮存15000t/a，变成1#飞灰库贮存7500t/a、2#飞灰库</w:t>
            </w:r>
            <w:r>
              <w:rPr>
                <w:rFonts w:hint="eastAsia" w:cs="Times New Roman"/>
                <w:color w:val="auto"/>
                <w:kern w:val="2"/>
                <w:sz w:val="24"/>
                <w:szCs w:val="24"/>
                <w:lang w:val="en-US" w:eastAsia="zh-CN"/>
              </w:rPr>
              <w:t>贮存</w:t>
            </w:r>
            <w:r>
              <w:rPr>
                <w:rFonts w:hint="eastAsia" w:ascii="Times New Roman" w:hAnsi="Times New Roman" w:eastAsia="宋体" w:cs="Times New Roman"/>
                <w:color w:val="auto"/>
                <w:kern w:val="2"/>
                <w:sz w:val="24"/>
                <w:szCs w:val="24"/>
                <w:lang w:val="en-US" w:eastAsia="zh-CN"/>
              </w:rPr>
              <w:t>7500t/a的理想状态。因此</w:t>
            </w:r>
            <w:r>
              <w:rPr>
                <w:rFonts w:hint="default" w:ascii="Times New Roman" w:hAnsi="Times New Roman" w:eastAsia="宋体" w:cs="Times New Roman"/>
                <w:color w:val="auto"/>
                <w:kern w:val="2"/>
                <w:sz w:val="24"/>
                <w:szCs w:val="24"/>
              </w:rPr>
              <w:t>废气产生源强理论上不增加，仅存在空间和时间上的分布变化。本次</w:t>
            </w:r>
            <w:r>
              <w:rPr>
                <w:rFonts w:hint="eastAsia" w:ascii="Times New Roman" w:hAnsi="Times New Roman" w:eastAsia="宋体" w:cs="Times New Roman"/>
                <w:color w:val="auto"/>
                <w:kern w:val="2"/>
                <w:sz w:val="24"/>
                <w:szCs w:val="24"/>
                <w:lang w:eastAsia="zh-CN"/>
              </w:rPr>
              <w:t>改建</w:t>
            </w:r>
            <w:r>
              <w:rPr>
                <w:rFonts w:hint="default" w:ascii="Times New Roman" w:hAnsi="Times New Roman" w:eastAsia="宋体" w:cs="Times New Roman"/>
                <w:color w:val="auto"/>
                <w:kern w:val="2"/>
                <w:sz w:val="24"/>
                <w:szCs w:val="24"/>
              </w:rPr>
              <w:t>项目废气排放浓度低，叠加后仍可满足相应污染物排放标准</w:t>
            </w:r>
            <w:r>
              <w:rPr>
                <w:rFonts w:hint="eastAsia" w:cs="Times New Roman"/>
                <w:color w:val="auto"/>
                <w:kern w:val="2"/>
                <w:sz w:val="24"/>
                <w:szCs w:val="24"/>
                <w:lang w:eastAsia="zh-CN"/>
              </w:rPr>
              <w:t>。且两个飞灰暂存库产生的氨，合并后源强的产生浓度与之前无变化，因此</w:t>
            </w:r>
            <w:r>
              <w:rPr>
                <w:rFonts w:hint="eastAsia" w:ascii="Times New Roman" w:hAnsi="Times New Roman" w:eastAsia="宋体" w:cs="Times New Roman"/>
                <w:color w:val="auto"/>
                <w:kern w:val="2"/>
                <w:sz w:val="24"/>
                <w:szCs w:val="24"/>
                <w:lang w:eastAsia="zh-CN"/>
              </w:rPr>
              <w:t>可以</w:t>
            </w:r>
            <w:r>
              <w:rPr>
                <w:rFonts w:hint="eastAsia" w:ascii="Times New Roman" w:hAnsi="Times New Roman" w:eastAsia="宋体" w:cs="Times New Roman"/>
                <w:color w:val="auto"/>
                <w:kern w:val="2"/>
                <w:sz w:val="24"/>
                <w:szCs w:val="24"/>
                <w:lang w:val="en-US" w:eastAsia="zh-CN"/>
              </w:rPr>
              <w:t>不新增喷淋循环次数以及喷淋量</w:t>
            </w:r>
            <w:r>
              <w:rPr>
                <w:rFonts w:hint="eastAsia" w:cs="Times New Roman"/>
                <w:color w:val="auto"/>
                <w:kern w:val="2"/>
                <w:sz w:val="24"/>
                <w:szCs w:val="24"/>
                <w:lang w:val="en-US" w:eastAsia="zh-CN"/>
              </w:rPr>
              <w:t>。具体</w:t>
            </w:r>
            <w:r>
              <w:rPr>
                <w:rFonts w:hint="eastAsia" w:ascii="Times New Roman" w:hAnsi="Times New Roman" w:eastAsia="宋体" w:cs="Times New Roman"/>
                <w:color w:val="auto"/>
                <w:kern w:val="2"/>
                <w:sz w:val="24"/>
                <w:szCs w:val="24"/>
                <w:lang w:eastAsia="zh-CN"/>
              </w:rPr>
              <w:t>根据现有项</w:t>
            </w:r>
            <w:r>
              <w:rPr>
                <w:rFonts w:hint="eastAsia" w:cs="Times New Roman"/>
                <w:color w:val="auto"/>
                <w:kern w:val="2"/>
                <w:sz w:val="24"/>
                <w:szCs w:val="24"/>
                <w:lang w:eastAsia="zh-CN"/>
              </w:rPr>
              <w:t>目</w:t>
            </w:r>
            <w:r>
              <w:rPr>
                <w:rFonts w:hint="eastAsia" w:cs="Times New Roman"/>
                <w:color w:val="auto"/>
                <w:kern w:val="2"/>
                <w:sz w:val="24"/>
                <w:szCs w:val="24"/>
                <w:lang w:val="en-US" w:eastAsia="zh-CN"/>
              </w:rPr>
              <w:t>1#飞灰暂存库</w:t>
            </w:r>
            <w:r>
              <w:rPr>
                <w:rFonts w:hint="eastAsia" w:cs="Times New Roman"/>
                <w:color w:val="auto"/>
                <w:kern w:val="2"/>
                <w:sz w:val="24"/>
                <w:szCs w:val="24"/>
                <w:lang w:eastAsia="zh-CN"/>
              </w:rPr>
              <w:t>风机风量设置可知</w:t>
            </w:r>
            <w:r>
              <w:rPr>
                <w:rFonts w:hint="default" w:ascii="Times New Roman" w:hAnsi="Times New Roman" w:eastAsia="宋体" w:cs="Times New Roman"/>
                <w:color w:val="auto"/>
                <w:sz w:val="24"/>
                <w:szCs w:val="24"/>
                <w:lang w:val="en-US" w:eastAsia="zh-CN"/>
              </w:rPr>
              <w:t>长14.5米*宽8米*高</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米，共810m³</w:t>
            </w:r>
            <w:r>
              <w:rPr>
                <w:rFonts w:hint="eastAsia" w:cs="Times New Roman"/>
                <w:color w:val="auto"/>
                <w:sz w:val="24"/>
                <w:szCs w:val="24"/>
                <w:lang w:val="en-US" w:eastAsia="zh-CN"/>
              </w:rPr>
              <w:t>，换气次数10次/小时，则实际需要风机风量8100m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/h。本次改建项目2#暂存库</w:t>
            </w:r>
            <w:r>
              <w:rPr>
                <w:rFonts w:hint="default" w:ascii="Times New Roman" w:hAnsi="Times New Roman" w:eastAsia="宋体" w:cs="Times New Roman"/>
                <w:color w:val="auto"/>
                <w:sz w:val="24"/>
                <w:szCs w:val="24"/>
                <w:lang w:val="en-US" w:eastAsia="zh-CN"/>
              </w:rPr>
              <w:t>长</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米*宽</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米*高</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米</w:t>
            </w:r>
            <w:r>
              <w:rPr>
                <w:rFonts w:hint="eastAsia" w:cs="Times New Roman"/>
                <w:color w:val="auto"/>
                <w:sz w:val="24"/>
                <w:szCs w:val="24"/>
                <w:lang w:val="en-US" w:eastAsia="zh-CN"/>
              </w:rPr>
              <w:t>，共1260</w:t>
            </w:r>
            <w:r>
              <w:rPr>
                <w:rFonts w:hint="default" w:ascii="Times New Roman" w:hAnsi="Times New Roman" w:eastAsia="宋体" w:cs="Times New Roman"/>
                <w:color w:val="auto"/>
                <w:sz w:val="24"/>
                <w:szCs w:val="24"/>
                <w:lang w:val="en-US" w:eastAsia="zh-CN"/>
              </w:rPr>
              <w:t>m³</w:t>
            </w:r>
            <w:r>
              <w:rPr>
                <w:rFonts w:hint="eastAsia" w:cs="Times New Roman"/>
                <w:color w:val="auto"/>
                <w:sz w:val="24"/>
                <w:szCs w:val="24"/>
                <w:lang w:val="en-US" w:eastAsia="zh-CN"/>
              </w:rPr>
              <w:t>，换气次数10次/小时，则需要风量12600m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/h。合计2个飞灰暂存库需要20700</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/h。本项目废气处理设备设计风机风量24000</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/h，足够1#、2#飞灰库共同使用。</w:t>
            </w:r>
            <w:r>
              <w:rPr>
                <w:rFonts w:hint="default" w:ascii="Times New Roman" w:hAnsi="Times New Roman" w:eastAsia="宋体" w:cs="Times New Roman"/>
                <w:color w:val="auto"/>
                <w:kern w:val="2"/>
                <w:sz w:val="24"/>
                <w:szCs w:val="24"/>
              </w:rPr>
              <w:t>因此，本项目依托原有处理设施可行。</w:t>
            </w:r>
          </w:p>
          <w:p w14:paraId="55D41C7A">
            <w:pPr>
              <w:pStyle w:val="142"/>
              <w:widowControl w:val="0"/>
              <w:snapToGrid/>
              <w:spacing w:line="360" w:lineRule="auto"/>
              <w:ind w:firstLineChars="200"/>
              <w:contextualSpacing/>
              <w:jc w:val="both"/>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具体废气治理方案见下：</w:t>
            </w:r>
          </w:p>
          <w:p w14:paraId="39B3F4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工作原理</w:t>
            </w:r>
            <w:r>
              <w:rPr>
                <w:rFonts w:hint="eastAsia" w:cs="Times New Roman"/>
                <w:b/>
                <w:color w:val="auto"/>
                <w:sz w:val="24"/>
                <w:szCs w:val="24"/>
                <w:lang w:val="en-US" w:eastAsia="zh-CN"/>
              </w:rPr>
              <w:t xml:space="preserve"> </w:t>
            </w:r>
          </w:p>
          <w:p w14:paraId="72BA4B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酸雾废气由风管引入净化塔，经过填料层，废气吸收液进行气液两相充分接触吸收中和反应，酸雾废气经过净化后，再经除雾板脱水除雾后由风机排入大气。吸收液在塔底经水泵增压后在塔顶喷淋而下，最后回流至塔底循环使用。净化后的酸雾废气达到地方排放标准的排放要求，低于国家排放标准。</w:t>
            </w:r>
          </w:p>
          <w:p w14:paraId="2C3570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喷淋塔结构</w:t>
            </w:r>
          </w:p>
          <w:p w14:paraId="474B61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喷淋塔内填料层作为气液两相间接触构件的传质设备。填料塔底部装有填料支承板，填料以乱堆方式放置在支承板上。填料的上方安装填料压板，以防被上升气流吹动。喷淋塔喷淋液从塔顶经液体分布器喷淋到填料上，并沿填料表面流下。气体从塔底送入，经气体分布装置分布后，与液体呈逆流连续通过填料层的空隙，在填料表面上，气液两相密切接触进行传质。当液体沿填料层向下流动时，有时会出现壁流现象，壁流效应造成气液两相在填料层中分布不均，从而使传质效率下降。因此，喷淋塔内的填料层分为两段，中间设置再分布装置，经重新分布后喷淋到下层填料上。</w:t>
            </w:r>
          </w:p>
          <w:p w14:paraId="0C51AA7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喷淋塔特点</w:t>
            </w:r>
          </w:p>
          <w:p w14:paraId="206A0B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1.除尘脱硫效率高，采用碱性洗涤水时，脱硫效率可达85%；</w:t>
            </w:r>
          </w:p>
          <w:p w14:paraId="40C105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2.设备占地少，安装方便；</w:t>
            </w:r>
          </w:p>
          <w:p w14:paraId="750A0C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3.耗水、耗电指标较低；</w:t>
            </w:r>
          </w:p>
          <w:p w14:paraId="2177EB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4.耐腐蚀、不磨损，使用寿命长；</w:t>
            </w:r>
          </w:p>
          <w:p w14:paraId="2509AD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5.设备运行可靠，维护简单、方便。</w:t>
            </w:r>
          </w:p>
          <w:p w14:paraId="6C8B06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简单结构图</w:t>
            </w:r>
          </w:p>
          <w:p w14:paraId="040191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color w:val="auto"/>
                <w:szCs w:val="21"/>
                <w:lang w:val="en-US" w:eastAsia="zh-CN"/>
              </w:rPr>
            </w:pPr>
            <w:r>
              <w:rPr>
                <w:color w:val="auto"/>
              </w:rPr>
              <w:drawing>
                <wp:inline distT="0" distB="0" distL="114300" distR="114300">
                  <wp:extent cx="3191510" cy="3035935"/>
                  <wp:effectExtent l="0" t="0" r="8890" b="1206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0"/>
                          <a:stretch>
                            <a:fillRect/>
                          </a:stretch>
                        </pic:blipFill>
                        <pic:spPr>
                          <a:xfrm>
                            <a:off x="0" y="0"/>
                            <a:ext cx="3191510" cy="3035935"/>
                          </a:xfrm>
                          <a:prstGeom prst="rect">
                            <a:avLst/>
                          </a:prstGeom>
                          <a:noFill/>
                          <a:ln>
                            <a:noFill/>
                          </a:ln>
                        </pic:spPr>
                      </pic:pic>
                    </a:graphicData>
                  </a:graphic>
                </wp:inline>
              </w:drawing>
            </w:r>
          </w:p>
          <w:p w14:paraId="7B6D2C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lang w:val="en-US" w:eastAsia="zh-CN"/>
              </w:rPr>
            </w:pPr>
          </w:p>
          <w:p w14:paraId="79ED0589">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（2）设备选型计算过程</w:t>
            </w:r>
          </w:p>
          <w:p w14:paraId="088FF4A6">
            <w:pPr>
              <w:numPr>
                <w:ilvl w:val="0"/>
                <w:numId w:val="0"/>
              </w:numPr>
              <w:spacing w:line="410" w:lineRule="atLeast"/>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1）空间内堆放吨包袋散发的点较多，故计算风量时按照房间内空间计算，空间尺寸为长14.5米*宽8.1米*高6.9米，共810m³。按照810*30（后期风干带少量粉尘按照30次换气计算）=</w:t>
            </w:r>
            <w:r>
              <w:rPr>
                <w:rFonts w:hint="default" w:ascii="Times New Roman" w:hAnsi="Times New Roman" w:eastAsia="宋体" w:cs="Times New Roman"/>
                <w:b/>
                <w:bCs/>
                <w:color w:val="auto"/>
                <w:sz w:val="24"/>
                <w:szCs w:val="24"/>
                <w:lang w:val="en-US" w:eastAsia="zh-CN"/>
              </w:rPr>
              <w:t>24300m³/h。</w:t>
            </w:r>
          </w:p>
          <w:p w14:paraId="4681A233">
            <w:pPr>
              <w:numPr>
                <w:ilvl w:val="0"/>
                <w:numId w:val="5"/>
              </w:numPr>
              <w:spacing w:line="410" w:lineRule="atLeas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水膜除尘器：</w:t>
            </w:r>
            <w:r>
              <w:rPr>
                <w:rFonts w:hint="default" w:ascii="Times New Roman" w:hAnsi="Times New Roman" w:eastAsia="宋体" w:cs="Times New Roman"/>
                <w:color w:val="auto"/>
                <w:sz w:val="24"/>
                <w:szCs w:val="24"/>
                <w:lang w:val="en-US" w:eastAsia="zh-CN"/>
              </w:rPr>
              <w:t>水膜除尘器按照1.5m/s风速计算，则直径为：2.2米，高度为5米，因为氨气可以</w:t>
            </w:r>
            <w:r>
              <w:rPr>
                <w:rFonts w:hint="eastAsia" w:cs="Times New Roman"/>
                <w:color w:val="auto"/>
                <w:sz w:val="24"/>
                <w:szCs w:val="24"/>
                <w:lang w:val="en-US" w:eastAsia="zh-CN"/>
              </w:rPr>
              <w:t>溶于</w:t>
            </w:r>
            <w:r>
              <w:rPr>
                <w:rFonts w:hint="default" w:ascii="Times New Roman" w:hAnsi="Times New Roman" w:eastAsia="宋体" w:cs="Times New Roman"/>
                <w:color w:val="auto"/>
                <w:sz w:val="24"/>
                <w:szCs w:val="24"/>
                <w:lang w:val="en-US" w:eastAsia="zh-CN"/>
              </w:rPr>
              <w:t>水中，故采用水膜除尘可以有效</w:t>
            </w:r>
            <w:r>
              <w:rPr>
                <w:rFonts w:hint="eastAsia" w:cs="Times New Roman"/>
                <w:color w:val="auto"/>
                <w:sz w:val="24"/>
                <w:szCs w:val="24"/>
                <w:lang w:val="en-US" w:eastAsia="zh-CN"/>
              </w:rPr>
              <w:t>地</w:t>
            </w:r>
            <w:r>
              <w:rPr>
                <w:rFonts w:hint="default" w:ascii="Times New Roman" w:hAnsi="Times New Roman" w:eastAsia="宋体" w:cs="Times New Roman"/>
                <w:color w:val="auto"/>
                <w:sz w:val="24"/>
                <w:szCs w:val="24"/>
                <w:lang w:val="en-US" w:eastAsia="zh-CN"/>
              </w:rPr>
              <w:t>去除氨味；车间内少量的粉尘也可采用水膜除尘去除一部分。</w:t>
            </w:r>
          </w:p>
          <w:p w14:paraId="39AA5C9C">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（3）设备配置清单</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553"/>
              <w:gridCol w:w="1508"/>
              <w:gridCol w:w="1316"/>
              <w:gridCol w:w="675"/>
              <w:gridCol w:w="2879"/>
            </w:tblGrid>
            <w:tr w14:paraId="7CEBA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09030882">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位号</w:t>
                  </w:r>
                </w:p>
              </w:tc>
              <w:tc>
                <w:tcPr>
                  <w:tcW w:w="921" w:type="pct"/>
                  <w:noWrap w:val="0"/>
                  <w:vAlign w:val="center"/>
                </w:tcPr>
                <w:p w14:paraId="710E1CCE">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名 称</w:t>
                  </w:r>
                </w:p>
              </w:tc>
              <w:tc>
                <w:tcPr>
                  <w:tcW w:w="894" w:type="pct"/>
                  <w:noWrap w:val="0"/>
                  <w:vAlign w:val="center"/>
                </w:tcPr>
                <w:p w14:paraId="436B6F34">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型   号</w:t>
                  </w:r>
                </w:p>
              </w:tc>
              <w:tc>
                <w:tcPr>
                  <w:tcW w:w="780" w:type="pct"/>
                  <w:noWrap w:val="0"/>
                  <w:vAlign w:val="center"/>
                </w:tcPr>
                <w:p w14:paraId="2E9877B7">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材质</w:t>
                  </w:r>
                </w:p>
              </w:tc>
              <w:tc>
                <w:tcPr>
                  <w:tcW w:w="400" w:type="pct"/>
                  <w:noWrap w:val="0"/>
                  <w:vAlign w:val="center"/>
                </w:tcPr>
                <w:p w14:paraId="476BB620">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数量</w:t>
                  </w:r>
                </w:p>
              </w:tc>
              <w:tc>
                <w:tcPr>
                  <w:tcW w:w="1704" w:type="pct"/>
                  <w:noWrap w:val="0"/>
                  <w:vAlign w:val="center"/>
                </w:tcPr>
                <w:p w14:paraId="3ED5DB7C">
                  <w:pPr>
                    <w:spacing w:line="440" w:lineRule="exact"/>
                    <w:jc w:val="center"/>
                    <w:rPr>
                      <w:rFonts w:hint="default" w:ascii="Times New Roman" w:hAnsi="Times New Roman" w:eastAsia="宋体" w:cs="Times New Roman"/>
                      <w:b/>
                      <w:bCs/>
                      <w:i w:val="0"/>
                      <w:iCs w:val="0"/>
                      <w:color w:val="auto"/>
                      <w:lang w:eastAsia="zh-CN"/>
                    </w:rPr>
                  </w:pPr>
                  <w:r>
                    <w:rPr>
                      <w:rFonts w:hint="default" w:ascii="Times New Roman" w:hAnsi="Times New Roman" w:eastAsia="宋体" w:cs="Times New Roman"/>
                      <w:b/>
                      <w:bCs/>
                      <w:i w:val="0"/>
                      <w:iCs w:val="0"/>
                      <w:color w:val="auto"/>
                      <w:lang w:eastAsia="zh-CN"/>
                    </w:rPr>
                    <w:t>备  注</w:t>
                  </w:r>
                </w:p>
              </w:tc>
            </w:tr>
            <w:tr w14:paraId="337AB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6"/>
                  <w:noWrap w:val="0"/>
                  <w:vAlign w:val="top"/>
                </w:tcPr>
                <w:p w14:paraId="073C64CE">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 w:val="24"/>
                      <w:szCs w:val="24"/>
                      <w:lang w:val="en-US" w:eastAsia="zh-CN"/>
                    </w:rPr>
                    <w:t>一</w:t>
                  </w:r>
                  <w:r>
                    <w:rPr>
                      <w:rFonts w:hint="default" w:ascii="Times New Roman" w:hAnsi="Times New Roman" w:eastAsia="宋体" w:cs="Times New Roman"/>
                      <w:b w:val="0"/>
                      <w:bCs w:val="0"/>
                      <w:i w:val="0"/>
                      <w:iCs w:val="0"/>
                      <w:color w:val="auto"/>
                      <w:sz w:val="24"/>
                      <w:szCs w:val="24"/>
                      <w:lang w:eastAsia="zh-CN"/>
                    </w:rPr>
                    <w:t>、</w:t>
                  </w:r>
                  <w:r>
                    <w:rPr>
                      <w:rFonts w:hint="default" w:ascii="Times New Roman" w:hAnsi="Times New Roman" w:eastAsia="宋体" w:cs="Times New Roman"/>
                      <w:b w:val="0"/>
                      <w:bCs w:val="0"/>
                      <w:i w:val="0"/>
                      <w:iCs w:val="0"/>
                      <w:color w:val="auto"/>
                      <w:sz w:val="24"/>
                      <w:szCs w:val="24"/>
                      <w:lang w:val="en-US" w:eastAsia="zh-CN"/>
                    </w:rPr>
                    <w:t>水膜除尘器</w:t>
                  </w:r>
                </w:p>
              </w:tc>
            </w:tr>
            <w:tr w14:paraId="571F6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noWrap w:val="0"/>
                  <w:vAlign w:val="center"/>
                </w:tcPr>
                <w:p w14:paraId="514259B5">
                  <w:pPr>
                    <w:spacing w:line="410" w:lineRule="atLeast"/>
                    <w:jc w:val="center"/>
                    <w:rPr>
                      <w:rFonts w:hint="default" w:ascii="Times New Roman" w:hAnsi="Times New Roman" w:eastAsia="宋体" w:cs="Times New Roman"/>
                      <w:b w:val="0"/>
                      <w:bCs w:val="0"/>
                      <w:i w:val="0"/>
                      <w:iCs w:val="0"/>
                      <w:color w:val="auto"/>
                      <w:szCs w:val="21"/>
                      <w:lang w:eastAsia="zh-CN"/>
                    </w:rPr>
                  </w:pPr>
                  <w:r>
                    <w:rPr>
                      <w:rFonts w:hint="default" w:ascii="Times New Roman" w:hAnsi="Times New Roman" w:eastAsia="宋体" w:cs="Times New Roman"/>
                      <w:b w:val="0"/>
                      <w:bCs w:val="0"/>
                      <w:i w:val="0"/>
                      <w:iCs w:val="0"/>
                      <w:color w:val="auto"/>
                      <w:szCs w:val="21"/>
                      <w:lang w:eastAsia="zh-CN"/>
                    </w:rPr>
                    <w:t>1</w:t>
                  </w:r>
                </w:p>
              </w:tc>
              <w:tc>
                <w:tcPr>
                  <w:tcW w:w="921" w:type="pct"/>
                  <w:noWrap w:val="0"/>
                  <w:vAlign w:val="center"/>
                </w:tcPr>
                <w:p w14:paraId="486E6A4D">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外筒体</w:t>
                  </w:r>
                </w:p>
              </w:tc>
              <w:tc>
                <w:tcPr>
                  <w:tcW w:w="894" w:type="pct"/>
                  <w:noWrap w:val="0"/>
                  <w:vAlign w:val="center"/>
                </w:tcPr>
                <w:p w14:paraId="1FE51C78">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Ø2.2×5</w:t>
                  </w:r>
                </w:p>
              </w:tc>
              <w:tc>
                <w:tcPr>
                  <w:tcW w:w="780" w:type="pct"/>
                  <w:noWrap w:val="0"/>
                  <w:vAlign w:val="center"/>
                </w:tcPr>
                <w:p w14:paraId="5C4A07B3">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05A7FC8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5DDCF886">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两面焊接，焊缝打磨抛光</w:t>
                  </w:r>
                </w:p>
              </w:tc>
            </w:tr>
            <w:tr w14:paraId="6BF98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noWrap w:val="0"/>
                  <w:vAlign w:val="center"/>
                </w:tcPr>
                <w:p w14:paraId="0DE3EC9A">
                  <w:pPr>
                    <w:spacing w:line="410" w:lineRule="atLeast"/>
                    <w:jc w:val="center"/>
                    <w:rPr>
                      <w:rFonts w:hint="default" w:ascii="Times New Roman" w:hAnsi="Times New Roman" w:eastAsia="宋体" w:cs="Times New Roman"/>
                      <w:b w:val="0"/>
                      <w:bCs w:val="0"/>
                      <w:i w:val="0"/>
                      <w:iCs w:val="0"/>
                      <w:color w:val="auto"/>
                      <w:szCs w:val="21"/>
                      <w:lang w:eastAsia="zh-CN"/>
                    </w:rPr>
                  </w:pPr>
                  <w:r>
                    <w:rPr>
                      <w:rFonts w:hint="default" w:ascii="Times New Roman" w:hAnsi="Times New Roman" w:eastAsia="宋体" w:cs="Times New Roman"/>
                      <w:b w:val="0"/>
                      <w:bCs w:val="0"/>
                      <w:i w:val="0"/>
                      <w:iCs w:val="0"/>
                      <w:color w:val="auto"/>
                      <w:szCs w:val="21"/>
                      <w:lang w:eastAsia="zh-CN"/>
                    </w:rPr>
                    <w:t>2</w:t>
                  </w:r>
                </w:p>
              </w:tc>
              <w:tc>
                <w:tcPr>
                  <w:tcW w:w="921" w:type="pct"/>
                  <w:noWrap w:val="0"/>
                  <w:vAlign w:val="center"/>
                </w:tcPr>
                <w:p w14:paraId="51FAE71F">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内加强法兰</w:t>
                  </w:r>
                </w:p>
              </w:tc>
              <w:tc>
                <w:tcPr>
                  <w:tcW w:w="894" w:type="pct"/>
                  <w:noWrap w:val="0"/>
                  <w:vAlign w:val="center"/>
                </w:tcPr>
                <w:p w14:paraId="223E683A">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Ø2.2×δ10mm</w:t>
                  </w:r>
                </w:p>
              </w:tc>
              <w:tc>
                <w:tcPr>
                  <w:tcW w:w="780" w:type="pct"/>
                  <w:noWrap w:val="0"/>
                  <w:vAlign w:val="center"/>
                </w:tcPr>
                <w:p w14:paraId="5AF3C97F">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63B9B9DB">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 xml:space="preserve">1套 </w:t>
                  </w:r>
                </w:p>
              </w:tc>
              <w:tc>
                <w:tcPr>
                  <w:tcW w:w="1704" w:type="pct"/>
                  <w:noWrap w:val="0"/>
                  <w:vAlign w:val="center"/>
                </w:tcPr>
                <w:p w14:paraId="02065DB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精密加工，保证圆整度</w:t>
                  </w:r>
                </w:p>
              </w:tc>
            </w:tr>
            <w:tr w14:paraId="5C585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noWrap w:val="0"/>
                  <w:vAlign w:val="center"/>
                </w:tcPr>
                <w:p w14:paraId="4E932E47">
                  <w:pPr>
                    <w:spacing w:line="410" w:lineRule="atLeast"/>
                    <w:jc w:val="center"/>
                    <w:rPr>
                      <w:rFonts w:hint="default" w:ascii="Times New Roman" w:hAnsi="Times New Roman" w:eastAsia="宋体" w:cs="Times New Roman"/>
                      <w:b w:val="0"/>
                      <w:bCs w:val="0"/>
                      <w:i w:val="0"/>
                      <w:iCs w:val="0"/>
                      <w:color w:val="auto"/>
                      <w:szCs w:val="21"/>
                      <w:lang w:eastAsia="zh-CN"/>
                    </w:rPr>
                  </w:pPr>
                  <w:r>
                    <w:rPr>
                      <w:rFonts w:hint="default" w:ascii="Times New Roman" w:hAnsi="Times New Roman" w:eastAsia="宋体" w:cs="Times New Roman"/>
                      <w:b w:val="0"/>
                      <w:bCs w:val="0"/>
                      <w:i w:val="0"/>
                      <w:iCs w:val="0"/>
                      <w:color w:val="auto"/>
                      <w:szCs w:val="21"/>
                      <w:lang w:eastAsia="zh-CN"/>
                    </w:rPr>
                    <w:t>3</w:t>
                  </w:r>
                </w:p>
              </w:tc>
              <w:tc>
                <w:tcPr>
                  <w:tcW w:w="921" w:type="pct"/>
                  <w:noWrap w:val="0"/>
                  <w:vAlign w:val="center"/>
                </w:tcPr>
                <w:p w14:paraId="0131B13E">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填料</w:t>
                  </w:r>
                </w:p>
              </w:tc>
              <w:tc>
                <w:tcPr>
                  <w:tcW w:w="894" w:type="pct"/>
                  <w:noWrap w:val="0"/>
                  <w:vAlign w:val="center"/>
                </w:tcPr>
                <w:p w14:paraId="5B19D0EA">
                  <w:pPr>
                    <w:spacing w:line="410" w:lineRule="atLeast"/>
                    <w:jc w:val="both"/>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φ50PP球</w:t>
                  </w:r>
                </w:p>
              </w:tc>
              <w:tc>
                <w:tcPr>
                  <w:tcW w:w="780" w:type="pct"/>
                  <w:noWrap w:val="0"/>
                  <w:vAlign w:val="center"/>
                </w:tcPr>
                <w:p w14:paraId="5133481B">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13736DF3">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2组</w:t>
                  </w:r>
                </w:p>
              </w:tc>
              <w:tc>
                <w:tcPr>
                  <w:tcW w:w="1704" w:type="pct"/>
                  <w:noWrap w:val="0"/>
                  <w:vAlign w:val="center"/>
                </w:tcPr>
                <w:p w14:paraId="25116E1E">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1B421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noWrap w:val="0"/>
                  <w:vAlign w:val="center"/>
                </w:tcPr>
                <w:p w14:paraId="650AEF3A">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eastAsia="zh-CN"/>
                    </w:rPr>
                    <w:t>4</w:t>
                  </w:r>
                </w:p>
              </w:tc>
              <w:tc>
                <w:tcPr>
                  <w:tcW w:w="921" w:type="pct"/>
                  <w:noWrap w:val="0"/>
                  <w:vAlign w:val="center"/>
                </w:tcPr>
                <w:p w14:paraId="796BD4C1">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填料底座</w:t>
                  </w:r>
                </w:p>
              </w:tc>
              <w:tc>
                <w:tcPr>
                  <w:tcW w:w="894" w:type="pct"/>
                  <w:noWrap w:val="0"/>
                  <w:vAlign w:val="center"/>
                </w:tcPr>
                <w:p w14:paraId="207D8F0D">
                  <w:pPr>
                    <w:spacing w:line="410" w:lineRule="atLeast"/>
                    <w:jc w:val="both"/>
                    <w:rPr>
                      <w:rFonts w:hint="default" w:ascii="Times New Roman" w:hAnsi="Times New Roman" w:eastAsia="宋体" w:cs="Times New Roman"/>
                      <w:b w:val="0"/>
                      <w:bCs w:val="0"/>
                      <w:i w:val="0"/>
                      <w:iCs w:val="0"/>
                      <w:color w:val="auto"/>
                      <w:szCs w:val="21"/>
                      <w:lang w:val="en-US" w:eastAsia="zh-CN"/>
                    </w:rPr>
                  </w:pPr>
                </w:p>
              </w:tc>
              <w:tc>
                <w:tcPr>
                  <w:tcW w:w="780" w:type="pct"/>
                  <w:noWrap w:val="0"/>
                  <w:vAlign w:val="center"/>
                </w:tcPr>
                <w:p w14:paraId="44C81D45">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37184966">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2组</w:t>
                  </w:r>
                </w:p>
              </w:tc>
              <w:tc>
                <w:tcPr>
                  <w:tcW w:w="1704" w:type="pct"/>
                  <w:noWrap w:val="0"/>
                  <w:vAlign w:val="center"/>
                </w:tcPr>
                <w:p w14:paraId="4734C451">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5B36A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19D0EC91">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eastAsia="zh-CN"/>
                    </w:rPr>
                    <w:t>5</w:t>
                  </w:r>
                </w:p>
              </w:tc>
              <w:tc>
                <w:tcPr>
                  <w:tcW w:w="921" w:type="pct"/>
                  <w:noWrap w:val="0"/>
                  <w:vAlign w:val="center"/>
                </w:tcPr>
                <w:p w14:paraId="0FFACCAE">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底座槽钢</w:t>
                  </w:r>
                </w:p>
              </w:tc>
              <w:tc>
                <w:tcPr>
                  <w:tcW w:w="894" w:type="pct"/>
                  <w:noWrap w:val="0"/>
                  <w:vAlign w:val="center"/>
                </w:tcPr>
                <w:p w14:paraId="347D2F62">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12#槽钢9米长</w:t>
                  </w:r>
                </w:p>
              </w:tc>
              <w:tc>
                <w:tcPr>
                  <w:tcW w:w="780" w:type="pct"/>
                  <w:noWrap w:val="0"/>
                  <w:vAlign w:val="center"/>
                </w:tcPr>
                <w:p w14:paraId="5ABA4B02">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5C33D411">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331D46F0">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39792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98" w:type="pct"/>
                  <w:noWrap w:val="0"/>
                  <w:vAlign w:val="center"/>
                </w:tcPr>
                <w:p w14:paraId="5F648F2E">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eastAsia="zh-CN"/>
                    </w:rPr>
                    <w:t>6</w:t>
                  </w:r>
                </w:p>
              </w:tc>
              <w:tc>
                <w:tcPr>
                  <w:tcW w:w="921" w:type="pct"/>
                  <w:noWrap w:val="0"/>
                  <w:vAlign w:val="center"/>
                </w:tcPr>
                <w:p w14:paraId="5D0F5BCC">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进出法兰</w:t>
                  </w:r>
                </w:p>
              </w:tc>
              <w:tc>
                <w:tcPr>
                  <w:tcW w:w="894" w:type="pct"/>
                  <w:noWrap w:val="0"/>
                  <w:vAlign w:val="center"/>
                </w:tcPr>
                <w:p w14:paraId="1C1126EA">
                  <w:pPr>
                    <w:spacing w:line="410" w:lineRule="atLeast"/>
                    <w:jc w:val="both"/>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配套</w:t>
                  </w:r>
                </w:p>
              </w:tc>
              <w:tc>
                <w:tcPr>
                  <w:tcW w:w="780" w:type="pct"/>
                  <w:noWrap w:val="0"/>
                  <w:vAlign w:val="center"/>
                </w:tcPr>
                <w:p w14:paraId="37E7A78D">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44E5D9BB">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2件</w:t>
                  </w:r>
                </w:p>
              </w:tc>
              <w:tc>
                <w:tcPr>
                  <w:tcW w:w="1704" w:type="pct"/>
                  <w:noWrap w:val="0"/>
                  <w:vAlign w:val="center"/>
                </w:tcPr>
                <w:p w14:paraId="31060D07">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49A43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28812959">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eastAsia="zh-CN"/>
                    </w:rPr>
                    <w:t>7</w:t>
                  </w:r>
                </w:p>
              </w:tc>
              <w:tc>
                <w:tcPr>
                  <w:tcW w:w="921" w:type="pct"/>
                  <w:noWrap w:val="0"/>
                  <w:vAlign w:val="center"/>
                </w:tcPr>
                <w:p w14:paraId="6C920F6D">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喷淋管</w:t>
                  </w:r>
                </w:p>
              </w:tc>
              <w:tc>
                <w:tcPr>
                  <w:tcW w:w="894" w:type="pct"/>
                  <w:noWrap w:val="0"/>
                  <w:vAlign w:val="center"/>
                </w:tcPr>
                <w:p w14:paraId="5701FB38">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Φ76×δ3mm</w:t>
                  </w:r>
                </w:p>
              </w:tc>
              <w:tc>
                <w:tcPr>
                  <w:tcW w:w="780" w:type="pct"/>
                  <w:noWrap w:val="0"/>
                  <w:vAlign w:val="center"/>
                </w:tcPr>
                <w:p w14:paraId="3A63338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0B4AD63A">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2件</w:t>
                  </w:r>
                </w:p>
              </w:tc>
              <w:tc>
                <w:tcPr>
                  <w:tcW w:w="1704" w:type="pct"/>
                  <w:noWrap w:val="0"/>
                  <w:vAlign w:val="center"/>
                </w:tcPr>
                <w:p w14:paraId="7FF34D00">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无缝管</w:t>
                  </w:r>
                </w:p>
              </w:tc>
            </w:tr>
            <w:tr w14:paraId="11A27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2B78D775">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8</w:t>
                  </w:r>
                </w:p>
              </w:tc>
              <w:tc>
                <w:tcPr>
                  <w:tcW w:w="921" w:type="pct"/>
                  <w:noWrap w:val="0"/>
                  <w:vAlign w:val="center"/>
                </w:tcPr>
                <w:p w14:paraId="336F816B">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螺旋喷嘴</w:t>
                  </w:r>
                </w:p>
              </w:tc>
              <w:tc>
                <w:tcPr>
                  <w:tcW w:w="894" w:type="pct"/>
                  <w:noWrap w:val="0"/>
                  <w:vAlign w:val="center"/>
                </w:tcPr>
                <w:p w14:paraId="59AFE8F9">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4分</w:t>
                  </w:r>
                </w:p>
              </w:tc>
              <w:tc>
                <w:tcPr>
                  <w:tcW w:w="780" w:type="pct"/>
                  <w:noWrap w:val="0"/>
                  <w:vAlign w:val="center"/>
                </w:tcPr>
                <w:p w14:paraId="29C21012">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41E219D9">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2套</w:t>
                  </w:r>
                </w:p>
              </w:tc>
              <w:tc>
                <w:tcPr>
                  <w:tcW w:w="1704" w:type="pct"/>
                  <w:noWrap w:val="0"/>
                  <w:vAlign w:val="center"/>
                </w:tcPr>
                <w:p w14:paraId="19A41CDE">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喷角90°</w:t>
                  </w:r>
                </w:p>
              </w:tc>
            </w:tr>
            <w:tr w14:paraId="25A9D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1C84E4B5">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9</w:t>
                  </w:r>
                </w:p>
              </w:tc>
              <w:tc>
                <w:tcPr>
                  <w:tcW w:w="921" w:type="pct"/>
                  <w:noWrap w:val="0"/>
                  <w:vAlign w:val="center"/>
                </w:tcPr>
                <w:p w14:paraId="087B2FF7">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普通人孔</w:t>
                  </w:r>
                </w:p>
              </w:tc>
              <w:tc>
                <w:tcPr>
                  <w:tcW w:w="894" w:type="pct"/>
                  <w:noWrap w:val="0"/>
                  <w:vAlign w:val="center"/>
                </w:tcPr>
                <w:p w14:paraId="25C0731F">
                  <w:pPr>
                    <w:spacing w:line="410" w:lineRule="atLeast"/>
                    <w:jc w:val="both"/>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Φ450</w:t>
                  </w:r>
                </w:p>
              </w:tc>
              <w:tc>
                <w:tcPr>
                  <w:tcW w:w="780" w:type="pct"/>
                  <w:noWrap w:val="0"/>
                  <w:vAlign w:val="center"/>
                </w:tcPr>
                <w:p w14:paraId="090A9DFB">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56903FDC">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2个</w:t>
                  </w:r>
                </w:p>
              </w:tc>
              <w:tc>
                <w:tcPr>
                  <w:tcW w:w="1704" w:type="pct"/>
                  <w:noWrap w:val="0"/>
                  <w:vAlign w:val="center"/>
                </w:tcPr>
                <w:p w14:paraId="3029491C">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斜角焊接，无积水</w:t>
                  </w:r>
                </w:p>
              </w:tc>
            </w:tr>
            <w:tr w14:paraId="2E65A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050A128A">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10</w:t>
                  </w:r>
                </w:p>
              </w:tc>
              <w:tc>
                <w:tcPr>
                  <w:tcW w:w="921" w:type="pct"/>
                  <w:noWrap w:val="0"/>
                  <w:vAlign w:val="center"/>
                </w:tcPr>
                <w:p w14:paraId="66A1715C">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排污阀</w:t>
                  </w:r>
                </w:p>
              </w:tc>
              <w:tc>
                <w:tcPr>
                  <w:tcW w:w="894" w:type="pct"/>
                  <w:noWrap w:val="0"/>
                  <w:vAlign w:val="center"/>
                </w:tcPr>
                <w:p w14:paraId="447D6281">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DN100球阀</w:t>
                  </w:r>
                </w:p>
              </w:tc>
              <w:tc>
                <w:tcPr>
                  <w:tcW w:w="780" w:type="pct"/>
                  <w:noWrap w:val="0"/>
                  <w:vAlign w:val="center"/>
                </w:tcPr>
                <w:p w14:paraId="2384B7EC">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52FEDCF6">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1个</w:t>
                  </w:r>
                </w:p>
              </w:tc>
              <w:tc>
                <w:tcPr>
                  <w:tcW w:w="1704" w:type="pct"/>
                  <w:noWrap w:val="0"/>
                  <w:vAlign w:val="center"/>
                </w:tcPr>
                <w:p w14:paraId="746D5CD4">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1B10F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121A1FDF">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11</w:t>
                  </w:r>
                </w:p>
              </w:tc>
              <w:tc>
                <w:tcPr>
                  <w:tcW w:w="921" w:type="pct"/>
                  <w:noWrap w:val="0"/>
                  <w:vAlign w:val="center"/>
                </w:tcPr>
                <w:p w14:paraId="5692B08F">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法兰</w:t>
                  </w:r>
                </w:p>
              </w:tc>
              <w:tc>
                <w:tcPr>
                  <w:tcW w:w="894" w:type="pct"/>
                  <w:noWrap w:val="0"/>
                  <w:vAlign w:val="center"/>
                </w:tcPr>
                <w:p w14:paraId="111B1B16">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DN100、DN80</w:t>
                  </w:r>
                </w:p>
              </w:tc>
              <w:tc>
                <w:tcPr>
                  <w:tcW w:w="780" w:type="pct"/>
                  <w:noWrap w:val="0"/>
                  <w:vAlign w:val="center"/>
                </w:tcPr>
                <w:p w14:paraId="7E189E8E">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01E2CA10">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2套</w:t>
                  </w:r>
                </w:p>
              </w:tc>
              <w:tc>
                <w:tcPr>
                  <w:tcW w:w="1704" w:type="pct"/>
                  <w:noWrap w:val="0"/>
                  <w:vAlign w:val="center"/>
                </w:tcPr>
                <w:p w14:paraId="6EDB8394">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23B6F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2DB5E081">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12</w:t>
                  </w:r>
                </w:p>
              </w:tc>
              <w:tc>
                <w:tcPr>
                  <w:tcW w:w="921" w:type="pct"/>
                  <w:noWrap w:val="0"/>
                  <w:vAlign w:val="center"/>
                </w:tcPr>
                <w:p w14:paraId="2A49EB73">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法兰连接支管</w:t>
                  </w:r>
                </w:p>
              </w:tc>
              <w:tc>
                <w:tcPr>
                  <w:tcW w:w="894" w:type="pct"/>
                  <w:noWrap w:val="0"/>
                  <w:vAlign w:val="center"/>
                </w:tcPr>
                <w:p w14:paraId="3E5EC410">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φ32×δ2.5mm</w:t>
                  </w:r>
                </w:p>
              </w:tc>
              <w:tc>
                <w:tcPr>
                  <w:tcW w:w="780" w:type="pct"/>
                  <w:noWrap w:val="0"/>
                  <w:vAlign w:val="center"/>
                </w:tcPr>
                <w:p w14:paraId="5CE367FC">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4EAD819F">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2套</w:t>
                  </w:r>
                </w:p>
              </w:tc>
              <w:tc>
                <w:tcPr>
                  <w:tcW w:w="1704" w:type="pct"/>
                  <w:noWrap w:val="0"/>
                  <w:vAlign w:val="center"/>
                </w:tcPr>
                <w:p w14:paraId="2E535A6E">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446CA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79FF799F">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13</w:t>
                  </w:r>
                </w:p>
              </w:tc>
              <w:tc>
                <w:tcPr>
                  <w:tcW w:w="921" w:type="pct"/>
                  <w:noWrap w:val="0"/>
                  <w:vAlign w:val="center"/>
                </w:tcPr>
                <w:p w14:paraId="43CC4079">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液位计</w:t>
                  </w:r>
                </w:p>
              </w:tc>
              <w:tc>
                <w:tcPr>
                  <w:tcW w:w="894" w:type="pct"/>
                  <w:noWrap w:val="0"/>
                  <w:vAlign w:val="center"/>
                </w:tcPr>
                <w:p w14:paraId="021C45A2">
                  <w:pPr>
                    <w:spacing w:line="410" w:lineRule="atLeast"/>
                    <w:rPr>
                      <w:rFonts w:hint="default" w:ascii="Times New Roman" w:hAnsi="Times New Roman" w:eastAsia="宋体" w:cs="Times New Roman"/>
                      <w:b w:val="0"/>
                      <w:bCs w:val="0"/>
                      <w:i w:val="0"/>
                      <w:iCs w:val="0"/>
                      <w:color w:val="auto"/>
                      <w:szCs w:val="21"/>
                      <w:lang w:val="en-US" w:eastAsia="zh-CN"/>
                    </w:rPr>
                  </w:pPr>
                </w:p>
              </w:tc>
              <w:tc>
                <w:tcPr>
                  <w:tcW w:w="780" w:type="pct"/>
                  <w:noWrap w:val="0"/>
                  <w:vAlign w:val="center"/>
                </w:tcPr>
                <w:p w14:paraId="20B68A91">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6428F6F2">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1组</w:t>
                  </w:r>
                </w:p>
              </w:tc>
              <w:tc>
                <w:tcPr>
                  <w:tcW w:w="1704" w:type="pct"/>
                  <w:noWrap w:val="0"/>
                  <w:vAlign w:val="center"/>
                </w:tcPr>
                <w:p w14:paraId="40A97DDD">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35D92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461A9D11">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14</w:t>
                  </w:r>
                </w:p>
              </w:tc>
              <w:tc>
                <w:tcPr>
                  <w:tcW w:w="921" w:type="pct"/>
                  <w:noWrap w:val="0"/>
                  <w:vAlign w:val="center"/>
                </w:tcPr>
                <w:p w14:paraId="0EECB3C0">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爬梯</w:t>
                  </w:r>
                </w:p>
              </w:tc>
              <w:tc>
                <w:tcPr>
                  <w:tcW w:w="894" w:type="pct"/>
                  <w:noWrap w:val="0"/>
                  <w:vAlign w:val="center"/>
                </w:tcPr>
                <w:p w14:paraId="51F87EF1">
                  <w:pPr>
                    <w:spacing w:line="410" w:lineRule="atLeast"/>
                    <w:rPr>
                      <w:rFonts w:hint="default" w:ascii="Times New Roman" w:hAnsi="Times New Roman" w:eastAsia="宋体" w:cs="Times New Roman"/>
                      <w:b w:val="0"/>
                      <w:bCs w:val="0"/>
                      <w:i w:val="0"/>
                      <w:iCs w:val="0"/>
                      <w:color w:val="auto"/>
                      <w:szCs w:val="21"/>
                      <w:lang w:val="en-US" w:eastAsia="zh-CN"/>
                    </w:rPr>
                  </w:pPr>
                </w:p>
              </w:tc>
              <w:tc>
                <w:tcPr>
                  <w:tcW w:w="780" w:type="pct"/>
                  <w:noWrap w:val="0"/>
                  <w:vAlign w:val="center"/>
                </w:tcPr>
                <w:p w14:paraId="4FE30C64">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2C8B67F2">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765053F0">
                  <w:pPr>
                    <w:spacing w:line="410" w:lineRule="atLeast"/>
                    <w:jc w:val="center"/>
                    <w:rPr>
                      <w:rFonts w:hint="default" w:ascii="Times New Roman" w:hAnsi="Times New Roman" w:eastAsia="宋体" w:cs="Times New Roman"/>
                      <w:b w:val="0"/>
                      <w:bCs w:val="0"/>
                      <w:i w:val="0"/>
                      <w:iCs w:val="0"/>
                      <w:color w:val="auto"/>
                      <w:szCs w:val="21"/>
                      <w:lang w:val="en-US" w:eastAsia="zh-CN"/>
                    </w:rPr>
                  </w:pPr>
                </w:p>
              </w:tc>
            </w:tr>
            <w:tr w14:paraId="0565E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67B7B20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15</w:t>
                  </w:r>
                </w:p>
              </w:tc>
              <w:tc>
                <w:tcPr>
                  <w:tcW w:w="921" w:type="pct"/>
                  <w:noWrap w:val="0"/>
                  <w:vAlign w:val="center"/>
                </w:tcPr>
                <w:p w14:paraId="2034489B">
                  <w:pPr>
                    <w:spacing w:line="410" w:lineRule="atLeast"/>
                    <w:jc w:val="lef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水泵</w:t>
                  </w:r>
                </w:p>
              </w:tc>
              <w:tc>
                <w:tcPr>
                  <w:tcW w:w="894" w:type="pct"/>
                  <w:noWrap w:val="0"/>
                  <w:vAlign w:val="center"/>
                </w:tcPr>
                <w:p w14:paraId="007217AB">
                  <w:pPr>
                    <w:spacing w:line="410" w:lineRule="atLeast"/>
                    <w:rPr>
                      <w:rFonts w:hint="default" w:ascii="Times New Roman" w:hAnsi="Times New Roman" w:eastAsia="宋体" w:cs="Times New Roman"/>
                      <w:b w:val="0"/>
                      <w:bCs w:val="0"/>
                      <w:i w:val="0"/>
                      <w:iCs w:val="0"/>
                      <w:color w:val="auto"/>
                      <w:szCs w:val="21"/>
                      <w:lang w:val="en-US" w:eastAsia="zh-CN"/>
                    </w:rPr>
                  </w:pPr>
                </w:p>
              </w:tc>
              <w:tc>
                <w:tcPr>
                  <w:tcW w:w="780" w:type="pct"/>
                  <w:noWrap w:val="0"/>
                  <w:vAlign w:val="center"/>
                </w:tcPr>
                <w:p w14:paraId="19110300">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420FE5B0">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21EAE75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4</w:t>
                  </w:r>
                  <w:r>
                    <w:rPr>
                      <w:rFonts w:hint="eastAsia" w:cs="Times New Roman"/>
                      <w:b w:val="0"/>
                      <w:bCs w:val="0"/>
                      <w:i w:val="0"/>
                      <w:iCs w:val="0"/>
                      <w:color w:val="auto"/>
                      <w:szCs w:val="21"/>
                      <w:lang w:val="en-US" w:eastAsia="zh-CN"/>
                    </w:rPr>
                    <w:t>kW</w:t>
                  </w:r>
                </w:p>
              </w:tc>
            </w:tr>
            <w:tr w14:paraId="17AF7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000" w:type="pct"/>
                  <w:gridSpan w:val="6"/>
                  <w:noWrap w:val="0"/>
                  <w:vAlign w:val="center"/>
                </w:tcPr>
                <w:p w14:paraId="6212AD3C">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 w:val="24"/>
                      <w:szCs w:val="24"/>
                      <w:lang w:val="en-US" w:eastAsia="zh-CN"/>
                    </w:rPr>
                    <w:t>二、风机及管道部分</w:t>
                  </w:r>
                </w:p>
              </w:tc>
            </w:tr>
            <w:tr w14:paraId="1B8EB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3A3CC977">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w:t>
                  </w:r>
                </w:p>
              </w:tc>
              <w:tc>
                <w:tcPr>
                  <w:tcW w:w="921" w:type="pct"/>
                  <w:noWrap w:val="0"/>
                  <w:vAlign w:val="center"/>
                </w:tcPr>
                <w:p w14:paraId="07447C86">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引风机</w:t>
                  </w:r>
                </w:p>
              </w:tc>
              <w:tc>
                <w:tcPr>
                  <w:tcW w:w="894" w:type="pct"/>
                  <w:noWrap w:val="0"/>
                  <w:vAlign w:val="center"/>
                </w:tcPr>
                <w:p w14:paraId="60D16C35">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4-72</w:t>
                  </w:r>
                </w:p>
              </w:tc>
              <w:tc>
                <w:tcPr>
                  <w:tcW w:w="780" w:type="pct"/>
                  <w:noWrap w:val="0"/>
                  <w:vAlign w:val="center"/>
                </w:tcPr>
                <w:p w14:paraId="033524A0">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62DB5CD0">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20F06244">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30Kw，变频控制 带减震器</w:t>
                  </w:r>
                </w:p>
                <w:p w14:paraId="66D2127A">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风量：24000立方/小时</w:t>
                  </w:r>
                </w:p>
                <w:p w14:paraId="197BA037">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风压：2000pa</w:t>
                  </w:r>
                </w:p>
              </w:tc>
            </w:tr>
            <w:tr w14:paraId="21CA8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7E2C6F9D">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2</w:t>
                  </w:r>
                </w:p>
              </w:tc>
              <w:tc>
                <w:tcPr>
                  <w:tcW w:w="921" w:type="pct"/>
                  <w:noWrap w:val="0"/>
                  <w:vAlign w:val="center"/>
                </w:tcPr>
                <w:p w14:paraId="20470DB8">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吸风罩</w:t>
                  </w:r>
                </w:p>
              </w:tc>
              <w:tc>
                <w:tcPr>
                  <w:tcW w:w="894" w:type="pct"/>
                  <w:noWrap w:val="0"/>
                  <w:vAlign w:val="center"/>
                </w:tcPr>
                <w:p w14:paraId="491E765A">
                  <w:pPr>
                    <w:spacing w:line="410" w:lineRule="atLeast"/>
                    <w:rPr>
                      <w:rFonts w:hint="default" w:ascii="Times New Roman" w:hAnsi="Times New Roman" w:eastAsia="宋体" w:cs="Times New Roman"/>
                      <w:b w:val="0"/>
                      <w:bCs w:val="0"/>
                      <w:i w:val="0"/>
                      <w:iCs w:val="0"/>
                      <w:color w:val="auto"/>
                      <w:szCs w:val="21"/>
                      <w:lang w:val="en-US" w:eastAsia="zh-CN"/>
                    </w:rPr>
                  </w:pPr>
                </w:p>
              </w:tc>
              <w:tc>
                <w:tcPr>
                  <w:tcW w:w="780" w:type="pct"/>
                  <w:noWrap w:val="0"/>
                  <w:vAlign w:val="center"/>
                </w:tcPr>
                <w:p w14:paraId="7CE6A7FF">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玻璃钢</w:t>
                  </w:r>
                </w:p>
              </w:tc>
              <w:tc>
                <w:tcPr>
                  <w:tcW w:w="400" w:type="pct"/>
                  <w:noWrap w:val="0"/>
                  <w:vAlign w:val="center"/>
                </w:tcPr>
                <w:p w14:paraId="6CB6539A">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4套</w:t>
                  </w:r>
                </w:p>
              </w:tc>
              <w:tc>
                <w:tcPr>
                  <w:tcW w:w="1704" w:type="pct"/>
                  <w:noWrap w:val="0"/>
                  <w:vAlign w:val="center"/>
                </w:tcPr>
                <w:p w14:paraId="21DE0731">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预设计1000*1000</w:t>
                  </w:r>
                </w:p>
              </w:tc>
            </w:tr>
            <w:tr w14:paraId="0527B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0300A1EE">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3</w:t>
                  </w:r>
                </w:p>
              </w:tc>
              <w:tc>
                <w:tcPr>
                  <w:tcW w:w="921" w:type="pct"/>
                  <w:noWrap w:val="0"/>
                  <w:vAlign w:val="center"/>
                </w:tcPr>
                <w:p w14:paraId="674501A2">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吸风管道内</w:t>
                  </w:r>
                </w:p>
              </w:tc>
              <w:tc>
                <w:tcPr>
                  <w:tcW w:w="894" w:type="pct"/>
                  <w:noWrap w:val="0"/>
                  <w:vAlign w:val="center"/>
                </w:tcPr>
                <w:p w14:paraId="02678C15">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配套</w:t>
                  </w:r>
                </w:p>
              </w:tc>
              <w:tc>
                <w:tcPr>
                  <w:tcW w:w="780" w:type="pct"/>
                  <w:noWrap w:val="0"/>
                  <w:vAlign w:val="center"/>
                </w:tcPr>
                <w:p w14:paraId="3B56A665">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内玻璃钢</w:t>
                  </w:r>
                </w:p>
              </w:tc>
              <w:tc>
                <w:tcPr>
                  <w:tcW w:w="400" w:type="pct"/>
                  <w:noWrap w:val="0"/>
                  <w:vAlign w:val="center"/>
                </w:tcPr>
                <w:p w14:paraId="1730D93D">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1E5AB03D">
                  <w:pPr>
                    <w:spacing w:line="410" w:lineRule="atLeast"/>
                    <w:rPr>
                      <w:rFonts w:hint="default" w:ascii="Times New Roman" w:hAnsi="Times New Roman" w:eastAsia="宋体" w:cs="Times New Roman"/>
                      <w:b w:val="0"/>
                      <w:bCs w:val="0"/>
                      <w:i w:val="0"/>
                      <w:iCs w:val="0"/>
                      <w:color w:val="auto"/>
                      <w:szCs w:val="21"/>
                      <w:lang w:val="en-US" w:eastAsia="zh-CN"/>
                    </w:rPr>
                  </w:pPr>
                </w:p>
              </w:tc>
            </w:tr>
            <w:tr w14:paraId="2F2C3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3FC7FD3E">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4</w:t>
                  </w:r>
                </w:p>
              </w:tc>
              <w:tc>
                <w:tcPr>
                  <w:tcW w:w="921" w:type="pct"/>
                  <w:noWrap w:val="0"/>
                  <w:vAlign w:val="center"/>
                </w:tcPr>
                <w:p w14:paraId="6DE85DF7">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气动切换阀</w:t>
                  </w:r>
                </w:p>
              </w:tc>
              <w:tc>
                <w:tcPr>
                  <w:tcW w:w="894" w:type="pct"/>
                  <w:noWrap w:val="0"/>
                  <w:vAlign w:val="center"/>
                </w:tcPr>
                <w:p w14:paraId="1D8A9C69">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配套</w:t>
                  </w:r>
                </w:p>
              </w:tc>
              <w:tc>
                <w:tcPr>
                  <w:tcW w:w="780" w:type="pct"/>
                  <w:noWrap w:val="0"/>
                  <w:vAlign w:val="center"/>
                </w:tcPr>
                <w:p w14:paraId="7EB0570C">
                  <w:pPr>
                    <w:spacing w:line="410" w:lineRule="atLeast"/>
                    <w:rPr>
                      <w:rFonts w:hint="default" w:ascii="Times New Roman" w:hAnsi="Times New Roman" w:eastAsia="宋体" w:cs="Times New Roman"/>
                      <w:b w:val="0"/>
                      <w:bCs w:val="0"/>
                      <w:i w:val="0"/>
                      <w:iCs w:val="0"/>
                      <w:color w:val="auto"/>
                      <w:szCs w:val="21"/>
                      <w:lang w:val="en-US" w:eastAsia="zh-CN"/>
                    </w:rPr>
                  </w:pPr>
                </w:p>
              </w:tc>
              <w:tc>
                <w:tcPr>
                  <w:tcW w:w="400" w:type="pct"/>
                  <w:noWrap w:val="0"/>
                  <w:vAlign w:val="center"/>
                </w:tcPr>
                <w:p w14:paraId="324AC49F">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3817F6F7">
                  <w:pPr>
                    <w:spacing w:line="410" w:lineRule="atLeast"/>
                    <w:rPr>
                      <w:rFonts w:hint="default" w:ascii="Times New Roman" w:hAnsi="Times New Roman" w:eastAsia="宋体" w:cs="Times New Roman"/>
                      <w:b w:val="0"/>
                      <w:bCs w:val="0"/>
                      <w:i w:val="0"/>
                      <w:iCs w:val="0"/>
                      <w:color w:val="auto"/>
                      <w:szCs w:val="21"/>
                      <w:lang w:val="en-US" w:eastAsia="zh-CN"/>
                    </w:rPr>
                  </w:pPr>
                </w:p>
              </w:tc>
            </w:tr>
            <w:tr w14:paraId="5543B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7B130435">
                  <w:pPr>
                    <w:spacing w:line="410" w:lineRule="atLeast"/>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5</w:t>
                  </w:r>
                </w:p>
              </w:tc>
              <w:tc>
                <w:tcPr>
                  <w:tcW w:w="921" w:type="pct"/>
                  <w:noWrap w:val="0"/>
                  <w:vAlign w:val="center"/>
                </w:tcPr>
                <w:p w14:paraId="6C061958">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吸风管道外</w:t>
                  </w:r>
                </w:p>
              </w:tc>
              <w:tc>
                <w:tcPr>
                  <w:tcW w:w="894" w:type="pct"/>
                  <w:noWrap w:val="0"/>
                  <w:vAlign w:val="center"/>
                </w:tcPr>
                <w:p w14:paraId="48DD0DA6">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配套</w:t>
                  </w:r>
                </w:p>
              </w:tc>
              <w:tc>
                <w:tcPr>
                  <w:tcW w:w="780" w:type="pct"/>
                  <w:noWrap w:val="0"/>
                  <w:vAlign w:val="center"/>
                </w:tcPr>
                <w:p w14:paraId="152CAEDC">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304</w:t>
                  </w:r>
                </w:p>
              </w:tc>
              <w:tc>
                <w:tcPr>
                  <w:tcW w:w="400" w:type="pct"/>
                  <w:noWrap w:val="0"/>
                  <w:vAlign w:val="center"/>
                </w:tcPr>
                <w:p w14:paraId="6B0E9455">
                  <w:pPr>
                    <w:spacing w:line="410" w:lineRule="atLeast"/>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7F576571">
                  <w:pPr>
                    <w:spacing w:line="410" w:lineRule="atLeast"/>
                    <w:rPr>
                      <w:rFonts w:hint="default" w:ascii="Times New Roman" w:hAnsi="Times New Roman" w:eastAsia="宋体" w:cs="Times New Roman"/>
                      <w:b w:val="0"/>
                      <w:bCs w:val="0"/>
                      <w:i w:val="0"/>
                      <w:iCs w:val="0"/>
                      <w:color w:val="auto"/>
                      <w:szCs w:val="21"/>
                      <w:lang w:val="en-US" w:eastAsia="zh-CN"/>
                    </w:rPr>
                  </w:pPr>
                </w:p>
              </w:tc>
            </w:tr>
            <w:tr w14:paraId="6DE2B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noWrap w:val="0"/>
                  <w:vAlign w:val="center"/>
                </w:tcPr>
                <w:p w14:paraId="4CE94834">
                  <w:pPr>
                    <w:spacing w:line="410" w:lineRule="atLeast"/>
                    <w:jc w:val="center"/>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6</w:t>
                  </w:r>
                </w:p>
              </w:tc>
              <w:tc>
                <w:tcPr>
                  <w:tcW w:w="921" w:type="pct"/>
                  <w:noWrap w:val="0"/>
                  <w:vAlign w:val="center"/>
                </w:tcPr>
                <w:p w14:paraId="63F07168">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排风烟囱</w:t>
                  </w:r>
                </w:p>
              </w:tc>
              <w:tc>
                <w:tcPr>
                  <w:tcW w:w="894" w:type="pct"/>
                  <w:noWrap w:val="0"/>
                  <w:vAlign w:val="center"/>
                </w:tcPr>
                <w:p w14:paraId="200F022C">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15米</w:t>
                  </w:r>
                </w:p>
              </w:tc>
              <w:tc>
                <w:tcPr>
                  <w:tcW w:w="780" w:type="pct"/>
                  <w:noWrap w:val="0"/>
                  <w:vAlign w:val="center"/>
                </w:tcPr>
                <w:p w14:paraId="347D8641">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Q235</w:t>
                  </w:r>
                </w:p>
              </w:tc>
              <w:tc>
                <w:tcPr>
                  <w:tcW w:w="400" w:type="pct"/>
                  <w:noWrap w:val="0"/>
                  <w:vAlign w:val="center"/>
                </w:tcPr>
                <w:p w14:paraId="551490C0">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1套</w:t>
                  </w:r>
                </w:p>
              </w:tc>
              <w:tc>
                <w:tcPr>
                  <w:tcW w:w="1704" w:type="pct"/>
                  <w:noWrap w:val="0"/>
                  <w:vAlign w:val="center"/>
                </w:tcPr>
                <w:p w14:paraId="3708668A">
                  <w:pPr>
                    <w:spacing w:line="410" w:lineRule="atLeast"/>
                    <w:rPr>
                      <w:rFonts w:hint="default" w:ascii="Times New Roman" w:hAnsi="Times New Roman" w:eastAsia="宋体" w:cs="Times New Roman"/>
                      <w:b w:val="0"/>
                      <w:bCs w:val="0"/>
                      <w:i w:val="0"/>
                      <w:iCs w:val="0"/>
                      <w:color w:val="auto"/>
                      <w:szCs w:val="21"/>
                      <w:lang w:val="en-US" w:eastAsia="zh-CN"/>
                    </w:rPr>
                  </w:pPr>
                  <w:r>
                    <w:rPr>
                      <w:rFonts w:hint="default" w:ascii="Times New Roman" w:hAnsi="Times New Roman" w:eastAsia="宋体" w:cs="Times New Roman"/>
                      <w:b w:val="0"/>
                      <w:bCs w:val="0"/>
                      <w:i w:val="0"/>
                      <w:iCs w:val="0"/>
                      <w:color w:val="auto"/>
                      <w:szCs w:val="21"/>
                      <w:lang w:val="en-US" w:eastAsia="zh-CN"/>
                    </w:rPr>
                    <w:t>螺纹管设计</w:t>
                  </w:r>
                </w:p>
              </w:tc>
            </w:tr>
          </w:tbl>
          <w:p w14:paraId="510EE2E5">
            <w:pPr>
              <w:widowControl/>
              <w:adjustRightInd w:val="0"/>
              <w:snapToGrid w:val="0"/>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2.废水</w:t>
            </w:r>
          </w:p>
          <w:p w14:paraId="25F07141">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2.1废水产生环节及源强分析</w:t>
            </w:r>
          </w:p>
          <w:p w14:paraId="624D6BA4">
            <w:pPr>
              <w:spacing w:line="360" w:lineRule="auto"/>
              <w:ind w:firstLine="482" w:firstLineChars="200"/>
              <w:rPr>
                <w:b/>
                <w:color w:val="auto"/>
                <w:sz w:val="24"/>
              </w:rPr>
            </w:pPr>
            <w:r>
              <w:rPr>
                <w:rFonts w:hint="eastAsia"/>
                <w:b/>
                <w:color w:val="auto"/>
                <w:sz w:val="24"/>
                <w:lang w:eastAsia="zh-CN"/>
              </w:rPr>
              <w:t>1.</w:t>
            </w:r>
            <w:r>
              <w:rPr>
                <w:b/>
                <w:color w:val="auto"/>
                <w:sz w:val="24"/>
              </w:rPr>
              <w:t>废水污染物排放源及源强核算</w:t>
            </w:r>
          </w:p>
          <w:p w14:paraId="4B8828DB">
            <w:pPr>
              <w:spacing w:line="360" w:lineRule="auto"/>
              <w:ind w:firstLine="480" w:firstLineChars="200"/>
              <w:rPr>
                <w:rFonts w:hint="eastAsia" w:eastAsia="宋体"/>
                <w:color w:val="auto"/>
                <w:sz w:val="24"/>
                <w:lang w:val="en-US" w:eastAsia="zh-CN"/>
              </w:rPr>
            </w:pPr>
            <w:r>
              <w:rPr>
                <w:rFonts w:hint="eastAsia"/>
                <w:color w:val="auto"/>
                <w:sz w:val="24"/>
              </w:rPr>
              <w:t>飞灰稳定化物呈灰色块状固体，在运输至本暂存仓之前已在烧厂内将其密封包装于防水吨袋内，暂存过程无渗滤液产生。暂存库地面铺设HDPE膜，不冲洗地面，无地面冲洗水</w:t>
            </w:r>
            <w:r>
              <w:rPr>
                <w:rFonts w:hint="eastAsia"/>
                <w:color w:val="auto"/>
                <w:sz w:val="24"/>
                <w:lang w:eastAsia="zh-CN"/>
              </w:rPr>
              <w:t>。</w:t>
            </w:r>
          </w:p>
          <w:p w14:paraId="42113C0D">
            <w:pPr>
              <w:spacing w:line="360" w:lineRule="auto"/>
              <w:ind w:firstLine="480" w:firstLineChars="200"/>
              <w:rPr>
                <w:rFonts w:hint="default" w:eastAsia="宋体"/>
                <w:color w:val="auto"/>
                <w:sz w:val="24"/>
                <w:lang w:val="en-US" w:eastAsia="zh-CN"/>
              </w:rPr>
            </w:pPr>
            <w:r>
              <w:rPr>
                <w:color w:val="auto"/>
                <w:sz w:val="24"/>
              </w:rPr>
              <w:t>本项目</w:t>
            </w:r>
            <w:r>
              <w:rPr>
                <w:rFonts w:hint="eastAsia"/>
                <w:color w:val="auto"/>
                <w:sz w:val="24"/>
                <w:lang w:eastAsia="zh-CN"/>
              </w:rPr>
              <w:t>不产生生产废水和生活污水，因为全厂全年飞灰产生暂存量</w:t>
            </w:r>
            <w:r>
              <w:rPr>
                <w:rFonts w:hint="eastAsia"/>
                <w:color w:val="auto"/>
                <w:sz w:val="24"/>
                <w:lang w:val="en-US" w:eastAsia="zh-CN"/>
              </w:rPr>
              <w:t>15000t不变，全部飞灰由原来的一座飞灰库暂存7天进行稳定化，现分成2座飞灰库，交替暂存。因此环保治理措施微负压密闭收集后经除氨系统水喷淋装置处理，水量不变，无需新增。本项目也无需新增员工，不涉及生活污水产生。</w:t>
            </w:r>
          </w:p>
          <w:p w14:paraId="64ADFFBD">
            <w:pPr>
              <w:widowControl/>
              <w:adjustRightInd w:val="0"/>
              <w:snapToGrid w:val="0"/>
              <w:spacing w:line="360" w:lineRule="auto"/>
              <w:ind w:firstLine="482" w:firstLineChars="200"/>
              <w:jc w:val="left"/>
              <w:rPr>
                <w:rFonts w:hint="eastAsia" w:cs="Times New Roman"/>
                <w:b/>
                <w:bCs/>
                <w:color w:val="auto"/>
                <w:kern w:val="0"/>
                <w:sz w:val="24"/>
                <w:lang w:val="en-US" w:eastAsia="zh-CN"/>
              </w:rPr>
            </w:pPr>
          </w:p>
          <w:p w14:paraId="3FCFE5F7">
            <w:pPr>
              <w:widowControl/>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3</w:t>
            </w:r>
            <w:r>
              <w:rPr>
                <w:rFonts w:hint="default" w:ascii="Times New Roman" w:hAnsi="Times New Roman" w:eastAsia="宋体" w:cs="Times New Roman"/>
                <w:b/>
                <w:bCs/>
                <w:color w:val="auto"/>
                <w:kern w:val="0"/>
                <w:sz w:val="24"/>
                <w:lang w:val="en-US" w:eastAsia="zh-CN"/>
              </w:rPr>
              <w:t>.噪声</w:t>
            </w:r>
          </w:p>
          <w:p w14:paraId="78D9659C">
            <w:pPr>
              <w:widowControl/>
              <w:adjustRightInd w:val="0"/>
              <w:snapToGrid w:val="0"/>
              <w:spacing w:line="360" w:lineRule="auto"/>
              <w:ind w:firstLine="482" w:firstLineChars="200"/>
              <w:jc w:val="left"/>
              <w:rPr>
                <w:rFonts w:hint="default" w:ascii="Times New Roman" w:hAnsi="Times New Roman" w:eastAsia="宋体" w:cs="Times New Roman"/>
                <w:color w:val="auto"/>
                <w:kern w:val="0"/>
                <w:sz w:val="24"/>
                <w:lang w:val="en-US" w:eastAsia="zh-CN"/>
              </w:rPr>
            </w:pPr>
            <w:r>
              <w:rPr>
                <w:rFonts w:hint="eastAsia" w:cs="Times New Roman"/>
                <w:b/>
                <w:bCs/>
                <w:color w:val="auto"/>
                <w:kern w:val="0"/>
                <w:sz w:val="24"/>
                <w:lang w:val="en-US" w:eastAsia="zh-CN"/>
              </w:rPr>
              <w:t>3.1</w:t>
            </w:r>
            <w:r>
              <w:rPr>
                <w:rFonts w:hint="default" w:ascii="Times New Roman" w:hAnsi="Times New Roman" w:eastAsia="宋体" w:cs="Times New Roman"/>
                <w:b/>
                <w:bCs/>
                <w:color w:val="auto"/>
                <w:kern w:val="0"/>
                <w:sz w:val="24"/>
                <w:lang w:val="en-US" w:eastAsia="zh-CN"/>
              </w:rPr>
              <w:t>噪声源强及降噪措施</w:t>
            </w:r>
          </w:p>
          <w:p w14:paraId="3B7EB42B">
            <w:pPr>
              <w:widowControl/>
              <w:adjustRightInd w:val="0"/>
              <w:snapToGrid w:val="0"/>
              <w:spacing w:line="360" w:lineRule="auto"/>
              <w:ind w:firstLine="480" w:firstLineChars="200"/>
              <w:jc w:val="left"/>
              <w:rPr>
                <w:rFonts w:hint="eastAsia" w:ascii="Times New Roman" w:cs="Times New Roman" w:hAnsiTheme="minorEastAsia" w:eastAsiaTheme="minorEastAsia"/>
                <w:color w:val="auto"/>
                <w:kern w:val="0"/>
                <w:sz w:val="24"/>
                <w:lang w:val="en-US" w:eastAsia="zh-CN" w:bidi="en-US"/>
              </w:rPr>
            </w:pPr>
            <w:r>
              <w:rPr>
                <w:rFonts w:hAnsiTheme="minorEastAsia" w:eastAsiaTheme="minorEastAsia"/>
                <w:color w:val="auto"/>
                <w:kern w:val="0"/>
                <w:sz w:val="24"/>
                <w:lang w:bidi="en-US"/>
              </w:rPr>
              <w:t>企业周边</w:t>
            </w:r>
            <w:r>
              <w:rPr>
                <w:rFonts w:eastAsiaTheme="minorEastAsia"/>
                <w:color w:val="auto"/>
                <w:kern w:val="0"/>
                <w:sz w:val="24"/>
                <w:lang w:bidi="en-US"/>
              </w:rPr>
              <w:t>50m</w:t>
            </w:r>
            <w:r>
              <w:rPr>
                <w:rFonts w:hAnsiTheme="minorEastAsia" w:eastAsiaTheme="minorEastAsia"/>
                <w:color w:val="auto"/>
                <w:kern w:val="0"/>
                <w:sz w:val="24"/>
                <w:lang w:bidi="en-US"/>
              </w:rPr>
              <w:t>范围内无声环境保护目标，</w:t>
            </w:r>
            <w:r>
              <w:rPr>
                <w:rFonts w:hint="eastAsia" w:hAnsiTheme="minorEastAsia" w:eastAsiaTheme="minorEastAsia"/>
                <w:color w:val="auto"/>
                <w:kern w:val="0"/>
                <w:sz w:val="24"/>
                <w:lang w:bidi="en-US"/>
              </w:rPr>
              <w:t>本项目为飞灰稳定</w:t>
            </w:r>
            <w:r>
              <w:rPr>
                <w:rFonts w:hint="eastAsia" w:hAnsiTheme="minorEastAsia" w:eastAsiaTheme="minorEastAsia"/>
                <w:color w:val="auto"/>
                <w:kern w:val="0"/>
                <w:sz w:val="24"/>
                <w:lang w:eastAsia="zh-CN" w:bidi="en-US"/>
              </w:rPr>
              <w:t>固</w:t>
            </w:r>
            <w:r>
              <w:rPr>
                <w:rFonts w:hint="eastAsia" w:hAnsiTheme="minorEastAsia" w:eastAsiaTheme="minorEastAsia"/>
                <w:color w:val="auto"/>
                <w:kern w:val="0"/>
                <w:sz w:val="24"/>
                <w:lang w:bidi="en-US"/>
              </w:rPr>
              <w:t>化物临时暂存库，产噪设备为吨袋运输、码放使用的</w:t>
            </w:r>
            <w:r>
              <w:rPr>
                <w:rFonts w:hint="eastAsia" w:hAnsiTheme="minorEastAsia" w:eastAsiaTheme="minorEastAsia"/>
                <w:color w:val="auto"/>
                <w:kern w:val="0"/>
                <w:sz w:val="24"/>
                <w:lang w:eastAsia="zh-CN" w:bidi="en-US"/>
              </w:rPr>
              <w:t>运输车辆的噪声，以及暂存期间抽风风机和喷淋塔水泵噪声，源强约为（60-85dB(A)）。经暂存库建筑物隔声、基础减振、距离衰减后，对厂界处的噪声贡献值很小，可达到《工业企业厂界环境噪声排放标准》（GB12348-2008)2类标准，且暂存库周边50m范围内无声环境保护目标本项目对周围声环境质量影响较小</w:t>
            </w:r>
            <w:r>
              <w:rPr>
                <w:rFonts w:hint="eastAsia"/>
                <w:color w:val="auto"/>
                <w:kern w:val="0"/>
                <w:sz w:val="24"/>
                <w:lang w:bidi="en-US"/>
              </w:rPr>
              <w:t>。</w:t>
            </w:r>
            <w:r>
              <w:rPr>
                <w:rFonts w:hint="eastAsia" w:ascii="Times New Roman" w:cs="Times New Roman" w:hAnsiTheme="minorEastAsia" w:eastAsiaTheme="minorEastAsia"/>
                <w:color w:val="auto"/>
                <w:kern w:val="0"/>
                <w:sz w:val="24"/>
                <w:lang w:eastAsia="zh-CN" w:bidi="en-US"/>
              </w:rPr>
              <w:t>本项目风机和车辆依托项目，不新增运输车辆，废气处理装置依托项目，因此本章节不做噪声预测。</w:t>
            </w:r>
          </w:p>
          <w:p w14:paraId="521DE59B">
            <w:pPr>
              <w:widowControl/>
              <w:adjustRightInd w:val="0"/>
              <w:snapToGrid w:val="0"/>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4"/>
                <w:lang w:val="en-US" w:eastAsia="zh-CN"/>
              </w:rPr>
              <w:t>综上所述，本项目运行后产生的噪声不会对区域声环境产生明显不利影响。</w:t>
            </w:r>
          </w:p>
        </w:tc>
      </w:tr>
    </w:tbl>
    <w:p w14:paraId="406C53A3">
      <w:pPr>
        <w:adjustRightInd w:val="0"/>
        <w:snapToGrid w:val="0"/>
        <w:jc w:val="center"/>
        <w:rPr>
          <w:b/>
          <w:bCs/>
          <w:color w:val="auto"/>
          <w:sz w:val="24"/>
        </w:rPr>
        <w:sectPr>
          <w:pgSz w:w="11907" w:h="16840"/>
          <w:pgMar w:top="1701" w:right="1531" w:bottom="2126" w:left="1531"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3"/>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9"/>
        <w:gridCol w:w="138"/>
        <w:gridCol w:w="8623"/>
      </w:tblGrid>
      <w:tr w14:paraId="6BB09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02" w:hRule="atLeast"/>
          <w:jc w:val="center"/>
        </w:trPr>
        <w:tc>
          <w:tcPr>
            <w:tcW w:w="241" w:type="pct"/>
            <w:gridSpan w:val="2"/>
            <w:tcMar>
              <w:left w:w="28" w:type="dxa"/>
              <w:right w:w="28" w:type="dxa"/>
            </w:tcMar>
            <w:vAlign w:val="center"/>
          </w:tcPr>
          <w:p w14:paraId="53BE10BE">
            <w:pPr>
              <w:adjustRightInd w:val="0"/>
              <w:snapToGrid w:val="0"/>
              <w:jc w:val="center"/>
              <w:rPr>
                <w:b/>
                <w:bCs/>
                <w:color w:val="auto"/>
                <w:sz w:val="24"/>
              </w:rPr>
            </w:pPr>
            <w:r>
              <w:rPr>
                <w:rFonts w:hAnsi="宋体"/>
                <w:b/>
                <w:bCs/>
                <w:color w:val="auto"/>
                <w:sz w:val="24"/>
              </w:rPr>
              <w:t>运营</w:t>
            </w:r>
          </w:p>
          <w:p w14:paraId="4C748DC6">
            <w:pPr>
              <w:adjustRightInd w:val="0"/>
              <w:snapToGrid w:val="0"/>
              <w:jc w:val="center"/>
              <w:rPr>
                <w:b/>
                <w:bCs/>
                <w:color w:val="auto"/>
                <w:sz w:val="24"/>
              </w:rPr>
            </w:pPr>
            <w:r>
              <w:rPr>
                <w:rFonts w:hAnsi="宋体"/>
                <w:b/>
                <w:bCs/>
                <w:color w:val="auto"/>
                <w:sz w:val="24"/>
              </w:rPr>
              <w:t>期环</w:t>
            </w:r>
          </w:p>
          <w:p w14:paraId="537F2A13">
            <w:pPr>
              <w:adjustRightInd w:val="0"/>
              <w:snapToGrid w:val="0"/>
              <w:jc w:val="center"/>
              <w:rPr>
                <w:b/>
                <w:bCs/>
                <w:color w:val="auto"/>
                <w:sz w:val="24"/>
              </w:rPr>
            </w:pPr>
            <w:r>
              <w:rPr>
                <w:rFonts w:hAnsi="宋体"/>
                <w:b/>
                <w:bCs/>
                <w:color w:val="auto"/>
                <w:sz w:val="24"/>
              </w:rPr>
              <w:t>境影</w:t>
            </w:r>
          </w:p>
          <w:p w14:paraId="255B06BA">
            <w:pPr>
              <w:adjustRightInd w:val="0"/>
              <w:snapToGrid w:val="0"/>
              <w:jc w:val="center"/>
              <w:rPr>
                <w:b/>
                <w:bCs/>
                <w:color w:val="auto"/>
                <w:sz w:val="24"/>
              </w:rPr>
            </w:pPr>
            <w:r>
              <w:rPr>
                <w:rFonts w:hAnsi="宋体"/>
                <w:b/>
                <w:bCs/>
                <w:color w:val="auto"/>
                <w:sz w:val="24"/>
              </w:rPr>
              <w:t>响和</w:t>
            </w:r>
          </w:p>
          <w:p w14:paraId="5030278C">
            <w:pPr>
              <w:adjustRightInd w:val="0"/>
              <w:snapToGrid w:val="0"/>
              <w:jc w:val="center"/>
              <w:rPr>
                <w:b/>
                <w:bCs/>
                <w:color w:val="auto"/>
                <w:sz w:val="24"/>
              </w:rPr>
            </w:pPr>
            <w:r>
              <w:rPr>
                <w:rFonts w:hAnsi="宋体"/>
                <w:b/>
                <w:bCs/>
                <w:color w:val="auto"/>
                <w:sz w:val="24"/>
              </w:rPr>
              <w:t>保护</w:t>
            </w:r>
          </w:p>
          <w:p w14:paraId="2D8E85B9">
            <w:pPr>
              <w:adjustRightInd w:val="0"/>
              <w:snapToGrid w:val="0"/>
              <w:jc w:val="center"/>
              <w:rPr>
                <w:b/>
                <w:bCs/>
                <w:color w:val="auto"/>
                <w:sz w:val="24"/>
              </w:rPr>
            </w:pPr>
            <w:r>
              <w:rPr>
                <w:rFonts w:hAnsi="宋体"/>
                <w:b/>
                <w:bCs/>
                <w:color w:val="auto"/>
                <w:sz w:val="24"/>
              </w:rPr>
              <w:t>措施</w:t>
            </w:r>
          </w:p>
        </w:tc>
        <w:tc>
          <w:tcPr>
            <w:tcW w:w="4758" w:type="pct"/>
            <w:vAlign w:val="center"/>
          </w:tcPr>
          <w:p w14:paraId="64400429">
            <w:pPr>
              <w:widowControl/>
              <w:autoSpaceDE w:val="0"/>
              <w:autoSpaceDN w:val="0"/>
              <w:adjustRightInd w:val="0"/>
              <w:snapToGrid w:val="0"/>
              <w:spacing w:beforeLines="50" w:line="360" w:lineRule="auto"/>
              <w:ind w:firstLine="482" w:firstLineChars="200"/>
              <w:jc w:val="left"/>
              <w:rPr>
                <w:b/>
                <w:color w:val="auto"/>
                <w:kern w:val="0"/>
                <w:sz w:val="24"/>
              </w:rPr>
            </w:pPr>
            <w:r>
              <w:rPr>
                <w:rFonts w:hint="eastAsia"/>
                <w:b/>
                <w:color w:val="auto"/>
                <w:kern w:val="0"/>
                <w:sz w:val="24"/>
                <w:lang w:val="en-US" w:eastAsia="zh-CN"/>
              </w:rPr>
              <w:t>4</w:t>
            </w:r>
            <w:r>
              <w:rPr>
                <w:b/>
                <w:color w:val="auto"/>
                <w:kern w:val="0"/>
                <w:sz w:val="24"/>
              </w:rPr>
              <w:t>固体废物</w:t>
            </w:r>
          </w:p>
          <w:p w14:paraId="0EA347F9">
            <w:pPr>
              <w:spacing w:line="360" w:lineRule="auto"/>
              <w:rPr>
                <w:rFonts w:hint="default" w:ascii="Times New Roman" w:hAnsi="Times New Roman" w:cs="Times New Roman"/>
                <w:b/>
                <w:bCs w:val="0"/>
                <w:color w:val="auto"/>
                <w:sz w:val="24"/>
              </w:rPr>
            </w:pPr>
            <w:r>
              <w:rPr>
                <w:rFonts w:hint="default" w:ascii="Times New Roman" w:hAnsi="Times New Roman" w:cs="Times New Roman"/>
                <w:b/>
                <w:bCs w:val="0"/>
                <w:color w:val="auto"/>
                <w:sz w:val="24"/>
              </w:rPr>
              <w:t>（1）污染源强核算、治理措施及达标排放分析</w:t>
            </w:r>
          </w:p>
          <w:p w14:paraId="0C2DB7D3">
            <w:pPr>
              <w:spacing w:line="360" w:lineRule="auto"/>
              <w:ind w:firstLine="480" w:firstLineChars="200"/>
              <w:rPr>
                <w:rFonts w:hint="eastAsia"/>
                <w:color w:val="auto"/>
                <w:sz w:val="24"/>
              </w:rPr>
            </w:pPr>
            <w:r>
              <w:rPr>
                <w:rFonts w:hint="eastAsia"/>
                <w:color w:val="auto"/>
                <w:sz w:val="24"/>
                <w:lang w:eastAsia="zh-CN"/>
              </w:rPr>
              <w:t>飞灰经</w:t>
            </w:r>
            <w:r>
              <w:rPr>
                <w:rFonts w:hint="eastAsia"/>
                <w:color w:val="auto"/>
                <w:sz w:val="24"/>
              </w:rPr>
              <w:t>稳定化处理后由产生单位对吨袋内飞灰经抽样检测，各项检测指标均符合《生活垃圾填埋场污染控制标准》（GB16889-2024）控制要求。依据《生活垃圾填埋场污染控制标准》（GB16889-2024）和《国家危险废物名录》（202</w:t>
            </w:r>
            <w:r>
              <w:rPr>
                <w:color w:val="auto"/>
                <w:sz w:val="24"/>
              </w:rPr>
              <w:t>5</w:t>
            </w:r>
            <w:r>
              <w:rPr>
                <w:rFonts w:hint="eastAsia"/>
                <w:color w:val="auto"/>
                <w:sz w:val="24"/>
              </w:rPr>
              <w:t>年版），生活垃圾焚烧飞灰（HW18</w:t>
            </w:r>
            <w:r>
              <w:rPr>
                <w:color w:val="auto"/>
                <w:sz w:val="24"/>
              </w:rPr>
              <w:t>焚烧处置残渣</w:t>
            </w:r>
            <w:r>
              <w:rPr>
                <w:rFonts w:hint="eastAsia"/>
                <w:color w:val="auto"/>
                <w:sz w:val="24"/>
              </w:rPr>
              <w:t>，772-002-18）经处理后，满足《生活垃圾填埋场污染控制标准》（GB16889-2024）中6.3条要求，暂存处置过程按照危险废物管理。</w:t>
            </w:r>
          </w:p>
          <w:p w14:paraId="6C6D7AFE">
            <w:pPr>
              <w:spacing w:line="360" w:lineRule="auto"/>
              <w:ind w:firstLine="480" w:firstLineChars="200"/>
              <w:rPr>
                <w:rFonts w:hint="eastAsia"/>
                <w:color w:val="auto"/>
                <w:sz w:val="24"/>
              </w:rPr>
            </w:pPr>
            <w:r>
              <w:rPr>
                <w:rFonts w:hint="eastAsia"/>
                <w:color w:val="auto"/>
                <w:sz w:val="24"/>
              </w:rPr>
              <w:t>本项目使用贮存库总占地面积</w:t>
            </w:r>
            <w:r>
              <w:rPr>
                <w:rFonts w:hint="eastAsia"/>
                <w:color w:val="auto"/>
                <w:sz w:val="24"/>
                <w:lang w:val="en-US" w:eastAsia="zh-CN"/>
              </w:rPr>
              <w:t>180</w:t>
            </w:r>
            <w:r>
              <w:rPr>
                <w:rFonts w:hint="eastAsia"/>
                <w:color w:val="auto"/>
                <w:sz w:val="24"/>
              </w:rPr>
              <w:t>m</w:t>
            </w:r>
            <w:r>
              <w:rPr>
                <w:rFonts w:hint="eastAsia"/>
                <w:color w:val="auto"/>
                <w:sz w:val="24"/>
                <w:vertAlign w:val="superscript"/>
              </w:rPr>
              <w:t>2</w:t>
            </w:r>
            <w:r>
              <w:rPr>
                <w:rFonts w:hint="eastAsia"/>
                <w:color w:val="auto"/>
                <w:sz w:val="24"/>
              </w:rPr>
              <w:t>，高均为</w:t>
            </w:r>
            <w:r>
              <w:rPr>
                <w:rFonts w:hint="eastAsia"/>
                <w:color w:val="auto"/>
                <w:sz w:val="24"/>
                <w:lang w:val="en-US" w:eastAsia="zh-CN"/>
              </w:rPr>
              <w:t>7.2</w:t>
            </w:r>
            <w:r>
              <w:rPr>
                <w:rFonts w:hint="eastAsia"/>
                <w:color w:val="auto"/>
                <w:sz w:val="24"/>
              </w:rPr>
              <w:t>m，吨包尺寸为（1m×1m×1m），以稳定化后的焚烧飞灰堆放</w:t>
            </w:r>
            <w:r>
              <w:rPr>
                <w:rFonts w:hint="eastAsia"/>
                <w:color w:val="auto"/>
                <w:sz w:val="24"/>
                <w:lang w:val="en-US" w:eastAsia="zh-CN"/>
              </w:rPr>
              <w:t>3</w:t>
            </w:r>
            <w:r>
              <w:rPr>
                <w:rFonts w:hint="eastAsia"/>
                <w:color w:val="auto"/>
                <w:sz w:val="24"/>
              </w:rPr>
              <w:t>层计。暂存的飞灰</w:t>
            </w:r>
            <w:r>
              <w:rPr>
                <w:rFonts w:hint="eastAsia"/>
                <w:color w:val="auto"/>
                <w:sz w:val="24"/>
                <w:lang w:eastAsia="zh-CN"/>
              </w:rPr>
              <w:t>经稳定固化</w:t>
            </w:r>
            <w:r>
              <w:rPr>
                <w:rFonts w:hint="eastAsia"/>
                <w:color w:val="auto"/>
                <w:sz w:val="24"/>
                <w:lang w:val="en-US" w:eastAsia="zh-CN"/>
              </w:rPr>
              <w:t>7天后，转运至本公司</w:t>
            </w:r>
            <w:r>
              <w:rPr>
                <w:rFonts w:hint="eastAsia"/>
                <w:color w:val="auto"/>
                <w:sz w:val="24"/>
              </w:rPr>
              <w:t>垃圾填埋场飞灰填埋区填埋处理。</w:t>
            </w:r>
          </w:p>
          <w:p w14:paraId="5190BD8E">
            <w:pPr>
              <w:spacing w:line="360" w:lineRule="auto"/>
              <w:ind w:firstLine="480" w:firstLineChars="200"/>
              <w:rPr>
                <w:rFonts w:hint="eastAsia"/>
                <w:color w:val="auto"/>
                <w:sz w:val="24"/>
              </w:rPr>
            </w:pPr>
            <w:r>
              <w:rPr>
                <w:rFonts w:hint="eastAsia"/>
                <w:color w:val="auto"/>
                <w:sz w:val="24"/>
              </w:rPr>
              <w:t>通过上述分析，只要按照有关的</w:t>
            </w:r>
            <w:r>
              <w:rPr>
                <w:rFonts w:hint="eastAsia"/>
                <w:color w:val="auto"/>
                <w:sz w:val="24"/>
                <w:lang w:eastAsia="zh-CN"/>
              </w:rPr>
              <w:t>法律法规</w:t>
            </w:r>
            <w:r>
              <w:rPr>
                <w:rFonts w:hint="eastAsia"/>
                <w:color w:val="auto"/>
                <w:sz w:val="24"/>
              </w:rPr>
              <w:t>、规范进行操作，建设项目产生的固体废物均能得到妥善处理处置，对周围环境影响很小。</w:t>
            </w:r>
          </w:p>
          <w:p w14:paraId="2004AEFF">
            <w:pPr>
              <w:spacing w:line="360" w:lineRule="auto"/>
              <w:rPr>
                <w:rFonts w:hint="default" w:ascii="Times New Roman" w:hAnsi="Times New Roman" w:cs="Times New Roman"/>
                <w:b/>
                <w:bCs w:val="0"/>
                <w:color w:val="auto"/>
                <w:sz w:val="24"/>
              </w:rPr>
            </w:pPr>
            <w:r>
              <w:rPr>
                <w:rFonts w:hint="default" w:ascii="Times New Roman" w:hAnsi="Times New Roman" w:cs="Times New Roman"/>
                <w:b/>
                <w:bCs w:val="0"/>
                <w:color w:val="auto"/>
                <w:sz w:val="24"/>
              </w:rPr>
              <w:t>（2）</w:t>
            </w:r>
            <w:r>
              <w:rPr>
                <w:rFonts w:hint="eastAsia" w:ascii="Times New Roman" w:hAnsi="Times New Roman" w:cs="Times New Roman"/>
                <w:b/>
                <w:bCs w:val="0"/>
                <w:color w:val="auto"/>
                <w:sz w:val="24"/>
              </w:rPr>
              <w:t>管理要求</w:t>
            </w:r>
          </w:p>
          <w:p w14:paraId="1CBEBE98">
            <w:pPr>
              <w:spacing w:line="360" w:lineRule="auto"/>
              <w:ind w:firstLine="480" w:firstLineChars="200"/>
              <w:rPr>
                <w:iCs/>
                <w:color w:val="auto"/>
                <w:sz w:val="24"/>
              </w:rPr>
            </w:pPr>
            <w:r>
              <w:rPr>
                <w:rFonts w:hint="eastAsia"/>
                <w:iCs/>
                <w:color w:val="auto"/>
                <w:sz w:val="24"/>
              </w:rPr>
              <w:t>生活垃圾飞灰属于危险废物，</w:t>
            </w:r>
            <w:r>
              <w:rPr>
                <w:iCs/>
                <w:color w:val="auto"/>
                <w:sz w:val="24"/>
              </w:rPr>
              <w:t>其储存应符合GB18597的相关要求。</w:t>
            </w:r>
            <w:r>
              <w:rPr>
                <w:rFonts w:hint="eastAsia"/>
                <w:iCs/>
                <w:color w:val="auto"/>
                <w:sz w:val="24"/>
              </w:rPr>
              <w:t>应记录固体废物产生量、处置量及去向</w:t>
            </w:r>
            <w:r>
              <w:rPr>
                <w:iCs/>
                <w:color w:val="auto"/>
                <w:sz w:val="24"/>
              </w:rPr>
              <w:t>和贮存量。</w:t>
            </w:r>
          </w:p>
          <w:p w14:paraId="66946F30">
            <w:pPr>
              <w:spacing w:line="360" w:lineRule="auto"/>
              <w:ind w:firstLine="480" w:firstLineChars="200"/>
              <w:rPr>
                <w:rFonts w:hint="eastAsia"/>
                <w:color w:val="auto"/>
                <w:sz w:val="24"/>
              </w:rPr>
            </w:pPr>
            <w:r>
              <w:rPr>
                <w:rFonts w:hint="eastAsia" w:ascii="宋体" w:hAnsi="宋体"/>
                <w:color w:val="auto"/>
                <w:sz w:val="24"/>
              </w:rPr>
              <w:t>①</w:t>
            </w:r>
            <w:r>
              <w:rPr>
                <w:rFonts w:hint="eastAsia"/>
                <w:color w:val="auto"/>
                <w:sz w:val="24"/>
              </w:rPr>
              <w:t>贮存设施应根据危险废物的形态、物理化学性质、包装形式和污染物迁移途径，采取必要的防风、防晒、防雨、防漏、防渗、防腐以及其他环境污染防治措施，不应露天堆放危险废物。</w:t>
            </w:r>
          </w:p>
          <w:p w14:paraId="736C494C">
            <w:pPr>
              <w:spacing w:line="360" w:lineRule="auto"/>
              <w:ind w:firstLine="480" w:firstLineChars="200"/>
              <w:rPr>
                <w:rFonts w:hint="eastAsia" w:eastAsia="宋体"/>
                <w:color w:val="auto"/>
                <w:sz w:val="24"/>
                <w:lang w:eastAsia="zh-CN"/>
              </w:rPr>
            </w:pPr>
            <w:r>
              <w:rPr>
                <w:rFonts w:hint="eastAsia" w:ascii="宋体" w:hAnsi="宋体"/>
                <w:color w:val="auto"/>
                <w:sz w:val="24"/>
              </w:rPr>
              <w:t>②</w:t>
            </w:r>
            <w:r>
              <w:rPr>
                <w:rFonts w:hint="eastAsia"/>
                <w:color w:val="auto"/>
                <w:sz w:val="24"/>
              </w:rPr>
              <w:t>贮存设施地面、墙面接触危险废物的隔板和墙体等应采用坚固的材料建造，表面无裂缝。</w:t>
            </w:r>
          </w:p>
          <w:p w14:paraId="16B512BA">
            <w:pPr>
              <w:spacing w:line="360" w:lineRule="auto"/>
              <w:ind w:firstLine="480" w:firstLineChars="200"/>
              <w:rPr>
                <w:rFonts w:hint="default" w:ascii="Times New Roman" w:hAnsi="Times New Roman" w:cs="Times New Roman"/>
                <w:color w:val="auto"/>
                <w:sz w:val="24"/>
              </w:rPr>
            </w:pPr>
            <w:r>
              <w:rPr>
                <w:rFonts w:hint="eastAsia" w:ascii="宋体" w:hAnsi="宋体"/>
                <w:color w:val="auto"/>
                <w:sz w:val="24"/>
              </w:rPr>
              <w:t>③</w:t>
            </w:r>
            <w:r>
              <w:rPr>
                <w:rFonts w:hint="eastAsia"/>
                <w:color w:val="auto"/>
                <w:sz w:val="24"/>
              </w:rPr>
              <w:t>贮存设施地面应采取表面防渗措施；表面防渗材料应与所接触的物料或污染物相容，可采用抗渗混凝土、高密度聚乙烯膜</w:t>
            </w:r>
            <w:r>
              <w:rPr>
                <w:rFonts w:hint="eastAsia"/>
                <w:color w:val="auto"/>
                <w:sz w:val="24"/>
                <w:lang w:eastAsia="zh-CN"/>
              </w:rPr>
              <w:t>或</w:t>
            </w:r>
            <w:r>
              <w:rPr>
                <w:rFonts w:hint="eastAsia"/>
                <w:color w:val="auto"/>
                <w:sz w:val="24"/>
              </w:rPr>
              <w:t>其他防渗性能等效的材料。</w:t>
            </w:r>
            <w:r>
              <w:rPr>
                <w:rFonts w:hint="default" w:ascii="Times New Roman" w:hAnsi="Times New Roman" w:cs="Times New Roman"/>
                <w:color w:val="auto"/>
                <w:sz w:val="24"/>
              </w:rPr>
              <w:t>贮存的危险废物直接接触地面的，还应进行基础防渗，防渗层为至少1m厚黏土层（渗透系数不大于10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 xml:space="preserve"> cm/s），或至少2mm厚高密度聚乙烯膜等人工防渗材料（渗透系数不大于10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 xml:space="preserve"> cm/s），或其他防渗性能等效的材料。</w:t>
            </w:r>
          </w:p>
          <w:p w14:paraId="6B7CB682">
            <w:pPr>
              <w:spacing w:line="360" w:lineRule="auto"/>
              <w:ind w:firstLine="480" w:firstLineChars="200"/>
              <w:rPr>
                <w:rFonts w:hint="default" w:ascii="Times New Roman" w:hAnsi="Times New Roman" w:cs="Times New Roman"/>
                <w:color w:val="auto"/>
                <w:sz w:val="24"/>
              </w:rPr>
            </w:pPr>
            <w:r>
              <w:rPr>
                <w:rFonts w:hint="eastAsia" w:ascii="宋体" w:hAnsi="宋体"/>
                <w:color w:val="auto"/>
                <w:sz w:val="24"/>
              </w:rPr>
              <w:t>④</w:t>
            </w:r>
            <w:r>
              <w:rPr>
                <w:rFonts w:hint="default" w:ascii="Times New Roman" w:hAnsi="Times New Roman" w:cs="Times New Roman"/>
                <w:color w:val="auto"/>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1129A7FC">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⑤危险废物贮存库，应设置气体收集装置和气体净化设施；气体净化设施的排气筒高度应符合GB16297要求。</w:t>
            </w:r>
          </w:p>
          <w:p w14:paraId="4E7A9366">
            <w:pPr>
              <w:spacing w:line="360" w:lineRule="auto"/>
              <w:rPr>
                <w:rFonts w:hint="default" w:ascii="Times New Roman" w:hAnsi="Times New Roman" w:cs="Times New Roman"/>
                <w:b/>
                <w:bCs w:val="0"/>
                <w:color w:val="auto"/>
                <w:sz w:val="24"/>
              </w:rPr>
            </w:pPr>
            <w:r>
              <w:rPr>
                <w:rFonts w:hint="default" w:ascii="Times New Roman" w:hAnsi="Times New Roman" w:cs="Times New Roman"/>
                <w:b/>
                <w:bCs w:val="0"/>
                <w:color w:val="auto"/>
                <w:sz w:val="24"/>
              </w:rPr>
              <w:t>（</w:t>
            </w:r>
            <w:r>
              <w:rPr>
                <w:rFonts w:hint="eastAsia" w:ascii="Times New Roman" w:hAnsi="Times New Roman" w:cs="Times New Roman"/>
                <w:b/>
                <w:bCs w:val="0"/>
                <w:color w:val="auto"/>
                <w:sz w:val="24"/>
                <w:lang w:val="en-US" w:eastAsia="zh-CN"/>
              </w:rPr>
              <w:t>4</w:t>
            </w:r>
            <w:r>
              <w:rPr>
                <w:rFonts w:hint="default" w:ascii="Times New Roman" w:hAnsi="Times New Roman" w:cs="Times New Roman"/>
                <w:b/>
                <w:bCs w:val="0"/>
                <w:color w:val="auto"/>
                <w:sz w:val="24"/>
              </w:rPr>
              <w:t>）危险废物转移要求：</w:t>
            </w:r>
          </w:p>
          <w:p w14:paraId="484D92D6">
            <w:pPr>
              <w:spacing w:line="360" w:lineRule="auto"/>
              <w:ind w:firstLine="480" w:firstLineChars="200"/>
              <w:jc w:val="left"/>
              <w:rPr>
                <w:bCs/>
                <w:color w:val="auto"/>
                <w:sz w:val="24"/>
              </w:rPr>
            </w:pPr>
            <w:r>
              <w:rPr>
                <w:rFonts w:hint="default" w:ascii="Times New Roman" w:hAnsi="Times New Roman" w:cs="Times New Roman"/>
                <w:bCs/>
                <w:color w:val="auto"/>
                <w:sz w:val="24"/>
              </w:rPr>
              <w:t>危险废物转运</w:t>
            </w:r>
            <w:r>
              <w:rPr>
                <w:bCs/>
                <w:color w:val="auto"/>
                <w:sz w:val="24"/>
              </w:rPr>
              <w:t>过程中，如果管理不当或未采取适当的污染防治和安全防护措施，则极易造成污染。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项目应严格执行《危险废物收集贮存运输技术规范》（HJ2025-2012）和《危险废物转移联单管理办法》，同时危险废物装卸、运输应委托有资质的单位进行，杜绝包装、运输过程中危险废物散落、泄漏的环境影响。</w:t>
            </w:r>
          </w:p>
          <w:p w14:paraId="0EDB4AC4">
            <w:pPr>
              <w:adjustRightInd w:val="0"/>
              <w:snapToGrid w:val="0"/>
              <w:spacing w:line="360" w:lineRule="auto"/>
              <w:rPr>
                <w:b/>
                <w:color w:val="auto"/>
                <w:sz w:val="24"/>
              </w:rPr>
            </w:pPr>
            <w:r>
              <w:rPr>
                <w:rFonts w:hint="eastAsia"/>
                <w:b/>
                <w:color w:val="auto"/>
                <w:sz w:val="24"/>
                <w:lang w:val="en-US" w:eastAsia="zh-CN"/>
              </w:rPr>
              <w:t>（5）</w:t>
            </w:r>
            <w:r>
              <w:rPr>
                <w:b/>
                <w:color w:val="auto"/>
                <w:sz w:val="24"/>
              </w:rPr>
              <w:t>结论与建议</w:t>
            </w:r>
          </w:p>
          <w:p w14:paraId="628BA042">
            <w:pPr>
              <w:adjustRightInd w:val="0"/>
              <w:snapToGrid w:val="0"/>
              <w:spacing w:line="360" w:lineRule="auto"/>
              <w:ind w:firstLine="480" w:firstLineChars="200"/>
              <w:rPr>
                <w:color w:val="auto"/>
                <w:sz w:val="32"/>
              </w:rPr>
            </w:pPr>
            <w:r>
              <w:rPr>
                <w:color w:val="auto"/>
                <w:sz w:val="24"/>
              </w:rPr>
              <w:t>综上所述，本项目</w:t>
            </w:r>
            <w:r>
              <w:rPr>
                <w:rFonts w:hint="eastAsia"/>
                <w:color w:val="auto"/>
                <w:sz w:val="24"/>
                <w:lang w:eastAsia="zh-CN"/>
              </w:rPr>
              <w:t>飞灰暂存库的飞灰</w:t>
            </w:r>
            <w:r>
              <w:rPr>
                <w:color w:val="auto"/>
                <w:sz w:val="24"/>
              </w:rPr>
              <w:t>，将不会对周围的环境产生影响，亦不会造成二次污染。但必须指出的是，</w:t>
            </w:r>
            <w:r>
              <w:rPr>
                <w:rFonts w:hint="eastAsia"/>
                <w:color w:val="auto"/>
                <w:sz w:val="24"/>
                <w:lang w:eastAsia="zh-CN"/>
              </w:rPr>
              <w:t>飞灰</w:t>
            </w:r>
            <w:r>
              <w:rPr>
                <w:color w:val="auto"/>
                <w:sz w:val="24"/>
              </w:rPr>
              <w:t>在厂内的堆放、贮存</w:t>
            </w:r>
            <w:r>
              <w:rPr>
                <w:rFonts w:hint="eastAsia"/>
                <w:color w:val="auto"/>
                <w:sz w:val="24"/>
                <w:lang w:eastAsia="zh-CN"/>
              </w:rPr>
              <w:t>、转运</w:t>
            </w:r>
            <w:r>
              <w:rPr>
                <w:color w:val="auto"/>
                <w:sz w:val="24"/>
              </w:rPr>
              <w:t>应按照国家固体废物贮存有关要求设置，避免其对周围环境产生二次污染。通过以上措施，建设项目产生的固体废物均得到了妥善处置和利用，对外环境的影响可减至</w:t>
            </w:r>
            <w:r>
              <w:rPr>
                <w:rFonts w:hint="eastAsia"/>
                <w:color w:val="auto"/>
                <w:sz w:val="24"/>
                <w:lang w:eastAsia="zh-CN"/>
              </w:rPr>
              <w:t>最低程度</w:t>
            </w:r>
            <w:r>
              <w:rPr>
                <w:color w:val="auto"/>
                <w:sz w:val="24"/>
              </w:rPr>
              <w:t>。</w:t>
            </w:r>
          </w:p>
          <w:p w14:paraId="3DD08BC8">
            <w:pPr>
              <w:spacing w:line="360" w:lineRule="auto"/>
              <w:ind w:firstLine="480" w:firstLineChars="200"/>
              <w:jc w:val="left"/>
              <w:rPr>
                <w:bCs/>
                <w:color w:val="auto"/>
                <w:sz w:val="24"/>
              </w:rPr>
            </w:pPr>
          </w:p>
        </w:tc>
      </w:tr>
      <w:tr w14:paraId="16772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1" w:hRule="atLeast"/>
          <w:jc w:val="center"/>
        </w:trPr>
        <w:tc>
          <w:tcPr>
            <w:tcW w:w="165" w:type="pct"/>
            <w:tcMar>
              <w:left w:w="28" w:type="dxa"/>
              <w:right w:w="28" w:type="dxa"/>
            </w:tcMar>
            <w:vAlign w:val="center"/>
          </w:tcPr>
          <w:p w14:paraId="3D4AC6CB">
            <w:pPr>
              <w:adjustRightInd w:val="0"/>
              <w:snapToGrid w:val="0"/>
              <w:jc w:val="center"/>
              <w:rPr>
                <w:b/>
                <w:bCs/>
                <w:color w:val="auto"/>
                <w:sz w:val="24"/>
              </w:rPr>
            </w:pPr>
            <w:r>
              <w:rPr>
                <w:rFonts w:hAnsi="宋体"/>
                <w:b/>
                <w:bCs/>
                <w:color w:val="auto"/>
                <w:sz w:val="24"/>
              </w:rPr>
              <w:t>运营</w:t>
            </w:r>
          </w:p>
          <w:p w14:paraId="59EB8BC3">
            <w:pPr>
              <w:adjustRightInd w:val="0"/>
              <w:snapToGrid w:val="0"/>
              <w:jc w:val="center"/>
              <w:rPr>
                <w:b/>
                <w:bCs/>
                <w:color w:val="auto"/>
                <w:sz w:val="24"/>
              </w:rPr>
            </w:pPr>
            <w:r>
              <w:rPr>
                <w:rFonts w:hAnsi="宋体"/>
                <w:b/>
                <w:bCs/>
                <w:color w:val="auto"/>
                <w:sz w:val="24"/>
              </w:rPr>
              <w:t>期环</w:t>
            </w:r>
          </w:p>
          <w:p w14:paraId="67FBA84C">
            <w:pPr>
              <w:adjustRightInd w:val="0"/>
              <w:snapToGrid w:val="0"/>
              <w:jc w:val="center"/>
              <w:rPr>
                <w:b/>
                <w:bCs/>
                <w:color w:val="auto"/>
                <w:sz w:val="24"/>
              </w:rPr>
            </w:pPr>
            <w:r>
              <w:rPr>
                <w:rFonts w:hAnsi="宋体"/>
                <w:b/>
                <w:bCs/>
                <w:color w:val="auto"/>
                <w:sz w:val="24"/>
              </w:rPr>
              <w:t>境影</w:t>
            </w:r>
          </w:p>
          <w:p w14:paraId="05F2E7DF">
            <w:pPr>
              <w:adjustRightInd w:val="0"/>
              <w:snapToGrid w:val="0"/>
              <w:jc w:val="center"/>
              <w:rPr>
                <w:b/>
                <w:bCs/>
                <w:color w:val="auto"/>
                <w:sz w:val="24"/>
              </w:rPr>
            </w:pPr>
            <w:r>
              <w:rPr>
                <w:rFonts w:hAnsi="宋体"/>
                <w:b/>
                <w:bCs/>
                <w:color w:val="auto"/>
                <w:sz w:val="24"/>
              </w:rPr>
              <w:t>响和</w:t>
            </w:r>
          </w:p>
          <w:p w14:paraId="03A372F3">
            <w:pPr>
              <w:adjustRightInd w:val="0"/>
              <w:snapToGrid w:val="0"/>
              <w:jc w:val="center"/>
              <w:rPr>
                <w:b/>
                <w:bCs/>
                <w:color w:val="auto"/>
                <w:sz w:val="24"/>
              </w:rPr>
            </w:pPr>
            <w:r>
              <w:rPr>
                <w:rFonts w:hAnsi="宋体"/>
                <w:b/>
                <w:bCs/>
                <w:color w:val="auto"/>
                <w:sz w:val="24"/>
              </w:rPr>
              <w:t>保护</w:t>
            </w:r>
          </w:p>
          <w:p w14:paraId="218CC090">
            <w:pPr>
              <w:adjustRightInd w:val="0"/>
              <w:snapToGrid w:val="0"/>
              <w:jc w:val="center"/>
              <w:rPr>
                <w:b/>
                <w:bCs/>
                <w:color w:val="auto"/>
                <w:sz w:val="24"/>
              </w:rPr>
            </w:pPr>
            <w:r>
              <w:rPr>
                <w:rFonts w:hAnsi="宋体"/>
                <w:b/>
                <w:bCs/>
                <w:color w:val="auto"/>
                <w:sz w:val="24"/>
              </w:rPr>
              <w:t>措施</w:t>
            </w:r>
          </w:p>
        </w:tc>
        <w:tc>
          <w:tcPr>
            <w:tcW w:w="4834" w:type="pct"/>
            <w:gridSpan w:val="2"/>
            <w:vAlign w:val="center"/>
          </w:tcPr>
          <w:p w14:paraId="3BDB6762">
            <w:pPr>
              <w:widowControl/>
              <w:autoSpaceDE w:val="0"/>
              <w:autoSpaceDN w:val="0"/>
              <w:adjustRightInd w:val="0"/>
              <w:snapToGrid w:val="0"/>
              <w:spacing w:line="360" w:lineRule="auto"/>
              <w:ind w:firstLine="482" w:firstLineChars="200"/>
              <w:jc w:val="left"/>
              <w:rPr>
                <w:rFonts w:hint="eastAsia" w:eastAsia="宋体"/>
                <w:b/>
                <w:color w:val="auto"/>
                <w:kern w:val="0"/>
                <w:sz w:val="24"/>
                <w:lang w:eastAsia="zh-CN"/>
              </w:rPr>
            </w:pPr>
            <w:r>
              <w:rPr>
                <w:rFonts w:hint="eastAsia"/>
                <w:b/>
                <w:color w:val="auto"/>
                <w:kern w:val="0"/>
                <w:sz w:val="24"/>
                <w:lang w:val="en-US" w:eastAsia="zh-CN"/>
              </w:rPr>
              <w:t>5</w:t>
            </w:r>
            <w:r>
              <w:rPr>
                <w:rFonts w:hAnsi="宋体"/>
                <w:b/>
                <w:color w:val="auto"/>
                <w:kern w:val="0"/>
                <w:sz w:val="24"/>
              </w:rPr>
              <w:t>地下水</w:t>
            </w:r>
            <w:r>
              <w:rPr>
                <w:rFonts w:hint="eastAsia" w:hAnsi="宋体"/>
                <w:b/>
                <w:color w:val="auto"/>
                <w:kern w:val="0"/>
                <w:sz w:val="24"/>
                <w:lang w:eastAsia="zh-CN"/>
              </w:rPr>
              <w:t>环境影响和保护措施</w:t>
            </w:r>
          </w:p>
          <w:p w14:paraId="24CEE45E">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val="en-US" w:eastAsia="zh-CN"/>
              </w:rPr>
              <w:t>改建项目对地下水环境的影响主要取决于项目的污染行为、防渗措施及区域水文地质条件。通过对项目生产特点的分析，在规范建设暂存库，做好防风、防雨、防渗、防腐等措施的情况下，不会发生极端渗漏事件。</w:t>
            </w:r>
          </w:p>
          <w:p w14:paraId="45B87CF4">
            <w:pPr>
              <w:autoSpaceDE w:val="0"/>
              <w:autoSpaceDN w:val="0"/>
              <w:adjustRightInd w:val="0"/>
              <w:spacing w:line="360" w:lineRule="auto"/>
              <w:ind w:firstLine="482" w:firstLineChars="200"/>
              <w:rPr>
                <w:rFonts w:hint="eastAsia"/>
                <w:b/>
                <w:bCs/>
                <w:color w:val="auto"/>
                <w:sz w:val="24"/>
                <w:lang w:val="en-US" w:eastAsia="zh-CN"/>
              </w:rPr>
            </w:pPr>
            <w:r>
              <w:rPr>
                <w:rFonts w:hint="eastAsia"/>
                <w:b/>
                <w:bCs/>
                <w:color w:val="auto"/>
                <w:sz w:val="24"/>
                <w:lang w:val="en-US" w:eastAsia="zh-CN"/>
              </w:rPr>
              <w:t>（1）污染防治原则</w:t>
            </w:r>
          </w:p>
          <w:p w14:paraId="1739C2D5">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val="en-US" w:eastAsia="zh-CN"/>
              </w:rPr>
              <w:t>为防止项目运营对地下水环境造成污染影响，污染防治坚持“源头控制、末端防治”相结合的原则，即采取主动控制和被动控制相结合的措施。</w:t>
            </w:r>
          </w:p>
          <w:p w14:paraId="4822FE40">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val="en-US" w:eastAsia="zh-CN"/>
              </w:rPr>
              <w:t>①源头控制</w:t>
            </w:r>
          </w:p>
          <w:p w14:paraId="487D53BD">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val="en-US" w:eastAsia="zh-CN"/>
              </w:rPr>
              <w:t>从源头控制，主要对暂存仓库规范建设，做好防风、防雨、防渗、防腐等措施。使用过程中进行严格管理，防止和降低雨水进入暂存库的机率，将泄漏的环境风险降至最低。</w:t>
            </w:r>
          </w:p>
          <w:p w14:paraId="6A7DA32E">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val="en-US" w:eastAsia="zh-CN"/>
              </w:rPr>
              <w:t>②末端控制</w:t>
            </w:r>
          </w:p>
          <w:p w14:paraId="07A62106">
            <w:pPr>
              <w:autoSpaceDE w:val="0"/>
              <w:autoSpaceDN w:val="0"/>
              <w:adjustRightInd w:val="0"/>
              <w:spacing w:line="360" w:lineRule="auto"/>
              <w:ind w:firstLine="480" w:firstLineChars="200"/>
              <w:rPr>
                <w:rFonts w:hint="eastAsia"/>
                <w:color w:val="auto"/>
                <w:sz w:val="24"/>
              </w:rPr>
            </w:pPr>
            <w:r>
              <w:rPr>
                <w:rFonts w:hint="eastAsia"/>
                <w:color w:val="auto"/>
                <w:sz w:val="24"/>
                <w:lang w:val="en-US" w:eastAsia="zh-CN"/>
              </w:rPr>
              <w:t>前端控制主要包括暂存仓库的防渗措施和泄漏、渗漏污染物收集措施即在暂存间内地面进行防渗处理，并通过导流沟和集水池把滞留在地面的污染物收集起来，集中处理，防止洒落地面的污染物渗入地下，避免对地下水产生污染。</w:t>
            </w:r>
          </w:p>
          <w:p w14:paraId="08B54C7B">
            <w:pPr>
              <w:autoSpaceDE w:val="0"/>
              <w:autoSpaceDN w:val="0"/>
              <w:adjustRightInd w:val="0"/>
              <w:spacing w:line="360" w:lineRule="auto"/>
              <w:ind w:firstLine="482" w:firstLineChars="200"/>
              <w:rPr>
                <w:rFonts w:hint="eastAsia"/>
                <w:b/>
                <w:bCs/>
                <w:color w:val="auto"/>
                <w:sz w:val="24"/>
              </w:rPr>
            </w:pPr>
            <w:r>
              <w:rPr>
                <w:rFonts w:hint="eastAsia"/>
                <w:b/>
                <w:bCs/>
                <w:color w:val="auto"/>
                <w:sz w:val="24"/>
                <w:lang w:eastAsia="zh-CN"/>
              </w:rPr>
              <w:t>（2）</w:t>
            </w:r>
            <w:r>
              <w:rPr>
                <w:rFonts w:hint="eastAsia"/>
                <w:b/>
                <w:bCs/>
                <w:color w:val="auto"/>
                <w:sz w:val="24"/>
              </w:rPr>
              <w:t>地下水污染途径</w:t>
            </w:r>
          </w:p>
          <w:p w14:paraId="557C89C3">
            <w:pPr>
              <w:autoSpaceDE w:val="0"/>
              <w:autoSpaceDN w:val="0"/>
              <w:adjustRightInd w:val="0"/>
              <w:spacing w:line="360" w:lineRule="auto"/>
              <w:ind w:firstLine="480" w:firstLineChars="200"/>
              <w:rPr>
                <w:rFonts w:hint="eastAsia"/>
                <w:color w:val="auto"/>
                <w:sz w:val="24"/>
              </w:rPr>
            </w:pPr>
            <w:r>
              <w:rPr>
                <w:rFonts w:hint="eastAsia"/>
                <w:color w:val="auto"/>
                <w:sz w:val="24"/>
              </w:rPr>
              <w:t>本项目暂存的固体废物为生活垃圾焚烧飞灰整合稳定化物。正常状况下建设项目的主要地下水污染源能得到有效防护，污染物不会外排，从源头上得到控制，车间地面和墙体都将进行防腐</w:t>
            </w:r>
            <w:r>
              <w:rPr>
                <w:rFonts w:hint="eastAsia"/>
                <w:color w:val="auto"/>
                <w:sz w:val="24"/>
                <w:lang w:eastAsia="zh-CN"/>
              </w:rPr>
              <w:t>防蚀处理：</w:t>
            </w:r>
            <w:r>
              <w:rPr>
                <w:rFonts w:hint="eastAsia"/>
                <w:color w:val="auto"/>
                <w:sz w:val="24"/>
              </w:rPr>
              <w:t>车间地坪四周墙角处设明沟</w:t>
            </w:r>
            <w:r>
              <w:rPr>
                <w:rFonts w:hint="eastAsia"/>
                <w:color w:val="auto"/>
                <w:sz w:val="24"/>
                <w:lang w:eastAsia="zh-CN"/>
              </w:rPr>
              <w:t>（</w:t>
            </w:r>
            <w:r>
              <w:rPr>
                <w:rFonts w:hint="eastAsia"/>
                <w:color w:val="auto"/>
                <w:sz w:val="24"/>
              </w:rPr>
              <w:t>作环氧防腐处理</w:t>
            </w:r>
            <w:r>
              <w:rPr>
                <w:rFonts w:hint="eastAsia"/>
                <w:color w:val="auto"/>
                <w:sz w:val="24"/>
                <w:lang w:eastAsia="zh-CN"/>
              </w:rPr>
              <w:t>）</w:t>
            </w:r>
            <w:r>
              <w:rPr>
                <w:rFonts w:hint="eastAsia"/>
                <w:color w:val="auto"/>
                <w:sz w:val="24"/>
              </w:rPr>
              <w:t>。</w:t>
            </w:r>
          </w:p>
          <w:p w14:paraId="06EE4EB9">
            <w:pPr>
              <w:autoSpaceDE w:val="0"/>
              <w:autoSpaceDN w:val="0"/>
              <w:adjustRightInd w:val="0"/>
              <w:spacing w:line="360" w:lineRule="auto"/>
              <w:ind w:firstLine="480" w:firstLineChars="200"/>
              <w:rPr>
                <w:rFonts w:hint="eastAsia"/>
                <w:color w:val="auto"/>
                <w:sz w:val="24"/>
              </w:rPr>
            </w:pPr>
            <w:r>
              <w:rPr>
                <w:rFonts w:hint="eastAsia"/>
                <w:color w:val="auto"/>
                <w:sz w:val="24"/>
              </w:rPr>
              <w:t>非正常状况主要是指极端情况下雨水进入暂存间内，在</w:t>
            </w:r>
            <w:r>
              <w:rPr>
                <w:rFonts w:hint="eastAsia"/>
                <w:color w:val="auto"/>
                <w:sz w:val="24"/>
                <w:lang w:eastAsia="zh-CN"/>
              </w:rPr>
              <w:t>防控</w:t>
            </w:r>
            <w:r>
              <w:rPr>
                <w:rFonts w:hint="eastAsia"/>
                <w:color w:val="auto"/>
                <w:sz w:val="24"/>
              </w:rPr>
              <w:t>措施不到位的情况下可能会出现雨水淋溶液下渗的事故发生。</w:t>
            </w:r>
          </w:p>
          <w:p w14:paraId="37CDC7A3">
            <w:pPr>
              <w:autoSpaceDE w:val="0"/>
              <w:autoSpaceDN w:val="0"/>
              <w:adjustRightInd w:val="0"/>
              <w:spacing w:line="360" w:lineRule="auto"/>
              <w:ind w:firstLine="482" w:firstLineChars="200"/>
              <w:rPr>
                <w:rFonts w:hint="eastAsia"/>
                <w:b/>
                <w:bCs/>
                <w:color w:val="auto"/>
                <w:sz w:val="24"/>
              </w:rPr>
            </w:pPr>
            <w:r>
              <w:rPr>
                <w:rFonts w:hint="eastAsia"/>
                <w:b/>
                <w:bCs/>
                <w:color w:val="auto"/>
                <w:sz w:val="24"/>
                <w:lang w:eastAsia="zh-CN"/>
              </w:rPr>
              <w:t>（3）</w:t>
            </w:r>
            <w:r>
              <w:rPr>
                <w:rFonts w:hint="eastAsia"/>
                <w:b/>
                <w:bCs/>
                <w:color w:val="auto"/>
                <w:sz w:val="24"/>
              </w:rPr>
              <w:t>地下水环境影响分析</w:t>
            </w:r>
          </w:p>
          <w:p w14:paraId="25A618DF">
            <w:pPr>
              <w:autoSpaceDE w:val="0"/>
              <w:autoSpaceDN w:val="0"/>
              <w:adjustRightInd w:val="0"/>
              <w:spacing w:line="360" w:lineRule="auto"/>
              <w:ind w:firstLine="480" w:firstLineChars="200"/>
              <w:rPr>
                <w:rFonts w:hint="eastAsia"/>
                <w:color w:val="auto"/>
                <w:sz w:val="24"/>
              </w:rPr>
            </w:pPr>
            <w:r>
              <w:rPr>
                <w:rFonts w:hint="eastAsia"/>
                <w:color w:val="auto"/>
                <w:sz w:val="24"/>
              </w:rPr>
              <w:t>本项目设置有完善的屋面和地面雨水收集系统，屋顶雨水通过PVC落水管通入雨水管网，PVC落水管位于室外，沿壁和承重支柱外侧垂直分布。正常情况暂存间内无进水风险，暂存的飞灰稳定化物为固态，暂存期间不会产生渗滤液，在无雨水进入的情况下，一旦发生</w:t>
            </w:r>
            <w:r>
              <w:rPr>
                <w:rFonts w:hint="eastAsia"/>
                <w:color w:val="auto"/>
                <w:sz w:val="24"/>
                <w:lang w:eastAsia="zh-CN"/>
              </w:rPr>
              <w:t>撒漏</w:t>
            </w:r>
            <w:r>
              <w:rPr>
                <w:rFonts w:hint="eastAsia"/>
                <w:color w:val="auto"/>
                <w:sz w:val="24"/>
              </w:rPr>
              <w:t>，只要做好清扫收集措施，不撒漏到仓库外部，则不会对地下水环境产生影响。</w:t>
            </w:r>
          </w:p>
          <w:p w14:paraId="57284879">
            <w:pPr>
              <w:numPr>
                <w:ilvl w:val="0"/>
                <w:numId w:val="6"/>
              </w:numPr>
              <w:autoSpaceDE w:val="0"/>
              <w:autoSpaceDN w:val="0"/>
              <w:adjustRightInd w:val="0"/>
              <w:spacing w:line="360" w:lineRule="auto"/>
              <w:ind w:firstLine="482" w:firstLineChars="200"/>
              <w:rPr>
                <w:rFonts w:hint="eastAsia"/>
                <w:b/>
                <w:bCs/>
                <w:color w:val="auto"/>
                <w:sz w:val="24"/>
              </w:rPr>
            </w:pPr>
            <w:r>
              <w:rPr>
                <w:rFonts w:hint="eastAsia"/>
                <w:b/>
                <w:bCs/>
                <w:color w:val="auto"/>
                <w:sz w:val="24"/>
              </w:rPr>
              <w:t>地下水污染防治措施</w:t>
            </w:r>
          </w:p>
          <w:p w14:paraId="1D8EF426">
            <w:pPr>
              <w:autoSpaceDE w:val="0"/>
              <w:autoSpaceDN w:val="0"/>
              <w:adjustRightInd w:val="0"/>
              <w:spacing w:line="360" w:lineRule="auto"/>
              <w:ind w:firstLine="480" w:firstLineChars="200"/>
              <w:rPr>
                <w:rFonts w:hint="eastAsia"/>
                <w:color w:val="auto"/>
                <w:sz w:val="24"/>
              </w:rPr>
            </w:pPr>
            <w:r>
              <w:rPr>
                <w:rFonts w:hint="eastAsia"/>
                <w:color w:val="auto"/>
                <w:sz w:val="24"/>
              </w:rPr>
              <w:t>本项目暂存仓库地下水污染防治措施按照“源头控制、分区防控、污染监控、应急响应”相结合的原则，从污染物的产生、入渗、扩散、应急等方面进行控制。</w:t>
            </w:r>
          </w:p>
          <w:p w14:paraId="18CD28AF">
            <w:pPr>
              <w:autoSpaceDE w:val="0"/>
              <w:autoSpaceDN w:val="0"/>
              <w:adjustRightInd w:val="0"/>
              <w:spacing w:line="360" w:lineRule="auto"/>
              <w:ind w:firstLine="480" w:firstLineChars="200"/>
              <w:rPr>
                <w:rFonts w:hint="eastAsia"/>
                <w:color w:val="auto"/>
                <w:sz w:val="24"/>
              </w:rPr>
            </w:pPr>
            <w:r>
              <w:rPr>
                <w:rFonts w:hint="eastAsia"/>
                <w:color w:val="auto"/>
                <w:sz w:val="24"/>
              </w:rPr>
              <w:t>项目运营期应根据项目各项设施布置方案以及各工作系统中可能产生的主要污染源，制定地下水环境保护措施。采取合理的防治措施，防范污染物渗入地下，污染地下水环境。</w:t>
            </w:r>
          </w:p>
          <w:p w14:paraId="2DE8E646">
            <w:pPr>
              <w:numPr>
                <w:ilvl w:val="0"/>
                <w:numId w:val="0"/>
              </w:numPr>
              <w:autoSpaceDE w:val="0"/>
              <w:autoSpaceDN w:val="0"/>
              <w:adjustRightInd w:val="0"/>
              <w:spacing w:line="360" w:lineRule="auto"/>
              <w:rPr>
                <w:rFonts w:hint="eastAsia"/>
                <w:color w:val="auto"/>
                <w:sz w:val="24"/>
              </w:rPr>
            </w:pPr>
            <w:r>
              <w:rPr>
                <w:rFonts w:hint="eastAsia"/>
                <w:color w:val="auto"/>
                <w:sz w:val="24"/>
                <w:lang w:eastAsia="zh-CN"/>
              </w:rPr>
              <w:t>①</w:t>
            </w:r>
            <w:r>
              <w:rPr>
                <w:rFonts w:hint="eastAsia"/>
                <w:color w:val="auto"/>
                <w:sz w:val="24"/>
              </w:rPr>
              <w:t>源头控制措施</w:t>
            </w:r>
          </w:p>
          <w:p w14:paraId="6CAE1CA4">
            <w:pPr>
              <w:autoSpaceDE w:val="0"/>
              <w:autoSpaceDN w:val="0"/>
              <w:adjustRightInd w:val="0"/>
              <w:spacing w:line="360" w:lineRule="auto"/>
              <w:ind w:firstLine="480" w:firstLineChars="200"/>
              <w:rPr>
                <w:rFonts w:hint="eastAsia"/>
                <w:color w:val="auto"/>
                <w:sz w:val="24"/>
              </w:rPr>
            </w:pPr>
            <w:r>
              <w:rPr>
                <w:rFonts w:hint="eastAsia"/>
                <w:color w:val="auto"/>
                <w:sz w:val="24"/>
              </w:rPr>
              <w:t>一是加强暂存仓库内设施的巡视和监控。在项目运营过程中，要定期对暂存仓库的顶棚、雨水导流系统、飞灰应急收集、防护设备进行巡查，保持设施和装置处于良好的状态，一旦出现异常，应当及时检查和维护更换，尽量避免由于收集和防护设施不到位引起仓库进水、飞灰撒漏污染外环境。</w:t>
            </w:r>
          </w:p>
          <w:p w14:paraId="3A49E811">
            <w:pPr>
              <w:autoSpaceDE w:val="0"/>
              <w:autoSpaceDN w:val="0"/>
              <w:adjustRightInd w:val="0"/>
              <w:spacing w:line="360" w:lineRule="auto"/>
              <w:ind w:firstLine="480" w:firstLineChars="200"/>
              <w:rPr>
                <w:rFonts w:hint="eastAsia"/>
                <w:color w:val="auto"/>
                <w:sz w:val="24"/>
              </w:rPr>
            </w:pPr>
            <w:r>
              <w:rPr>
                <w:rFonts w:hint="eastAsia"/>
                <w:color w:val="auto"/>
                <w:sz w:val="24"/>
              </w:rPr>
              <w:t>二是做好飞灰暂存仓库防渗措施，通过铺设HDPE膜、设置</w:t>
            </w:r>
            <w:r>
              <w:rPr>
                <w:rFonts w:hint="eastAsia"/>
                <w:color w:val="auto"/>
                <w:sz w:val="24"/>
                <w:lang w:eastAsia="zh-CN"/>
              </w:rPr>
              <w:t>导流和收集池</w:t>
            </w:r>
            <w:r>
              <w:rPr>
                <w:rFonts w:hint="eastAsia"/>
                <w:color w:val="auto"/>
                <w:sz w:val="24"/>
              </w:rPr>
              <w:t>等措施，保证暂存间地面防渗系数≤1.0x10</w:t>
            </w:r>
            <w:r>
              <w:rPr>
                <w:rFonts w:hint="eastAsia"/>
                <w:color w:val="auto"/>
                <w:sz w:val="24"/>
                <w:vertAlign w:val="superscript"/>
              </w:rPr>
              <w:t>-</w:t>
            </w:r>
            <w:r>
              <w:rPr>
                <w:rFonts w:hint="eastAsia"/>
                <w:color w:val="auto"/>
                <w:sz w:val="24"/>
                <w:vertAlign w:val="superscript"/>
                <w:lang w:val="en-US" w:eastAsia="zh-CN"/>
              </w:rPr>
              <w:t>10</w:t>
            </w:r>
            <w:r>
              <w:rPr>
                <w:rFonts w:hint="eastAsia"/>
                <w:color w:val="auto"/>
                <w:sz w:val="24"/>
              </w:rPr>
              <w:t>cm</w:t>
            </w:r>
            <w:r>
              <w:rPr>
                <w:rFonts w:hint="eastAsia"/>
                <w:color w:val="auto"/>
                <w:sz w:val="24"/>
                <w:lang w:val="en-US" w:eastAsia="zh-CN"/>
              </w:rPr>
              <w:t>/</w:t>
            </w:r>
            <w:r>
              <w:rPr>
                <w:rFonts w:hint="eastAsia"/>
                <w:color w:val="auto"/>
                <w:sz w:val="24"/>
              </w:rPr>
              <w:t>s，一旦雨水进入，也不会导致废液下渗影响地下水环境。</w:t>
            </w:r>
          </w:p>
          <w:p w14:paraId="609C3B92">
            <w:pPr>
              <w:numPr>
                <w:ilvl w:val="0"/>
                <w:numId w:val="0"/>
              </w:numPr>
              <w:autoSpaceDE w:val="0"/>
              <w:autoSpaceDN w:val="0"/>
              <w:adjustRightInd w:val="0"/>
              <w:spacing w:line="360" w:lineRule="auto"/>
              <w:rPr>
                <w:rFonts w:hint="eastAsia"/>
                <w:color w:val="auto"/>
                <w:sz w:val="24"/>
              </w:rPr>
            </w:pPr>
            <w:r>
              <w:rPr>
                <w:rFonts w:hint="eastAsia"/>
                <w:color w:val="auto"/>
                <w:sz w:val="24"/>
                <w:lang w:eastAsia="zh-CN"/>
              </w:rPr>
              <w:t>②</w:t>
            </w:r>
            <w:r>
              <w:rPr>
                <w:rFonts w:hint="eastAsia"/>
                <w:color w:val="auto"/>
                <w:sz w:val="24"/>
              </w:rPr>
              <w:t>分区防控措施</w:t>
            </w:r>
          </w:p>
          <w:p w14:paraId="728D332F">
            <w:pPr>
              <w:autoSpaceDE w:val="0"/>
              <w:autoSpaceDN w:val="0"/>
              <w:adjustRightInd w:val="0"/>
              <w:spacing w:line="360" w:lineRule="auto"/>
              <w:ind w:firstLine="480" w:firstLineChars="200"/>
              <w:rPr>
                <w:rFonts w:hint="eastAsia"/>
                <w:color w:val="auto"/>
                <w:sz w:val="24"/>
              </w:rPr>
            </w:pPr>
            <w:r>
              <w:rPr>
                <w:rFonts w:hint="eastAsia"/>
                <w:color w:val="auto"/>
                <w:sz w:val="24"/>
              </w:rPr>
              <w:t>结合飞灰储存布局，实行重点防渗区、一般防渗区和简单防区有区别的防渗原则。主要包括暂存仓库内地面的防渗措施和</w:t>
            </w:r>
            <w:r>
              <w:rPr>
                <w:rFonts w:hint="eastAsia"/>
                <w:color w:val="auto"/>
                <w:sz w:val="24"/>
                <w:lang w:eastAsia="zh-CN"/>
              </w:rPr>
              <w:t>泄漏</w:t>
            </w:r>
            <w:r>
              <w:rPr>
                <w:rFonts w:hint="eastAsia"/>
                <w:color w:val="auto"/>
                <w:sz w:val="24"/>
              </w:rPr>
              <w:t>、渗漏污染物收集措施，即在暂存间地面进行防渗处理，防止</w:t>
            </w:r>
            <w:r>
              <w:rPr>
                <w:rFonts w:hint="eastAsia"/>
                <w:color w:val="auto"/>
                <w:sz w:val="24"/>
                <w:lang w:val="en-US" w:eastAsia="zh-CN"/>
              </w:rPr>
              <w:t>洒</w:t>
            </w:r>
            <w:r>
              <w:rPr>
                <w:rFonts w:hint="eastAsia"/>
                <w:color w:val="auto"/>
                <w:sz w:val="24"/>
              </w:rPr>
              <w:t>落地面的污染物深入地下，并将滞留在地面的污染物收集起来。</w:t>
            </w:r>
          </w:p>
          <w:p w14:paraId="25F10543">
            <w:pPr>
              <w:autoSpaceDE w:val="0"/>
              <w:autoSpaceDN w:val="0"/>
              <w:adjustRightInd w:val="0"/>
              <w:spacing w:line="360" w:lineRule="auto"/>
              <w:ind w:firstLine="480" w:firstLineChars="200"/>
              <w:rPr>
                <w:rFonts w:hint="eastAsia"/>
                <w:color w:val="auto"/>
                <w:sz w:val="24"/>
              </w:rPr>
            </w:pPr>
            <w:r>
              <w:rPr>
                <w:rFonts w:hint="eastAsia"/>
                <w:color w:val="auto"/>
                <w:sz w:val="24"/>
              </w:rPr>
              <w:t>项目针对可能对地下水产生污染的各个环节，按照“考虑重点、辐射全面”的防腐防渗原则，参照《一般工业固体废物贮存和填埋污染控制标准》</w:t>
            </w:r>
            <w:r>
              <w:rPr>
                <w:rFonts w:hint="eastAsia"/>
                <w:color w:val="auto"/>
                <w:sz w:val="24"/>
                <w:lang w:eastAsia="zh-CN"/>
              </w:rPr>
              <w:t>（</w:t>
            </w:r>
            <w:r>
              <w:rPr>
                <w:rFonts w:hint="eastAsia"/>
                <w:color w:val="auto"/>
                <w:sz w:val="24"/>
              </w:rPr>
              <w:t>GB18599-2020</w:t>
            </w:r>
            <w:r>
              <w:rPr>
                <w:rFonts w:hint="eastAsia"/>
                <w:color w:val="auto"/>
                <w:sz w:val="24"/>
                <w:lang w:eastAsia="zh-CN"/>
              </w:rPr>
              <w:t>）</w:t>
            </w:r>
            <w:r>
              <w:rPr>
                <w:rFonts w:hint="eastAsia"/>
                <w:color w:val="auto"/>
                <w:sz w:val="24"/>
              </w:rPr>
              <w:t>、《危险废物贮存污染控制标准》</w:t>
            </w:r>
            <w:r>
              <w:rPr>
                <w:rFonts w:hint="eastAsia"/>
                <w:color w:val="auto"/>
                <w:sz w:val="24"/>
                <w:lang w:eastAsia="zh-CN"/>
              </w:rPr>
              <w:t>（</w:t>
            </w:r>
            <w:r>
              <w:rPr>
                <w:rFonts w:hint="eastAsia"/>
                <w:color w:val="auto"/>
                <w:sz w:val="24"/>
              </w:rPr>
              <w:t>GB18597-2023</w:t>
            </w:r>
            <w:r>
              <w:rPr>
                <w:rFonts w:hint="eastAsia"/>
                <w:color w:val="auto"/>
                <w:sz w:val="24"/>
                <w:lang w:eastAsia="zh-CN"/>
              </w:rPr>
              <w:t>）</w:t>
            </w:r>
            <w:r>
              <w:rPr>
                <w:rFonts w:hint="eastAsia"/>
                <w:color w:val="auto"/>
                <w:sz w:val="24"/>
              </w:rPr>
              <w:t>和《危险废物填埋污染控制标准》</w:t>
            </w:r>
            <w:r>
              <w:rPr>
                <w:rFonts w:hint="eastAsia"/>
                <w:color w:val="auto"/>
                <w:sz w:val="24"/>
                <w:lang w:eastAsia="zh-CN"/>
              </w:rPr>
              <w:t>（</w:t>
            </w:r>
            <w:r>
              <w:rPr>
                <w:rFonts w:hint="eastAsia"/>
                <w:color w:val="auto"/>
                <w:sz w:val="24"/>
              </w:rPr>
              <w:t>GB18598-2019</w:t>
            </w:r>
            <w:r>
              <w:rPr>
                <w:rFonts w:hint="eastAsia"/>
                <w:color w:val="auto"/>
                <w:sz w:val="24"/>
                <w:lang w:eastAsia="zh-CN"/>
              </w:rPr>
              <w:t>）</w:t>
            </w:r>
            <w:r>
              <w:rPr>
                <w:rFonts w:hint="eastAsia"/>
                <w:color w:val="auto"/>
                <w:sz w:val="24"/>
              </w:rPr>
              <w:t>等标准，划分为重点防渗区、简单防渗区。</w:t>
            </w:r>
          </w:p>
          <w:p w14:paraId="630DFE47">
            <w:pPr>
              <w:autoSpaceDE w:val="0"/>
              <w:autoSpaceDN w:val="0"/>
              <w:adjustRightInd w:val="0"/>
              <w:spacing w:line="360" w:lineRule="auto"/>
              <w:ind w:firstLine="480" w:firstLineChars="200"/>
              <w:rPr>
                <w:rFonts w:hint="eastAsia"/>
                <w:color w:val="auto"/>
                <w:sz w:val="24"/>
              </w:rPr>
            </w:pPr>
            <w:r>
              <w:rPr>
                <w:rFonts w:hint="eastAsia"/>
                <w:color w:val="auto"/>
                <w:sz w:val="24"/>
              </w:rPr>
              <w:t>重点防渗区是指危害性大、毒性较大的生产区域和构筑物，应采取严格的防渗措施，主要为暂存库本身。按照《危险废物贮存污染控制标准》</w:t>
            </w:r>
            <w:r>
              <w:rPr>
                <w:rFonts w:hint="eastAsia"/>
                <w:color w:val="auto"/>
                <w:sz w:val="24"/>
                <w:lang w:eastAsia="zh-CN"/>
              </w:rPr>
              <w:t>（</w:t>
            </w:r>
            <w:r>
              <w:rPr>
                <w:rFonts w:hint="eastAsia"/>
                <w:color w:val="auto"/>
                <w:sz w:val="24"/>
              </w:rPr>
              <w:t>GB18597-2023</w:t>
            </w:r>
            <w:r>
              <w:rPr>
                <w:rFonts w:hint="eastAsia"/>
                <w:color w:val="auto"/>
                <w:sz w:val="24"/>
                <w:lang w:eastAsia="zh-CN"/>
              </w:rPr>
              <w:t>）</w:t>
            </w:r>
            <w:r>
              <w:rPr>
                <w:rFonts w:hint="eastAsia"/>
                <w:color w:val="auto"/>
                <w:sz w:val="24"/>
              </w:rPr>
              <w:t>中对防渗层的要求</w:t>
            </w:r>
            <w:r>
              <w:rPr>
                <w:rFonts w:hint="eastAsia"/>
                <w:color w:val="auto"/>
                <w:sz w:val="24"/>
                <w:lang w:eastAsia="zh-CN"/>
              </w:rPr>
              <w:t>：</w:t>
            </w:r>
            <w:r>
              <w:rPr>
                <w:rFonts w:hint="eastAsia"/>
                <w:color w:val="auto"/>
                <w:sz w:val="24"/>
              </w:rPr>
              <w:t>人工合成材料衬层可以采用高密度聚乙烯</w:t>
            </w:r>
            <w:r>
              <w:rPr>
                <w:rFonts w:hint="eastAsia"/>
                <w:color w:val="auto"/>
                <w:sz w:val="24"/>
                <w:lang w:eastAsia="zh-CN"/>
              </w:rPr>
              <w:t>（</w:t>
            </w:r>
            <w:r>
              <w:rPr>
                <w:rFonts w:hint="eastAsia"/>
                <w:color w:val="auto"/>
                <w:sz w:val="24"/>
              </w:rPr>
              <w:t>HDPE</w:t>
            </w:r>
            <w:r>
              <w:rPr>
                <w:rFonts w:hint="eastAsia"/>
                <w:color w:val="auto"/>
                <w:sz w:val="24"/>
                <w:lang w:eastAsia="zh-CN"/>
              </w:rPr>
              <w:t>）</w:t>
            </w:r>
            <w:r>
              <w:rPr>
                <w:rFonts w:hint="eastAsia"/>
                <w:color w:val="auto"/>
                <w:sz w:val="24"/>
              </w:rPr>
              <w:t>，其渗透系数不大于1x10</w:t>
            </w:r>
            <w:r>
              <w:rPr>
                <w:rFonts w:hint="eastAsia"/>
                <w:color w:val="auto"/>
                <w:sz w:val="24"/>
                <w:vertAlign w:val="superscript"/>
              </w:rPr>
              <w:t>-</w:t>
            </w:r>
            <w:r>
              <w:rPr>
                <w:rFonts w:hint="eastAsia"/>
                <w:color w:val="auto"/>
                <w:sz w:val="24"/>
                <w:vertAlign w:val="superscript"/>
                <w:lang w:val="en-US" w:eastAsia="zh-CN"/>
              </w:rPr>
              <w:t>10</w:t>
            </w:r>
            <w:r>
              <w:rPr>
                <w:rFonts w:hint="eastAsia"/>
                <w:color w:val="auto"/>
                <w:sz w:val="24"/>
              </w:rPr>
              <w:t>cm/s，厚度不小于2mm。通过上述措施可使重点污染区各单元防渗层渗透系数≤1x10</w:t>
            </w:r>
            <w:r>
              <w:rPr>
                <w:rFonts w:hint="eastAsia"/>
                <w:color w:val="auto"/>
                <w:sz w:val="24"/>
                <w:vertAlign w:val="superscript"/>
              </w:rPr>
              <w:t>-</w:t>
            </w:r>
            <w:r>
              <w:rPr>
                <w:rFonts w:hint="eastAsia"/>
                <w:color w:val="auto"/>
                <w:sz w:val="24"/>
                <w:vertAlign w:val="superscript"/>
                <w:lang w:val="en-US" w:eastAsia="zh-CN"/>
              </w:rPr>
              <w:t>7</w:t>
            </w:r>
            <w:r>
              <w:rPr>
                <w:rFonts w:hint="eastAsia"/>
                <w:color w:val="auto"/>
                <w:sz w:val="24"/>
              </w:rPr>
              <w:t>cm/s。</w:t>
            </w:r>
          </w:p>
          <w:p w14:paraId="3372C518">
            <w:pPr>
              <w:autoSpaceDE w:val="0"/>
              <w:autoSpaceDN w:val="0"/>
              <w:adjustRightInd w:val="0"/>
              <w:spacing w:line="360" w:lineRule="auto"/>
              <w:ind w:firstLine="480" w:firstLineChars="200"/>
              <w:rPr>
                <w:rFonts w:hint="eastAsia" w:eastAsia="宋体"/>
                <w:color w:val="auto"/>
                <w:sz w:val="24"/>
                <w:lang w:eastAsia="zh-CN"/>
              </w:rPr>
            </w:pPr>
            <w:r>
              <w:rPr>
                <w:rFonts w:hint="eastAsia"/>
                <w:color w:val="auto"/>
                <w:sz w:val="24"/>
                <w:lang w:eastAsia="zh-CN"/>
              </w:rPr>
              <w:t>（1）</w:t>
            </w:r>
            <w:r>
              <w:rPr>
                <w:rFonts w:hint="eastAsia"/>
                <w:color w:val="auto"/>
                <w:sz w:val="24"/>
              </w:rPr>
              <w:t>根据《危险废物贮存污染控制标准》</w:t>
            </w:r>
            <w:r>
              <w:rPr>
                <w:rFonts w:hint="eastAsia"/>
                <w:color w:val="auto"/>
                <w:sz w:val="24"/>
                <w:lang w:eastAsia="zh-CN"/>
              </w:rPr>
              <w:t>（</w:t>
            </w:r>
            <w:r>
              <w:rPr>
                <w:rFonts w:hint="eastAsia"/>
                <w:color w:val="auto"/>
                <w:sz w:val="24"/>
              </w:rPr>
              <w:t>GB18597-2023</w:t>
            </w:r>
            <w:r>
              <w:rPr>
                <w:rFonts w:hint="eastAsia"/>
                <w:color w:val="auto"/>
                <w:sz w:val="24"/>
                <w:lang w:eastAsia="zh-CN"/>
              </w:rPr>
              <w:t>）</w:t>
            </w:r>
            <w:r>
              <w:rPr>
                <w:rFonts w:hint="eastAsia"/>
                <w:color w:val="auto"/>
                <w:sz w:val="24"/>
              </w:rPr>
              <w:t>，贮存设施内地面、墙面接触危险废物的隔板和墙体等应采用坚固的材料建造，表面无裂痕，本项目贮存的飞灰为固态，贮存过程不产生渗滤液。</w:t>
            </w:r>
            <w:r>
              <w:rPr>
                <w:rFonts w:hint="eastAsia"/>
                <w:color w:val="auto"/>
                <w:sz w:val="24"/>
                <w:lang w:eastAsia="zh-CN"/>
              </w:rPr>
              <w:t>（</w:t>
            </w:r>
            <w:r>
              <w:rPr>
                <w:rFonts w:hint="eastAsia"/>
                <w:color w:val="auto"/>
                <w:sz w:val="24"/>
              </w:rPr>
              <w:t>3</w:t>
            </w:r>
            <w:r>
              <w:rPr>
                <w:rFonts w:hint="eastAsia"/>
                <w:color w:val="auto"/>
                <w:sz w:val="24"/>
                <w:lang w:eastAsia="zh-CN"/>
              </w:rPr>
              <w:t>）</w:t>
            </w:r>
            <w:r>
              <w:rPr>
                <w:rFonts w:hint="eastAsia" w:eastAsia="宋体"/>
                <w:color w:val="auto"/>
                <w:sz w:val="24"/>
              </w:rPr>
              <w:t>库房地面采用</w:t>
            </w:r>
            <w:r>
              <w:rPr>
                <w:rFonts w:hint="eastAsia" w:eastAsia="宋体"/>
                <w:color w:val="auto"/>
                <w:sz w:val="24"/>
                <w:lang w:val="en-US" w:eastAsia="zh-CN"/>
              </w:rPr>
              <w:t>25</w:t>
            </w:r>
            <w:r>
              <w:rPr>
                <w:rFonts w:hint="eastAsia" w:eastAsia="宋体"/>
                <w:color w:val="auto"/>
                <w:sz w:val="24"/>
              </w:rPr>
              <w:t>cm厚C</w:t>
            </w:r>
            <w:r>
              <w:rPr>
                <w:rFonts w:hint="eastAsia" w:eastAsia="宋体"/>
                <w:color w:val="auto"/>
                <w:sz w:val="24"/>
                <w:lang w:val="en-US" w:eastAsia="zh-CN"/>
              </w:rPr>
              <w:t>3</w:t>
            </w:r>
            <w:r>
              <w:rPr>
                <w:rFonts w:hint="eastAsia" w:eastAsia="宋体"/>
                <w:color w:val="auto"/>
                <w:sz w:val="24"/>
              </w:rPr>
              <w:t>0混凝土做基础垫层</w:t>
            </w:r>
            <w:r>
              <w:rPr>
                <w:rFonts w:hint="eastAsia" w:eastAsia="宋体"/>
                <w:color w:val="auto"/>
                <w:sz w:val="24"/>
                <w:lang w:eastAsia="zh-CN"/>
              </w:rPr>
              <w:t>，</w:t>
            </w:r>
            <w:r>
              <w:rPr>
                <w:rFonts w:hint="eastAsia"/>
                <w:color w:val="auto"/>
                <w:sz w:val="24"/>
              </w:rPr>
              <w:t>在暂存库地面和墙壁四周铺设一层2mm厚高密度聚乙烯膜，加强地面防渗，飞灰稳定化物吨袋堆放于HDPE膜之上。同时，对HDPE膜采取防护措施，避免飞灰出入库时对HDPE膜造成破损</w:t>
            </w:r>
            <w:r>
              <w:rPr>
                <w:rFonts w:hint="eastAsia"/>
                <w:color w:val="auto"/>
                <w:sz w:val="24"/>
                <w:lang w:eastAsia="zh-CN"/>
              </w:rPr>
              <w:t>：</w:t>
            </w:r>
            <w:r>
              <w:rPr>
                <w:rFonts w:hint="eastAsia"/>
                <w:color w:val="auto"/>
                <w:sz w:val="24"/>
              </w:rPr>
              <w:t>墙裙HDPE膜的铺设高度须不低于飞灰堆放高度的1/5</w:t>
            </w:r>
            <w:r>
              <w:rPr>
                <w:rFonts w:hint="eastAsia"/>
                <w:color w:val="auto"/>
                <w:sz w:val="24"/>
                <w:lang w:eastAsia="zh-CN"/>
              </w:rPr>
              <w:t>；</w:t>
            </w:r>
            <w:r>
              <w:rPr>
                <w:rFonts w:hint="eastAsia"/>
                <w:color w:val="auto"/>
                <w:sz w:val="24"/>
              </w:rPr>
              <w:t>HDPE膜焊接处需进行渗透系数检测，符合要求后方可使用。</w:t>
            </w: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rFonts w:hint="eastAsia"/>
                <w:color w:val="auto"/>
                <w:sz w:val="24"/>
                <w:lang w:val="en-US" w:eastAsia="zh-CN"/>
              </w:rPr>
              <w:t>墙体</w:t>
            </w:r>
            <w:r>
              <w:rPr>
                <w:rFonts w:hint="eastAsia"/>
                <w:color w:val="auto"/>
                <w:sz w:val="24"/>
                <w:lang w:eastAsia="zh-CN"/>
              </w:rPr>
              <w:t>四周</w:t>
            </w:r>
            <w:r>
              <w:rPr>
                <w:rFonts w:hint="eastAsia"/>
                <w:color w:val="auto"/>
                <w:sz w:val="24"/>
                <w:lang w:val="en-US" w:eastAsia="zh-CN"/>
              </w:rPr>
              <w:t>设置导流槽</w:t>
            </w:r>
            <w:r>
              <w:rPr>
                <w:rFonts w:hint="eastAsia"/>
                <w:color w:val="auto"/>
                <w:lang w:eastAsia="zh-CN"/>
              </w:rPr>
              <w:t>，</w:t>
            </w:r>
            <w:r>
              <w:rPr>
                <w:rFonts w:hint="eastAsia"/>
                <w:color w:val="auto"/>
                <w:sz w:val="24"/>
                <w:lang w:eastAsia="zh-CN"/>
              </w:rPr>
              <w:t>墙角设置一个收集池</w:t>
            </w:r>
            <w:r>
              <w:rPr>
                <w:rFonts w:hint="eastAsia"/>
                <w:color w:val="auto"/>
                <w:sz w:val="24"/>
                <w:lang w:val="en-US" w:eastAsia="zh-CN"/>
              </w:rPr>
              <w:t>。</w:t>
            </w:r>
          </w:p>
          <w:p w14:paraId="1BEDC470">
            <w:pPr>
              <w:adjustRightInd w:val="0"/>
              <w:snapToGrid w:val="0"/>
              <w:spacing w:line="360" w:lineRule="auto"/>
              <w:ind w:firstLine="480" w:firstLineChars="200"/>
              <w:rPr>
                <w:rFonts w:hAnsi="宋体"/>
                <w:b/>
                <w:color w:val="auto"/>
                <w:sz w:val="24"/>
              </w:rPr>
            </w:pPr>
            <w:r>
              <w:rPr>
                <w:rFonts w:hAnsi="宋体"/>
                <w:color w:val="auto"/>
                <w:sz w:val="24"/>
              </w:rPr>
              <w:t>本项目建成后运营过程中涉及的地下水、土壤环境影响途径主要为危险</w:t>
            </w:r>
            <w:r>
              <w:rPr>
                <w:rFonts w:hint="eastAsia" w:hAnsi="宋体"/>
                <w:color w:val="auto"/>
                <w:sz w:val="24"/>
                <w:lang w:eastAsia="zh-CN"/>
              </w:rPr>
              <w:t>品仓库</w:t>
            </w:r>
            <w:r>
              <w:rPr>
                <w:rFonts w:hAnsi="宋体"/>
                <w:color w:val="auto"/>
                <w:sz w:val="24"/>
              </w:rPr>
              <w:t>。</w:t>
            </w:r>
          </w:p>
          <w:p w14:paraId="1819D91A">
            <w:pPr>
              <w:adjustRightInd w:val="0"/>
              <w:snapToGrid w:val="0"/>
              <w:jc w:val="center"/>
              <w:rPr>
                <w:color w:val="auto"/>
                <w:sz w:val="24"/>
              </w:rPr>
            </w:pPr>
            <w:r>
              <w:rPr>
                <w:rFonts w:hAnsi="宋体"/>
                <w:b/>
                <w:color w:val="auto"/>
                <w:sz w:val="24"/>
              </w:rPr>
              <w:t>表</w:t>
            </w:r>
            <w:r>
              <w:rPr>
                <w:rFonts w:hint="eastAsia"/>
                <w:b/>
                <w:bCs/>
                <w:color w:val="auto"/>
                <w:sz w:val="24"/>
                <w:lang w:val="en-US" w:eastAsia="zh-CN" w:bidi="en-US"/>
              </w:rPr>
              <w:t>4-4</w:t>
            </w:r>
            <w:r>
              <w:rPr>
                <w:rFonts w:hint="eastAsia" w:hAnsi="宋体"/>
                <w:b/>
                <w:color w:val="auto"/>
                <w:kern w:val="0"/>
                <w:sz w:val="24"/>
                <w:szCs w:val="20"/>
                <w:lang w:eastAsia="zh-CN"/>
              </w:rPr>
              <w:t>改建项</w:t>
            </w:r>
            <w:r>
              <w:rPr>
                <w:rFonts w:hAnsi="宋体"/>
                <w:b/>
                <w:color w:val="auto"/>
                <w:sz w:val="24"/>
              </w:rPr>
              <w:t>目分区防控措施一览表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50"/>
              <w:gridCol w:w="1665"/>
              <w:gridCol w:w="1709"/>
              <w:gridCol w:w="4018"/>
            </w:tblGrid>
            <w:tr w14:paraId="73ECBE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73" w:type="pct"/>
                  <w:tcBorders>
                    <w:top w:val="single" w:color="auto" w:sz="12" w:space="0"/>
                    <w:bottom w:val="single" w:color="auto" w:sz="12" w:space="0"/>
                  </w:tcBorders>
                  <w:vAlign w:val="center"/>
                </w:tcPr>
                <w:p w14:paraId="3883B26D">
                  <w:pPr>
                    <w:pStyle w:val="131"/>
                    <w:pageBreakBefore w:val="0"/>
                    <w:kinsoku/>
                    <w:wordWrap/>
                    <w:overflowPunct/>
                    <w:bidi w:val="0"/>
                    <w:snapToGrid w:val="0"/>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eastAsia="宋体" w:cs="Times New Roman"/>
                      <w:b/>
                      <w:bCs/>
                      <w:color w:val="auto"/>
                      <w:kern w:val="0"/>
                      <w:sz w:val="22"/>
                      <w:szCs w:val="22"/>
                      <w:highlight w:val="none"/>
                      <w:lang w:eastAsia="zh-CN"/>
                    </w:rPr>
                    <w:t>名称</w:t>
                  </w:r>
                </w:p>
              </w:tc>
              <w:tc>
                <w:tcPr>
                  <w:tcW w:w="974" w:type="pct"/>
                  <w:tcBorders>
                    <w:top w:val="single" w:color="auto" w:sz="12" w:space="0"/>
                    <w:bottom w:val="single" w:color="auto" w:sz="12" w:space="0"/>
                  </w:tcBorders>
                  <w:vAlign w:val="center"/>
                </w:tcPr>
                <w:p w14:paraId="212434A4">
                  <w:pPr>
                    <w:pStyle w:val="131"/>
                    <w:pageBreakBefore w:val="0"/>
                    <w:kinsoku/>
                    <w:wordWrap/>
                    <w:overflowPunct/>
                    <w:bidi w:val="0"/>
                    <w:snapToGrid w:val="0"/>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eastAsia="宋体" w:cs="Times New Roman"/>
                      <w:b/>
                      <w:bCs/>
                      <w:color w:val="auto"/>
                      <w:kern w:val="0"/>
                      <w:sz w:val="22"/>
                      <w:szCs w:val="22"/>
                      <w:highlight w:val="none"/>
                      <w:lang w:eastAsia="zh-CN"/>
                    </w:rPr>
                    <w:t>防渗要求</w:t>
                  </w:r>
                </w:p>
              </w:tc>
              <w:tc>
                <w:tcPr>
                  <w:tcW w:w="1000" w:type="pct"/>
                  <w:tcBorders>
                    <w:top w:val="single" w:color="auto" w:sz="12" w:space="0"/>
                    <w:bottom w:val="single" w:color="auto" w:sz="12" w:space="0"/>
                  </w:tcBorders>
                  <w:vAlign w:val="center"/>
                </w:tcPr>
                <w:p w14:paraId="7AF2222A">
                  <w:pPr>
                    <w:pStyle w:val="131"/>
                    <w:pageBreakBefore w:val="0"/>
                    <w:kinsoku/>
                    <w:wordWrap/>
                    <w:overflowPunct/>
                    <w:bidi w:val="0"/>
                    <w:snapToGrid w:val="0"/>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eastAsia="宋体" w:cs="Times New Roman"/>
                      <w:b/>
                      <w:bCs/>
                      <w:color w:val="auto"/>
                      <w:kern w:val="0"/>
                      <w:sz w:val="22"/>
                      <w:szCs w:val="22"/>
                      <w:highlight w:val="none"/>
                      <w:lang w:eastAsia="zh-CN"/>
                    </w:rPr>
                    <w:t>建筑尺寸</w:t>
                  </w:r>
                </w:p>
              </w:tc>
              <w:tc>
                <w:tcPr>
                  <w:tcW w:w="2351" w:type="pct"/>
                  <w:tcBorders>
                    <w:top w:val="single" w:color="auto" w:sz="12" w:space="0"/>
                    <w:bottom w:val="single" w:color="auto" w:sz="12" w:space="0"/>
                  </w:tcBorders>
                  <w:vAlign w:val="center"/>
                </w:tcPr>
                <w:p w14:paraId="05AB6E35">
                  <w:pPr>
                    <w:pStyle w:val="131"/>
                    <w:pageBreakBefore w:val="0"/>
                    <w:kinsoku/>
                    <w:wordWrap/>
                    <w:overflowPunct/>
                    <w:bidi w:val="0"/>
                    <w:snapToGrid w:val="0"/>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eastAsia="宋体" w:cs="Times New Roman"/>
                      <w:b/>
                      <w:bCs/>
                      <w:color w:val="auto"/>
                      <w:kern w:val="0"/>
                      <w:sz w:val="22"/>
                      <w:szCs w:val="22"/>
                      <w:highlight w:val="none"/>
                      <w:lang w:eastAsia="zh-CN"/>
                    </w:rPr>
                    <w:t>防渗要求</w:t>
                  </w:r>
                </w:p>
              </w:tc>
            </w:tr>
            <w:tr w14:paraId="2CF31A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73" w:type="pct"/>
                  <w:vAlign w:val="center"/>
                </w:tcPr>
                <w:p w14:paraId="1683DE5B">
                  <w:pPr>
                    <w:pStyle w:val="131"/>
                    <w:pageBreakBefore w:val="0"/>
                    <w:kinsoku/>
                    <w:wordWrap/>
                    <w:overflowPunct/>
                    <w:bidi w:val="0"/>
                    <w:snapToGrid w:val="0"/>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飞灰暂存库</w:t>
                  </w:r>
                </w:p>
              </w:tc>
              <w:tc>
                <w:tcPr>
                  <w:tcW w:w="974" w:type="pct"/>
                  <w:vAlign w:val="center"/>
                </w:tcPr>
                <w:p w14:paraId="762C5A41">
                  <w:pPr>
                    <w:pStyle w:val="131"/>
                    <w:pageBreakBefore w:val="0"/>
                    <w:kinsoku/>
                    <w:wordWrap/>
                    <w:overflowPunct/>
                    <w:bidi w:val="0"/>
                    <w:snapToGrid w:val="0"/>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重点防渗区</w:t>
                  </w:r>
                </w:p>
              </w:tc>
              <w:tc>
                <w:tcPr>
                  <w:tcW w:w="1000" w:type="pct"/>
                  <w:vAlign w:val="center"/>
                </w:tcPr>
                <w:p w14:paraId="3800EC05">
                  <w:pPr>
                    <w:pStyle w:val="131"/>
                    <w:pageBreakBefore w:val="0"/>
                    <w:kinsoku/>
                    <w:wordWrap/>
                    <w:overflowPunct/>
                    <w:bidi w:val="0"/>
                    <w:snapToGrid w:val="0"/>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18m*10**7m</w:t>
                  </w:r>
                </w:p>
              </w:tc>
              <w:tc>
                <w:tcPr>
                  <w:tcW w:w="2351" w:type="pct"/>
                  <w:vAlign w:val="center"/>
                </w:tcPr>
                <w:p w14:paraId="71530861">
                  <w:pPr>
                    <w:pStyle w:val="131"/>
                    <w:pageBreakBefore w:val="0"/>
                    <w:kinsoku/>
                    <w:wordWrap/>
                    <w:overflowPunct/>
                    <w:bidi w:val="0"/>
                    <w:snapToGrid w:val="0"/>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采用抗渗混凝土+</w:t>
                  </w:r>
                  <w:r>
                    <w:rPr>
                      <w:rFonts w:hint="eastAsia" w:ascii="Times New Roman" w:hAnsi="Times New Roman" w:eastAsia="宋体" w:cs="Times New Roman"/>
                      <w:color w:val="auto"/>
                      <w:kern w:val="0"/>
                      <w:sz w:val="21"/>
                      <w:szCs w:val="21"/>
                      <w:highlight w:val="none"/>
                      <w:lang w:eastAsia="zh-CN"/>
                    </w:rPr>
                    <w:t>厚环氧树脂</w:t>
                  </w:r>
                  <w:r>
                    <w:rPr>
                      <w:rFonts w:hint="eastAsia" w:ascii="Times New Roman" w:hAnsi="Times New Roman" w:eastAsia="宋体" w:cs="Times New Roman"/>
                      <w:color w:val="auto"/>
                      <w:kern w:val="0"/>
                      <w:sz w:val="21"/>
                      <w:szCs w:val="21"/>
                      <w:highlight w:val="none"/>
                    </w:rPr>
                    <w:t>+2mm 厚高密度聚乙烯防渗膜，渗透系数1.0x10</w:t>
                  </w:r>
                  <w:r>
                    <w:rPr>
                      <w:rFonts w:hint="eastAsia" w:ascii="Times New Roman" w:hAnsi="Times New Roman" w:eastAsia="宋体" w:cs="Times New Roman"/>
                      <w:color w:val="auto"/>
                      <w:kern w:val="0"/>
                      <w:sz w:val="21"/>
                      <w:szCs w:val="21"/>
                      <w:highlight w:val="none"/>
                      <w:vertAlign w:val="superscript"/>
                    </w:rPr>
                    <w:t>-</w:t>
                  </w:r>
                  <w:r>
                    <w:rPr>
                      <w:rFonts w:hint="eastAsia" w:ascii="Times New Roman" w:hAnsi="Times New Roman" w:eastAsia="宋体" w:cs="Times New Roman"/>
                      <w:color w:val="auto"/>
                      <w:kern w:val="0"/>
                      <w:sz w:val="21"/>
                      <w:szCs w:val="21"/>
                      <w:highlight w:val="none"/>
                      <w:vertAlign w:val="superscript"/>
                      <w:lang w:val="en-US" w:eastAsia="zh-CN"/>
                    </w:rPr>
                    <w:t>10</w:t>
                  </w:r>
                  <w:r>
                    <w:rPr>
                      <w:rFonts w:hint="eastAsia" w:ascii="Times New Roman" w:hAnsi="Times New Roman" w:eastAsia="宋体" w:cs="Times New Roman"/>
                      <w:color w:val="auto"/>
                      <w:kern w:val="0"/>
                      <w:sz w:val="21"/>
                      <w:szCs w:val="21"/>
                      <w:highlight w:val="none"/>
                    </w:rPr>
                    <w:t>m/s</w:t>
                  </w:r>
                </w:p>
              </w:tc>
            </w:tr>
            <w:tr w14:paraId="2AA2CF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73" w:type="pct"/>
                  <w:vAlign w:val="center"/>
                </w:tcPr>
                <w:p w14:paraId="65CB1B4D">
                  <w:pPr>
                    <w:pStyle w:val="131"/>
                    <w:pageBreakBefore w:val="0"/>
                    <w:kinsoku/>
                    <w:wordWrap/>
                    <w:overflowPunct/>
                    <w:bidi w:val="0"/>
                    <w:snapToGrid w:val="0"/>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其他区域</w:t>
                  </w:r>
                </w:p>
              </w:tc>
              <w:tc>
                <w:tcPr>
                  <w:tcW w:w="974" w:type="pct"/>
                  <w:vAlign w:val="center"/>
                </w:tcPr>
                <w:p w14:paraId="1BF2078B">
                  <w:pPr>
                    <w:pStyle w:val="131"/>
                    <w:pageBreakBefore w:val="0"/>
                    <w:kinsoku/>
                    <w:wordWrap/>
                    <w:overflowPunct/>
                    <w:bidi w:val="0"/>
                    <w:snapToGrid w:val="0"/>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简单防渗区</w:t>
                  </w:r>
                </w:p>
              </w:tc>
              <w:tc>
                <w:tcPr>
                  <w:tcW w:w="1000" w:type="pct"/>
                  <w:vAlign w:val="center"/>
                </w:tcPr>
                <w:p w14:paraId="0251681E">
                  <w:pPr>
                    <w:pStyle w:val="131"/>
                    <w:pageBreakBefore w:val="0"/>
                    <w:kinsoku/>
                    <w:wordWrap/>
                    <w:overflowPunct/>
                    <w:bidi w:val="0"/>
                    <w:snapToGrid w:val="0"/>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2351" w:type="pct"/>
                  <w:vAlign w:val="center"/>
                </w:tcPr>
                <w:p w14:paraId="0A05185C">
                  <w:pPr>
                    <w:pStyle w:val="131"/>
                    <w:pageBreakBefore w:val="0"/>
                    <w:kinsoku/>
                    <w:wordWrap/>
                    <w:overflowPunct/>
                    <w:bidi w:val="0"/>
                    <w:snapToGrid w:val="0"/>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简单硬化</w:t>
                  </w:r>
                </w:p>
              </w:tc>
            </w:tr>
          </w:tbl>
          <w:p w14:paraId="6FD2ED42">
            <w:pPr>
              <w:autoSpaceDE w:val="0"/>
              <w:autoSpaceDN w:val="0"/>
              <w:adjustRightInd w:val="0"/>
              <w:spacing w:line="360" w:lineRule="auto"/>
              <w:ind w:firstLine="480" w:firstLineChars="200"/>
              <w:rPr>
                <w:rFonts w:hint="eastAsia" w:eastAsia="宋体"/>
                <w:color w:val="auto"/>
                <w:sz w:val="24"/>
                <w:lang w:val="en-US" w:eastAsia="zh-CN"/>
              </w:rPr>
            </w:pPr>
            <w:r>
              <w:rPr>
                <w:rFonts w:hint="eastAsia" w:eastAsia="宋体"/>
                <w:color w:val="auto"/>
                <w:sz w:val="24"/>
                <w:lang w:val="en-US" w:eastAsia="zh-CN"/>
              </w:rPr>
              <w:t>总之，本项目应做好飞灰暂存仓库构筑物的防渗工作，加强管理，防止发生泄漏对地下水环境产生不利影响。</w:t>
            </w:r>
          </w:p>
          <w:p w14:paraId="5891571F">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5.2</w:t>
            </w:r>
            <w:r>
              <w:rPr>
                <w:rFonts w:hAnsi="宋体"/>
                <w:b/>
                <w:color w:val="auto"/>
                <w:kern w:val="0"/>
                <w:sz w:val="24"/>
              </w:rPr>
              <w:t>跟踪监测计划</w:t>
            </w:r>
          </w:p>
          <w:p w14:paraId="35389F3D">
            <w:pPr>
              <w:widowControl/>
              <w:autoSpaceDE w:val="0"/>
              <w:autoSpaceDN w:val="0"/>
              <w:adjustRightInd w:val="0"/>
              <w:snapToGrid w:val="0"/>
              <w:spacing w:line="360" w:lineRule="auto"/>
              <w:ind w:left="181" w:leftChars="86" w:firstLine="480" w:firstLineChars="200"/>
              <w:jc w:val="left"/>
              <w:rPr>
                <w:b/>
                <w:color w:val="auto"/>
                <w:kern w:val="0"/>
                <w:sz w:val="24"/>
              </w:rPr>
            </w:pPr>
            <w:r>
              <w:rPr>
                <w:rFonts w:hint="eastAsia"/>
                <w:color w:val="auto"/>
                <w:sz w:val="24"/>
                <w:lang w:val="en-US" w:eastAsia="zh-CN"/>
              </w:rPr>
              <w:t>依托现有项目地下水监测计划。</w:t>
            </w:r>
          </w:p>
          <w:p w14:paraId="20C70E25">
            <w:pPr>
              <w:widowControl/>
              <w:autoSpaceDE w:val="0"/>
              <w:autoSpaceDN w:val="0"/>
              <w:adjustRightInd w:val="0"/>
              <w:snapToGrid w:val="0"/>
              <w:spacing w:line="360" w:lineRule="auto"/>
              <w:ind w:firstLine="482" w:firstLineChars="200"/>
              <w:jc w:val="left"/>
              <w:rPr>
                <w:rFonts w:hint="eastAsia" w:eastAsia="宋体"/>
                <w:b/>
                <w:color w:val="auto"/>
                <w:kern w:val="0"/>
                <w:sz w:val="24"/>
                <w:lang w:eastAsia="zh-CN"/>
              </w:rPr>
            </w:pPr>
            <w:r>
              <w:rPr>
                <w:b/>
                <w:color w:val="auto"/>
                <w:kern w:val="0"/>
                <w:sz w:val="24"/>
              </w:rPr>
              <w:t>6.</w:t>
            </w:r>
            <w:r>
              <w:rPr>
                <w:rFonts w:hint="eastAsia" w:hAnsi="宋体"/>
                <w:b/>
                <w:color w:val="auto"/>
                <w:kern w:val="0"/>
                <w:sz w:val="24"/>
                <w:lang w:eastAsia="zh-CN"/>
              </w:rPr>
              <w:t>土壤环境影响和保护措施</w:t>
            </w:r>
          </w:p>
          <w:p w14:paraId="185C2EEC">
            <w:pPr>
              <w:adjustRightInd w:val="0"/>
              <w:snapToGrid w:val="0"/>
              <w:spacing w:line="360" w:lineRule="auto"/>
              <w:ind w:firstLine="480" w:firstLineChars="200"/>
              <w:rPr>
                <w:rFonts w:hint="eastAsia" w:hAnsi="宋体"/>
                <w:color w:val="auto"/>
                <w:sz w:val="24"/>
              </w:rPr>
            </w:pPr>
            <w:r>
              <w:rPr>
                <w:rFonts w:hint="eastAsia" w:hAnsi="宋体"/>
                <w:color w:val="auto"/>
                <w:sz w:val="24"/>
              </w:rPr>
              <w:t>本项目建设期主要为暂存库的建设，基本不会对土壤环境造成影响。项目运营期正常情况下防渗完好，飞灰暂存不会对</w:t>
            </w:r>
            <w:r>
              <w:rPr>
                <w:rFonts w:hint="eastAsia" w:hAnsi="宋体"/>
                <w:color w:val="auto"/>
                <w:sz w:val="24"/>
                <w:lang w:eastAsia="zh-CN"/>
              </w:rPr>
              <w:t>土地</w:t>
            </w:r>
            <w:r>
              <w:rPr>
                <w:rFonts w:hint="eastAsia" w:hAnsi="宋体"/>
                <w:color w:val="auto"/>
                <w:sz w:val="24"/>
              </w:rPr>
              <w:t>造成影响。运营期</w:t>
            </w:r>
            <w:r>
              <w:rPr>
                <w:rFonts w:hint="eastAsia" w:hAnsi="宋体"/>
                <w:color w:val="auto"/>
                <w:sz w:val="24"/>
                <w:lang w:eastAsia="zh-CN"/>
              </w:rPr>
              <w:t>土壤</w:t>
            </w:r>
            <w:r>
              <w:rPr>
                <w:rFonts w:hint="eastAsia" w:hAnsi="宋体"/>
                <w:color w:val="auto"/>
                <w:sz w:val="24"/>
              </w:rPr>
              <w:t>环境影响主要是本项目飞灰在暂存过程中，若暂存</w:t>
            </w:r>
            <w:r>
              <w:rPr>
                <w:rFonts w:hint="eastAsia" w:hAnsi="宋体"/>
                <w:color w:val="auto"/>
                <w:sz w:val="24"/>
                <w:lang w:eastAsia="zh-CN"/>
              </w:rPr>
              <w:t>库房</w:t>
            </w:r>
            <w:r>
              <w:rPr>
                <w:rFonts w:hint="eastAsia" w:hAnsi="宋体"/>
                <w:color w:val="auto"/>
                <w:sz w:val="24"/>
              </w:rPr>
              <w:t>破损，未做好防雨措施，由于雨水渗透淋溶作用对库区附近土壤产生有毒有害影响。本</w:t>
            </w:r>
            <w:r>
              <w:rPr>
                <w:rFonts w:hint="eastAsia" w:hAnsi="宋体"/>
                <w:color w:val="auto"/>
                <w:sz w:val="24"/>
                <w:lang w:eastAsia="zh-CN"/>
              </w:rPr>
              <w:t>项目</w:t>
            </w:r>
            <w:r>
              <w:rPr>
                <w:rFonts w:hint="eastAsia" w:hAnsi="宋体"/>
                <w:color w:val="auto"/>
                <w:sz w:val="24"/>
              </w:rPr>
              <w:t>作业废气仅有少量扬尘，飞灰采用吨袋包装，运营期采用随车品在库内作业，且飞灰经整合稳定化处理达标后，重金属基本不会出，因此可不考虑作业扬尘对周边土壤的大气沉降影响。</w:t>
            </w:r>
          </w:p>
          <w:p w14:paraId="1B13D595">
            <w:pPr>
              <w:adjustRightInd w:val="0"/>
              <w:snapToGrid w:val="0"/>
              <w:spacing w:line="360" w:lineRule="auto"/>
              <w:ind w:firstLine="480" w:firstLineChars="200"/>
              <w:rPr>
                <w:rFonts w:hint="eastAsia" w:hAnsi="宋体"/>
                <w:color w:val="auto"/>
                <w:sz w:val="24"/>
              </w:rPr>
            </w:pPr>
            <w:r>
              <w:rPr>
                <w:rFonts w:hint="eastAsia" w:hAnsi="宋体"/>
                <w:color w:val="auto"/>
                <w:sz w:val="24"/>
              </w:rPr>
              <w:t>本项目建设采用抗渗混凝土+</w:t>
            </w:r>
            <w:r>
              <w:rPr>
                <w:rFonts w:hint="eastAsia" w:hAnsi="宋体"/>
                <w:color w:val="auto"/>
                <w:sz w:val="24"/>
                <w:lang w:eastAsia="zh-CN"/>
              </w:rPr>
              <w:t>厚环氧树脂</w:t>
            </w:r>
            <w:r>
              <w:rPr>
                <w:rFonts w:hint="eastAsia" w:hAnsi="宋体"/>
                <w:color w:val="auto"/>
                <w:sz w:val="24"/>
              </w:rPr>
              <w:t>+2mm厚高密度聚乙烯防渗膜进行防渗，本项目采用防渗层的渗透系数不大于1.0x10</w:t>
            </w:r>
            <w:r>
              <w:rPr>
                <w:rFonts w:hint="eastAsia" w:hAnsi="宋体"/>
                <w:color w:val="auto"/>
                <w:sz w:val="24"/>
                <w:vertAlign w:val="superscript"/>
              </w:rPr>
              <w:t>-</w:t>
            </w:r>
            <w:r>
              <w:rPr>
                <w:rFonts w:hint="eastAsia" w:hAnsi="宋体"/>
                <w:color w:val="auto"/>
                <w:sz w:val="24"/>
                <w:vertAlign w:val="superscript"/>
                <w:lang w:val="en-US" w:eastAsia="zh-CN"/>
              </w:rPr>
              <w:t>1</w:t>
            </w:r>
            <w:r>
              <w:rPr>
                <w:rFonts w:hint="eastAsia" w:hAnsi="宋体"/>
                <w:color w:val="auto"/>
                <w:sz w:val="24"/>
                <w:vertAlign w:val="superscript"/>
              </w:rPr>
              <w:t>0</w:t>
            </w:r>
            <w:r>
              <w:rPr>
                <w:rFonts w:hint="eastAsia" w:hAnsi="宋体"/>
                <w:color w:val="auto"/>
                <w:sz w:val="24"/>
              </w:rPr>
              <w:t>cm</w:t>
            </w:r>
            <w:r>
              <w:rPr>
                <w:rFonts w:hint="eastAsia" w:hAnsi="宋体"/>
                <w:color w:val="auto"/>
                <w:sz w:val="24"/>
                <w:lang w:val="en-US" w:eastAsia="zh-CN"/>
              </w:rPr>
              <w:t>/</w:t>
            </w:r>
            <w:r>
              <w:rPr>
                <w:rFonts w:hint="eastAsia" w:hAnsi="宋体"/>
                <w:color w:val="auto"/>
                <w:sz w:val="24"/>
              </w:rPr>
              <w:t>s</w:t>
            </w:r>
            <w:r>
              <w:rPr>
                <w:rFonts w:hint="eastAsia" w:hAnsi="宋体"/>
                <w:color w:val="auto"/>
                <w:sz w:val="24"/>
                <w:lang w:eastAsia="zh-CN"/>
              </w:rPr>
              <w:t>，</w:t>
            </w:r>
            <w:r>
              <w:rPr>
                <w:rFonts w:hint="eastAsia" w:hAnsi="宋体"/>
                <w:color w:val="auto"/>
                <w:sz w:val="24"/>
              </w:rPr>
              <w:t>能够有效预防有害物质泄漏污染土壤环境质量，实现了源头污染控制和过程污染防控。</w:t>
            </w:r>
          </w:p>
          <w:p w14:paraId="5BA90C56">
            <w:pPr>
              <w:adjustRightInd w:val="0"/>
              <w:snapToGrid w:val="0"/>
              <w:spacing w:line="360" w:lineRule="auto"/>
              <w:ind w:firstLine="480" w:firstLineChars="200"/>
              <w:rPr>
                <w:color w:val="auto"/>
                <w:sz w:val="24"/>
              </w:rPr>
            </w:pPr>
            <w:r>
              <w:rPr>
                <w:rFonts w:hint="eastAsia" w:hAnsi="宋体"/>
                <w:color w:val="auto"/>
                <w:sz w:val="24"/>
              </w:rPr>
              <w:t>采取以上污染防治措施后，建设项目对土壤环境影响可得到有效控制。</w:t>
            </w:r>
          </w:p>
          <w:p w14:paraId="741B35C4">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7.</w:t>
            </w:r>
            <w:r>
              <w:rPr>
                <w:rFonts w:hAnsi="宋体"/>
                <w:b/>
                <w:color w:val="auto"/>
                <w:kern w:val="0"/>
                <w:sz w:val="24"/>
              </w:rPr>
              <w:t>环境风险</w:t>
            </w:r>
          </w:p>
          <w:p w14:paraId="60AB493D">
            <w:pPr>
              <w:widowControl/>
              <w:autoSpaceDE w:val="0"/>
              <w:autoSpaceDN w:val="0"/>
              <w:adjustRightInd w:val="0"/>
              <w:snapToGrid w:val="0"/>
              <w:spacing w:line="360" w:lineRule="auto"/>
              <w:ind w:firstLine="482" w:firstLineChars="200"/>
              <w:rPr>
                <w:b/>
                <w:color w:val="auto"/>
                <w:kern w:val="0"/>
                <w:sz w:val="24"/>
              </w:rPr>
            </w:pPr>
            <w:r>
              <w:rPr>
                <w:b/>
                <w:color w:val="auto"/>
                <w:kern w:val="0"/>
                <w:sz w:val="24"/>
              </w:rPr>
              <w:t>7.1</w:t>
            </w:r>
            <w:r>
              <w:rPr>
                <w:rFonts w:hAnsi="宋体"/>
                <w:b/>
                <w:color w:val="auto"/>
                <w:kern w:val="0"/>
                <w:sz w:val="24"/>
              </w:rPr>
              <w:t>风险源调查</w:t>
            </w:r>
          </w:p>
          <w:p w14:paraId="03A8D7C5">
            <w:pPr>
              <w:adjustRightInd w:val="0"/>
              <w:snapToGrid w:val="0"/>
              <w:spacing w:line="360" w:lineRule="auto"/>
              <w:ind w:firstLine="480" w:firstLineChars="200"/>
              <w:rPr>
                <w:rFonts w:hint="eastAsia" w:hAnsi="宋体" w:eastAsia="宋体"/>
                <w:color w:val="auto"/>
                <w:sz w:val="24"/>
                <w:lang w:val="en-US" w:eastAsia="zh-CN"/>
              </w:rPr>
            </w:pPr>
            <w:r>
              <w:rPr>
                <w:rFonts w:hint="eastAsia"/>
                <w:color w:val="auto"/>
                <w:sz w:val="24"/>
                <w:lang w:eastAsia="zh-CN"/>
              </w:rPr>
              <w:t>本次改建项目风险物质为飞灰稳定化物，全厂飞灰量并没有新增，全厂全年飞灰量为</w:t>
            </w:r>
            <w:r>
              <w:rPr>
                <w:rFonts w:hint="eastAsia"/>
                <w:color w:val="auto"/>
                <w:sz w:val="24"/>
                <w:lang w:val="en-US" w:eastAsia="zh-CN"/>
              </w:rPr>
              <w:t>15000t/a，在现有项</w:t>
            </w:r>
            <w:r>
              <w:rPr>
                <w:rFonts w:hint="eastAsia" w:hAnsi="宋体" w:eastAsia="宋体"/>
                <w:color w:val="auto"/>
                <w:sz w:val="24"/>
                <w:lang w:val="en-US" w:eastAsia="zh-CN"/>
              </w:rPr>
              <w:t>目</w:t>
            </w:r>
            <w:bookmarkStart w:id="57" w:name="_Hlk97912942"/>
            <w:bookmarkStart w:id="58" w:name="_Hlk97912941"/>
            <w:bookmarkStart w:id="59" w:name="_Hlk97912939"/>
            <w:bookmarkStart w:id="60" w:name="_Hlk97912940"/>
            <w:r>
              <w:rPr>
                <w:rFonts w:hint="eastAsia" w:hAnsi="宋体" w:eastAsia="宋体"/>
                <w:color w:val="auto"/>
                <w:sz w:val="24"/>
              </w:rPr>
              <w:t>淮安零碳能源环保科技有限公司涟水县生活垃圾焚烧发电技改项目</w:t>
            </w:r>
            <w:bookmarkEnd w:id="57"/>
            <w:bookmarkEnd w:id="58"/>
            <w:bookmarkEnd w:id="59"/>
            <w:bookmarkEnd w:id="60"/>
            <w:r>
              <w:rPr>
                <w:rFonts w:hint="eastAsia" w:hAnsi="宋体" w:eastAsia="宋体"/>
                <w:color w:val="auto"/>
                <w:sz w:val="24"/>
                <w:lang w:eastAsia="zh-CN"/>
              </w:rPr>
              <w:t>中已对全厂飞灰进行风险识别，因此本章节不</w:t>
            </w:r>
            <w:r>
              <w:rPr>
                <w:rFonts w:hint="eastAsia" w:hAnsi="宋体"/>
                <w:color w:val="auto"/>
                <w:sz w:val="24"/>
                <w:lang w:eastAsia="zh-CN"/>
              </w:rPr>
              <w:t>作</w:t>
            </w:r>
            <w:r>
              <w:rPr>
                <w:rFonts w:hint="eastAsia" w:hAnsi="宋体" w:eastAsia="宋体"/>
                <w:color w:val="auto"/>
                <w:sz w:val="24"/>
                <w:lang w:eastAsia="zh-CN"/>
              </w:rPr>
              <w:t>评价。</w:t>
            </w:r>
          </w:p>
          <w:p w14:paraId="1625DAE5">
            <w:pPr>
              <w:adjustRightInd w:val="0"/>
              <w:snapToGrid w:val="0"/>
              <w:spacing w:line="360" w:lineRule="auto"/>
              <w:ind w:firstLine="480" w:firstLineChars="200"/>
              <w:rPr>
                <w:rFonts w:hint="eastAsia" w:hAnsi="宋体" w:eastAsia="宋体"/>
                <w:color w:val="auto"/>
                <w:sz w:val="24"/>
              </w:rPr>
            </w:pPr>
            <w:r>
              <w:rPr>
                <w:rFonts w:hint="eastAsia" w:hAnsi="宋体" w:eastAsia="宋体"/>
                <w:color w:val="auto"/>
                <w:sz w:val="24"/>
              </w:rPr>
              <w:t>8.电磁辐射</w:t>
            </w:r>
          </w:p>
          <w:p w14:paraId="351DA556">
            <w:pPr>
              <w:widowControl/>
              <w:autoSpaceDE w:val="0"/>
              <w:autoSpaceDN w:val="0"/>
              <w:adjustRightInd w:val="0"/>
              <w:snapToGrid w:val="0"/>
              <w:spacing w:line="360" w:lineRule="auto"/>
              <w:ind w:firstLine="480" w:firstLineChars="200"/>
              <w:jc w:val="left"/>
              <w:rPr>
                <w:color w:val="auto"/>
                <w:kern w:val="0"/>
                <w:sz w:val="24"/>
              </w:rPr>
            </w:pPr>
            <w:r>
              <w:rPr>
                <w:rFonts w:hint="eastAsia" w:hAnsi="宋体"/>
                <w:color w:val="auto"/>
                <w:kern w:val="0"/>
                <w:sz w:val="24"/>
                <w:lang w:eastAsia="zh-CN"/>
              </w:rPr>
              <w:t>改建</w:t>
            </w:r>
            <w:r>
              <w:rPr>
                <w:rFonts w:hAnsi="宋体"/>
                <w:color w:val="auto"/>
                <w:kern w:val="0"/>
                <w:sz w:val="24"/>
              </w:rPr>
              <w:t>项目不涉及电磁辐射环境影响。</w:t>
            </w:r>
          </w:p>
        </w:tc>
      </w:tr>
    </w:tbl>
    <w:p w14:paraId="34D062B4">
      <w:pPr>
        <w:widowControl/>
        <w:jc w:val="left"/>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4901F43">
      <w:pPr>
        <w:pStyle w:val="29"/>
        <w:spacing w:before="0" w:beforeAutospacing="0" w:after="0" w:afterAutospacing="0"/>
        <w:jc w:val="both"/>
        <w:outlineLvl w:val="0"/>
        <w:rPr>
          <w:rFonts w:ascii="Times New Roman" w:hAnsi="Times New Roman"/>
          <w:b/>
          <w:snapToGrid w:val="0"/>
          <w:color w:val="auto"/>
          <w:sz w:val="30"/>
          <w:szCs w:val="30"/>
        </w:rPr>
      </w:pPr>
      <w:r>
        <w:rPr>
          <w:rFonts w:hint="eastAsia" w:ascii="Times New Roman"/>
          <w:b/>
          <w:snapToGrid w:val="0"/>
          <w:color w:val="auto"/>
          <w:sz w:val="30"/>
          <w:szCs w:val="30"/>
          <w:lang w:val="en-US" w:eastAsia="zh-CN"/>
        </w:rPr>
        <w:t xml:space="preserve"> </w:t>
      </w:r>
      <w:bookmarkStart w:id="61" w:name="_Toc2191"/>
      <w:r>
        <w:rPr>
          <w:rFonts w:ascii="Times New Roman"/>
          <w:b/>
          <w:snapToGrid w:val="0"/>
          <w:color w:val="auto"/>
          <w:sz w:val="30"/>
          <w:szCs w:val="30"/>
        </w:rPr>
        <w:t>五、</w:t>
      </w:r>
      <w:bookmarkStart w:id="62" w:name="_Hlk54167917"/>
      <w:r>
        <w:rPr>
          <w:rFonts w:ascii="Times New Roman"/>
          <w:b/>
          <w:snapToGrid w:val="0"/>
          <w:color w:val="auto"/>
          <w:sz w:val="30"/>
          <w:szCs w:val="30"/>
        </w:rPr>
        <w:t>环境保护措施监督检查清单</w:t>
      </w:r>
      <w:bookmarkEnd w:id="61"/>
      <w:bookmarkEnd w:id="62"/>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41"/>
        <w:gridCol w:w="1146"/>
        <w:gridCol w:w="1803"/>
        <w:gridCol w:w="1449"/>
        <w:gridCol w:w="3407"/>
      </w:tblGrid>
      <w:tr w14:paraId="12E7A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tcBorders>
              <w:tl2br w:val="single" w:color="auto" w:sz="4" w:space="0"/>
            </w:tcBorders>
          </w:tcPr>
          <w:p w14:paraId="5A6A0DE4">
            <w:pPr>
              <w:adjustRightInd w:val="0"/>
              <w:snapToGrid w:val="0"/>
              <w:ind w:firstLine="708" w:firstLineChars="294"/>
              <w:rPr>
                <w:rFonts w:eastAsiaTheme="minorEastAsia"/>
                <w:b/>
                <w:color w:val="auto"/>
                <w:sz w:val="24"/>
                <w:szCs w:val="24"/>
              </w:rPr>
            </w:pPr>
            <w:r>
              <w:rPr>
                <w:rFonts w:hAnsiTheme="minorEastAsia" w:eastAsiaTheme="minorEastAsia"/>
                <w:b/>
                <w:color w:val="auto"/>
                <w:sz w:val="24"/>
                <w:szCs w:val="24"/>
              </w:rPr>
              <w:t>内容</w:t>
            </w:r>
          </w:p>
          <w:p w14:paraId="37EFBA53">
            <w:pPr>
              <w:adjustRightInd w:val="0"/>
              <w:snapToGrid w:val="0"/>
              <w:ind w:firstLine="118" w:firstLineChars="49"/>
              <w:rPr>
                <w:rFonts w:eastAsiaTheme="minorEastAsia"/>
                <w:b/>
                <w:color w:val="auto"/>
                <w:sz w:val="24"/>
                <w:szCs w:val="24"/>
              </w:rPr>
            </w:pPr>
            <w:r>
              <w:rPr>
                <w:rFonts w:hAnsiTheme="minorEastAsia" w:eastAsiaTheme="minorEastAsia"/>
                <w:b/>
                <w:color w:val="auto"/>
                <w:sz w:val="24"/>
                <w:szCs w:val="24"/>
              </w:rPr>
              <w:t>要素</w:t>
            </w:r>
          </w:p>
        </w:tc>
        <w:tc>
          <w:tcPr>
            <w:tcW w:w="1146" w:type="dxa"/>
            <w:vAlign w:val="center"/>
          </w:tcPr>
          <w:p w14:paraId="6CACB3EA">
            <w:pPr>
              <w:adjustRightInd w:val="0"/>
              <w:snapToGrid w:val="0"/>
              <w:jc w:val="center"/>
              <w:rPr>
                <w:rFonts w:eastAsiaTheme="minorEastAsia"/>
                <w:b/>
                <w:color w:val="auto"/>
                <w:sz w:val="24"/>
                <w:szCs w:val="24"/>
              </w:rPr>
            </w:pPr>
            <w:r>
              <w:rPr>
                <w:rFonts w:hAnsiTheme="minorEastAsia" w:eastAsiaTheme="minorEastAsia"/>
                <w:b/>
                <w:color w:val="auto"/>
                <w:sz w:val="24"/>
                <w:szCs w:val="24"/>
              </w:rPr>
              <w:t>排放口</w:t>
            </w:r>
            <w:r>
              <w:rPr>
                <w:rFonts w:hint="eastAsia" w:hAnsiTheme="minorEastAsia" w:eastAsiaTheme="minorEastAsia"/>
                <w:b/>
                <w:color w:val="auto"/>
                <w:sz w:val="24"/>
                <w:szCs w:val="24"/>
                <w:lang w:eastAsia="zh-CN"/>
              </w:rPr>
              <w:t>（</w:t>
            </w:r>
            <w:r>
              <w:rPr>
                <w:rFonts w:hAnsiTheme="minorEastAsia" w:eastAsiaTheme="minorEastAsia"/>
                <w:b/>
                <w:color w:val="auto"/>
                <w:sz w:val="24"/>
                <w:szCs w:val="24"/>
              </w:rPr>
              <w:t>编号、名称</w:t>
            </w:r>
            <w:r>
              <w:rPr>
                <w:rFonts w:hint="eastAsia" w:hAnsiTheme="minorEastAsia" w:eastAsiaTheme="minorEastAsia"/>
                <w:b/>
                <w:color w:val="auto"/>
                <w:sz w:val="24"/>
                <w:szCs w:val="24"/>
                <w:lang w:eastAsia="zh-CN"/>
              </w:rPr>
              <w:t>）</w:t>
            </w:r>
            <w:r>
              <w:rPr>
                <w:rFonts w:eastAsiaTheme="minorEastAsia"/>
                <w:b/>
                <w:color w:val="auto"/>
                <w:sz w:val="24"/>
                <w:szCs w:val="24"/>
              </w:rPr>
              <w:t>/</w:t>
            </w:r>
            <w:r>
              <w:rPr>
                <w:rFonts w:hAnsiTheme="minorEastAsia" w:eastAsiaTheme="minorEastAsia"/>
                <w:b/>
                <w:color w:val="auto"/>
                <w:sz w:val="24"/>
                <w:szCs w:val="24"/>
              </w:rPr>
              <w:t>污染源</w:t>
            </w:r>
          </w:p>
        </w:tc>
        <w:tc>
          <w:tcPr>
            <w:tcW w:w="1803" w:type="dxa"/>
            <w:vAlign w:val="center"/>
          </w:tcPr>
          <w:p w14:paraId="52429127">
            <w:pPr>
              <w:adjustRightInd w:val="0"/>
              <w:snapToGrid w:val="0"/>
              <w:jc w:val="center"/>
              <w:rPr>
                <w:rFonts w:eastAsiaTheme="minorEastAsia"/>
                <w:b/>
                <w:color w:val="auto"/>
                <w:sz w:val="24"/>
                <w:szCs w:val="24"/>
              </w:rPr>
            </w:pPr>
            <w:r>
              <w:rPr>
                <w:rFonts w:hAnsiTheme="minorEastAsia" w:eastAsiaTheme="minorEastAsia"/>
                <w:b/>
                <w:color w:val="auto"/>
                <w:sz w:val="24"/>
                <w:szCs w:val="24"/>
              </w:rPr>
              <w:t>污染物项目</w:t>
            </w:r>
          </w:p>
        </w:tc>
        <w:tc>
          <w:tcPr>
            <w:tcW w:w="1449" w:type="dxa"/>
            <w:vAlign w:val="center"/>
          </w:tcPr>
          <w:p w14:paraId="4C348AE1">
            <w:pPr>
              <w:adjustRightInd w:val="0"/>
              <w:snapToGrid w:val="0"/>
              <w:jc w:val="center"/>
              <w:rPr>
                <w:rFonts w:eastAsiaTheme="minorEastAsia"/>
                <w:b/>
                <w:color w:val="auto"/>
                <w:sz w:val="24"/>
                <w:szCs w:val="24"/>
              </w:rPr>
            </w:pPr>
            <w:r>
              <w:rPr>
                <w:rFonts w:hAnsiTheme="minorEastAsia" w:eastAsiaTheme="minorEastAsia"/>
                <w:b/>
                <w:color w:val="auto"/>
                <w:sz w:val="24"/>
                <w:szCs w:val="24"/>
              </w:rPr>
              <w:t>环境保护措施</w:t>
            </w:r>
          </w:p>
        </w:tc>
        <w:tc>
          <w:tcPr>
            <w:tcW w:w="3407" w:type="dxa"/>
            <w:vAlign w:val="center"/>
          </w:tcPr>
          <w:p w14:paraId="227A7B89">
            <w:pPr>
              <w:adjustRightInd w:val="0"/>
              <w:snapToGrid w:val="0"/>
              <w:jc w:val="center"/>
              <w:rPr>
                <w:rFonts w:eastAsiaTheme="minorEastAsia"/>
                <w:b/>
                <w:color w:val="auto"/>
                <w:sz w:val="24"/>
                <w:szCs w:val="24"/>
              </w:rPr>
            </w:pPr>
            <w:r>
              <w:rPr>
                <w:rFonts w:hAnsiTheme="minorEastAsia" w:eastAsiaTheme="minorEastAsia"/>
                <w:b/>
                <w:color w:val="auto"/>
                <w:sz w:val="24"/>
                <w:szCs w:val="24"/>
              </w:rPr>
              <w:t>执行标准</w:t>
            </w:r>
          </w:p>
        </w:tc>
      </w:tr>
      <w:tr w14:paraId="02322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restart"/>
            <w:vAlign w:val="center"/>
          </w:tcPr>
          <w:p w14:paraId="028F9C7D">
            <w:pPr>
              <w:adjustRightInd w:val="0"/>
              <w:snapToGrid w:val="0"/>
              <w:jc w:val="center"/>
              <w:rPr>
                <w:rFonts w:hAnsiTheme="minorEastAsia" w:eastAsiaTheme="minorEastAsia"/>
                <w:b/>
                <w:color w:val="auto"/>
                <w:sz w:val="24"/>
                <w:szCs w:val="24"/>
              </w:rPr>
            </w:pPr>
            <w:r>
              <w:rPr>
                <w:rFonts w:hAnsiTheme="minorEastAsia" w:eastAsiaTheme="minorEastAsia"/>
                <w:b/>
                <w:color w:val="auto"/>
                <w:sz w:val="24"/>
                <w:szCs w:val="24"/>
              </w:rPr>
              <w:t>大气环境</w:t>
            </w:r>
          </w:p>
          <w:p w14:paraId="13FD4065">
            <w:pPr>
              <w:adjustRightInd w:val="0"/>
              <w:snapToGrid w:val="0"/>
              <w:jc w:val="center"/>
              <w:rPr>
                <w:rFonts w:ascii="Times New Roman" w:hAnsi="Times New Roman" w:cs="Times New Roman" w:eastAsiaTheme="minorEastAsia"/>
                <w:b/>
                <w:color w:val="auto"/>
                <w:kern w:val="2"/>
                <w:sz w:val="24"/>
                <w:szCs w:val="24"/>
                <w:lang w:val="en-US" w:eastAsia="zh-CN" w:bidi="ar-SA"/>
              </w:rPr>
            </w:pPr>
          </w:p>
        </w:tc>
        <w:tc>
          <w:tcPr>
            <w:tcW w:w="1146" w:type="dxa"/>
            <w:shd w:val="clear" w:color="auto" w:fill="auto"/>
            <w:vAlign w:val="center"/>
          </w:tcPr>
          <w:p w14:paraId="657C3DD2">
            <w:pPr>
              <w:adjustRightInd w:val="0"/>
              <w:snapToGrid w:val="0"/>
              <w:jc w:val="center"/>
              <w:rPr>
                <w:rFonts w:hint="default" w:ascii="Times New Roman" w:cs="Times New Roman" w:hAnsiTheme="minorEastAsia" w:eastAsiaTheme="minorEastAsia"/>
                <w:color w:val="auto"/>
                <w:kern w:val="2"/>
                <w:sz w:val="21"/>
                <w:szCs w:val="21"/>
                <w:lang w:val="en-US" w:eastAsia="zh-CN" w:bidi="ar-SA"/>
              </w:rPr>
            </w:pPr>
            <w:r>
              <w:rPr>
                <w:rFonts w:hint="eastAsia" w:cs="Times New Roman" w:hAnsiTheme="minorEastAsia" w:eastAsiaTheme="minorEastAsia"/>
                <w:color w:val="auto"/>
                <w:kern w:val="2"/>
                <w:sz w:val="21"/>
                <w:szCs w:val="21"/>
                <w:lang w:val="en-US" w:eastAsia="zh-CN" w:bidi="ar-SA"/>
              </w:rPr>
              <w:t>2#飞灰暂存库</w:t>
            </w:r>
          </w:p>
        </w:tc>
        <w:tc>
          <w:tcPr>
            <w:tcW w:w="1803" w:type="dxa"/>
            <w:shd w:val="clear" w:color="auto" w:fill="auto"/>
            <w:vAlign w:val="center"/>
          </w:tcPr>
          <w:p w14:paraId="0AC56E09">
            <w:pPr>
              <w:adjustRightInd w:val="0"/>
              <w:snapToGrid w:val="0"/>
              <w:jc w:val="center"/>
              <w:rPr>
                <w:rFonts w:hint="default" w:ascii="Times New Roman" w:cs="Times New Roman" w:hAnsiTheme="minorEastAsia" w:eastAsiaTheme="minorEastAsia"/>
                <w:color w:val="auto"/>
                <w:kern w:val="2"/>
                <w:sz w:val="21"/>
                <w:szCs w:val="21"/>
                <w:lang w:val="en-US" w:eastAsia="zh-CN" w:bidi="ar-SA"/>
              </w:rPr>
            </w:pPr>
            <w:r>
              <w:rPr>
                <w:rFonts w:hint="eastAsia" w:eastAsiaTheme="minorEastAsia"/>
                <w:color w:val="auto"/>
                <w:sz w:val="21"/>
                <w:szCs w:val="21"/>
                <w:lang w:val="en-US" w:eastAsia="zh-CN"/>
              </w:rPr>
              <w:t>NH</w:t>
            </w:r>
            <w:r>
              <w:rPr>
                <w:rFonts w:hint="eastAsia" w:eastAsiaTheme="minorEastAsia"/>
                <w:color w:val="auto"/>
                <w:sz w:val="21"/>
                <w:szCs w:val="21"/>
                <w:vertAlign w:val="subscript"/>
                <w:lang w:val="en-US" w:eastAsia="zh-CN"/>
              </w:rPr>
              <w:t>3</w:t>
            </w:r>
            <w:r>
              <w:rPr>
                <w:rFonts w:hint="eastAsia" w:eastAsiaTheme="minorEastAsia"/>
                <w:color w:val="auto"/>
                <w:sz w:val="21"/>
                <w:szCs w:val="21"/>
                <w:vertAlign w:val="baseline"/>
                <w:lang w:val="en-US" w:eastAsia="zh-CN"/>
              </w:rPr>
              <w:t>、臭气浓度</w:t>
            </w:r>
          </w:p>
        </w:tc>
        <w:tc>
          <w:tcPr>
            <w:tcW w:w="1449" w:type="dxa"/>
            <w:shd w:val="clear" w:color="auto" w:fill="auto"/>
            <w:vAlign w:val="center"/>
          </w:tcPr>
          <w:p w14:paraId="7609676D">
            <w:pPr>
              <w:adjustRightInd w:val="0"/>
              <w:snapToGrid w:val="0"/>
              <w:jc w:val="center"/>
              <w:rPr>
                <w:rFonts w:hint="eastAsia" w:ascii="Times New Roman" w:cs="Times New Roman" w:hAnsiTheme="minorEastAsia" w:eastAsiaTheme="minorEastAsia"/>
                <w:color w:val="auto"/>
                <w:kern w:val="2"/>
                <w:sz w:val="21"/>
                <w:szCs w:val="21"/>
                <w:lang w:val="en-US" w:eastAsia="zh-CN" w:bidi="ar-SA"/>
              </w:rPr>
            </w:pPr>
            <w:r>
              <w:rPr>
                <w:rFonts w:hint="eastAsia" w:hAnsiTheme="minorEastAsia" w:eastAsiaTheme="minorEastAsia"/>
                <w:color w:val="auto"/>
                <w:sz w:val="21"/>
                <w:szCs w:val="21"/>
                <w:lang w:val="en-US" w:eastAsia="zh-CN"/>
              </w:rPr>
              <w:t>仓库密闭</w:t>
            </w:r>
          </w:p>
        </w:tc>
        <w:tc>
          <w:tcPr>
            <w:tcW w:w="3407" w:type="dxa"/>
            <w:shd w:val="clear" w:color="auto" w:fill="auto"/>
            <w:vAlign w:val="center"/>
          </w:tcPr>
          <w:p w14:paraId="2DF9BFF5">
            <w:pPr>
              <w:adjustRightInd w:val="0"/>
              <w:snapToGrid w:val="0"/>
              <w:jc w:val="center"/>
              <w:rPr>
                <w:rFonts w:hint="eastAsia" w:ascii="Times New Roman" w:cs="Times New Roman" w:hAnsiTheme="minorEastAsia" w:eastAsiaTheme="minorEastAsia"/>
                <w:color w:val="auto"/>
                <w:kern w:val="2"/>
                <w:sz w:val="21"/>
                <w:szCs w:val="21"/>
                <w:lang w:val="en-US" w:eastAsia="zh-CN" w:bidi="ar-SA"/>
              </w:rPr>
            </w:pPr>
            <w:r>
              <w:rPr>
                <w:rFonts w:hint="eastAsia" w:hAnsiTheme="minorEastAsia" w:eastAsiaTheme="minorEastAsia"/>
                <w:color w:val="auto"/>
                <w:sz w:val="21"/>
                <w:szCs w:val="21"/>
                <w:lang w:val="en-US" w:eastAsia="zh-CN"/>
              </w:rPr>
              <w:t>NH</w:t>
            </w:r>
            <w:r>
              <w:rPr>
                <w:rFonts w:hint="eastAsia" w:hAnsiTheme="minorEastAsia" w:eastAsiaTheme="minorEastAsia"/>
                <w:color w:val="auto"/>
                <w:sz w:val="21"/>
                <w:szCs w:val="21"/>
                <w:vertAlign w:val="subscript"/>
                <w:lang w:val="en-US" w:eastAsia="zh-CN"/>
              </w:rPr>
              <w:t>3</w:t>
            </w:r>
            <w:r>
              <w:rPr>
                <w:rFonts w:hint="eastAsia" w:hAnsiTheme="minorEastAsia" w:eastAsiaTheme="minorEastAsia"/>
                <w:color w:val="auto"/>
                <w:sz w:val="21"/>
                <w:szCs w:val="21"/>
                <w:vertAlign w:val="baseline"/>
                <w:lang w:val="en-US" w:eastAsia="zh-CN"/>
              </w:rPr>
              <w:t>、臭气浓度</w:t>
            </w:r>
            <w:r>
              <w:rPr>
                <w:rFonts w:hint="eastAsia" w:hAnsiTheme="minorEastAsia" w:eastAsiaTheme="minorEastAsia"/>
                <w:color w:val="auto"/>
                <w:sz w:val="21"/>
                <w:szCs w:val="21"/>
                <w:lang w:val="en-US" w:eastAsia="zh-CN"/>
              </w:rPr>
              <w:t>执行《恶臭污染物排放标准》（GB14554-93）二级标准</w:t>
            </w:r>
          </w:p>
        </w:tc>
      </w:tr>
      <w:tr w14:paraId="47126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continue"/>
            <w:shd w:val="clear" w:color="auto" w:fill="auto"/>
            <w:vAlign w:val="center"/>
          </w:tcPr>
          <w:p w14:paraId="504EBF9D">
            <w:pPr>
              <w:adjustRightInd w:val="0"/>
              <w:snapToGrid w:val="0"/>
              <w:jc w:val="center"/>
              <w:rPr>
                <w:rFonts w:ascii="Times New Roman" w:hAnsi="Times New Roman" w:cs="Times New Roman" w:eastAsiaTheme="minorEastAsia"/>
                <w:b/>
                <w:color w:val="auto"/>
                <w:kern w:val="2"/>
                <w:sz w:val="24"/>
                <w:szCs w:val="24"/>
                <w:lang w:val="en-US" w:eastAsia="zh-CN" w:bidi="ar-SA"/>
              </w:rPr>
            </w:pPr>
          </w:p>
        </w:tc>
        <w:tc>
          <w:tcPr>
            <w:tcW w:w="1146" w:type="dxa"/>
            <w:shd w:val="clear" w:color="auto" w:fill="auto"/>
            <w:vAlign w:val="center"/>
          </w:tcPr>
          <w:p w14:paraId="0E167A96">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hAnsiTheme="minorEastAsia" w:eastAsiaTheme="minorEastAsia"/>
                <w:color w:val="auto"/>
                <w:kern w:val="2"/>
                <w:sz w:val="21"/>
                <w:szCs w:val="21"/>
                <w:lang w:val="en-US" w:eastAsia="zh-CN" w:bidi="ar-SA"/>
              </w:rPr>
              <w:t>DA003</w:t>
            </w:r>
          </w:p>
        </w:tc>
        <w:tc>
          <w:tcPr>
            <w:tcW w:w="1803" w:type="dxa"/>
            <w:shd w:val="clear" w:color="auto" w:fill="auto"/>
            <w:vAlign w:val="center"/>
          </w:tcPr>
          <w:p w14:paraId="6912E5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Theme="minorEastAsia"/>
                <w:color w:val="auto"/>
                <w:sz w:val="21"/>
                <w:szCs w:val="21"/>
                <w:lang w:val="en-US" w:eastAsia="zh-CN"/>
              </w:rPr>
              <w:t>NH</w:t>
            </w:r>
            <w:r>
              <w:rPr>
                <w:rFonts w:hint="eastAsia" w:eastAsiaTheme="minorEastAsia"/>
                <w:color w:val="auto"/>
                <w:sz w:val="21"/>
                <w:szCs w:val="21"/>
                <w:vertAlign w:val="subscript"/>
                <w:lang w:val="en-US" w:eastAsia="zh-CN"/>
              </w:rPr>
              <w:t>3</w:t>
            </w:r>
            <w:r>
              <w:rPr>
                <w:rFonts w:hint="eastAsia" w:eastAsiaTheme="minorEastAsia"/>
                <w:color w:val="auto"/>
                <w:sz w:val="21"/>
                <w:szCs w:val="21"/>
                <w:vertAlign w:val="baseline"/>
                <w:lang w:val="en-US" w:eastAsia="zh-CN"/>
              </w:rPr>
              <w:t>、臭气浓度</w:t>
            </w:r>
          </w:p>
        </w:tc>
        <w:tc>
          <w:tcPr>
            <w:tcW w:w="1449" w:type="dxa"/>
            <w:shd w:val="clear" w:color="auto" w:fill="auto"/>
            <w:vAlign w:val="center"/>
          </w:tcPr>
          <w:p w14:paraId="179462AC">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hAnsiTheme="minorEastAsia" w:eastAsiaTheme="minorEastAsia"/>
                <w:color w:val="auto"/>
                <w:sz w:val="21"/>
                <w:szCs w:val="21"/>
                <w:lang w:val="en-US" w:eastAsia="zh-CN"/>
              </w:rPr>
              <w:t>密闭微负压收集+除氨系统水喷淋处理</w:t>
            </w:r>
          </w:p>
        </w:tc>
        <w:tc>
          <w:tcPr>
            <w:tcW w:w="3407" w:type="dxa"/>
            <w:shd w:val="clear" w:color="auto" w:fill="auto"/>
            <w:vAlign w:val="center"/>
          </w:tcPr>
          <w:p w14:paraId="097E81DA">
            <w:pPr>
              <w:adjustRightInd w:val="0"/>
              <w:snapToGrid w:val="0"/>
              <w:jc w:val="center"/>
              <w:rPr>
                <w:rFonts w:hint="eastAsia" w:ascii="Times New Roman" w:eastAsia="宋体" w:cs="Times New Roman" w:hAnsiTheme="minorEastAsia"/>
                <w:color w:val="auto"/>
                <w:kern w:val="2"/>
                <w:sz w:val="21"/>
                <w:szCs w:val="21"/>
                <w:lang w:val="en-US" w:eastAsia="zh-CN" w:bidi="ar-SA"/>
              </w:rPr>
            </w:pPr>
            <w:r>
              <w:rPr>
                <w:rFonts w:hint="eastAsia" w:hAnsiTheme="minorEastAsia" w:eastAsiaTheme="minorEastAsia"/>
                <w:color w:val="auto"/>
                <w:sz w:val="21"/>
                <w:szCs w:val="21"/>
                <w:lang w:val="en-US" w:eastAsia="zh-CN"/>
              </w:rPr>
              <w:t>《恶臭污染物排放标准》（GB14554-93）表3标准</w:t>
            </w:r>
          </w:p>
        </w:tc>
      </w:tr>
      <w:tr w14:paraId="01A94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244B0913">
            <w:pPr>
              <w:adjustRightInd w:val="0"/>
              <w:snapToGrid w:val="0"/>
              <w:jc w:val="center"/>
              <w:rPr>
                <w:rFonts w:eastAsiaTheme="minorEastAsia"/>
                <w:b/>
                <w:color w:val="auto"/>
                <w:sz w:val="24"/>
                <w:szCs w:val="24"/>
              </w:rPr>
            </w:pPr>
            <w:r>
              <w:rPr>
                <w:rFonts w:hAnsiTheme="minorEastAsia" w:eastAsiaTheme="minorEastAsia"/>
                <w:b/>
                <w:color w:val="auto"/>
                <w:sz w:val="24"/>
                <w:szCs w:val="24"/>
              </w:rPr>
              <w:t>地表水环境</w:t>
            </w:r>
          </w:p>
        </w:tc>
        <w:tc>
          <w:tcPr>
            <w:tcW w:w="1146" w:type="dxa"/>
            <w:vAlign w:val="center"/>
          </w:tcPr>
          <w:p w14:paraId="316455A0">
            <w:pPr>
              <w:adjustRightInd w:val="0"/>
              <w:snapToGrid w:val="0"/>
              <w:jc w:val="center"/>
              <w:rPr>
                <w:rFonts w:hint="eastAsia" w:eastAsiaTheme="minorEastAsia"/>
                <w:color w:val="auto"/>
                <w:sz w:val="24"/>
                <w:szCs w:val="24"/>
                <w:lang w:val="en-US" w:eastAsia="zh-CN"/>
              </w:rPr>
            </w:pPr>
            <w:r>
              <w:rPr>
                <w:rFonts w:hint="eastAsia" w:eastAsiaTheme="minorEastAsia"/>
                <w:color w:val="auto"/>
                <w:sz w:val="24"/>
                <w:szCs w:val="24"/>
                <w:lang w:val="en-US" w:eastAsia="zh-CN"/>
              </w:rPr>
              <w:t>/</w:t>
            </w:r>
          </w:p>
        </w:tc>
        <w:tc>
          <w:tcPr>
            <w:tcW w:w="1803" w:type="dxa"/>
            <w:vAlign w:val="center"/>
          </w:tcPr>
          <w:p w14:paraId="1E1B9620">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1449" w:type="dxa"/>
            <w:vAlign w:val="center"/>
          </w:tcPr>
          <w:p w14:paraId="4CD09966">
            <w:pPr>
              <w:adjustRightInd w:val="0"/>
              <w:snapToGrid w:val="0"/>
              <w:jc w:val="center"/>
              <w:rPr>
                <w:rFonts w:hint="eastAsia" w:eastAsiaTheme="minorEastAsia"/>
                <w:color w:val="auto"/>
                <w:sz w:val="24"/>
                <w:szCs w:val="24"/>
                <w:lang w:val="en-US" w:eastAsia="zh-CN"/>
              </w:rPr>
            </w:pPr>
            <w:r>
              <w:rPr>
                <w:rFonts w:hint="eastAsia" w:eastAsiaTheme="minorEastAsia"/>
                <w:color w:val="auto"/>
                <w:sz w:val="24"/>
                <w:szCs w:val="24"/>
                <w:lang w:val="en-US" w:eastAsia="zh-CN"/>
              </w:rPr>
              <w:t>/</w:t>
            </w:r>
          </w:p>
        </w:tc>
        <w:tc>
          <w:tcPr>
            <w:tcW w:w="3407" w:type="dxa"/>
            <w:vAlign w:val="center"/>
          </w:tcPr>
          <w:p w14:paraId="037E15B1">
            <w:pPr>
              <w:adjustRightInd w:val="0"/>
              <w:snapToGrid w:val="0"/>
              <w:jc w:val="center"/>
              <w:rPr>
                <w:rFonts w:hint="default" w:eastAsia="宋体" w:hAnsiTheme="minorEastAsia"/>
                <w:color w:val="auto"/>
                <w:sz w:val="24"/>
                <w:szCs w:val="24"/>
                <w:lang w:val="en-US" w:eastAsia="zh-CN"/>
              </w:rPr>
            </w:pPr>
            <w:r>
              <w:rPr>
                <w:rFonts w:hint="eastAsia" w:hAnsiTheme="minorEastAsia"/>
                <w:color w:val="auto"/>
                <w:sz w:val="24"/>
                <w:szCs w:val="24"/>
                <w:lang w:val="en-US" w:eastAsia="zh-CN"/>
              </w:rPr>
              <w:t>/</w:t>
            </w:r>
          </w:p>
        </w:tc>
      </w:tr>
      <w:tr w14:paraId="3DBEC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30427B2F">
            <w:pPr>
              <w:adjustRightInd w:val="0"/>
              <w:snapToGrid w:val="0"/>
              <w:jc w:val="center"/>
              <w:rPr>
                <w:rFonts w:eastAsiaTheme="minorEastAsia"/>
                <w:b/>
                <w:color w:val="auto"/>
                <w:sz w:val="24"/>
                <w:szCs w:val="24"/>
              </w:rPr>
            </w:pPr>
            <w:r>
              <w:rPr>
                <w:rFonts w:hAnsiTheme="minorEastAsia" w:eastAsiaTheme="minorEastAsia"/>
                <w:b/>
                <w:color w:val="auto"/>
                <w:sz w:val="24"/>
                <w:szCs w:val="24"/>
              </w:rPr>
              <w:t>声环境</w:t>
            </w:r>
          </w:p>
        </w:tc>
        <w:tc>
          <w:tcPr>
            <w:tcW w:w="1146" w:type="dxa"/>
            <w:vAlign w:val="center"/>
          </w:tcPr>
          <w:p w14:paraId="3DC3483A">
            <w:pPr>
              <w:adjustRightInd w:val="0"/>
              <w:snapToGrid w:val="0"/>
              <w:jc w:val="center"/>
              <w:rPr>
                <w:rFonts w:hAnsiTheme="minorEastAsia" w:eastAsiaTheme="minorEastAsia"/>
                <w:color w:val="auto"/>
                <w:sz w:val="24"/>
                <w:szCs w:val="24"/>
              </w:rPr>
            </w:pPr>
            <w:r>
              <w:rPr>
                <w:rFonts w:hint="eastAsia" w:eastAsiaTheme="minorEastAsia"/>
                <w:color w:val="auto"/>
                <w:sz w:val="24"/>
                <w:szCs w:val="24"/>
                <w:lang w:val="en-US" w:eastAsia="zh-CN"/>
              </w:rPr>
              <w:t>/</w:t>
            </w:r>
          </w:p>
        </w:tc>
        <w:tc>
          <w:tcPr>
            <w:tcW w:w="1803" w:type="dxa"/>
            <w:vAlign w:val="center"/>
          </w:tcPr>
          <w:p w14:paraId="6EF3D6FD">
            <w:pPr>
              <w:adjustRightInd w:val="0"/>
              <w:snapToGrid w:val="0"/>
              <w:jc w:val="center"/>
              <w:rPr>
                <w:rFonts w:eastAsiaTheme="minorEastAsia"/>
                <w:color w:val="auto"/>
                <w:sz w:val="24"/>
                <w:szCs w:val="24"/>
              </w:rPr>
            </w:pPr>
            <w:r>
              <w:rPr>
                <w:rFonts w:hint="eastAsia"/>
                <w:color w:val="auto"/>
                <w:sz w:val="24"/>
                <w:szCs w:val="24"/>
                <w:lang w:val="en-US" w:eastAsia="zh-CN"/>
              </w:rPr>
              <w:t>/</w:t>
            </w:r>
          </w:p>
        </w:tc>
        <w:tc>
          <w:tcPr>
            <w:tcW w:w="1449" w:type="dxa"/>
            <w:vAlign w:val="center"/>
          </w:tcPr>
          <w:p w14:paraId="2E5138FE">
            <w:pPr>
              <w:adjustRightInd w:val="0"/>
              <w:snapToGrid w:val="0"/>
              <w:jc w:val="center"/>
              <w:rPr>
                <w:rFonts w:eastAsiaTheme="minorEastAsia"/>
                <w:color w:val="auto"/>
                <w:sz w:val="24"/>
                <w:szCs w:val="24"/>
              </w:rPr>
            </w:pPr>
            <w:r>
              <w:rPr>
                <w:rFonts w:hint="eastAsia" w:eastAsiaTheme="minorEastAsia"/>
                <w:color w:val="auto"/>
                <w:sz w:val="24"/>
                <w:szCs w:val="24"/>
                <w:lang w:val="en-US" w:eastAsia="zh-CN"/>
              </w:rPr>
              <w:t>/</w:t>
            </w:r>
          </w:p>
        </w:tc>
        <w:tc>
          <w:tcPr>
            <w:tcW w:w="3407" w:type="dxa"/>
            <w:vAlign w:val="center"/>
          </w:tcPr>
          <w:p w14:paraId="6005B937">
            <w:pPr>
              <w:adjustRightInd w:val="0"/>
              <w:snapToGrid w:val="0"/>
              <w:jc w:val="center"/>
              <w:rPr>
                <w:rFonts w:eastAsiaTheme="minorEastAsia"/>
                <w:color w:val="auto"/>
                <w:sz w:val="24"/>
                <w:szCs w:val="24"/>
              </w:rPr>
            </w:pPr>
            <w:r>
              <w:rPr>
                <w:rFonts w:hint="eastAsia" w:hAnsiTheme="minorEastAsia"/>
                <w:color w:val="auto"/>
                <w:sz w:val="24"/>
                <w:szCs w:val="24"/>
                <w:lang w:val="en-US" w:eastAsia="zh-CN"/>
              </w:rPr>
              <w:t>/</w:t>
            </w:r>
          </w:p>
        </w:tc>
      </w:tr>
      <w:tr w14:paraId="1BFA3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6BDD2D00">
            <w:pPr>
              <w:adjustRightInd w:val="0"/>
              <w:snapToGrid w:val="0"/>
              <w:jc w:val="center"/>
              <w:rPr>
                <w:rFonts w:eastAsiaTheme="minorEastAsia"/>
                <w:b/>
                <w:color w:val="auto"/>
                <w:sz w:val="24"/>
                <w:szCs w:val="24"/>
              </w:rPr>
            </w:pPr>
            <w:r>
              <w:rPr>
                <w:rFonts w:hAnsiTheme="minorEastAsia" w:eastAsiaTheme="minorEastAsia"/>
                <w:b/>
                <w:color w:val="auto"/>
                <w:sz w:val="24"/>
                <w:szCs w:val="24"/>
              </w:rPr>
              <w:t>电磁辐射</w:t>
            </w:r>
          </w:p>
        </w:tc>
        <w:tc>
          <w:tcPr>
            <w:tcW w:w="1146" w:type="dxa"/>
            <w:vAlign w:val="center"/>
          </w:tcPr>
          <w:p w14:paraId="0A5943B9">
            <w:pPr>
              <w:adjustRightInd w:val="0"/>
              <w:snapToGrid w:val="0"/>
              <w:jc w:val="center"/>
              <w:rPr>
                <w:rFonts w:eastAsiaTheme="minorEastAsia"/>
                <w:color w:val="auto"/>
                <w:sz w:val="24"/>
                <w:szCs w:val="24"/>
              </w:rPr>
            </w:pPr>
            <w:r>
              <w:rPr>
                <w:rFonts w:eastAsiaTheme="minorEastAsia"/>
                <w:color w:val="auto"/>
                <w:sz w:val="24"/>
                <w:szCs w:val="24"/>
              </w:rPr>
              <w:t>/</w:t>
            </w:r>
          </w:p>
        </w:tc>
        <w:tc>
          <w:tcPr>
            <w:tcW w:w="1803" w:type="dxa"/>
            <w:vAlign w:val="center"/>
          </w:tcPr>
          <w:p w14:paraId="5B1F63CC">
            <w:pPr>
              <w:adjustRightInd w:val="0"/>
              <w:snapToGrid w:val="0"/>
              <w:jc w:val="center"/>
              <w:rPr>
                <w:rFonts w:eastAsiaTheme="minorEastAsia"/>
                <w:color w:val="auto"/>
                <w:sz w:val="24"/>
                <w:szCs w:val="24"/>
              </w:rPr>
            </w:pPr>
            <w:r>
              <w:rPr>
                <w:rFonts w:eastAsiaTheme="minorEastAsia"/>
                <w:color w:val="auto"/>
                <w:sz w:val="24"/>
                <w:szCs w:val="24"/>
              </w:rPr>
              <w:t>/</w:t>
            </w:r>
          </w:p>
        </w:tc>
        <w:tc>
          <w:tcPr>
            <w:tcW w:w="1449" w:type="dxa"/>
            <w:vAlign w:val="center"/>
          </w:tcPr>
          <w:p w14:paraId="324087F1">
            <w:pPr>
              <w:adjustRightInd w:val="0"/>
              <w:snapToGrid w:val="0"/>
              <w:jc w:val="center"/>
              <w:rPr>
                <w:rFonts w:eastAsiaTheme="minorEastAsia"/>
                <w:color w:val="auto"/>
                <w:sz w:val="24"/>
                <w:szCs w:val="24"/>
              </w:rPr>
            </w:pPr>
            <w:r>
              <w:rPr>
                <w:rFonts w:eastAsiaTheme="minorEastAsia"/>
                <w:color w:val="auto"/>
                <w:sz w:val="24"/>
                <w:szCs w:val="24"/>
              </w:rPr>
              <w:t>/</w:t>
            </w:r>
          </w:p>
        </w:tc>
        <w:tc>
          <w:tcPr>
            <w:tcW w:w="3407" w:type="dxa"/>
            <w:vAlign w:val="center"/>
          </w:tcPr>
          <w:p w14:paraId="70F9C071">
            <w:pPr>
              <w:adjustRightInd w:val="0"/>
              <w:snapToGrid w:val="0"/>
              <w:jc w:val="center"/>
              <w:rPr>
                <w:rFonts w:eastAsiaTheme="minorEastAsia"/>
                <w:color w:val="auto"/>
                <w:sz w:val="24"/>
                <w:szCs w:val="24"/>
              </w:rPr>
            </w:pPr>
            <w:r>
              <w:rPr>
                <w:rFonts w:eastAsiaTheme="minorEastAsia"/>
                <w:color w:val="auto"/>
                <w:sz w:val="24"/>
                <w:szCs w:val="24"/>
              </w:rPr>
              <w:t>/</w:t>
            </w:r>
          </w:p>
        </w:tc>
      </w:tr>
      <w:tr w14:paraId="55BD3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8" w:hRule="atLeast"/>
          <w:jc w:val="center"/>
        </w:trPr>
        <w:tc>
          <w:tcPr>
            <w:tcW w:w="1041" w:type="dxa"/>
            <w:vAlign w:val="center"/>
          </w:tcPr>
          <w:p w14:paraId="02A5A803">
            <w:pPr>
              <w:adjustRightInd w:val="0"/>
              <w:snapToGrid w:val="0"/>
              <w:jc w:val="center"/>
              <w:rPr>
                <w:rFonts w:eastAsiaTheme="minorEastAsia"/>
                <w:b/>
                <w:color w:val="auto"/>
                <w:sz w:val="24"/>
                <w:szCs w:val="24"/>
              </w:rPr>
            </w:pPr>
            <w:r>
              <w:rPr>
                <w:rFonts w:hAnsiTheme="minorEastAsia" w:eastAsiaTheme="minorEastAsia"/>
                <w:b/>
                <w:color w:val="auto"/>
                <w:sz w:val="24"/>
                <w:szCs w:val="24"/>
              </w:rPr>
              <w:t>固体废物</w:t>
            </w:r>
          </w:p>
        </w:tc>
        <w:tc>
          <w:tcPr>
            <w:tcW w:w="7805" w:type="dxa"/>
            <w:gridSpan w:val="4"/>
            <w:vAlign w:val="center"/>
          </w:tcPr>
          <w:p w14:paraId="3C929A8E">
            <w:pPr>
              <w:adjustRightInd w:val="0"/>
              <w:snapToGrid w:val="0"/>
              <w:jc w:val="center"/>
              <w:rPr>
                <w:rFonts w:eastAsiaTheme="minorEastAsia"/>
                <w:color w:val="auto"/>
                <w:sz w:val="24"/>
                <w:szCs w:val="24"/>
              </w:rPr>
            </w:pPr>
            <w:r>
              <w:rPr>
                <w:rFonts w:hint="eastAsia" w:eastAsiaTheme="minorEastAsia"/>
                <w:color w:val="auto"/>
                <w:sz w:val="24"/>
                <w:szCs w:val="24"/>
              </w:rPr>
              <w:t>本项目为飞灰稳定化物暂存仓库，本身不产生固体废物</w:t>
            </w:r>
          </w:p>
        </w:tc>
      </w:tr>
      <w:tr w14:paraId="5F639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6" w:hRule="atLeast"/>
          <w:jc w:val="center"/>
        </w:trPr>
        <w:tc>
          <w:tcPr>
            <w:tcW w:w="1041" w:type="dxa"/>
            <w:vAlign w:val="center"/>
          </w:tcPr>
          <w:p w14:paraId="1BBD8AAD">
            <w:pPr>
              <w:adjustRightInd w:val="0"/>
              <w:snapToGrid w:val="0"/>
              <w:jc w:val="center"/>
              <w:rPr>
                <w:rFonts w:eastAsiaTheme="minorEastAsia"/>
                <w:b/>
                <w:color w:val="auto"/>
                <w:sz w:val="24"/>
                <w:szCs w:val="24"/>
              </w:rPr>
            </w:pPr>
            <w:r>
              <w:rPr>
                <w:rFonts w:hAnsiTheme="minorEastAsia" w:eastAsiaTheme="minorEastAsia"/>
                <w:b/>
                <w:color w:val="auto"/>
                <w:sz w:val="24"/>
                <w:szCs w:val="24"/>
              </w:rPr>
              <w:t>土壤及地下水污染防治措施</w:t>
            </w:r>
          </w:p>
        </w:tc>
        <w:tc>
          <w:tcPr>
            <w:tcW w:w="7805" w:type="dxa"/>
            <w:gridSpan w:val="4"/>
            <w:vAlign w:val="center"/>
          </w:tcPr>
          <w:p w14:paraId="46847616">
            <w:pPr>
              <w:numPr>
                <w:ilvl w:val="0"/>
                <w:numId w:val="7"/>
              </w:numPr>
              <w:adjustRightInd w:val="0"/>
              <w:snapToGrid w:val="0"/>
              <w:jc w:val="left"/>
              <w:rPr>
                <w:rFonts w:hint="eastAsia"/>
                <w:color w:val="auto"/>
                <w:sz w:val="24"/>
                <w:szCs w:val="24"/>
                <w:lang w:eastAsia="zh-CN"/>
              </w:rPr>
            </w:pPr>
            <w:r>
              <w:rPr>
                <w:rFonts w:hint="eastAsia"/>
                <w:color w:val="auto"/>
                <w:sz w:val="24"/>
                <w:szCs w:val="24"/>
                <w:lang w:eastAsia="zh-CN"/>
              </w:rPr>
              <w:t>加强暂存仓库设施的巡视和监控；</w:t>
            </w:r>
          </w:p>
          <w:p w14:paraId="6C9A3D2D">
            <w:pPr>
              <w:numPr>
                <w:ilvl w:val="0"/>
                <w:numId w:val="7"/>
              </w:numPr>
              <w:adjustRightInd w:val="0"/>
              <w:snapToGrid w:val="0"/>
              <w:jc w:val="left"/>
              <w:rPr>
                <w:rFonts w:eastAsiaTheme="minorEastAsia"/>
                <w:color w:val="auto"/>
                <w:sz w:val="24"/>
                <w:szCs w:val="24"/>
              </w:rPr>
            </w:pPr>
            <w:r>
              <w:rPr>
                <w:rFonts w:hint="eastAsia"/>
                <w:color w:val="auto"/>
                <w:sz w:val="24"/>
                <w:szCs w:val="24"/>
                <w:lang w:eastAsia="zh-CN"/>
              </w:rPr>
              <w:t>做好飞灰暂存仓库防渗措施，铺设HDPE膜；</w:t>
            </w:r>
          </w:p>
          <w:p w14:paraId="0AA8F289">
            <w:pPr>
              <w:numPr>
                <w:ilvl w:val="0"/>
                <w:numId w:val="0"/>
              </w:numPr>
              <w:adjustRightInd w:val="0"/>
              <w:snapToGrid w:val="0"/>
              <w:jc w:val="left"/>
              <w:rPr>
                <w:rFonts w:eastAsiaTheme="minorEastAsia"/>
                <w:color w:val="auto"/>
                <w:sz w:val="24"/>
                <w:szCs w:val="24"/>
              </w:rPr>
            </w:pPr>
            <w:r>
              <w:rPr>
                <w:rFonts w:hint="eastAsia"/>
                <w:color w:val="auto"/>
                <w:sz w:val="24"/>
                <w:szCs w:val="24"/>
                <w:lang w:eastAsia="zh-CN"/>
              </w:rPr>
              <w:t>3.设置导流沟和集水池。</w:t>
            </w:r>
          </w:p>
        </w:tc>
      </w:tr>
      <w:tr w14:paraId="69912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11D65B25">
            <w:pPr>
              <w:adjustRightInd w:val="0"/>
              <w:snapToGrid w:val="0"/>
              <w:jc w:val="center"/>
              <w:rPr>
                <w:rFonts w:eastAsiaTheme="minorEastAsia"/>
                <w:b/>
                <w:color w:val="auto"/>
                <w:sz w:val="24"/>
                <w:szCs w:val="24"/>
              </w:rPr>
            </w:pPr>
            <w:r>
              <w:rPr>
                <w:rFonts w:hAnsiTheme="minorEastAsia" w:eastAsiaTheme="minorEastAsia"/>
                <w:b/>
                <w:color w:val="auto"/>
                <w:sz w:val="24"/>
                <w:szCs w:val="24"/>
              </w:rPr>
              <w:t>生态保护措施</w:t>
            </w:r>
          </w:p>
        </w:tc>
        <w:tc>
          <w:tcPr>
            <w:tcW w:w="7805" w:type="dxa"/>
            <w:gridSpan w:val="4"/>
            <w:vAlign w:val="center"/>
          </w:tcPr>
          <w:p w14:paraId="04F4E235">
            <w:pPr>
              <w:adjustRightInd w:val="0"/>
              <w:snapToGrid w:val="0"/>
              <w:ind w:firstLine="480" w:firstLineChars="200"/>
              <w:rPr>
                <w:rFonts w:eastAsiaTheme="minorEastAsia"/>
                <w:color w:val="auto"/>
                <w:sz w:val="24"/>
                <w:szCs w:val="24"/>
              </w:rPr>
            </w:pPr>
            <w:r>
              <w:rPr>
                <w:rFonts w:hint="eastAsia" w:hAnsiTheme="minorEastAsia" w:eastAsiaTheme="minorEastAsia"/>
                <w:color w:val="auto"/>
                <w:sz w:val="24"/>
                <w:szCs w:val="24"/>
                <w:lang w:val="en-US" w:eastAsia="zh-CN"/>
              </w:rPr>
              <w:t>/</w:t>
            </w:r>
          </w:p>
        </w:tc>
      </w:tr>
      <w:tr w14:paraId="112E0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02272BA7">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环境风险</w:t>
            </w:r>
          </w:p>
          <w:p w14:paraId="66A890F5">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防范措施</w:t>
            </w:r>
          </w:p>
        </w:tc>
        <w:tc>
          <w:tcPr>
            <w:tcW w:w="7805" w:type="dxa"/>
            <w:gridSpan w:val="4"/>
            <w:vAlign w:val="center"/>
          </w:tcPr>
          <w:p w14:paraId="10E7E5C2">
            <w:pPr>
              <w:widowControl/>
              <w:numPr>
                <w:ilvl w:val="0"/>
                <w:numId w:val="8"/>
              </w:numPr>
              <w:autoSpaceDE w:val="0"/>
              <w:autoSpaceDN w:val="0"/>
              <w:adjustRightInd w:val="0"/>
              <w:snapToGrid w:val="0"/>
              <w:ind w:firstLine="480" w:firstLineChars="200"/>
              <w:jc w:val="left"/>
              <w:rPr>
                <w:rFonts w:hint="eastAsia" w:eastAsiaTheme="minorEastAsia"/>
                <w:color w:val="auto"/>
                <w:sz w:val="24"/>
                <w:szCs w:val="24"/>
                <w:lang w:eastAsia="zh-CN"/>
              </w:rPr>
            </w:pPr>
            <w:r>
              <w:rPr>
                <w:rFonts w:hint="eastAsia" w:eastAsiaTheme="minorEastAsia"/>
                <w:color w:val="auto"/>
                <w:sz w:val="24"/>
                <w:szCs w:val="24"/>
              </w:rPr>
              <w:t>加强飞灰运输过程中的全过程管理</w:t>
            </w:r>
            <w:r>
              <w:rPr>
                <w:rFonts w:hint="eastAsia" w:eastAsiaTheme="minorEastAsia"/>
                <w:color w:val="auto"/>
                <w:sz w:val="24"/>
                <w:szCs w:val="24"/>
                <w:lang w:eastAsia="zh-CN"/>
              </w:rPr>
              <w:t>；</w:t>
            </w:r>
          </w:p>
          <w:p w14:paraId="589195A7">
            <w:pPr>
              <w:widowControl/>
              <w:numPr>
                <w:ilvl w:val="0"/>
                <w:numId w:val="8"/>
              </w:numPr>
              <w:autoSpaceDE w:val="0"/>
              <w:autoSpaceDN w:val="0"/>
              <w:adjustRightInd w:val="0"/>
              <w:snapToGrid w:val="0"/>
              <w:ind w:firstLine="480" w:firstLineChars="200"/>
              <w:jc w:val="left"/>
              <w:rPr>
                <w:rFonts w:hint="eastAsia" w:eastAsiaTheme="minorEastAsia"/>
                <w:color w:val="auto"/>
                <w:sz w:val="24"/>
                <w:szCs w:val="24"/>
              </w:rPr>
            </w:pPr>
            <w:r>
              <w:rPr>
                <w:rFonts w:hint="eastAsia" w:eastAsiaTheme="minorEastAsia"/>
                <w:color w:val="auto"/>
                <w:sz w:val="24"/>
                <w:szCs w:val="24"/>
              </w:rPr>
              <w:t>做好暂存间防渗措施</w:t>
            </w:r>
            <w:r>
              <w:rPr>
                <w:rFonts w:hint="eastAsia" w:eastAsiaTheme="minorEastAsia"/>
                <w:color w:val="auto"/>
                <w:sz w:val="24"/>
                <w:szCs w:val="24"/>
                <w:lang w:eastAsia="zh-CN"/>
              </w:rPr>
              <w:t>；</w:t>
            </w:r>
          </w:p>
          <w:p w14:paraId="4B2366BB">
            <w:pPr>
              <w:widowControl/>
              <w:autoSpaceDE w:val="0"/>
              <w:autoSpaceDN w:val="0"/>
              <w:adjustRightInd w:val="0"/>
              <w:snapToGrid w:val="0"/>
              <w:ind w:firstLine="480" w:firstLineChars="200"/>
              <w:jc w:val="left"/>
              <w:rPr>
                <w:rFonts w:hint="eastAsia" w:eastAsiaTheme="minorEastAsia"/>
                <w:color w:val="auto"/>
                <w:sz w:val="24"/>
                <w:szCs w:val="24"/>
                <w:lang w:eastAsia="zh-CN"/>
              </w:rPr>
            </w:pPr>
            <w:r>
              <w:rPr>
                <w:rFonts w:hint="eastAsia" w:eastAsiaTheme="minorEastAsia"/>
                <w:color w:val="auto"/>
                <w:sz w:val="24"/>
                <w:szCs w:val="24"/>
                <w:lang w:eastAsia="zh-CN"/>
              </w:rPr>
              <w:t>3.</w:t>
            </w:r>
            <w:r>
              <w:rPr>
                <w:rFonts w:hint="eastAsia" w:eastAsiaTheme="minorEastAsia"/>
                <w:color w:val="auto"/>
                <w:sz w:val="24"/>
                <w:szCs w:val="24"/>
              </w:rPr>
              <w:t>合理堆叠</w:t>
            </w:r>
            <w:r>
              <w:rPr>
                <w:rFonts w:hint="eastAsia" w:eastAsiaTheme="minorEastAsia"/>
                <w:color w:val="auto"/>
                <w:sz w:val="24"/>
                <w:szCs w:val="24"/>
                <w:lang w:eastAsia="zh-CN"/>
              </w:rPr>
              <w:t>；</w:t>
            </w:r>
          </w:p>
          <w:p w14:paraId="2681C644">
            <w:pPr>
              <w:widowControl/>
              <w:autoSpaceDE w:val="0"/>
              <w:autoSpaceDN w:val="0"/>
              <w:adjustRightInd w:val="0"/>
              <w:snapToGrid w:val="0"/>
              <w:ind w:firstLine="480" w:firstLineChars="200"/>
              <w:jc w:val="left"/>
              <w:rPr>
                <w:rFonts w:hint="eastAsia" w:eastAsiaTheme="minorEastAsia"/>
                <w:color w:val="auto"/>
                <w:sz w:val="24"/>
                <w:szCs w:val="24"/>
                <w:lang w:eastAsia="zh-CN"/>
              </w:rPr>
            </w:pPr>
            <w:r>
              <w:rPr>
                <w:rFonts w:hint="eastAsia" w:eastAsiaTheme="minorEastAsia"/>
                <w:color w:val="auto"/>
                <w:sz w:val="24"/>
                <w:szCs w:val="24"/>
                <w:lang w:eastAsia="zh-CN"/>
              </w:rPr>
              <w:t>4.</w:t>
            </w:r>
            <w:r>
              <w:rPr>
                <w:rFonts w:hint="eastAsia" w:eastAsiaTheme="minorEastAsia"/>
                <w:color w:val="auto"/>
                <w:sz w:val="24"/>
                <w:szCs w:val="24"/>
              </w:rPr>
              <w:t>定期检查有无吨袋倒塌</w:t>
            </w:r>
            <w:r>
              <w:rPr>
                <w:rFonts w:hint="eastAsia" w:eastAsiaTheme="minorEastAsia"/>
                <w:color w:val="auto"/>
                <w:sz w:val="24"/>
                <w:szCs w:val="24"/>
                <w:lang w:eastAsia="zh-CN"/>
              </w:rPr>
              <w:t>；</w:t>
            </w:r>
          </w:p>
          <w:p w14:paraId="671B3689">
            <w:pPr>
              <w:widowControl/>
              <w:autoSpaceDE w:val="0"/>
              <w:autoSpaceDN w:val="0"/>
              <w:adjustRightInd w:val="0"/>
              <w:snapToGrid w:val="0"/>
              <w:ind w:firstLine="480" w:firstLineChars="200"/>
              <w:jc w:val="left"/>
              <w:rPr>
                <w:rFonts w:eastAsiaTheme="minorEastAsia"/>
                <w:color w:val="auto"/>
                <w:sz w:val="24"/>
                <w:szCs w:val="24"/>
              </w:rPr>
            </w:pPr>
            <w:r>
              <w:rPr>
                <w:rFonts w:hint="eastAsia" w:eastAsiaTheme="minorEastAsia"/>
                <w:color w:val="auto"/>
                <w:sz w:val="24"/>
                <w:szCs w:val="24"/>
                <w:lang w:eastAsia="zh-CN"/>
              </w:rPr>
              <w:t>5.</w:t>
            </w:r>
            <w:r>
              <w:rPr>
                <w:rFonts w:hint="eastAsia" w:eastAsiaTheme="minorEastAsia"/>
                <w:color w:val="auto"/>
                <w:sz w:val="24"/>
                <w:szCs w:val="24"/>
              </w:rPr>
              <w:t>设置导流沟和5m</w:t>
            </w:r>
            <w:r>
              <w:rPr>
                <w:rFonts w:hint="eastAsia" w:eastAsiaTheme="minorEastAsia"/>
                <w:color w:val="auto"/>
                <w:sz w:val="24"/>
                <w:szCs w:val="24"/>
                <w:vertAlign w:val="superscript"/>
                <w:lang w:val="en-US" w:eastAsia="zh-CN"/>
              </w:rPr>
              <w:t>3</w:t>
            </w:r>
            <w:r>
              <w:rPr>
                <w:rFonts w:hint="eastAsia" w:eastAsiaTheme="minorEastAsia"/>
                <w:color w:val="auto"/>
                <w:sz w:val="24"/>
                <w:szCs w:val="24"/>
              </w:rPr>
              <w:t>集水池。</w:t>
            </w:r>
          </w:p>
        </w:tc>
      </w:tr>
      <w:tr w14:paraId="46FFE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66" w:hRule="atLeast"/>
          <w:jc w:val="center"/>
        </w:trPr>
        <w:tc>
          <w:tcPr>
            <w:tcW w:w="1041" w:type="dxa"/>
            <w:vAlign w:val="center"/>
          </w:tcPr>
          <w:p w14:paraId="14DD176E">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其他环境</w:t>
            </w:r>
          </w:p>
          <w:p w14:paraId="2E981AA5">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管理要求</w:t>
            </w:r>
          </w:p>
        </w:tc>
        <w:tc>
          <w:tcPr>
            <w:tcW w:w="7805" w:type="dxa"/>
            <w:gridSpan w:val="4"/>
            <w:vAlign w:val="center"/>
          </w:tcPr>
          <w:p w14:paraId="21E4B106">
            <w:pPr>
              <w:adjustRightInd w:val="0"/>
              <w:snapToGrid w:val="0"/>
              <w:spacing w:line="300" w:lineRule="auto"/>
              <w:ind w:firstLine="480" w:firstLineChars="200"/>
              <w:jc w:val="left"/>
              <w:rPr>
                <w:rFonts w:eastAsiaTheme="minorEastAsia"/>
                <w:color w:val="auto"/>
                <w:sz w:val="24"/>
                <w:szCs w:val="24"/>
              </w:rPr>
            </w:pPr>
            <w:r>
              <w:rPr>
                <w:rFonts w:hAnsiTheme="minorEastAsia" w:eastAsiaTheme="minorEastAsia"/>
                <w:color w:val="auto"/>
                <w:sz w:val="24"/>
                <w:szCs w:val="24"/>
              </w:rPr>
              <w:t>无。</w:t>
            </w:r>
          </w:p>
        </w:tc>
      </w:tr>
    </w:tbl>
    <w:p w14:paraId="2A9E9229">
      <w:pPr>
        <w:widowControl/>
        <w:jc w:val="center"/>
        <w:outlineLvl w:val="0"/>
        <w:rPr>
          <w:snapToGrid w:val="0"/>
          <w:color w:val="auto"/>
          <w:sz w:val="30"/>
          <w:szCs w:val="30"/>
        </w:rPr>
      </w:pPr>
      <w:r>
        <w:rPr>
          <w:b/>
          <w:snapToGrid w:val="0"/>
          <w:color w:val="auto"/>
          <w:sz w:val="30"/>
          <w:szCs w:val="30"/>
        </w:rPr>
        <w:br w:type="page"/>
      </w:r>
      <w:bookmarkStart w:id="63" w:name="_Toc5737"/>
      <w:r>
        <w:rPr>
          <w:rFonts w:hAnsi="宋体"/>
          <w:b/>
          <w:snapToGrid w:val="0"/>
          <w:color w:val="auto"/>
          <w:sz w:val="30"/>
          <w:szCs w:val="30"/>
        </w:rPr>
        <w:t>六、结论</w:t>
      </w:r>
      <w:bookmarkEnd w:id="63"/>
    </w:p>
    <w:tbl>
      <w:tblPr>
        <w:tblStyle w:val="33"/>
        <w:tblW w:w="0" w:type="auto"/>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35920F27">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30C2A18D">
            <w:pPr>
              <w:adjustRightInd w:val="0"/>
              <w:snapToGrid w:val="0"/>
              <w:spacing w:before="120" w:beforeLines="50" w:line="360" w:lineRule="auto"/>
              <w:ind w:firstLine="480" w:firstLineChars="200"/>
              <w:rPr>
                <w:color w:val="auto"/>
                <w:sz w:val="24"/>
              </w:rPr>
            </w:pPr>
            <w:r>
              <w:rPr>
                <w:rFonts w:hAnsi="宋体"/>
                <w:color w:val="auto"/>
                <w:sz w:val="24"/>
              </w:rPr>
              <w:t>通过对</w:t>
            </w:r>
            <w:r>
              <w:rPr>
                <w:rFonts w:hint="eastAsia" w:hAnsi="宋体"/>
                <w:color w:val="auto"/>
                <w:sz w:val="24"/>
                <w:lang w:eastAsia="zh-CN"/>
              </w:rPr>
              <w:t>改建</w:t>
            </w:r>
            <w:r>
              <w:rPr>
                <w:rFonts w:hAnsi="宋体"/>
                <w:color w:val="auto"/>
                <w:sz w:val="24"/>
              </w:rPr>
              <w:t>项目的环境影响评价后认为：本项目建设符合国家产业政策，项目选址</w:t>
            </w:r>
            <w:r>
              <w:rPr>
                <w:rFonts w:ascii="Times New Roman" w:hAnsi="宋体" w:eastAsia="宋体" w:cs="Times New Roman"/>
                <w:color w:val="auto"/>
                <w:sz w:val="24"/>
              </w:rPr>
              <w:t>于</w:t>
            </w:r>
            <w:r>
              <w:rPr>
                <w:rFonts w:hint="eastAsia" w:hAnsi="宋体" w:cs="Times New Roman"/>
                <w:color w:val="auto"/>
                <w:sz w:val="24"/>
                <w:lang w:val="en-US" w:eastAsia="zh-CN"/>
              </w:rPr>
              <w:t>江苏省淮安市涟水县大东镇马棚农场</w:t>
            </w:r>
            <w:r>
              <w:rPr>
                <w:rFonts w:ascii="Times New Roman" w:hAnsi="宋体" w:eastAsia="宋体" w:cs="Times New Roman"/>
                <w:color w:val="auto"/>
                <w:sz w:val="24"/>
              </w:rPr>
              <w:t>，符</w:t>
            </w:r>
            <w:r>
              <w:rPr>
                <w:rFonts w:hAnsi="宋体"/>
                <w:color w:val="auto"/>
                <w:sz w:val="24"/>
              </w:rPr>
              <w:t>合</w:t>
            </w:r>
            <w:r>
              <w:rPr>
                <w:rFonts w:hint="eastAsia" w:hAnsi="宋体"/>
                <w:color w:val="auto"/>
                <w:sz w:val="24"/>
                <w:lang w:eastAsia="zh-CN"/>
              </w:rPr>
              <w:t>涟水大东镇</w:t>
            </w:r>
            <w:r>
              <w:rPr>
                <w:rFonts w:hAnsi="宋体"/>
                <w:color w:val="auto"/>
                <w:sz w:val="24"/>
              </w:rPr>
              <w:t>用地规划要求；建设单位在认真落实本报告提出的各项环保措施与建议，对预期产生的主要污染物采取切实可行的污染治理措施，确保实现达标排放</w:t>
            </w:r>
            <w:r>
              <w:rPr>
                <w:rFonts w:hint="eastAsia" w:hAnsi="宋体"/>
                <w:color w:val="auto"/>
                <w:sz w:val="24"/>
                <w:lang w:eastAsia="zh-CN"/>
              </w:rPr>
              <w:t>，在</w:t>
            </w:r>
            <w:r>
              <w:rPr>
                <w:rFonts w:hAnsi="宋体"/>
                <w:color w:val="auto"/>
                <w:sz w:val="24"/>
              </w:rPr>
              <w:t>最大限度减小对项目所在地环境质量影响的前提下，从环境保护角度论证，在</w:t>
            </w:r>
            <w:r>
              <w:rPr>
                <w:rFonts w:hint="eastAsia" w:hAnsi="宋体"/>
                <w:color w:val="auto"/>
                <w:sz w:val="24"/>
                <w:lang w:eastAsia="zh-CN"/>
              </w:rPr>
              <w:t>现有</w:t>
            </w:r>
            <w:r>
              <w:rPr>
                <w:rFonts w:hAnsi="宋体"/>
                <w:color w:val="auto"/>
                <w:sz w:val="24"/>
              </w:rPr>
              <w:t>地址</w:t>
            </w:r>
            <w:r>
              <w:rPr>
                <w:rFonts w:hint="eastAsia" w:hAnsi="宋体"/>
                <w:color w:val="auto"/>
                <w:sz w:val="24"/>
                <w:lang w:eastAsia="zh-CN"/>
              </w:rPr>
              <w:t>进行改建</w:t>
            </w:r>
            <w:r>
              <w:rPr>
                <w:rFonts w:hAnsi="宋体"/>
                <w:color w:val="auto"/>
                <w:sz w:val="24"/>
              </w:rPr>
              <w:t>是可行的。</w:t>
            </w:r>
          </w:p>
          <w:p w14:paraId="6609161F">
            <w:pPr>
              <w:adjustRightInd w:val="0"/>
              <w:snapToGrid w:val="0"/>
              <w:spacing w:line="360" w:lineRule="auto"/>
              <w:ind w:firstLine="482" w:firstLineChars="200"/>
              <w:rPr>
                <w:b/>
                <w:color w:val="auto"/>
                <w:sz w:val="24"/>
              </w:rPr>
            </w:pPr>
          </w:p>
          <w:p w14:paraId="4BF428B3">
            <w:pPr>
              <w:adjustRightInd w:val="0"/>
              <w:snapToGrid w:val="0"/>
              <w:spacing w:line="360" w:lineRule="auto"/>
              <w:ind w:firstLine="482" w:firstLineChars="200"/>
              <w:rPr>
                <w:b/>
                <w:color w:val="auto"/>
                <w:sz w:val="24"/>
              </w:rPr>
            </w:pPr>
          </w:p>
          <w:p w14:paraId="631866B7">
            <w:pPr>
              <w:adjustRightInd w:val="0"/>
              <w:snapToGrid w:val="0"/>
              <w:spacing w:line="360" w:lineRule="auto"/>
              <w:ind w:firstLine="482" w:firstLineChars="200"/>
              <w:rPr>
                <w:b/>
                <w:color w:val="auto"/>
                <w:sz w:val="24"/>
              </w:rPr>
            </w:pPr>
          </w:p>
          <w:p w14:paraId="52062397">
            <w:pPr>
              <w:adjustRightInd w:val="0"/>
              <w:snapToGrid w:val="0"/>
              <w:spacing w:line="360" w:lineRule="auto"/>
              <w:ind w:firstLine="482" w:firstLineChars="200"/>
              <w:rPr>
                <w:b/>
                <w:color w:val="auto"/>
                <w:sz w:val="24"/>
              </w:rPr>
            </w:pPr>
          </w:p>
          <w:p w14:paraId="78EE212C">
            <w:pPr>
              <w:adjustRightInd w:val="0"/>
              <w:snapToGrid w:val="0"/>
              <w:spacing w:line="360" w:lineRule="auto"/>
              <w:ind w:firstLine="482" w:firstLineChars="200"/>
              <w:rPr>
                <w:b/>
                <w:color w:val="auto"/>
                <w:sz w:val="24"/>
              </w:rPr>
            </w:pPr>
          </w:p>
          <w:p w14:paraId="22E74250">
            <w:pPr>
              <w:adjustRightInd w:val="0"/>
              <w:snapToGrid w:val="0"/>
              <w:spacing w:line="360" w:lineRule="auto"/>
              <w:ind w:firstLine="482" w:firstLineChars="200"/>
              <w:rPr>
                <w:b/>
                <w:color w:val="auto"/>
                <w:sz w:val="24"/>
              </w:rPr>
            </w:pPr>
          </w:p>
          <w:p w14:paraId="4BC55CAD">
            <w:pPr>
              <w:adjustRightInd w:val="0"/>
              <w:snapToGrid w:val="0"/>
              <w:spacing w:line="360" w:lineRule="auto"/>
              <w:ind w:firstLine="482" w:firstLineChars="200"/>
              <w:rPr>
                <w:b/>
                <w:color w:val="auto"/>
                <w:sz w:val="24"/>
              </w:rPr>
            </w:pPr>
          </w:p>
          <w:p w14:paraId="19F1B245">
            <w:pPr>
              <w:adjustRightInd w:val="0"/>
              <w:snapToGrid w:val="0"/>
              <w:spacing w:line="360" w:lineRule="auto"/>
              <w:ind w:firstLine="482" w:firstLineChars="200"/>
              <w:rPr>
                <w:b/>
                <w:color w:val="auto"/>
                <w:sz w:val="24"/>
              </w:rPr>
            </w:pPr>
          </w:p>
          <w:p w14:paraId="14831FA9">
            <w:pPr>
              <w:adjustRightInd w:val="0"/>
              <w:snapToGrid w:val="0"/>
              <w:spacing w:line="360" w:lineRule="auto"/>
              <w:ind w:firstLine="482" w:firstLineChars="200"/>
              <w:rPr>
                <w:b/>
                <w:color w:val="auto"/>
                <w:sz w:val="24"/>
              </w:rPr>
            </w:pPr>
          </w:p>
          <w:p w14:paraId="74957F2B">
            <w:pPr>
              <w:adjustRightInd w:val="0"/>
              <w:snapToGrid w:val="0"/>
              <w:spacing w:line="360" w:lineRule="auto"/>
              <w:ind w:firstLine="482" w:firstLineChars="200"/>
              <w:rPr>
                <w:b/>
                <w:color w:val="auto"/>
                <w:sz w:val="24"/>
              </w:rPr>
            </w:pPr>
          </w:p>
          <w:p w14:paraId="747E1F1B">
            <w:pPr>
              <w:adjustRightInd w:val="0"/>
              <w:snapToGrid w:val="0"/>
              <w:spacing w:line="360" w:lineRule="auto"/>
              <w:ind w:firstLine="482" w:firstLineChars="200"/>
              <w:rPr>
                <w:b/>
                <w:color w:val="auto"/>
                <w:sz w:val="24"/>
              </w:rPr>
            </w:pPr>
          </w:p>
          <w:p w14:paraId="57D3F20A">
            <w:pPr>
              <w:adjustRightInd w:val="0"/>
              <w:snapToGrid w:val="0"/>
              <w:spacing w:line="360" w:lineRule="auto"/>
              <w:ind w:firstLine="482" w:firstLineChars="200"/>
              <w:rPr>
                <w:b/>
                <w:color w:val="auto"/>
                <w:sz w:val="24"/>
              </w:rPr>
            </w:pPr>
          </w:p>
          <w:p w14:paraId="60BEBA44">
            <w:pPr>
              <w:adjustRightInd w:val="0"/>
              <w:snapToGrid w:val="0"/>
              <w:spacing w:line="360" w:lineRule="auto"/>
              <w:ind w:firstLine="482" w:firstLineChars="200"/>
              <w:rPr>
                <w:rFonts w:hint="eastAsia" w:eastAsia="宋体"/>
                <w:b/>
                <w:color w:val="auto"/>
                <w:sz w:val="24"/>
                <w:lang w:val="en-US" w:eastAsia="zh-CN"/>
              </w:rPr>
            </w:pPr>
          </w:p>
          <w:p w14:paraId="226092DD">
            <w:pPr>
              <w:adjustRightInd w:val="0"/>
              <w:snapToGrid w:val="0"/>
              <w:spacing w:line="360" w:lineRule="auto"/>
              <w:ind w:firstLine="482" w:firstLineChars="200"/>
              <w:rPr>
                <w:b/>
                <w:color w:val="auto"/>
                <w:sz w:val="24"/>
              </w:rPr>
            </w:pPr>
          </w:p>
          <w:p w14:paraId="1B27EAD0">
            <w:pPr>
              <w:adjustRightInd w:val="0"/>
              <w:snapToGrid w:val="0"/>
              <w:spacing w:line="360" w:lineRule="auto"/>
              <w:ind w:firstLine="482" w:firstLineChars="200"/>
              <w:rPr>
                <w:b/>
                <w:color w:val="auto"/>
                <w:sz w:val="24"/>
              </w:rPr>
            </w:pPr>
          </w:p>
          <w:p w14:paraId="31C175C7">
            <w:pPr>
              <w:adjustRightInd w:val="0"/>
              <w:snapToGrid w:val="0"/>
              <w:spacing w:line="360" w:lineRule="auto"/>
              <w:ind w:firstLine="480" w:firstLineChars="200"/>
              <w:rPr>
                <w:color w:val="auto"/>
                <w:sz w:val="24"/>
              </w:rPr>
            </w:pPr>
          </w:p>
          <w:p w14:paraId="6A606499">
            <w:pPr>
              <w:adjustRightInd w:val="0"/>
              <w:snapToGrid w:val="0"/>
              <w:spacing w:line="360" w:lineRule="auto"/>
              <w:ind w:firstLine="480" w:firstLineChars="200"/>
              <w:rPr>
                <w:color w:val="auto"/>
                <w:sz w:val="24"/>
              </w:rPr>
            </w:pPr>
          </w:p>
          <w:p w14:paraId="61F1648D">
            <w:pPr>
              <w:adjustRightInd w:val="0"/>
              <w:snapToGrid w:val="0"/>
              <w:spacing w:line="360" w:lineRule="auto"/>
              <w:ind w:firstLine="480" w:firstLineChars="200"/>
              <w:rPr>
                <w:color w:val="auto"/>
                <w:sz w:val="24"/>
              </w:rPr>
            </w:pPr>
          </w:p>
          <w:p w14:paraId="6A12951C">
            <w:pPr>
              <w:adjustRightInd w:val="0"/>
              <w:snapToGrid w:val="0"/>
              <w:spacing w:line="360" w:lineRule="auto"/>
              <w:ind w:firstLine="480" w:firstLineChars="200"/>
              <w:rPr>
                <w:color w:val="auto"/>
                <w:sz w:val="24"/>
              </w:rPr>
            </w:pPr>
          </w:p>
          <w:p w14:paraId="1ED0F8C5">
            <w:pPr>
              <w:adjustRightInd w:val="0"/>
              <w:snapToGrid w:val="0"/>
              <w:spacing w:line="360" w:lineRule="auto"/>
              <w:ind w:firstLine="480" w:firstLineChars="200"/>
              <w:rPr>
                <w:color w:val="auto"/>
                <w:sz w:val="24"/>
              </w:rPr>
            </w:pPr>
          </w:p>
          <w:p w14:paraId="3E99FCFD">
            <w:pPr>
              <w:adjustRightInd w:val="0"/>
              <w:snapToGrid w:val="0"/>
              <w:spacing w:line="360" w:lineRule="auto"/>
              <w:ind w:firstLine="480" w:firstLineChars="200"/>
              <w:rPr>
                <w:color w:val="auto"/>
                <w:sz w:val="24"/>
              </w:rPr>
            </w:pPr>
          </w:p>
          <w:p w14:paraId="14D34AE7">
            <w:pPr>
              <w:adjustRightInd w:val="0"/>
              <w:snapToGrid w:val="0"/>
              <w:spacing w:line="360" w:lineRule="auto"/>
              <w:ind w:firstLine="480" w:firstLineChars="200"/>
              <w:rPr>
                <w:color w:val="auto"/>
                <w:sz w:val="24"/>
              </w:rPr>
            </w:pPr>
          </w:p>
          <w:p w14:paraId="5817B692">
            <w:pPr>
              <w:adjustRightInd w:val="0"/>
              <w:snapToGrid w:val="0"/>
              <w:spacing w:line="360" w:lineRule="auto"/>
              <w:ind w:firstLine="480" w:firstLineChars="200"/>
              <w:rPr>
                <w:color w:val="auto"/>
                <w:sz w:val="24"/>
              </w:rPr>
            </w:pPr>
          </w:p>
          <w:p w14:paraId="42F1FBB3">
            <w:pPr>
              <w:adjustRightInd w:val="0"/>
              <w:snapToGrid w:val="0"/>
              <w:spacing w:line="360" w:lineRule="auto"/>
              <w:ind w:firstLine="480" w:firstLineChars="200"/>
              <w:rPr>
                <w:color w:val="auto"/>
                <w:sz w:val="24"/>
              </w:rPr>
            </w:pPr>
          </w:p>
        </w:tc>
      </w:tr>
    </w:tbl>
    <w:p w14:paraId="3A1D3D3C">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298A8CF">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60" w:lineRule="exact"/>
        <w:textAlignment w:val="auto"/>
        <w:outlineLvl w:val="0"/>
        <w:rPr>
          <w:rFonts w:ascii="Times New Roman" w:hAnsi="Times New Roman"/>
          <w:snapToGrid w:val="0"/>
          <w:color w:val="auto"/>
          <w:sz w:val="22"/>
          <w:szCs w:val="22"/>
        </w:rPr>
      </w:pPr>
      <w:bookmarkStart w:id="64" w:name="_Toc299"/>
      <w:r>
        <w:rPr>
          <w:rFonts w:ascii="Times New Roman"/>
          <w:snapToGrid w:val="0"/>
          <w:color w:val="auto"/>
          <w:sz w:val="22"/>
          <w:szCs w:val="22"/>
        </w:rPr>
        <w:t>附表</w:t>
      </w:r>
      <w:bookmarkEnd w:id="64"/>
    </w:p>
    <w:p w14:paraId="2CDD5ED6">
      <w:pPr>
        <w:pStyle w:val="29"/>
        <w:keepNext w:val="0"/>
        <w:keepLines w:val="0"/>
        <w:pageBreakBefore w:val="0"/>
        <w:widowControl/>
        <w:kinsoku/>
        <w:wordWrap/>
        <w:overflowPunct/>
        <w:topLinePunct w:val="0"/>
        <w:autoSpaceDE/>
        <w:autoSpaceDN/>
        <w:bidi w:val="0"/>
        <w:spacing w:before="0" w:beforeAutospacing="0" w:after="0" w:afterAutospacing="0" w:line="300" w:lineRule="exact"/>
        <w:jc w:val="center"/>
        <w:textAlignment w:val="auto"/>
        <w:rPr>
          <w:rFonts w:ascii="Times New Roman" w:hAnsi="Times New Roman"/>
          <w:b/>
          <w:snapToGrid w:val="0"/>
          <w:color w:val="auto"/>
          <w:sz w:val="28"/>
          <w:szCs w:val="28"/>
        </w:rPr>
      </w:pPr>
      <w:r>
        <w:rPr>
          <w:rFonts w:ascii="Times New Roman"/>
          <w:b/>
          <w:snapToGrid w:val="0"/>
          <w:color w:val="auto"/>
          <w:sz w:val="28"/>
          <w:szCs w:val="28"/>
        </w:rPr>
        <w:t>建设项目污染物排放量汇总表</w:t>
      </w:r>
      <w:r>
        <w:rPr>
          <w:rFonts w:ascii="Times New Roman"/>
          <w:snapToGrid w:val="0"/>
          <w:color w:val="auto"/>
          <w:sz w:val="18"/>
          <w:szCs w:val="18"/>
        </w:rPr>
        <w:t>单位</w:t>
      </w:r>
      <w:r>
        <w:rPr>
          <w:rFonts w:ascii="Times New Roman" w:hAnsi="Times New Roman"/>
          <w:snapToGrid w:val="0"/>
          <w:color w:val="auto"/>
          <w:sz w:val="18"/>
          <w:szCs w:val="18"/>
        </w:rPr>
        <w:t>/t/a</w:t>
      </w:r>
    </w:p>
    <w:tbl>
      <w:tblPr>
        <w:tblStyle w:val="3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1417"/>
        <w:gridCol w:w="1557"/>
        <w:gridCol w:w="1557"/>
        <w:gridCol w:w="1266"/>
        <w:gridCol w:w="1563"/>
        <w:gridCol w:w="1360"/>
        <w:gridCol w:w="2030"/>
        <w:gridCol w:w="1722"/>
      </w:tblGrid>
      <w:tr w14:paraId="792BE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tcBorders>
              <w:tl2br w:val="single" w:color="auto" w:sz="4" w:space="0"/>
            </w:tcBorders>
            <w:tcMar>
              <w:left w:w="28" w:type="dxa"/>
              <w:right w:w="28" w:type="dxa"/>
            </w:tcMar>
            <w:vAlign w:val="center"/>
          </w:tcPr>
          <w:p w14:paraId="6472D285">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项目</w:t>
            </w:r>
          </w:p>
          <w:p w14:paraId="08FE9F1B">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分类</w:t>
            </w:r>
          </w:p>
        </w:tc>
        <w:tc>
          <w:tcPr>
            <w:tcW w:w="525" w:type="pct"/>
            <w:tcMar>
              <w:left w:w="28" w:type="dxa"/>
              <w:right w:w="28" w:type="dxa"/>
            </w:tcMar>
            <w:vAlign w:val="center"/>
          </w:tcPr>
          <w:p w14:paraId="4C7097F2">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污染物名称</w:t>
            </w:r>
          </w:p>
        </w:tc>
        <w:tc>
          <w:tcPr>
            <w:tcW w:w="577" w:type="pct"/>
            <w:tcMar>
              <w:left w:w="28" w:type="dxa"/>
              <w:right w:w="28" w:type="dxa"/>
            </w:tcMar>
            <w:vAlign w:val="center"/>
          </w:tcPr>
          <w:p w14:paraId="426B417E">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411EABAA">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1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①</w:t>
            </w:r>
            <w:r>
              <w:rPr>
                <w:rFonts w:hint="default" w:ascii="Times New Roman" w:hAnsi="Times New Roman" w:cs="Times New Roman"/>
                <w:snapToGrid w:val="0"/>
                <w:color w:val="auto"/>
                <w:spacing w:val="-6"/>
                <w:kern w:val="21"/>
                <w:sz w:val="21"/>
                <w:szCs w:val="21"/>
              </w:rPr>
              <w:fldChar w:fldCharType="end"/>
            </w:r>
          </w:p>
        </w:tc>
        <w:tc>
          <w:tcPr>
            <w:tcW w:w="577" w:type="pct"/>
            <w:tcMar>
              <w:left w:w="28" w:type="dxa"/>
              <w:right w:w="28" w:type="dxa"/>
            </w:tcMar>
            <w:vAlign w:val="center"/>
          </w:tcPr>
          <w:p w14:paraId="466DCE1A">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716AE62D">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许可排放量</w:t>
            </w:r>
          </w:p>
          <w:p w14:paraId="73A5BC3E">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2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snapToGrid w:val="0"/>
                <w:color w:val="auto"/>
                <w:spacing w:val="-6"/>
                <w:kern w:val="21"/>
                <w:sz w:val="21"/>
                <w:szCs w:val="21"/>
              </w:rPr>
              <w:t>②</w:t>
            </w:r>
            <w:r>
              <w:rPr>
                <w:rFonts w:hint="default" w:ascii="Times New Roman" w:hAnsi="Times New Roman" w:cs="Times New Roman"/>
                <w:snapToGrid w:val="0"/>
                <w:color w:val="auto"/>
                <w:spacing w:val="-6"/>
                <w:kern w:val="21"/>
                <w:sz w:val="21"/>
                <w:szCs w:val="21"/>
              </w:rPr>
              <w:fldChar w:fldCharType="end"/>
            </w:r>
          </w:p>
        </w:tc>
        <w:tc>
          <w:tcPr>
            <w:tcW w:w="469" w:type="pct"/>
            <w:tcMar>
              <w:left w:w="28" w:type="dxa"/>
              <w:right w:w="28" w:type="dxa"/>
            </w:tcMar>
            <w:vAlign w:val="center"/>
          </w:tcPr>
          <w:p w14:paraId="119181A3">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在建工程</w:t>
            </w:r>
          </w:p>
          <w:p w14:paraId="05FA951E">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3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③</w:t>
            </w:r>
            <w:r>
              <w:rPr>
                <w:rFonts w:hint="default" w:ascii="Times New Roman" w:hAnsi="Times New Roman" w:cs="Times New Roman"/>
                <w:snapToGrid w:val="0"/>
                <w:color w:val="auto"/>
                <w:spacing w:val="-6"/>
                <w:kern w:val="21"/>
                <w:sz w:val="21"/>
                <w:szCs w:val="21"/>
              </w:rPr>
              <w:fldChar w:fldCharType="end"/>
            </w:r>
          </w:p>
        </w:tc>
        <w:tc>
          <w:tcPr>
            <w:tcW w:w="579" w:type="pct"/>
            <w:tcMar>
              <w:left w:w="28" w:type="dxa"/>
              <w:right w:w="28" w:type="dxa"/>
            </w:tcMar>
            <w:vAlign w:val="center"/>
          </w:tcPr>
          <w:p w14:paraId="76092C25">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本项目</w:t>
            </w:r>
          </w:p>
          <w:p w14:paraId="7DE753CF">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4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④</w:t>
            </w:r>
            <w:r>
              <w:rPr>
                <w:rFonts w:hint="default" w:ascii="Times New Roman" w:hAnsi="Times New Roman" w:cs="Times New Roman"/>
                <w:snapToGrid w:val="0"/>
                <w:color w:val="auto"/>
                <w:spacing w:val="-6"/>
                <w:kern w:val="21"/>
                <w:sz w:val="21"/>
                <w:szCs w:val="21"/>
              </w:rPr>
              <w:fldChar w:fldCharType="end"/>
            </w:r>
          </w:p>
        </w:tc>
        <w:tc>
          <w:tcPr>
            <w:tcW w:w="504" w:type="pct"/>
            <w:tcMar>
              <w:left w:w="28" w:type="dxa"/>
              <w:right w:w="28" w:type="dxa"/>
            </w:tcMar>
            <w:vAlign w:val="center"/>
          </w:tcPr>
          <w:p w14:paraId="5141F91D">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以新带老削减量</w:t>
            </w:r>
          </w:p>
          <w:p w14:paraId="3D595016">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（新建项目不填）</w:t>
            </w:r>
            <w:r>
              <w:rPr>
                <w:rFonts w:hint="default" w:ascii="Times New Roman" w:hAnsi="Times New Roman" w:cs="Times New Roman"/>
                <w:snapToGrid w:val="0"/>
                <w:color w:val="auto"/>
                <w:spacing w:val="-16"/>
                <w:kern w:val="21"/>
                <w:sz w:val="21"/>
                <w:szCs w:val="21"/>
              </w:rPr>
              <w:fldChar w:fldCharType="begin"/>
            </w:r>
            <w:r>
              <w:rPr>
                <w:rFonts w:hint="default" w:ascii="Times New Roman" w:hAnsi="Times New Roman" w:cs="Times New Roman"/>
                <w:snapToGrid w:val="0"/>
                <w:color w:val="auto"/>
                <w:spacing w:val="-16"/>
                <w:kern w:val="21"/>
                <w:sz w:val="21"/>
                <w:szCs w:val="21"/>
              </w:rPr>
              <w:instrText xml:space="preserve"> = 5 \* GB3 \* MERGEFORMAT </w:instrText>
            </w:r>
            <w:r>
              <w:rPr>
                <w:rFonts w:hint="default"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⑤</w:t>
            </w:r>
            <w:r>
              <w:rPr>
                <w:rFonts w:hint="default" w:ascii="Times New Roman" w:hAnsi="Times New Roman" w:cs="Times New Roman"/>
                <w:snapToGrid w:val="0"/>
                <w:color w:val="auto"/>
                <w:spacing w:val="-16"/>
                <w:kern w:val="21"/>
                <w:sz w:val="21"/>
                <w:szCs w:val="21"/>
              </w:rPr>
              <w:fldChar w:fldCharType="end"/>
            </w:r>
          </w:p>
        </w:tc>
        <w:tc>
          <w:tcPr>
            <w:tcW w:w="752" w:type="pct"/>
            <w:tcMar>
              <w:left w:w="28" w:type="dxa"/>
              <w:right w:w="28" w:type="dxa"/>
            </w:tcMar>
            <w:vAlign w:val="center"/>
          </w:tcPr>
          <w:p w14:paraId="77B9C0C6">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本项目建成后全厂排放量（固体废物产生量）⑥</w:t>
            </w:r>
          </w:p>
        </w:tc>
        <w:tc>
          <w:tcPr>
            <w:tcW w:w="638" w:type="pct"/>
            <w:tcMar>
              <w:left w:w="28" w:type="dxa"/>
              <w:right w:w="28" w:type="dxa"/>
            </w:tcMar>
            <w:vAlign w:val="center"/>
          </w:tcPr>
          <w:p w14:paraId="35C6EF67">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变化量</w:t>
            </w:r>
          </w:p>
          <w:p w14:paraId="347DF791">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7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⑦</w:t>
            </w:r>
            <w:r>
              <w:rPr>
                <w:rFonts w:hint="default" w:ascii="Times New Roman" w:hAnsi="Times New Roman" w:cs="Times New Roman"/>
                <w:snapToGrid w:val="0"/>
                <w:color w:val="auto"/>
                <w:spacing w:val="-6"/>
                <w:kern w:val="21"/>
                <w:sz w:val="21"/>
                <w:szCs w:val="21"/>
              </w:rPr>
              <w:fldChar w:fldCharType="end"/>
            </w:r>
          </w:p>
        </w:tc>
      </w:tr>
      <w:tr w14:paraId="566A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24" w:hRule="atLeast"/>
        </w:trPr>
        <w:tc>
          <w:tcPr>
            <w:tcW w:w="378" w:type="pct"/>
            <w:vAlign w:val="center"/>
          </w:tcPr>
          <w:p w14:paraId="04702A31">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p w14:paraId="61D0E840">
            <w:pPr>
              <w:pStyle w:val="4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r>
              <w:rPr>
                <w:rFonts w:hint="eastAsia" w:ascii="Times New Roman" w:cs="Times New Roman"/>
                <w:snapToGrid w:val="0"/>
                <w:color w:val="auto"/>
                <w:kern w:val="21"/>
                <w:sz w:val="21"/>
                <w:szCs w:val="21"/>
                <w:lang w:eastAsia="zh-CN"/>
              </w:rPr>
              <w:t>有</w:t>
            </w:r>
            <w:r>
              <w:rPr>
                <w:rFonts w:hint="default" w:ascii="Times New Roman" w:hAnsi="Times New Roman" w:cs="Times New Roman"/>
                <w:snapToGrid w:val="0"/>
                <w:color w:val="auto"/>
                <w:kern w:val="21"/>
                <w:sz w:val="21"/>
                <w:szCs w:val="21"/>
              </w:rPr>
              <w:t>组织）</w:t>
            </w:r>
          </w:p>
        </w:tc>
        <w:tc>
          <w:tcPr>
            <w:tcW w:w="525" w:type="pct"/>
            <w:shd w:val="clear" w:color="auto" w:fill="auto"/>
            <w:vAlign w:val="center"/>
          </w:tcPr>
          <w:p w14:paraId="29FBD6AE">
            <w:pPr>
              <w:jc w:val="center"/>
              <w:rPr>
                <w:rFonts w:hint="eastAsia"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2FA535D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07074C53">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469" w:type="pct"/>
            <w:vAlign w:val="center"/>
          </w:tcPr>
          <w:p w14:paraId="430C9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9" w:type="pct"/>
            <w:shd w:val="clear" w:color="auto" w:fill="auto"/>
            <w:vAlign w:val="center"/>
          </w:tcPr>
          <w:p w14:paraId="02525B3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504" w:type="pct"/>
            <w:shd w:val="clear" w:color="auto" w:fill="auto"/>
            <w:vAlign w:val="center"/>
          </w:tcPr>
          <w:p w14:paraId="213743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752" w:type="pct"/>
            <w:shd w:val="clear" w:color="auto" w:fill="auto"/>
            <w:vAlign w:val="center"/>
          </w:tcPr>
          <w:p w14:paraId="18A10D5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638" w:type="pct"/>
            <w:shd w:val="clear" w:color="auto" w:fill="auto"/>
            <w:vAlign w:val="center"/>
          </w:tcPr>
          <w:p w14:paraId="14858F0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r>
      <w:tr w14:paraId="706BE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Align w:val="center"/>
          </w:tcPr>
          <w:p w14:paraId="0EDA0BA1">
            <w:pPr>
              <w:pStyle w:val="47"/>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lang w:eastAsia="zh-CN"/>
              </w:rPr>
            </w:pPr>
            <w:r>
              <w:rPr>
                <w:rFonts w:hint="eastAsia" w:ascii="Times New Roman" w:cs="Times New Roman"/>
                <w:snapToGrid w:val="0"/>
                <w:color w:val="auto"/>
                <w:kern w:val="21"/>
                <w:sz w:val="21"/>
                <w:szCs w:val="21"/>
                <w:lang w:eastAsia="zh-CN"/>
              </w:rPr>
              <w:t>综合废</w:t>
            </w:r>
            <w:r>
              <w:rPr>
                <w:rFonts w:hint="default" w:ascii="Times New Roman" w:hAnsi="Times New Roman" w:cs="Times New Roman"/>
                <w:snapToGrid w:val="0"/>
                <w:color w:val="auto"/>
                <w:kern w:val="21"/>
                <w:sz w:val="21"/>
                <w:szCs w:val="21"/>
              </w:rPr>
              <w:t>水</w:t>
            </w:r>
          </w:p>
        </w:tc>
        <w:tc>
          <w:tcPr>
            <w:tcW w:w="525" w:type="pct"/>
            <w:shd w:val="clear" w:color="auto" w:fill="auto"/>
            <w:vAlign w:val="center"/>
          </w:tcPr>
          <w:p w14:paraId="69409E15">
            <w:pPr>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67D302C7">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0F30A61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469" w:type="pct"/>
            <w:shd w:val="clear" w:color="auto" w:fill="auto"/>
            <w:vAlign w:val="center"/>
          </w:tcPr>
          <w:p w14:paraId="53C59F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9" w:type="pct"/>
            <w:shd w:val="clear" w:color="auto" w:fill="auto"/>
            <w:vAlign w:val="center"/>
          </w:tcPr>
          <w:p w14:paraId="6C7988E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504" w:type="pct"/>
            <w:shd w:val="clear" w:color="auto" w:fill="auto"/>
            <w:vAlign w:val="center"/>
          </w:tcPr>
          <w:p w14:paraId="48D1FF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752" w:type="pct"/>
            <w:shd w:val="clear" w:color="auto" w:fill="auto"/>
            <w:vAlign w:val="center"/>
          </w:tcPr>
          <w:p w14:paraId="73F1B7F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638" w:type="pct"/>
            <w:shd w:val="clear" w:color="auto" w:fill="auto"/>
            <w:vAlign w:val="center"/>
          </w:tcPr>
          <w:p w14:paraId="114C0E7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r>
      <w:tr w14:paraId="45AC4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Align w:val="center"/>
          </w:tcPr>
          <w:p w14:paraId="31A9E824">
            <w:pPr>
              <w:pStyle w:val="47"/>
              <w:keepNext w:val="0"/>
              <w:keepLines w:val="0"/>
              <w:pageBreakBefore w:val="0"/>
              <w:kinsoku/>
              <w:wordWrap/>
              <w:overflowPunct/>
              <w:topLinePunct w:val="0"/>
              <w:autoSpaceDE/>
              <w:autoSpaceDN/>
              <w:bidi w:val="0"/>
              <w:spacing w:beforeLines="0" w:afterLines="0" w:line="240" w:lineRule="auto"/>
              <w:jc w:val="both"/>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525" w:type="pct"/>
            <w:shd w:val="clear" w:color="auto" w:fill="auto"/>
            <w:vAlign w:val="center"/>
          </w:tcPr>
          <w:p w14:paraId="28527A0C">
            <w:pPr>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24701CD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617BCBE0">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469" w:type="pct"/>
            <w:shd w:val="clear" w:color="auto" w:fill="auto"/>
            <w:vAlign w:val="center"/>
          </w:tcPr>
          <w:p w14:paraId="3F9992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9" w:type="pct"/>
            <w:shd w:val="clear" w:color="auto" w:fill="auto"/>
            <w:vAlign w:val="center"/>
          </w:tcPr>
          <w:p w14:paraId="3390766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504" w:type="pct"/>
            <w:shd w:val="clear" w:color="auto" w:fill="auto"/>
            <w:vAlign w:val="center"/>
          </w:tcPr>
          <w:p w14:paraId="05B69E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752" w:type="pct"/>
            <w:shd w:val="clear" w:color="auto" w:fill="auto"/>
            <w:vAlign w:val="center"/>
          </w:tcPr>
          <w:p w14:paraId="4AA24A5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638" w:type="pct"/>
            <w:shd w:val="clear" w:color="auto" w:fill="auto"/>
            <w:vAlign w:val="center"/>
          </w:tcPr>
          <w:p w14:paraId="5CFA5F3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r>
    </w:tbl>
    <w:p w14:paraId="0B9AE0EE">
      <w:pPr>
        <w:pStyle w:val="47"/>
        <w:spacing w:beforeLines="0" w:afterLines="0" w:line="240" w:lineRule="auto"/>
        <w:jc w:val="left"/>
        <w:rPr>
          <w:rFonts w:ascii="Times New Roman"/>
          <w:snapToGrid w:val="0"/>
          <w:color w:val="auto"/>
          <w:spacing w:val="-6"/>
          <w:kern w:val="21"/>
          <w:szCs w:val="21"/>
        </w:rPr>
      </w:pPr>
      <w:r>
        <w:rPr>
          <w:rFonts w:ascii="Times New Roman" w:hAnsi="宋体"/>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Ansi="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Ansi="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Ansi="宋体"/>
          <w:color w:val="auto"/>
          <w:szCs w:val="21"/>
        </w:rPr>
        <w:t>⑤</w:t>
      </w:r>
      <w:r>
        <w:rPr>
          <w:rFonts w:ascii="Times New Roman"/>
          <w:snapToGrid w:val="0"/>
          <w:color w:val="auto"/>
          <w:spacing w:val="-16"/>
          <w:kern w:val="21"/>
          <w:szCs w:val="21"/>
        </w:rPr>
        <w:fldChar w:fldCharType="end"/>
      </w:r>
      <w:r>
        <w:rPr>
          <w:rFonts w:ascii="Times New Roman" w:hAnsi="宋体"/>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Ansi="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44B2646-7CF1-42A1-9C4E-15EAD9020A5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5E047001-84E5-40BB-9153-A77A9D95F789}"/>
  </w:font>
  <w:font w:name="仿宋体">
    <w:altName w:val="宋体"/>
    <w:panose1 w:val="00000000000000000000"/>
    <w:charset w:val="86"/>
    <w:family w:val="swiss"/>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SF Hello 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方正仿宋_GBK">
    <w:panose1 w:val="02000000000000000000"/>
    <w:charset w:val="86"/>
    <w:family w:val="script"/>
    <w:pitch w:val="default"/>
    <w:sig w:usb0="A00002BF" w:usb1="38CF7CFA" w:usb2="00082016" w:usb3="00000000" w:csb0="00040001" w:csb1="00000000"/>
    <w:embedRegular r:id="rId3" w:fontKey="{6EA4DC02-9BA3-48B1-B754-27A6A797C1FE}"/>
  </w:font>
  <w:font w:name="Wingdings 2">
    <w:altName w:val="Wingdings"/>
    <w:panose1 w:val="05020102010507070707"/>
    <w:charset w:val="02"/>
    <w:family w:val="roman"/>
    <w:pitch w:val="default"/>
    <w:sig w:usb0="00000000" w:usb1="00000000" w:usb2="00000000" w:usb3="00000000" w:csb0="80000000" w:csb1="00000000"/>
    <w:embedRegular r:id="rId4" w:fontKey="{0EF3E2CE-FE49-4F5C-995D-D6FED8B7882D}"/>
  </w:font>
  <w:font w:name="Segoe UI">
    <w:panose1 w:val="020B0502040204020203"/>
    <w:charset w:val="00"/>
    <w:family w:val="auto"/>
    <w:pitch w:val="default"/>
    <w:sig w:usb0="E4002EFF" w:usb1="C000E47F" w:usb2="00000009" w:usb3="00000000" w:csb0="200001FF" w:csb1="00000000"/>
    <w:embedRegular r:id="rId5" w:fontKey="{E161FD13-7C9D-457F-A9B0-792B50AAA0CF}"/>
  </w:font>
  <w:font w:name="Times new  man">
    <w:altName w:val="Times New Roman"/>
    <w:panose1 w:val="00000000000000000000"/>
    <w:charset w:val="00"/>
    <w:family w:val="roman"/>
    <w:pitch w:val="default"/>
    <w:sig w:usb0="00000000" w:usb1="00000000" w:usb2="00000000" w:usb3="00000000" w:csb0="00000000" w:csb1="00000000"/>
    <w:embedRegular r:id="rId6" w:fontKey="{BC05231B-7AE3-426C-B8DF-F5C05886C1A1}"/>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62EDF">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C1D3">
    <w:pPr>
      <w:pStyle w:val="21"/>
      <w:framePr w:wrap="around" w:vAnchor="text" w:hAnchor="margin" w:xAlign="center" w:y="1"/>
      <w:rPr>
        <w:rStyle w:val="38"/>
      </w:rPr>
    </w:pPr>
    <w:r>
      <w:fldChar w:fldCharType="begin"/>
    </w:r>
    <w:r>
      <w:rPr>
        <w:rStyle w:val="38"/>
      </w:rPr>
      <w:instrText xml:space="preserve">PAGE  </w:instrText>
    </w:r>
    <w:r>
      <w:fldChar w:fldCharType="end"/>
    </w:r>
  </w:p>
  <w:p w14:paraId="3BD08685">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AAC9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9033420"/>
    </w:sdtPr>
    <w:sdtContent>
      <w:p w14:paraId="38DBDC3F">
        <w:pPr>
          <w:pStyle w:val="21"/>
          <w:jc w:val="center"/>
        </w:pPr>
        <w:r>
          <w:fldChar w:fldCharType="begin"/>
        </w:r>
        <w:r>
          <w:instrText xml:space="preserve">PAGE   \* MERGEFORMAT</w:instrText>
        </w:r>
        <w:r>
          <w:fldChar w:fldCharType="separate"/>
        </w:r>
        <w:r>
          <w:rPr>
            <w:lang w:val="zh-CN"/>
          </w:rPr>
          <w:t>44</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19647">
    <w:pPr>
      <w:pStyle w:val="21"/>
      <w:ind w:left="1050"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3185" cy="213995"/>
              <wp:effectExtent l="0" t="0" r="0" b="0"/>
              <wp:wrapNone/>
              <wp:docPr id="105" name="文本框 7"/>
              <wp:cNvGraphicFramePr/>
              <a:graphic xmlns:a="http://schemas.openxmlformats.org/drawingml/2006/main">
                <a:graphicData uri="http://schemas.microsoft.com/office/word/2010/wordprocessingShape">
                  <wps:wsp>
                    <wps:cNvSpPr txBox="1"/>
                    <wps:spPr>
                      <a:xfrm>
                        <a:off x="0" y="0"/>
                        <a:ext cx="83185" cy="213995"/>
                      </a:xfrm>
                      <a:prstGeom prst="rect">
                        <a:avLst/>
                      </a:prstGeom>
                      <a:noFill/>
                      <a:ln>
                        <a:noFill/>
                      </a:ln>
                      <a:effectLst/>
                    </wps:spPr>
                    <wps:txbx>
                      <w:txbxContent>
                        <w:p w14:paraId="745D3EAF">
                          <w:pPr>
                            <w:pStyle w:val="21"/>
                            <w:ind w:left="1050"/>
                            <w:rPr>
                              <w:rStyle w:val="38"/>
                              <w:rFonts w:ascii="宋体" w:hAnsi="宋体"/>
                              <w:sz w:val="28"/>
                              <w:szCs w:val="28"/>
                            </w:rPr>
                          </w:pP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46</w:t>
                          </w:r>
                          <w:r>
                            <w:rPr>
                              <w:rFonts w:ascii="宋体" w:hAnsi="宋体"/>
                              <w:sz w:val="26"/>
                              <w:szCs w:val="26"/>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6.85pt;width:6.55pt;mso-position-horizontal:center;mso-position-horizontal-relative:margin;mso-wrap-style:none;z-index:251659264;mso-width-relative:page;mso-height-relative:page;" filled="f" stroked="f" coordsize="21600,21600" o:gfxdata="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jEfHbRAAAAAwEAAA8AAAAAAAAAAQAgAAAAIgAAAGRy&#10;cy9kb3ducmV2LnhtbFBLAQIUABQAAAAIAIdO4kBy8lZ80wEAAKYDAAAOAAAAAAAAAAEAIAAAACAB&#10;AABkcnMvZTJvRG9jLnhtbFBLBQYAAAAABgAGAFkBAABlBQAAAAA=&#10;">
              <v:fill on="f" focussize="0,0"/>
              <v:stroke on="f"/>
              <v:imagedata o:title=""/>
              <o:lock v:ext="edit" aspectratio="f"/>
              <v:textbox inset="0mm,0mm,0mm,0mm" style="mso-fit-shape-to-text:t;">
                <w:txbxContent>
                  <w:p w14:paraId="745D3EAF">
                    <w:pPr>
                      <w:pStyle w:val="21"/>
                      <w:ind w:left="1050"/>
                      <w:rPr>
                        <w:rStyle w:val="38"/>
                        <w:rFonts w:ascii="宋体" w:hAnsi="宋体"/>
                        <w:sz w:val="28"/>
                        <w:szCs w:val="28"/>
                      </w:rPr>
                    </w:pP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46</w:t>
                    </w:r>
                    <w:r>
                      <w:rPr>
                        <w:rFonts w:ascii="宋体" w:hAnsi="宋体"/>
                        <w:sz w:val="26"/>
                        <w:szCs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88291">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ABBE">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BBCB0"/>
    <w:multiLevelType w:val="singleLevel"/>
    <w:tmpl w:val="831BBCB0"/>
    <w:lvl w:ilvl="0" w:tentative="0">
      <w:start w:val="2"/>
      <w:numFmt w:val="decimal"/>
      <w:suff w:val="nothing"/>
      <w:lvlText w:val="%1）"/>
      <w:lvlJc w:val="left"/>
    </w:lvl>
  </w:abstractNum>
  <w:abstractNum w:abstractNumId="1">
    <w:nsid w:val="B85DD316"/>
    <w:multiLevelType w:val="singleLevel"/>
    <w:tmpl w:val="B85DD316"/>
    <w:lvl w:ilvl="0" w:tentative="0">
      <w:start w:val="1"/>
      <w:numFmt w:val="decimal"/>
      <w:lvlText w:val="%1."/>
      <w:lvlJc w:val="left"/>
      <w:pPr>
        <w:tabs>
          <w:tab w:val="left" w:pos="312"/>
        </w:tabs>
      </w:pPr>
    </w:lvl>
  </w:abstractNum>
  <w:abstractNum w:abstractNumId="2">
    <w:nsid w:val="BAA891B9"/>
    <w:multiLevelType w:val="singleLevel"/>
    <w:tmpl w:val="BAA891B9"/>
    <w:lvl w:ilvl="0" w:tentative="0">
      <w:start w:val="3"/>
      <w:numFmt w:val="decimal"/>
      <w:lvlText w:val="%1."/>
      <w:lvlJc w:val="left"/>
      <w:pPr>
        <w:tabs>
          <w:tab w:val="left" w:pos="312"/>
        </w:tabs>
      </w:pPr>
    </w:lvl>
  </w:abstractNum>
  <w:abstractNum w:abstractNumId="3">
    <w:nsid w:val="D49270D4"/>
    <w:multiLevelType w:val="singleLevel"/>
    <w:tmpl w:val="D49270D4"/>
    <w:lvl w:ilvl="0" w:tentative="0">
      <w:start w:val="1"/>
      <w:numFmt w:val="decimal"/>
      <w:suff w:val="nothing"/>
      <w:lvlText w:val="%1、"/>
      <w:lvlJc w:val="left"/>
    </w:lvl>
  </w:abstractNum>
  <w:abstractNum w:abstractNumId="4">
    <w:nsid w:val="111A3620"/>
    <w:multiLevelType w:val="singleLevel"/>
    <w:tmpl w:val="111A3620"/>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5">
    <w:nsid w:val="16454AB5"/>
    <w:multiLevelType w:val="singleLevel"/>
    <w:tmpl w:val="16454AB5"/>
    <w:lvl w:ilvl="0" w:tentative="0">
      <w:start w:val="1"/>
      <w:numFmt w:val="decimal"/>
      <w:suff w:val="nothing"/>
      <w:lvlText w:val="%1、"/>
      <w:lvlJc w:val="left"/>
    </w:lvl>
  </w:abstractNum>
  <w:abstractNum w:abstractNumId="6">
    <w:nsid w:val="3DA0D174"/>
    <w:multiLevelType w:val="singleLevel"/>
    <w:tmpl w:val="3DA0D174"/>
    <w:lvl w:ilvl="0" w:tentative="0">
      <w:start w:val="1"/>
      <w:numFmt w:val="decimal"/>
      <w:suff w:val="nothing"/>
      <w:lvlText w:val="%1、"/>
      <w:lvlJc w:val="left"/>
    </w:lvl>
  </w:abstractNum>
  <w:abstractNum w:abstractNumId="7">
    <w:nsid w:val="41CBCFFA"/>
    <w:multiLevelType w:val="singleLevel"/>
    <w:tmpl w:val="41CBCFFA"/>
    <w:lvl w:ilvl="0" w:tentative="0">
      <w:start w:val="4"/>
      <w:numFmt w:val="decimal"/>
      <w:lvlText w:val="(%1)"/>
      <w:lvlJc w:val="left"/>
      <w:pPr>
        <w:tabs>
          <w:tab w:val="left" w:pos="312"/>
        </w:tabs>
      </w:pPr>
    </w:lvl>
  </w:abstractNum>
  <w:num w:numId="1">
    <w:abstractNumId w:val="4"/>
  </w:num>
  <w:num w:numId="2">
    <w:abstractNumId w:val="2"/>
  </w:num>
  <w:num w:numId="3">
    <w:abstractNumId w:val="1"/>
  </w:num>
  <w:num w:numId="4">
    <w:abstractNumId w:val="3"/>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kZDY0ODVlZjc0YmMwYjZkYTlkN2M5NGNlOTIwYTMifQ=="/>
    <w:docVar w:name="KSO_WPS_MARK_KEY" w:val="07da4a6e-8dc8-42a3-aea5-764cefe35c41"/>
  </w:docVars>
  <w:rsids>
    <w:rsidRoot w:val="00BF6189"/>
    <w:rsid w:val="000000D3"/>
    <w:rsid w:val="000004B8"/>
    <w:rsid w:val="00000875"/>
    <w:rsid w:val="0000233D"/>
    <w:rsid w:val="000025B3"/>
    <w:rsid w:val="000030BF"/>
    <w:rsid w:val="00003C08"/>
    <w:rsid w:val="00003F6F"/>
    <w:rsid w:val="0000436A"/>
    <w:rsid w:val="00004EC0"/>
    <w:rsid w:val="00004F5E"/>
    <w:rsid w:val="000061F1"/>
    <w:rsid w:val="000068A3"/>
    <w:rsid w:val="00006F53"/>
    <w:rsid w:val="00010340"/>
    <w:rsid w:val="00010757"/>
    <w:rsid w:val="00011805"/>
    <w:rsid w:val="00011B4B"/>
    <w:rsid w:val="00012859"/>
    <w:rsid w:val="000128E4"/>
    <w:rsid w:val="000130EA"/>
    <w:rsid w:val="0001318B"/>
    <w:rsid w:val="00013713"/>
    <w:rsid w:val="000138BC"/>
    <w:rsid w:val="00013DDF"/>
    <w:rsid w:val="00013FF4"/>
    <w:rsid w:val="0001455F"/>
    <w:rsid w:val="00015111"/>
    <w:rsid w:val="000153EC"/>
    <w:rsid w:val="000176FE"/>
    <w:rsid w:val="00017E92"/>
    <w:rsid w:val="000206C1"/>
    <w:rsid w:val="000206F5"/>
    <w:rsid w:val="00020A17"/>
    <w:rsid w:val="00020D51"/>
    <w:rsid w:val="00020EF6"/>
    <w:rsid w:val="000217C8"/>
    <w:rsid w:val="00022783"/>
    <w:rsid w:val="000229FA"/>
    <w:rsid w:val="00023A4A"/>
    <w:rsid w:val="00023ECA"/>
    <w:rsid w:val="000247E4"/>
    <w:rsid w:val="00024EC2"/>
    <w:rsid w:val="00024EE0"/>
    <w:rsid w:val="00025F1C"/>
    <w:rsid w:val="000274D4"/>
    <w:rsid w:val="0003005D"/>
    <w:rsid w:val="00030228"/>
    <w:rsid w:val="00030A66"/>
    <w:rsid w:val="0003159B"/>
    <w:rsid w:val="000315CB"/>
    <w:rsid w:val="00031C9F"/>
    <w:rsid w:val="00032842"/>
    <w:rsid w:val="00032896"/>
    <w:rsid w:val="00032BD3"/>
    <w:rsid w:val="00033621"/>
    <w:rsid w:val="00033DB4"/>
    <w:rsid w:val="000349ED"/>
    <w:rsid w:val="000359A5"/>
    <w:rsid w:val="00037364"/>
    <w:rsid w:val="000375E9"/>
    <w:rsid w:val="00040C4D"/>
    <w:rsid w:val="00040FCE"/>
    <w:rsid w:val="00041065"/>
    <w:rsid w:val="000424B0"/>
    <w:rsid w:val="0004349E"/>
    <w:rsid w:val="0004433E"/>
    <w:rsid w:val="000444EF"/>
    <w:rsid w:val="00045116"/>
    <w:rsid w:val="00045500"/>
    <w:rsid w:val="00045531"/>
    <w:rsid w:val="000458F6"/>
    <w:rsid w:val="000468CE"/>
    <w:rsid w:val="00046FD4"/>
    <w:rsid w:val="00047139"/>
    <w:rsid w:val="00047279"/>
    <w:rsid w:val="0004765F"/>
    <w:rsid w:val="00050542"/>
    <w:rsid w:val="00050891"/>
    <w:rsid w:val="00051285"/>
    <w:rsid w:val="000514AD"/>
    <w:rsid w:val="000514D8"/>
    <w:rsid w:val="00051E36"/>
    <w:rsid w:val="00052FEA"/>
    <w:rsid w:val="00053578"/>
    <w:rsid w:val="00053787"/>
    <w:rsid w:val="0005416C"/>
    <w:rsid w:val="00054EC2"/>
    <w:rsid w:val="0005580F"/>
    <w:rsid w:val="0005614F"/>
    <w:rsid w:val="000564B4"/>
    <w:rsid w:val="0005782C"/>
    <w:rsid w:val="0006043B"/>
    <w:rsid w:val="00060A70"/>
    <w:rsid w:val="000616B5"/>
    <w:rsid w:val="0006180D"/>
    <w:rsid w:val="00061A39"/>
    <w:rsid w:val="00061C96"/>
    <w:rsid w:val="00061DB0"/>
    <w:rsid w:val="00062896"/>
    <w:rsid w:val="00062F72"/>
    <w:rsid w:val="00063BDC"/>
    <w:rsid w:val="00063D3A"/>
    <w:rsid w:val="00064706"/>
    <w:rsid w:val="00065D04"/>
    <w:rsid w:val="000660DD"/>
    <w:rsid w:val="0006664C"/>
    <w:rsid w:val="000668E1"/>
    <w:rsid w:val="00066962"/>
    <w:rsid w:val="00066BD0"/>
    <w:rsid w:val="00066F1A"/>
    <w:rsid w:val="0006762C"/>
    <w:rsid w:val="0007083C"/>
    <w:rsid w:val="000708E6"/>
    <w:rsid w:val="00070A79"/>
    <w:rsid w:val="000712F4"/>
    <w:rsid w:val="000718E6"/>
    <w:rsid w:val="0007259C"/>
    <w:rsid w:val="00072703"/>
    <w:rsid w:val="000728FB"/>
    <w:rsid w:val="0007297B"/>
    <w:rsid w:val="000730DF"/>
    <w:rsid w:val="00073B88"/>
    <w:rsid w:val="000745E7"/>
    <w:rsid w:val="00074864"/>
    <w:rsid w:val="00074AF6"/>
    <w:rsid w:val="000752DA"/>
    <w:rsid w:val="000755A5"/>
    <w:rsid w:val="00075BE3"/>
    <w:rsid w:val="00076770"/>
    <w:rsid w:val="000768D2"/>
    <w:rsid w:val="00076B60"/>
    <w:rsid w:val="000803FB"/>
    <w:rsid w:val="00080576"/>
    <w:rsid w:val="00080C77"/>
    <w:rsid w:val="00080CA0"/>
    <w:rsid w:val="00080FF0"/>
    <w:rsid w:val="0008129A"/>
    <w:rsid w:val="00082CB8"/>
    <w:rsid w:val="00083281"/>
    <w:rsid w:val="00083955"/>
    <w:rsid w:val="00084147"/>
    <w:rsid w:val="000843C1"/>
    <w:rsid w:val="0008462D"/>
    <w:rsid w:val="00084845"/>
    <w:rsid w:val="00084D76"/>
    <w:rsid w:val="0008529E"/>
    <w:rsid w:val="00085F57"/>
    <w:rsid w:val="00085F95"/>
    <w:rsid w:val="00086B83"/>
    <w:rsid w:val="000871C0"/>
    <w:rsid w:val="00087E86"/>
    <w:rsid w:val="00090D5C"/>
    <w:rsid w:val="0009107F"/>
    <w:rsid w:val="00091130"/>
    <w:rsid w:val="00091158"/>
    <w:rsid w:val="00091323"/>
    <w:rsid w:val="000924EF"/>
    <w:rsid w:val="00092550"/>
    <w:rsid w:val="00092F86"/>
    <w:rsid w:val="000930C5"/>
    <w:rsid w:val="000936C0"/>
    <w:rsid w:val="00093A9A"/>
    <w:rsid w:val="00094297"/>
    <w:rsid w:val="00094D4B"/>
    <w:rsid w:val="00095BB4"/>
    <w:rsid w:val="00096BC6"/>
    <w:rsid w:val="00097074"/>
    <w:rsid w:val="000A0EBE"/>
    <w:rsid w:val="000A1B57"/>
    <w:rsid w:val="000A1C6D"/>
    <w:rsid w:val="000A1F4B"/>
    <w:rsid w:val="000A218C"/>
    <w:rsid w:val="000A23FD"/>
    <w:rsid w:val="000A2781"/>
    <w:rsid w:val="000A29F5"/>
    <w:rsid w:val="000A2B15"/>
    <w:rsid w:val="000A3594"/>
    <w:rsid w:val="000A4D3E"/>
    <w:rsid w:val="000A5242"/>
    <w:rsid w:val="000A5D72"/>
    <w:rsid w:val="000A78E5"/>
    <w:rsid w:val="000A7A8A"/>
    <w:rsid w:val="000B005F"/>
    <w:rsid w:val="000B063E"/>
    <w:rsid w:val="000B077C"/>
    <w:rsid w:val="000B0CAA"/>
    <w:rsid w:val="000B2313"/>
    <w:rsid w:val="000B2B45"/>
    <w:rsid w:val="000B325A"/>
    <w:rsid w:val="000B3946"/>
    <w:rsid w:val="000B3CED"/>
    <w:rsid w:val="000B3E97"/>
    <w:rsid w:val="000B3ECC"/>
    <w:rsid w:val="000B48E1"/>
    <w:rsid w:val="000B655D"/>
    <w:rsid w:val="000B7F36"/>
    <w:rsid w:val="000C0414"/>
    <w:rsid w:val="000C08D7"/>
    <w:rsid w:val="000C0CCF"/>
    <w:rsid w:val="000C1841"/>
    <w:rsid w:val="000C1BBC"/>
    <w:rsid w:val="000C2413"/>
    <w:rsid w:val="000C2945"/>
    <w:rsid w:val="000C43E0"/>
    <w:rsid w:val="000C4EE3"/>
    <w:rsid w:val="000C4FF8"/>
    <w:rsid w:val="000C5479"/>
    <w:rsid w:val="000C5E75"/>
    <w:rsid w:val="000C6858"/>
    <w:rsid w:val="000C6989"/>
    <w:rsid w:val="000C7B82"/>
    <w:rsid w:val="000C7D42"/>
    <w:rsid w:val="000D0146"/>
    <w:rsid w:val="000D070E"/>
    <w:rsid w:val="000D0842"/>
    <w:rsid w:val="000D10C5"/>
    <w:rsid w:val="000D134D"/>
    <w:rsid w:val="000D1A7A"/>
    <w:rsid w:val="000D2C4D"/>
    <w:rsid w:val="000D2F3D"/>
    <w:rsid w:val="000D3386"/>
    <w:rsid w:val="000D38CD"/>
    <w:rsid w:val="000D4782"/>
    <w:rsid w:val="000D4969"/>
    <w:rsid w:val="000D4DFA"/>
    <w:rsid w:val="000D5A25"/>
    <w:rsid w:val="000D5D3B"/>
    <w:rsid w:val="000D619E"/>
    <w:rsid w:val="000D64B6"/>
    <w:rsid w:val="000D69F3"/>
    <w:rsid w:val="000D7660"/>
    <w:rsid w:val="000E03F0"/>
    <w:rsid w:val="000E1198"/>
    <w:rsid w:val="000E13D4"/>
    <w:rsid w:val="000E1B22"/>
    <w:rsid w:val="000E2938"/>
    <w:rsid w:val="000E2A76"/>
    <w:rsid w:val="000E30DA"/>
    <w:rsid w:val="000E3604"/>
    <w:rsid w:val="000E3950"/>
    <w:rsid w:val="000E503C"/>
    <w:rsid w:val="000E5740"/>
    <w:rsid w:val="000E58AA"/>
    <w:rsid w:val="000E5900"/>
    <w:rsid w:val="000F0365"/>
    <w:rsid w:val="000F04ED"/>
    <w:rsid w:val="000F0B1F"/>
    <w:rsid w:val="000F2A1A"/>
    <w:rsid w:val="000F34B3"/>
    <w:rsid w:val="000F39F1"/>
    <w:rsid w:val="000F3FB1"/>
    <w:rsid w:val="000F442B"/>
    <w:rsid w:val="000F47A7"/>
    <w:rsid w:val="000F6415"/>
    <w:rsid w:val="000F6511"/>
    <w:rsid w:val="000F6913"/>
    <w:rsid w:val="000F735C"/>
    <w:rsid w:val="00100F16"/>
    <w:rsid w:val="00101B17"/>
    <w:rsid w:val="0010242D"/>
    <w:rsid w:val="00102585"/>
    <w:rsid w:val="0010272B"/>
    <w:rsid w:val="0010429C"/>
    <w:rsid w:val="001054AB"/>
    <w:rsid w:val="001061A3"/>
    <w:rsid w:val="0010666E"/>
    <w:rsid w:val="00106A5D"/>
    <w:rsid w:val="00107468"/>
    <w:rsid w:val="00107817"/>
    <w:rsid w:val="00107A20"/>
    <w:rsid w:val="00107E60"/>
    <w:rsid w:val="001104FC"/>
    <w:rsid w:val="001110EB"/>
    <w:rsid w:val="00111728"/>
    <w:rsid w:val="0011231D"/>
    <w:rsid w:val="001124DC"/>
    <w:rsid w:val="0011269C"/>
    <w:rsid w:val="00112814"/>
    <w:rsid w:val="00112A7F"/>
    <w:rsid w:val="001133E4"/>
    <w:rsid w:val="00113428"/>
    <w:rsid w:val="00113AFD"/>
    <w:rsid w:val="00113D71"/>
    <w:rsid w:val="00114242"/>
    <w:rsid w:val="0011479B"/>
    <w:rsid w:val="00114CDF"/>
    <w:rsid w:val="00117495"/>
    <w:rsid w:val="00117EF1"/>
    <w:rsid w:val="00117EFA"/>
    <w:rsid w:val="001205C5"/>
    <w:rsid w:val="001207B6"/>
    <w:rsid w:val="00121022"/>
    <w:rsid w:val="001216D2"/>
    <w:rsid w:val="00121F4A"/>
    <w:rsid w:val="00123AEE"/>
    <w:rsid w:val="001241EB"/>
    <w:rsid w:val="00124966"/>
    <w:rsid w:val="00124C9A"/>
    <w:rsid w:val="00124D72"/>
    <w:rsid w:val="00125186"/>
    <w:rsid w:val="00125697"/>
    <w:rsid w:val="00125DD8"/>
    <w:rsid w:val="001263B4"/>
    <w:rsid w:val="00126476"/>
    <w:rsid w:val="0012675B"/>
    <w:rsid w:val="00126D0B"/>
    <w:rsid w:val="00127524"/>
    <w:rsid w:val="00127CC6"/>
    <w:rsid w:val="001301C5"/>
    <w:rsid w:val="00131032"/>
    <w:rsid w:val="00131E6F"/>
    <w:rsid w:val="00132321"/>
    <w:rsid w:val="001324D6"/>
    <w:rsid w:val="001329DD"/>
    <w:rsid w:val="00132CB8"/>
    <w:rsid w:val="00133392"/>
    <w:rsid w:val="00133551"/>
    <w:rsid w:val="0013395D"/>
    <w:rsid w:val="00133A6C"/>
    <w:rsid w:val="00133D4C"/>
    <w:rsid w:val="00133E77"/>
    <w:rsid w:val="0013410F"/>
    <w:rsid w:val="001343C9"/>
    <w:rsid w:val="00134570"/>
    <w:rsid w:val="00135303"/>
    <w:rsid w:val="00135766"/>
    <w:rsid w:val="00135DC1"/>
    <w:rsid w:val="00135EF2"/>
    <w:rsid w:val="001365F2"/>
    <w:rsid w:val="001372B1"/>
    <w:rsid w:val="001372BF"/>
    <w:rsid w:val="00140581"/>
    <w:rsid w:val="00141368"/>
    <w:rsid w:val="00141788"/>
    <w:rsid w:val="00141914"/>
    <w:rsid w:val="00142CBD"/>
    <w:rsid w:val="0014339A"/>
    <w:rsid w:val="00143FD1"/>
    <w:rsid w:val="001442F1"/>
    <w:rsid w:val="00144847"/>
    <w:rsid w:val="00144D56"/>
    <w:rsid w:val="00145041"/>
    <w:rsid w:val="00145575"/>
    <w:rsid w:val="00145FC9"/>
    <w:rsid w:val="001461C7"/>
    <w:rsid w:val="001464D3"/>
    <w:rsid w:val="0014729C"/>
    <w:rsid w:val="001506D0"/>
    <w:rsid w:val="0015081E"/>
    <w:rsid w:val="00151C55"/>
    <w:rsid w:val="00151C78"/>
    <w:rsid w:val="0015264B"/>
    <w:rsid w:val="0015323C"/>
    <w:rsid w:val="00153FC3"/>
    <w:rsid w:val="00155E16"/>
    <w:rsid w:val="00155F00"/>
    <w:rsid w:val="0015664B"/>
    <w:rsid w:val="00156CD0"/>
    <w:rsid w:val="00156FC2"/>
    <w:rsid w:val="001573DB"/>
    <w:rsid w:val="00157A66"/>
    <w:rsid w:val="00157CE4"/>
    <w:rsid w:val="001602BD"/>
    <w:rsid w:val="001607E6"/>
    <w:rsid w:val="00161EB3"/>
    <w:rsid w:val="0016201F"/>
    <w:rsid w:val="00162591"/>
    <w:rsid w:val="0016310C"/>
    <w:rsid w:val="0016340F"/>
    <w:rsid w:val="00163623"/>
    <w:rsid w:val="001638A3"/>
    <w:rsid w:val="00163C26"/>
    <w:rsid w:val="00163E8C"/>
    <w:rsid w:val="00163FC9"/>
    <w:rsid w:val="0016476E"/>
    <w:rsid w:val="00164CE5"/>
    <w:rsid w:val="0016567B"/>
    <w:rsid w:val="00165AC3"/>
    <w:rsid w:val="00165B5F"/>
    <w:rsid w:val="00165F64"/>
    <w:rsid w:val="00166571"/>
    <w:rsid w:val="00166A0A"/>
    <w:rsid w:val="0016710A"/>
    <w:rsid w:val="00167568"/>
    <w:rsid w:val="0016778A"/>
    <w:rsid w:val="00167C67"/>
    <w:rsid w:val="001702C9"/>
    <w:rsid w:val="00170E81"/>
    <w:rsid w:val="00171A43"/>
    <w:rsid w:val="0017222D"/>
    <w:rsid w:val="00172282"/>
    <w:rsid w:val="001725C6"/>
    <w:rsid w:val="00172E2A"/>
    <w:rsid w:val="0017384B"/>
    <w:rsid w:val="00173CB0"/>
    <w:rsid w:val="001744DC"/>
    <w:rsid w:val="001754E4"/>
    <w:rsid w:val="00175E9D"/>
    <w:rsid w:val="00175EB7"/>
    <w:rsid w:val="00176502"/>
    <w:rsid w:val="00176D98"/>
    <w:rsid w:val="00176E9B"/>
    <w:rsid w:val="00177375"/>
    <w:rsid w:val="00181350"/>
    <w:rsid w:val="00181763"/>
    <w:rsid w:val="001819AC"/>
    <w:rsid w:val="00182808"/>
    <w:rsid w:val="00182F2B"/>
    <w:rsid w:val="001834B9"/>
    <w:rsid w:val="00183FB2"/>
    <w:rsid w:val="0018468A"/>
    <w:rsid w:val="00187517"/>
    <w:rsid w:val="001901A3"/>
    <w:rsid w:val="001902E9"/>
    <w:rsid w:val="00190316"/>
    <w:rsid w:val="00190C23"/>
    <w:rsid w:val="00191778"/>
    <w:rsid w:val="0019232C"/>
    <w:rsid w:val="00192690"/>
    <w:rsid w:val="001930C1"/>
    <w:rsid w:val="00193838"/>
    <w:rsid w:val="00193A99"/>
    <w:rsid w:val="00194744"/>
    <w:rsid w:val="001950E5"/>
    <w:rsid w:val="0019513D"/>
    <w:rsid w:val="00195A0F"/>
    <w:rsid w:val="00195BCA"/>
    <w:rsid w:val="00195DE8"/>
    <w:rsid w:val="0019634E"/>
    <w:rsid w:val="0019683D"/>
    <w:rsid w:val="00196C56"/>
    <w:rsid w:val="001970C2"/>
    <w:rsid w:val="00197456"/>
    <w:rsid w:val="00197AE4"/>
    <w:rsid w:val="001A0DEC"/>
    <w:rsid w:val="001A10AE"/>
    <w:rsid w:val="001A150A"/>
    <w:rsid w:val="001A159C"/>
    <w:rsid w:val="001A171F"/>
    <w:rsid w:val="001A1ADF"/>
    <w:rsid w:val="001A204D"/>
    <w:rsid w:val="001A225C"/>
    <w:rsid w:val="001A2C9C"/>
    <w:rsid w:val="001A6B0D"/>
    <w:rsid w:val="001A7880"/>
    <w:rsid w:val="001A7903"/>
    <w:rsid w:val="001A7C8A"/>
    <w:rsid w:val="001A7F66"/>
    <w:rsid w:val="001B0332"/>
    <w:rsid w:val="001B0879"/>
    <w:rsid w:val="001B0EBC"/>
    <w:rsid w:val="001B16FB"/>
    <w:rsid w:val="001B19BA"/>
    <w:rsid w:val="001B1E48"/>
    <w:rsid w:val="001B2747"/>
    <w:rsid w:val="001B3142"/>
    <w:rsid w:val="001B4AB2"/>
    <w:rsid w:val="001B5599"/>
    <w:rsid w:val="001B5AD6"/>
    <w:rsid w:val="001B6063"/>
    <w:rsid w:val="001B6844"/>
    <w:rsid w:val="001B6D70"/>
    <w:rsid w:val="001B733C"/>
    <w:rsid w:val="001C15E1"/>
    <w:rsid w:val="001C1627"/>
    <w:rsid w:val="001C27DA"/>
    <w:rsid w:val="001C2B7D"/>
    <w:rsid w:val="001C3469"/>
    <w:rsid w:val="001C34CF"/>
    <w:rsid w:val="001C368F"/>
    <w:rsid w:val="001C4043"/>
    <w:rsid w:val="001C4988"/>
    <w:rsid w:val="001C4A0C"/>
    <w:rsid w:val="001C4A99"/>
    <w:rsid w:val="001C5004"/>
    <w:rsid w:val="001C5055"/>
    <w:rsid w:val="001C55EB"/>
    <w:rsid w:val="001C6606"/>
    <w:rsid w:val="001C6A55"/>
    <w:rsid w:val="001C6E07"/>
    <w:rsid w:val="001D0348"/>
    <w:rsid w:val="001D096E"/>
    <w:rsid w:val="001D0D2C"/>
    <w:rsid w:val="001D1203"/>
    <w:rsid w:val="001D1586"/>
    <w:rsid w:val="001D17FB"/>
    <w:rsid w:val="001D22E2"/>
    <w:rsid w:val="001D3826"/>
    <w:rsid w:val="001D3E79"/>
    <w:rsid w:val="001D422D"/>
    <w:rsid w:val="001D42CD"/>
    <w:rsid w:val="001D471E"/>
    <w:rsid w:val="001D4FA2"/>
    <w:rsid w:val="001D6298"/>
    <w:rsid w:val="001D66B8"/>
    <w:rsid w:val="001D66ED"/>
    <w:rsid w:val="001D7287"/>
    <w:rsid w:val="001D72E3"/>
    <w:rsid w:val="001D7752"/>
    <w:rsid w:val="001D7DF9"/>
    <w:rsid w:val="001E1B21"/>
    <w:rsid w:val="001E1C18"/>
    <w:rsid w:val="001E1CB5"/>
    <w:rsid w:val="001E2423"/>
    <w:rsid w:val="001E255B"/>
    <w:rsid w:val="001E27B5"/>
    <w:rsid w:val="001E2FCE"/>
    <w:rsid w:val="001E309B"/>
    <w:rsid w:val="001E3B52"/>
    <w:rsid w:val="001E42AB"/>
    <w:rsid w:val="001E4517"/>
    <w:rsid w:val="001E4968"/>
    <w:rsid w:val="001E5981"/>
    <w:rsid w:val="001E5B2D"/>
    <w:rsid w:val="001E63DC"/>
    <w:rsid w:val="001E67D7"/>
    <w:rsid w:val="001E6818"/>
    <w:rsid w:val="001E7028"/>
    <w:rsid w:val="001E72C6"/>
    <w:rsid w:val="001E7407"/>
    <w:rsid w:val="001E7F6E"/>
    <w:rsid w:val="001F10A2"/>
    <w:rsid w:val="001F1856"/>
    <w:rsid w:val="001F1E1F"/>
    <w:rsid w:val="001F2155"/>
    <w:rsid w:val="001F231F"/>
    <w:rsid w:val="001F268C"/>
    <w:rsid w:val="001F3D31"/>
    <w:rsid w:val="001F411C"/>
    <w:rsid w:val="001F4A76"/>
    <w:rsid w:val="001F4AE8"/>
    <w:rsid w:val="001F5732"/>
    <w:rsid w:val="001F597C"/>
    <w:rsid w:val="001F6D25"/>
    <w:rsid w:val="001F7EF4"/>
    <w:rsid w:val="0020107A"/>
    <w:rsid w:val="00201581"/>
    <w:rsid w:val="0020193C"/>
    <w:rsid w:val="00201954"/>
    <w:rsid w:val="00201B20"/>
    <w:rsid w:val="00201BFC"/>
    <w:rsid w:val="00202022"/>
    <w:rsid w:val="0020273A"/>
    <w:rsid w:val="00202BE6"/>
    <w:rsid w:val="00203278"/>
    <w:rsid w:val="0020329A"/>
    <w:rsid w:val="00203505"/>
    <w:rsid w:val="0020361E"/>
    <w:rsid w:val="00203AE8"/>
    <w:rsid w:val="00206D50"/>
    <w:rsid w:val="002109AA"/>
    <w:rsid w:val="0021184F"/>
    <w:rsid w:val="002125C1"/>
    <w:rsid w:val="00212CEE"/>
    <w:rsid w:val="00213FFB"/>
    <w:rsid w:val="00214264"/>
    <w:rsid w:val="002147AD"/>
    <w:rsid w:val="00214E61"/>
    <w:rsid w:val="00215A71"/>
    <w:rsid w:val="0021611E"/>
    <w:rsid w:val="00217702"/>
    <w:rsid w:val="00220105"/>
    <w:rsid w:val="002205C1"/>
    <w:rsid w:val="002216CF"/>
    <w:rsid w:val="00221CC6"/>
    <w:rsid w:val="00222CD1"/>
    <w:rsid w:val="002237CB"/>
    <w:rsid w:val="00224674"/>
    <w:rsid w:val="002247D2"/>
    <w:rsid w:val="00225090"/>
    <w:rsid w:val="0022512C"/>
    <w:rsid w:val="002267CD"/>
    <w:rsid w:val="00226B23"/>
    <w:rsid w:val="00226CBA"/>
    <w:rsid w:val="00226E43"/>
    <w:rsid w:val="00227A71"/>
    <w:rsid w:val="00230764"/>
    <w:rsid w:val="002310A4"/>
    <w:rsid w:val="00231117"/>
    <w:rsid w:val="00231393"/>
    <w:rsid w:val="0023189D"/>
    <w:rsid w:val="002320C2"/>
    <w:rsid w:val="00232661"/>
    <w:rsid w:val="002356D3"/>
    <w:rsid w:val="002367E2"/>
    <w:rsid w:val="00241069"/>
    <w:rsid w:val="002414DA"/>
    <w:rsid w:val="002419C8"/>
    <w:rsid w:val="00241EDB"/>
    <w:rsid w:val="00242362"/>
    <w:rsid w:val="00243F9B"/>
    <w:rsid w:val="00244537"/>
    <w:rsid w:val="00244CF3"/>
    <w:rsid w:val="0024502F"/>
    <w:rsid w:val="00245923"/>
    <w:rsid w:val="0024600D"/>
    <w:rsid w:val="00246245"/>
    <w:rsid w:val="002468E7"/>
    <w:rsid w:val="002471ED"/>
    <w:rsid w:val="002476DD"/>
    <w:rsid w:val="0025043D"/>
    <w:rsid w:val="00250667"/>
    <w:rsid w:val="00250F53"/>
    <w:rsid w:val="00251E54"/>
    <w:rsid w:val="00252009"/>
    <w:rsid w:val="0025206F"/>
    <w:rsid w:val="00252483"/>
    <w:rsid w:val="00252C90"/>
    <w:rsid w:val="00253EF8"/>
    <w:rsid w:val="00253F94"/>
    <w:rsid w:val="002544C2"/>
    <w:rsid w:val="00254DBA"/>
    <w:rsid w:val="00255803"/>
    <w:rsid w:val="002559A7"/>
    <w:rsid w:val="00256818"/>
    <w:rsid w:val="00256B6F"/>
    <w:rsid w:val="00256D17"/>
    <w:rsid w:val="0025703B"/>
    <w:rsid w:val="00257309"/>
    <w:rsid w:val="00257BB9"/>
    <w:rsid w:val="00260163"/>
    <w:rsid w:val="00260983"/>
    <w:rsid w:val="00260D77"/>
    <w:rsid w:val="00260F5B"/>
    <w:rsid w:val="002615F9"/>
    <w:rsid w:val="00261927"/>
    <w:rsid w:val="002627A1"/>
    <w:rsid w:val="0026326F"/>
    <w:rsid w:val="0026365B"/>
    <w:rsid w:val="0026375A"/>
    <w:rsid w:val="00263BBC"/>
    <w:rsid w:val="0026509A"/>
    <w:rsid w:val="00265B34"/>
    <w:rsid w:val="00265F13"/>
    <w:rsid w:val="00267A2E"/>
    <w:rsid w:val="00267F7A"/>
    <w:rsid w:val="002708E1"/>
    <w:rsid w:val="002717ED"/>
    <w:rsid w:val="00271E85"/>
    <w:rsid w:val="00271EB2"/>
    <w:rsid w:val="00271F28"/>
    <w:rsid w:val="00272545"/>
    <w:rsid w:val="0027354A"/>
    <w:rsid w:val="00273D11"/>
    <w:rsid w:val="002743EF"/>
    <w:rsid w:val="00274876"/>
    <w:rsid w:val="00274EBB"/>
    <w:rsid w:val="00275FB1"/>
    <w:rsid w:val="00276F09"/>
    <w:rsid w:val="0027713E"/>
    <w:rsid w:val="0027722F"/>
    <w:rsid w:val="00277BFD"/>
    <w:rsid w:val="002803DC"/>
    <w:rsid w:val="002809FE"/>
    <w:rsid w:val="00281106"/>
    <w:rsid w:val="002811A2"/>
    <w:rsid w:val="0028224B"/>
    <w:rsid w:val="0028265E"/>
    <w:rsid w:val="00282E5D"/>
    <w:rsid w:val="00282E87"/>
    <w:rsid w:val="002832E9"/>
    <w:rsid w:val="002833B9"/>
    <w:rsid w:val="002835A3"/>
    <w:rsid w:val="002849FB"/>
    <w:rsid w:val="0028507E"/>
    <w:rsid w:val="00285085"/>
    <w:rsid w:val="00285963"/>
    <w:rsid w:val="0028659E"/>
    <w:rsid w:val="00286F46"/>
    <w:rsid w:val="00287068"/>
    <w:rsid w:val="00287C07"/>
    <w:rsid w:val="00290D07"/>
    <w:rsid w:val="0029155F"/>
    <w:rsid w:val="00291FE9"/>
    <w:rsid w:val="00292F04"/>
    <w:rsid w:val="00293D8B"/>
    <w:rsid w:val="00294237"/>
    <w:rsid w:val="00294C58"/>
    <w:rsid w:val="002969C5"/>
    <w:rsid w:val="00296E40"/>
    <w:rsid w:val="002A0B1E"/>
    <w:rsid w:val="002A1201"/>
    <w:rsid w:val="002A17E8"/>
    <w:rsid w:val="002A1C40"/>
    <w:rsid w:val="002A2BB6"/>
    <w:rsid w:val="002A2F70"/>
    <w:rsid w:val="002A34E0"/>
    <w:rsid w:val="002A361F"/>
    <w:rsid w:val="002A3B9B"/>
    <w:rsid w:val="002A3DA9"/>
    <w:rsid w:val="002A3F36"/>
    <w:rsid w:val="002A402D"/>
    <w:rsid w:val="002A4407"/>
    <w:rsid w:val="002A4ABA"/>
    <w:rsid w:val="002A50CC"/>
    <w:rsid w:val="002A5111"/>
    <w:rsid w:val="002A55E7"/>
    <w:rsid w:val="002A6B0C"/>
    <w:rsid w:val="002B0D46"/>
    <w:rsid w:val="002B0DD6"/>
    <w:rsid w:val="002B271A"/>
    <w:rsid w:val="002B277D"/>
    <w:rsid w:val="002B310E"/>
    <w:rsid w:val="002B3CB3"/>
    <w:rsid w:val="002B4321"/>
    <w:rsid w:val="002B47DC"/>
    <w:rsid w:val="002B5C91"/>
    <w:rsid w:val="002B6851"/>
    <w:rsid w:val="002B6A7E"/>
    <w:rsid w:val="002B6C3E"/>
    <w:rsid w:val="002B6C67"/>
    <w:rsid w:val="002B7990"/>
    <w:rsid w:val="002C0688"/>
    <w:rsid w:val="002C0780"/>
    <w:rsid w:val="002C099D"/>
    <w:rsid w:val="002C1128"/>
    <w:rsid w:val="002C1A73"/>
    <w:rsid w:val="002C3144"/>
    <w:rsid w:val="002C3A72"/>
    <w:rsid w:val="002C3E84"/>
    <w:rsid w:val="002C531D"/>
    <w:rsid w:val="002C532C"/>
    <w:rsid w:val="002C5BF4"/>
    <w:rsid w:val="002C6C30"/>
    <w:rsid w:val="002C6C55"/>
    <w:rsid w:val="002C6E61"/>
    <w:rsid w:val="002C7A0C"/>
    <w:rsid w:val="002C7E80"/>
    <w:rsid w:val="002D00A6"/>
    <w:rsid w:val="002D1582"/>
    <w:rsid w:val="002D1C5E"/>
    <w:rsid w:val="002D1D26"/>
    <w:rsid w:val="002D253D"/>
    <w:rsid w:val="002D280E"/>
    <w:rsid w:val="002D2F34"/>
    <w:rsid w:val="002D4174"/>
    <w:rsid w:val="002D4B2D"/>
    <w:rsid w:val="002D53B8"/>
    <w:rsid w:val="002D5613"/>
    <w:rsid w:val="002D5671"/>
    <w:rsid w:val="002D5731"/>
    <w:rsid w:val="002D5B83"/>
    <w:rsid w:val="002D5DAE"/>
    <w:rsid w:val="002D6195"/>
    <w:rsid w:val="002D63A8"/>
    <w:rsid w:val="002D733C"/>
    <w:rsid w:val="002E0391"/>
    <w:rsid w:val="002E0ECB"/>
    <w:rsid w:val="002E1061"/>
    <w:rsid w:val="002E12C7"/>
    <w:rsid w:val="002E17BF"/>
    <w:rsid w:val="002E1E20"/>
    <w:rsid w:val="002E2136"/>
    <w:rsid w:val="002E2859"/>
    <w:rsid w:val="002E2B1B"/>
    <w:rsid w:val="002E3389"/>
    <w:rsid w:val="002E35E0"/>
    <w:rsid w:val="002E433E"/>
    <w:rsid w:val="002E51D8"/>
    <w:rsid w:val="002E5543"/>
    <w:rsid w:val="002E5B8C"/>
    <w:rsid w:val="002E6000"/>
    <w:rsid w:val="002E6072"/>
    <w:rsid w:val="002E646C"/>
    <w:rsid w:val="002E6598"/>
    <w:rsid w:val="002E6EAD"/>
    <w:rsid w:val="002E72BD"/>
    <w:rsid w:val="002E75DF"/>
    <w:rsid w:val="002E7918"/>
    <w:rsid w:val="002F135B"/>
    <w:rsid w:val="002F1EFB"/>
    <w:rsid w:val="002F300F"/>
    <w:rsid w:val="002F3811"/>
    <w:rsid w:val="002F3F4E"/>
    <w:rsid w:val="002F410C"/>
    <w:rsid w:val="002F6056"/>
    <w:rsid w:val="002F6271"/>
    <w:rsid w:val="002F6CC7"/>
    <w:rsid w:val="002F7D04"/>
    <w:rsid w:val="002F7FF0"/>
    <w:rsid w:val="00300464"/>
    <w:rsid w:val="003009BA"/>
    <w:rsid w:val="00300CFA"/>
    <w:rsid w:val="00301854"/>
    <w:rsid w:val="00304DD4"/>
    <w:rsid w:val="00305602"/>
    <w:rsid w:val="003059F2"/>
    <w:rsid w:val="00305EA9"/>
    <w:rsid w:val="00310193"/>
    <w:rsid w:val="00310659"/>
    <w:rsid w:val="00310FB5"/>
    <w:rsid w:val="00311067"/>
    <w:rsid w:val="00311A5F"/>
    <w:rsid w:val="00311F11"/>
    <w:rsid w:val="00312D10"/>
    <w:rsid w:val="003147E7"/>
    <w:rsid w:val="003147E8"/>
    <w:rsid w:val="003150F0"/>
    <w:rsid w:val="00315A70"/>
    <w:rsid w:val="0031761D"/>
    <w:rsid w:val="00320A5E"/>
    <w:rsid w:val="0032102E"/>
    <w:rsid w:val="003214B7"/>
    <w:rsid w:val="00321572"/>
    <w:rsid w:val="003215DA"/>
    <w:rsid w:val="0032175A"/>
    <w:rsid w:val="0032373B"/>
    <w:rsid w:val="00324BF6"/>
    <w:rsid w:val="00324C1F"/>
    <w:rsid w:val="00324D15"/>
    <w:rsid w:val="0032533A"/>
    <w:rsid w:val="00325A78"/>
    <w:rsid w:val="00326065"/>
    <w:rsid w:val="003266B8"/>
    <w:rsid w:val="00326C86"/>
    <w:rsid w:val="00326DF8"/>
    <w:rsid w:val="00327213"/>
    <w:rsid w:val="0032780F"/>
    <w:rsid w:val="00327D9F"/>
    <w:rsid w:val="00327E66"/>
    <w:rsid w:val="0033297F"/>
    <w:rsid w:val="00332FD4"/>
    <w:rsid w:val="003335E7"/>
    <w:rsid w:val="003349D5"/>
    <w:rsid w:val="0033580E"/>
    <w:rsid w:val="00335ECD"/>
    <w:rsid w:val="0033635C"/>
    <w:rsid w:val="00336786"/>
    <w:rsid w:val="003367D2"/>
    <w:rsid w:val="00337B2F"/>
    <w:rsid w:val="003409FB"/>
    <w:rsid w:val="003416AD"/>
    <w:rsid w:val="00341706"/>
    <w:rsid w:val="00341C16"/>
    <w:rsid w:val="003424AE"/>
    <w:rsid w:val="00342ECF"/>
    <w:rsid w:val="0034315D"/>
    <w:rsid w:val="00343702"/>
    <w:rsid w:val="00344ADF"/>
    <w:rsid w:val="00345000"/>
    <w:rsid w:val="00345306"/>
    <w:rsid w:val="00346DAE"/>
    <w:rsid w:val="003479F2"/>
    <w:rsid w:val="00347B47"/>
    <w:rsid w:val="0035029F"/>
    <w:rsid w:val="003504E5"/>
    <w:rsid w:val="00350831"/>
    <w:rsid w:val="003510B2"/>
    <w:rsid w:val="00352772"/>
    <w:rsid w:val="00353FC9"/>
    <w:rsid w:val="003542E1"/>
    <w:rsid w:val="003542EC"/>
    <w:rsid w:val="0035448E"/>
    <w:rsid w:val="003564B1"/>
    <w:rsid w:val="00357839"/>
    <w:rsid w:val="003579DA"/>
    <w:rsid w:val="0036020A"/>
    <w:rsid w:val="003603EC"/>
    <w:rsid w:val="0036049B"/>
    <w:rsid w:val="00360A4A"/>
    <w:rsid w:val="00360C3A"/>
    <w:rsid w:val="00360EDE"/>
    <w:rsid w:val="00361C93"/>
    <w:rsid w:val="00362A09"/>
    <w:rsid w:val="00362DC8"/>
    <w:rsid w:val="00362EA6"/>
    <w:rsid w:val="00363A61"/>
    <w:rsid w:val="00363D5E"/>
    <w:rsid w:val="00364013"/>
    <w:rsid w:val="00364C41"/>
    <w:rsid w:val="0036607A"/>
    <w:rsid w:val="0036614F"/>
    <w:rsid w:val="0036625E"/>
    <w:rsid w:val="0036628A"/>
    <w:rsid w:val="00367ED8"/>
    <w:rsid w:val="00371C8E"/>
    <w:rsid w:val="00372405"/>
    <w:rsid w:val="00373161"/>
    <w:rsid w:val="00373E76"/>
    <w:rsid w:val="00374A1D"/>
    <w:rsid w:val="00374E25"/>
    <w:rsid w:val="00376282"/>
    <w:rsid w:val="00377425"/>
    <w:rsid w:val="0037742D"/>
    <w:rsid w:val="0038027D"/>
    <w:rsid w:val="003808CE"/>
    <w:rsid w:val="00380D79"/>
    <w:rsid w:val="00381172"/>
    <w:rsid w:val="00383D63"/>
    <w:rsid w:val="00383DF5"/>
    <w:rsid w:val="003847EC"/>
    <w:rsid w:val="0038586D"/>
    <w:rsid w:val="00385DD6"/>
    <w:rsid w:val="00386366"/>
    <w:rsid w:val="0038731E"/>
    <w:rsid w:val="00387EB8"/>
    <w:rsid w:val="00387F66"/>
    <w:rsid w:val="003900B0"/>
    <w:rsid w:val="003912F6"/>
    <w:rsid w:val="00391A6C"/>
    <w:rsid w:val="0039243A"/>
    <w:rsid w:val="00392C0C"/>
    <w:rsid w:val="00392E76"/>
    <w:rsid w:val="00393415"/>
    <w:rsid w:val="00393719"/>
    <w:rsid w:val="003955BC"/>
    <w:rsid w:val="003957FA"/>
    <w:rsid w:val="00395FAC"/>
    <w:rsid w:val="003973C7"/>
    <w:rsid w:val="003A0475"/>
    <w:rsid w:val="003A04BD"/>
    <w:rsid w:val="003A0560"/>
    <w:rsid w:val="003A0F67"/>
    <w:rsid w:val="003A11B7"/>
    <w:rsid w:val="003A11E3"/>
    <w:rsid w:val="003A1D12"/>
    <w:rsid w:val="003A1D2E"/>
    <w:rsid w:val="003A1DDF"/>
    <w:rsid w:val="003A2684"/>
    <w:rsid w:val="003A2A19"/>
    <w:rsid w:val="003A4117"/>
    <w:rsid w:val="003A4251"/>
    <w:rsid w:val="003A45E8"/>
    <w:rsid w:val="003A465C"/>
    <w:rsid w:val="003A4DB8"/>
    <w:rsid w:val="003A4E9E"/>
    <w:rsid w:val="003A4F76"/>
    <w:rsid w:val="003A591F"/>
    <w:rsid w:val="003A6705"/>
    <w:rsid w:val="003A6816"/>
    <w:rsid w:val="003A7B2E"/>
    <w:rsid w:val="003B0270"/>
    <w:rsid w:val="003B0B6D"/>
    <w:rsid w:val="003B12AF"/>
    <w:rsid w:val="003B1731"/>
    <w:rsid w:val="003B1BF7"/>
    <w:rsid w:val="003B20CA"/>
    <w:rsid w:val="003B2DB6"/>
    <w:rsid w:val="003B2F99"/>
    <w:rsid w:val="003B39C6"/>
    <w:rsid w:val="003B4034"/>
    <w:rsid w:val="003B4082"/>
    <w:rsid w:val="003B457C"/>
    <w:rsid w:val="003B46F3"/>
    <w:rsid w:val="003B4D18"/>
    <w:rsid w:val="003B51A1"/>
    <w:rsid w:val="003B5D1D"/>
    <w:rsid w:val="003B5DF2"/>
    <w:rsid w:val="003B675A"/>
    <w:rsid w:val="003B6E0A"/>
    <w:rsid w:val="003B75E3"/>
    <w:rsid w:val="003B7970"/>
    <w:rsid w:val="003B7980"/>
    <w:rsid w:val="003C00C2"/>
    <w:rsid w:val="003C1155"/>
    <w:rsid w:val="003C1ED3"/>
    <w:rsid w:val="003C24DB"/>
    <w:rsid w:val="003C330A"/>
    <w:rsid w:val="003C43C9"/>
    <w:rsid w:val="003C4A3D"/>
    <w:rsid w:val="003C4BD7"/>
    <w:rsid w:val="003C56D4"/>
    <w:rsid w:val="003C676E"/>
    <w:rsid w:val="003C7207"/>
    <w:rsid w:val="003C79D8"/>
    <w:rsid w:val="003D0184"/>
    <w:rsid w:val="003D09C2"/>
    <w:rsid w:val="003D0A57"/>
    <w:rsid w:val="003D0C16"/>
    <w:rsid w:val="003D116F"/>
    <w:rsid w:val="003D1A88"/>
    <w:rsid w:val="003D1E85"/>
    <w:rsid w:val="003D2458"/>
    <w:rsid w:val="003D2593"/>
    <w:rsid w:val="003D26C4"/>
    <w:rsid w:val="003D2E59"/>
    <w:rsid w:val="003D45C3"/>
    <w:rsid w:val="003D4C60"/>
    <w:rsid w:val="003D536F"/>
    <w:rsid w:val="003D54BB"/>
    <w:rsid w:val="003D553D"/>
    <w:rsid w:val="003D5D21"/>
    <w:rsid w:val="003D6FB2"/>
    <w:rsid w:val="003D7D4E"/>
    <w:rsid w:val="003E0058"/>
    <w:rsid w:val="003E03BD"/>
    <w:rsid w:val="003E0A08"/>
    <w:rsid w:val="003E1AF6"/>
    <w:rsid w:val="003E224F"/>
    <w:rsid w:val="003E3546"/>
    <w:rsid w:val="003E38DC"/>
    <w:rsid w:val="003E3C9A"/>
    <w:rsid w:val="003E3DCF"/>
    <w:rsid w:val="003E4235"/>
    <w:rsid w:val="003E429A"/>
    <w:rsid w:val="003E44FF"/>
    <w:rsid w:val="003E4735"/>
    <w:rsid w:val="003E5986"/>
    <w:rsid w:val="003E6CD0"/>
    <w:rsid w:val="003E6D8E"/>
    <w:rsid w:val="003E6F4B"/>
    <w:rsid w:val="003E755D"/>
    <w:rsid w:val="003F0055"/>
    <w:rsid w:val="003F0410"/>
    <w:rsid w:val="003F0E85"/>
    <w:rsid w:val="003F170D"/>
    <w:rsid w:val="003F19A2"/>
    <w:rsid w:val="003F24C9"/>
    <w:rsid w:val="003F3853"/>
    <w:rsid w:val="003F3CCE"/>
    <w:rsid w:val="003F3FD7"/>
    <w:rsid w:val="003F400E"/>
    <w:rsid w:val="003F4B0E"/>
    <w:rsid w:val="003F4E57"/>
    <w:rsid w:val="003F5DC6"/>
    <w:rsid w:val="003F5E95"/>
    <w:rsid w:val="003F5F3F"/>
    <w:rsid w:val="003F61FB"/>
    <w:rsid w:val="003F6896"/>
    <w:rsid w:val="003F6D4E"/>
    <w:rsid w:val="003F6F73"/>
    <w:rsid w:val="003F7AB7"/>
    <w:rsid w:val="00400230"/>
    <w:rsid w:val="00400825"/>
    <w:rsid w:val="00400899"/>
    <w:rsid w:val="00400A93"/>
    <w:rsid w:val="00402763"/>
    <w:rsid w:val="00402D81"/>
    <w:rsid w:val="00403348"/>
    <w:rsid w:val="0040344D"/>
    <w:rsid w:val="0040381A"/>
    <w:rsid w:val="0040487E"/>
    <w:rsid w:val="00405167"/>
    <w:rsid w:val="00405217"/>
    <w:rsid w:val="004053D8"/>
    <w:rsid w:val="004060A2"/>
    <w:rsid w:val="00406423"/>
    <w:rsid w:val="0040670B"/>
    <w:rsid w:val="0040709A"/>
    <w:rsid w:val="00407530"/>
    <w:rsid w:val="0041070A"/>
    <w:rsid w:val="00410BD7"/>
    <w:rsid w:val="00411572"/>
    <w:rsid w:val="00411AD6"/>
    <w:rsid w:val="00412434"/>
    <w:rsid w:val="00412C52"/>
    <w:rsid w:val="00413BC7"/>
    <w:rsid w:val="004149FD"/>
    <w:rsid w:val="00415891"/>
    <w:rsid w:val="004169DB"/>
    <w:rsid w:val="00416ADD"/>
    <w:rsid w:val="00417201"/>
    <w:rsid w:val="00417B22"/>
    <w:rsid w:val="00420E32"/>
    <w:rsid w:val="00421426"/>
    <w:rsid w:val="00422DA5"/>
    <w:rsid w:val="00423EE9"/>
    <w:rsid w:val="00424260"/>
    <w:rsid w:val="0042486F"/>
    <w:rsid w:val="00424ED3"/>
    <w:rsid w:val="00425D8D"/>
    <w:rsid w:val="00426542"/>
    <w:rsid w:val="00427116"/>
    <w:rsid w:val="00427803"/>
    <w:rsid w:val="00427F8E"/>
    <w:rsid w:val="00430229"/>
    <w:rsid w:val="00430CAB"/>
    <w:rsid w:val="00431431"/>
    <w:rsid w:val="0043184F"/>
    <w:rsid w:val="0043197C"/>
    <w:rsid w:val="00431CB0"/>
    <w:rsid w:val="00431D9A"/>
    <w:rsid w:val="0043200C"/>
    <w:rsid w:val="00432609"/>
    <w:rsid w:val="00432F17"/>
    <w:rsid w:val="004350CB"/>
    <w:rsid w:val="00435708"/>
    <w:rsid w:val="00435861"/>
    <w:rsid w:val="00435B84"/>
    <w:rsid w:val="0043632F"/>
    <w:rsid w:val="004369D9"/>
    <w:rsid w:val="00437A04"/>
    <w:rsid w:val="00437A9E"/>
    <w:rsid w:val="00440C2D"/>
    <w:rsid w:val="00441F2A"/>
    <w:rsid w:val="00442955"/>
    <w:rsid w:val="004438E6"/>
    <w:rsid w:val="00443C8A"/>
    <w:rsid w:val="004446F5"/>
    <w:rsid w:val="0044478C"/>
    <w:rsid w:val="004458CC"/>
    <w:rsid w:val="00445D36"/>
    <w:rsid w:val="004460D3"/>
    <w:rsid w:val="004469F9"/>
    <w:rsid w:val="00446F17"/>
    <w:rsid w:val="00450BFF"/>
    <w:rsid w:val="00451043"/>
    <w:rsid w:val="004518BD"/>
    <w:rsid w:val="004518DA"/>
    <w:rsid w:val="00452077"/>
    <w:rsid w:val="004528A2"/>
    <w:rsid w:val="00453EBA"/>
    <w:rsid w:val="00454566"/>
    <w:rsid w:val="00454C4D"/>
    <w:rsid w:val="004554A2"/>
    <w:rsid w:val="00455747"/>
    <w:rsid w:val="004560A7"/>
    <w:rsid w:val="00456CA7"/>
    <w:rsid w:val="00457094"/>
    <w:rsid w:val="0045776F"/>
    <w:rsid w:val="00457C54"/>
    <w:rsid w:val="0046047D"/>
    <w:rsid w:val="00460C0C"/>
    <w:rsid w:val="00460D8B"/>
    <w:rsid w:val="00461117"/>
    <w:rsid w:val="00461D3F"/>
    <w:rsid w:val="00461F05"/>
    <w:rsid w:val="00462117"/>
    <w:rsid w:val="004628D1"/>
    <w:rsid w:val="004628ED"/>
    <w:rsid w:val="00462FB9"/>
    <w:rsid w:val="00463036"/>
    <w:rsid w:val="00463262"/>
    <w:rsid w:val="0046408E"/>
    <w:rsid w:val="004647EA"/>
    <w:rsid w:val="00464899"/>
    <w:rsid w:val="00464FBE"/>
    <w:rsid w:val="00465CE1"/>
    <w:rsid w:val="0046674B"/>
    <w:rsid w:val="004675D8"/>
    <w:rsid w:val="00467623"/>
    <w:rsid w:val="0047027C"/>
    <w:rsid w:val="00470657"/>
    <w:rsid w:val="004706AB"/>
    <w:rsid w:val="00471A98"/>
    <w:rsid w:val="0047245F"/>
    <w:rsid w:val="00472928"/>
    <w:rsid w:val="00472A8B"/>
    <w:rsid w:val="00474D0A"/>
    <w:rsid w:val="00475099"/>
    <w:rsid w:val="004751A4"/>
    <w:rsid w:val="00475B12"/>
    <w:rsid w:val="00475F95"/>
    <w:rsid w:val="00476482"/>
    <w:rsid w:val="00476C23"/>
    <w:rsid w:val="004774DF"/>
    <w:rsid w:val="0047750C"/>
    <w:rsid w:val="00480C1A"/>
    <w:rsid w:val="00481A0D"/>
    <w:rsid w:val="00481C61"/>
    <w:rsid w:val="004827D8"/>
    <w:rsid w:val="004828C1"/>
    <w:rsid w:val="0048310C"/>
    <w:rsid w:val="004831B0"/>
    <w:rsid w:val="00483470"/>
    <w:rsid w:val="00483D1D"/>
    <w:rsid w:val="00484B87"/>
    <w:rsid w:val="004850AC"/>
    <w:rsid w:val="00485362"/>
    <w:rsid w:val="00485DD8"/>
    <w:rsid w:val="004864AB"/>
    <w:rsid w:val="004904C8"/>
    <w:rsid w:val="00491CFE"/>
    <w:rsid w:val="00492C00"/>
    <w:rsid w:val="00492FE6"/>
    <w:rsid w:val="00493BF5"/>
    <w:rsid w:val="00493DA0"/>
    <w:rsid w:val="00493DB8"/>
    <w:rsid w:val="00493F39"/>
    <w:rsid w:val="00493FAF"/>
    <w:rsid w:val="0049505B"/>
    <w:rsid w:val="00495083"/>
    <w:rsid w:val="0049547D"/>
    <w:rsid w:val="00495A9F"/>
    <w:rsid w:val="00495CDC"/>
    <w:rsid w:val="0049644A"/>
    <w:rsid w:val="00496818"/>
    <w:rsid w:val="0049682C"/>
    <w:rsid w:val="00497052"/>
    <w:rsid w:val="004972B9"/>
    <w:rsid w:val="0049758B"/>
    <w:rsid w:val="004A1A90"/>
    <w:rsid w:val="004A29D7"/>
    <w:rsid w:val="004A2BE1"/>
    <w:rsid w:val="004A2FD2"/>
    <w:rsid w:val="004A3300"/>
    <w:rsid w:val="004A3613"/>
    <w:rsid w:val="004A37EB"/>
    <w:rsid w:val="004A3C63"/>
    <w:rsid w:val="004A3EC8"/>
    <w:rsid w:val="004A3F71"/>
    <w:rsid w:val="004A4237"/>
    <w:rsid w:val="004A551A"/>
    <w:rsid w:val="004A60AD"/>
    <w:rsid w:val="004A662F"/>
    <w:rsid w:val="004A77B3"/>
    <w:rsid w:val="004A7A8E"/>
    <w:rsid w:val="004B033C"/>
    <w:rsid w:val="004B059B"/>
    <w:rsid w:val="004B074B"/>
    <w:rsid w:val="004B197E"/>
    <w:rsid w:val="004B1F70"/>
    <w:rsid w:val="004B36C9"/>
    <w:rsid w:val="004B39CB"/>
    <w:rsid w:val="004B4445"/>
    <w:rsid w:val="004B4662"/>
    <w:rsid w:val="004B4CDA"/>
    <w:rsid w:val="004B53F0"/>
    <w:rsid w:val="004B56B2"/>
    <w:rsid w:val="004B596E"/>
    <w:rsid w:val="004B59F3"/>
    <w:rsid w:val="004B5A36"/>
    <w:rsid w:val="004B5F1C"/>
    <w:rsid w:val="004B655F"/>
    <w:rsid w:val="004B6E16"/>
    <w:rsid w:val="004B7C1C"/>
    <w:rsid w:val="004C0099"/>
    <w:rsid w:val="004C05B6"/>
    <w:rsid w:val="004C0B66"/>
    <w:rsid w:val="004C0D8A"/>
    <w:rsid w:val="004C17D6"/>
    <w:rsid w:val="004C30A9"/>
    <w:rsid w:val="004C32BF"/>
    <w:rsid w:val="004C5040"/>
    <w:rsid w:val="004C5AD8"/>
    <w:rsid w:val="004C6A86"/>
    <w:rsid w:val="004C7581"/>
    <w:rsid w:val="004C79A6"/>
    <w:rsid w:val="004D0373"/>
    <w:rsid w:val="004D1047"/>
    <w:rsid w:val="004D1246"/>
    <w:rsid w:val="004D1D8E"/>
    <w:rsid w:val="004D2E34"/>
    <w:rsid w:val="004D3093"/>
    <w:rsid w:val="004D38CF"/>
    <w:rsid w:val="004D3DD2"/>
    <w:rsid w:val="004D515C"/>
    <w:rsid w:val="004D582B"/>
    <w:rsid w:val="004D5DB5"/>
    <w:rsid w:val="004D69C4"/>
    <w:rsid w:val="004D6B79"/>
    <w:rsid w:val="004D6FEC"/>
    <w:rsid w:val="004D7E17"/>
    <w:rsid w:val="004E02AD"/>
    <w:rsid w:val="004E030F"/>
    <w:rsid w:val="004E0581"/>
    <w:rsid w:val="004E16AA"/>
    <w:rsid w:val="004E345F"/>
    <w:rsid w:val="004E3633"/>
    <w:rsid w:val="004E38FF"/>
    <w:rsid w:val="004E3C1F"/>
    <w:rsid w:val="004E4BAD"/>
    <w:rsid w:val="004E74A5"/>
    <w:rsid w:val="004F0C39"/>
    <w:rsid w:val="004F13F5"/>
    <w:rsid w:val="004F1452"/>
    <w:rsid w:val="004F158C"/>
    <w:rsid w:val="004F2369"/>
    <w:rsid w:val="004F2B01"/>
    <w:rsid w:val="004F2ECA"/>
    <w:rsid w:val="004F3DB6"/>
    <w:rsid w:val="004F4B9C"/>
    <w:rsid w:val="004F4CAD"/>
    <w:rsid w:val="004F541B"/>
    <w:rsid w:val="004F5888"/>
    <w:rsid w:val="004F68CB"/>
    <w:rsid w:val="004F6E6F"/>
    <w:rsid w:val="004F6E80"/>
    <w:rsid w:val="004F78A9"/>
    <w:rsid w:val="005001B4"/>
    <w:rsid w:val="00501284"/>
    <w:rsid w:val="00501C11"/>
    <w:rsid w:val="00502D6B"/>
    <w:rsid w:val="00502F94"/>
    <w:rsid w:val="005036D3"/>
    <w:rsid w:val="00503F01"/>
    <w:rsid w:val="0050425B"/>
    <w:rsid w:val="00504E70"/>
    <w:rsid w:val="0050512A"/>
    <w:rsid w:val="00505C13"/>
    <w:rsid w:val="005068BD"/>
    <w:rsid w:val="005101BA"/>
    <w:rsid w:val="0051030C"/>
    <w:rsid w:val="00510587"/>
    <w:rsid w:val="00513702"/>
    <w:rsid w:val="005158DA"/>
    <w:rsid w:val="00515A4C"/>
    <w:rsid w:val="00515C8A"/>
    <w:rsid w:val="00515E19"/>
    <w:rsid w:val="0051629C"/>
    <w:rsid w:val="00516948"/>
    <w:rsid w:val="00516AFB"/>
    <w:rsid w:val="00517F8D"/>
    <w:rsid w:val="00520326"/>
    <w:rsid w:val="00520D3D"/>
    <w:rsid w:val="00521778"/>
    <w:rsid w:val="00522D2D"/>
    <w:rsid w:val="00523D41"/>
    <w:rsid w:val="005243D9"/>
    <w:rsid w:val="00524B6F"/>
    <w:rsid w:val="00524E41"/>
    <w:rsid w:val="00526EF2"/>
    <w:rsid w:val="00526F16"/>
    <w:rsid w:val="00526F2D"/>
    <w:rsid w:val="0052794C"/>
    <w:rsid w:val="00527C32"/>
    <w:rsid w:val="00527D58"/>
    <w:rsid w:val="0053027B"/>
    <w:rsid w:val="005307C0"/>
    <w:rsid w:val="00530A8B"/>
    <w:rsid w:val="00531DBA"/>
    <w:rsid w:val="00532072"/>
    <w:rsid w:val="005320E1"/>
    <w:rsid w:val="0053257B"/>
    <w:rsid w:val="0053265C"/>
    <w:rsid w:val="0053420C"/>
    <w:rsid w:val="005347D9"/>
    <w:rsid w:val="00535CC4"/>
    <w:rsid w:val="00536388"/>
    <w:rsid w:val="00536B3D"/>
    <w:rsid w:val="00537AE6"/>
    <w:rsid w:val="005412C7"/>
    <w:rsid w:val="00541FD6"/>
    <w:rsid w:val="00542A1F"/>
    <w:rsid w:val="00542CD6"/>
    <w:rsid w:val="00543F64"/>
    <w:rsid w:val="00544BB2"/>
    <w:rsid w:val="005450F3"/>
    <w:rsid w:val="00545951"/>
    <w:rsid w:val="00545C7E"/>
    <w:rsid w:val="00550CB4"/>
    <w:rsid w:val="00551680"/>
    <w:rsid w:val="005516B4"/>
    <w:rsid w:val="00551706"/>
    <w:rsid w:val="00551AA2"/>
    <w:rsid w:val="00551DFD"/>
    <w:rsid w:val="0055255F"/>
    <w:rsid w:val="005527BB"/>
    <w:rsid w:val="00552933"/>
    <w:rsid w:val="0055400C"/>
    <w:rsid w:val="005545B3"/>
    <w:rsid w:val="00554CF2"/>
    <w:rsid w:val="0055571C"/>
    <w:rsid w:val="00555BBE"/>
    <w:rsid w:val="005568B2"/>
    <w:rsid w:val="00556907"/>
    <w:rsid w:val="00556CD9"/>
    <w:rsid w:val="00556D12"/>
    <w:rsid w:val="00557161"/>
    <w:rsid w:val="00557446"/>
    <w:rsid w:val="00560639"/>
    <w:rsid w:val="00560C13"/>
    <w:rsid w:val="005618F5"/>
    <w:rsid w:val="00561E64"/>
    <w:rsid w:val="00562021"/>
    <w:rsid w:val="00562FF1"/>
    <w:rsid w:val="00563540"/>
    <w:rsid w:val="00563D1C"/>
    <w:rsid w:val="0056485B"/>
    <w:rsid w:val="00564995"/>
    <w:rsid w:val="00564A25"/>
    <w:rsid w:val="00565292"/>
    <w:rsid w:val="00566C18"/>
    <w:rsid w:val="0056734D"/>
    <w:rsid w:val="00567BD8"/>
    <w:rsid w:val="005706B8"/>
    <w:rsid w:val="005707E5"/>
    <w:rsid w:val="00570C78"/>
    <w:rsid w:val="005718B3"/>
    <w:rsid w:val="00572175"/>
    <w:rsid w:val="00572304"/>
    <w:rsid w:val="00573283"/>
    <w:rsid w:val="0057356C"/>
    <w:rsid w:val="00573B16"/>
    <w:rsid w:val="00574736"/>
    <w:rsid w:val="00575237"/>
    <w:rsid w:val="005759AD"/>
    <w:rsid w:val="00575C40"/>
    <w:rsid w:val="00575F85"/>
    <w:rsid w:val="0057653A"/>
    <w:rsid w:val="00576AFB"/>
    <w:rsid w:val="00580678"/>
    <w:rsid w:val="0058091F"/>
    <w:rsid w:val="005818CE"/>
    <w:rsid w:val="005819F0"/>
    <w:rsid w:val="00581FEE"/>
    <w:rsid w:val="00582A59"/>
    <w:rsid w:val="00582B54"/>
    <w:rsid w:val="005834F6"/>
    <w:rsid w:val="0058474C"/>
    <w:rsid w:val="00584BD8"/>
    <w:rsid w:val="00584D98"/>
    <w:rsid w:val="00585FA0"/>
    <w:rsid w:val="00586585"/>
    <w:rsid w:val="00586E9C"/>
    <w:rsid w:val="005873B6"/>
    <w:rsid w:val="00587847"/>
    <w:rsid w:val="00587F53"/>
    <w:rsid w:val="00590070"/>
    <w:rsid w:val="00590741"/>
    <w:rsid w:val="00591CDD"/>
    <w:rsid w:val="00591E8C"/>
    <w:rsid w:val="00592868"/>
    <w:rsid w:val="00592B1E"/>
    <w:rsid w:val="00593F60"/>
    <w:rsid w:val="00593FA4"/>
    <w:rsid w:val="0059497C"/>
    <w:rsid w:val="00594F1F"/>
    <w:rsid w:val="0059500A"/>
    <w:rsid w:val="00595671"/>
    <w:rsid w:val="00595745"/>
    <w:rsid w:val="00595809"/>
    <w:rsid w:val="00596835"/>
    <w:rsid w:val="00597B35"/>
    <w:rsid w:val="005A08FD"/>
    <w:rsid w:val="005A33C6"/>
    <w:rsid w:val="005A3889"/>
    <w:rsid w:val="005A3B48"/>
    <w:rsid w:val="005A4437"/>
    <w:rsid w:val="005A57FF"/>
    <w:rsid w:val="005A63D1"/>
    <w:rsid w:val="005A66F0"/>
    <w:rsid w:val="005A71C8"/>
    <w:rsid w:val="005A73EF"/>
    <w:rsid w:val="005A7994"/>
    <w:rsid w:val="005A7C22"/>
    <w:rsid w:val="005A7E6E"/>
    <w:rsid w:val="005B0305"/>
    <w:rsid w:val="005B08EC"/>
    <w:rsid w:val="005B1578"/>
    <w:rsid w:val="005B35D3"/>
    <w:rsid w:val="005B3BF0"/>
    <w:rsid w:val="005B44C9"/>
    <w:rsid w:val="005B64A2"/>
    <w:rsid w:val="005B6B58"/>
    <w:rsid w:val="005B702D"/>
    <w:rsid w:val="005B7172"/>
    <w:rsid w:val="005B73B4"/>
    <w:rsid w:val="005C0636"/>
    <w:rsid w:val="005C072F"/>
    <w:rsid w:val="005C0822"/>
    <w:rsid w:val="005C0CD1"/>
    <w:rsid w:val="005C120F"/>
    <w:rsid w:val="005C2B40"/>
    <w:rsid w:val="005C3BEA"/>
    <w:rsid w:val="005C659A"/>
    <w:rsid w:val="005C6732"/>
    <w:rsid w:val="005C7754"/>
    <w:rsid w:val="005C783A"/>
    <w:rsid w:val="005D0451"/>
    <w:rsid w:val="005D0D84"/>
    <w:rsid w:val="005D10AB"/>
    <w:rsid w:val="005D13A7"/>
    <w:rsid w:val="005D15F1"/>
    <w:rsid w:val="005D1639"/>
    <w:rsid w:val="005D17A6"/>
    <w:rsid w:val="005D1E0B"/>
    <w:rsid w:val="005D2345"/>
    <w:rsid w:val="005D2823"/>
    <w:rsid w:val="005D3464"/>
    <w:rsid w:val="005D37E8"/>
    <w:rsid w:val="005D37F2"/>
    <w:rsid w:val="005D406C"/>
    <w:rsid w:val="005D4561"/>
    <w:rsid w:val="005D5A1D"/>
    <w:rsid w:val="005D5ED9"/>
    <w:rsid w:val="005D60DE"/>
    <w:rsid w:val="005D67DF"/>
    <w:rsid w:val="005D6858"/>
    <w:rsid w:val="005D6B4D"/>
    <w:rsid w:val="005D735F"/>
    <w:rsid w:val="005E004C"/>
    <w:rsid w:val="005E0886"/>
    <w:rsid w:val="005E1134"/>
    <w:rsid w:val="005E1500"/>
    <w:rsid w:val="005E164B"/>
    <w:rsid w:val="005E1E63"/>
    <w:rsid w:val="005E37D4"/>
    <w:rsid w:val="005E3D45"/>
    <w:rsid w:val="005E44C6"/>
    <w:rsid w:val="005E45A1"/>
    <w:rsid w:val="005E45FF"/>
    <w:rsid w:val="005E4650"/>
    <w:rsid w:val="005E5682"/>
    <w:rsid w:val="005E6196"/>
    <w:rsid w:val="005E64B4"/>
    <w:rsid w:val="005E7164"/>
    <w:rsid w:val="005E7C73"/>
    <w:rsid w:val="005E7E88"/>
    <w:rsid w:val="005E7F62"/>
    <w:rsid w:val="005F086F"/>
    <w:rsid w:val="005F2234"/>
    <w:rsid w:val="005F224E"/>
    <w:rsid w:val="005F2492"/>
    <w:rsid w:val="005F2A1E"/>
    <w:rsid w:val="005F3824"/>
    <w:rsid w:val="005F3AD2"/>
    <w:rsid w:val="005F3C86"/>
    <w:rsid w:val="005F4197"/>
    <w:rsid w:val="005F488B"/>
    <w:rsid w:val="005F533E"/>
    <w:rsid w:val="005F5BBE"/>
    <w:rsid w:val="005F6C6D"/>
    <w:rsid w:val="005F7023"/>
    <w:rsid w:val="005F7DD8"/>
    <w:rsid w:val="00600791"/>
    <w:rsid w:val="0060084E"/>
    <w:rsid w:val="006031DF"/>
    <w:rsid w:val="0060540B"/>
    <w:rsid w:val="00605DAF"/>
    <w:rsid w:val="0060639C"/>
    <w:rsid w:val="006063C4"/>
    <w:rsid w:val="00607058"/>
    <w:rsid w:val="006075B6"/>
    <w:rsid w:val="00607C2D"/>
    <w:rsid w:val="00610602"/>
    <w:rsid w:val="00610DE5"/>
    <w:rsid w:val="0061163A"/>
    <w:rsid w:val="00611D55"/>
    <w:rsid w:val="0061242E"/>
    <w:rsid w:val="0061272C"/>
    <w:rsid w:val="006129AF"/>
    <w:rsid w:val="00612B37"/>
    <w:rsid w:val="00612C11"/>
    <w:rsid w:val="00612D6F"/>
    <w:rsid w:val="00614156"/>
    <w:rsid w:val="0061426C"/>
    <w:rsid w:val="006151B8"/>
    <w:rsid w:val="00615F3C"/>
    <w:rsid w:val="00616A93"/>
    <w:rsid w:val="00616D33"/>
    <w:rsid w:val="006202F1"/>
    <w:rsid w:val="00620819"/>
    <w:rsid w:val="00620F90"/>
    <w:rsid w:val="006240C7"/>
    <w:rsid w:val="00624325"/>
    <w:rsid w:val="006246AD"/>
    <w:rsid w:val="006251A1"/>
    <w:rsid w:val="0062540E"/>
    <w:rsid w:val="006256A6"/>
    <w:rsid w:val="00626303"/>
    <w:rsid w:val="006271C9"/>
    <w:rsid w:val="00627BA1"/>
    <w:rsid w:val="0063010A"/>
    <w:rsid w:val="00630ED2"/>
    <w:rsid w:val="00631732"/>
    <w:rsid w:val="006319B7"/>
    <w:rsid w:val="00631E5B"/>
    <w:rsid w:val="00632AD1"/>
    <w:rsid w:val="00632F30"/>
    <w:rsid w:val="006331D0"/>
    <w:rsid w:val="00633551"/>
    <w:rsid w:val="00633889"/>
    <w:rsid w:val="006340C6"/>
    <w:rsid w:val="006343D2"/>
    <w:rsid w:val="00634E5E"/>
    <w:rsid w:val="00634FCF"/>
    <w:rsid w:val="006355F6"/>
    <w:rsid w:val="006362E2"/>
    <w:rsid w:val="006364BD"/>
    <w:rsid w:val="00636712"/>
    <w:rsid w:val="00636BF3"/>
    <w:rsid w:val="00637273"/>
    <w:rsid w:val="00637A0C"/>
    <w:rsid w:val="00640B2A"/>
    <w:rsid w:val="00640C82"/>
    <w:rsid w:val="00641013"/>
    <w:rsid w:val="00641D11"/>
    <w:rsid w:val="00641FCC"/>
    <w:rsid w:val="0064211D"/>
    <w:rsid w:val="0064230E"/>
    <w:rsid w:val="00642AAA"/>
    <w:rsid w:val="00643636"/>
    <w:rsid w:val="0064586C"/>
    <w:rsid w:val="0065025A"/>
    <w:rsid w:val="0065091C"/>
    <w:rsid w:val="00650B1C"/>
    <w:rsid w:val="00650B53"/>
    <w:rsid w:val="00650CD5"/>
    <w:rsid w:val="00650CD8"/>
    <w:rsid w:val="00650CFE"/>
    <w:rsid w:val="00651CFE"/>
    <w:rsid w:val="006522FF"/>
    <w:rsid w:val="0065258C"/>
    <w:rsid w:val="0065297F"/>
    <w:rsid w:val="00653740"/>
    <w:rsid w:val="0065383B"/>
    <w:rsid w:val="0065389D"/>
    <w:rsid w:val="006547A6"/>
    <w:rsid w:val="006547E9"/>
    <w:rsid w:val="0065494F"/>
    <w:rsid w:val="006557E1"/>
    <w:rsid w:val="00656859"/>
    <w:rsid w:val="00657807"/>
    <w:rsid w:val="00657873"/>
    <w:rsid w:val="0066040D"/>
    <w:rsid w:val="0066142E"/>
    <w:rsid w:val="00661A5C"/>
    <w:rsid w:val="006632B8"/>
    <w:rsid w:val="0066533E"/>
    <w:rsid w:val="006656BD"/>
    <w:rsid w:val="00665A8E"/>
    <w:rsid w:val="00665ECC"/>
    <w:rsid w:val="00666CA1"/>
    <w:rsid w:val="00666CD4"/>
    <w:rsid w:val="00667579"/>
    <w:rsid w:val="00667620"/>
    <w:rsid w:val="00670842"/>
    <w:rsid w:val="00670922"/>
    <w:rsid w:val="006709C5"/>
    <w:rsid w:val="00671194"/>
    <w:rsid w:val="00671CFF"/>
    <w:rsid w:val="0067280C"/>
    <w:rsid w:val="00672960"/>
    <w:rsid w:val="0067296C"/>
    <w:rsid w:val="006729C9"/>
    <w:rsid w:val="00673707"/>
    <w:rsid w:val="00673880"/>
    <w:rsid w:val="00674083"/>
    <w:rsid w:val="0067415E"/>
    <w:rsid w:val="00674B89"/>
    <w:rsid w:val="00674C55"/>
    <w:rsid w:val="00674FE8"/>
    <w:rsid w:val="00675B27"/>
    <w:rsid w:val="00676B4E"/>
    <w:rsid w:val="00677505"/>
    <w:rsid w:val="006777F2"/>
    <w:rsid w:val="0067788F"/>
    <w:rsid w:val="00680742"/>
    <w:rsid w:val="006809E7"/>
    <w:rsid w:val="006817FB"/>
    <w:rsid w:val="00681919"/>
    <w:rsid w:val="00682121"/>
    <w:rsid w:val="00682EF9"/>
    <w:rsid w:val="00682F5C"/>
    <w:rsid w:val="00683164"/>
    <w:rsid w:val="00683503"/>
    <w:rsid w:val="0068384E"/>
    <w:rsid w:val="0068384F"/>
    <w:rsid w:val="0068389F"/>
    <w:rsid w:val="00683A24"/>
    <w:rsid w:val="006848F4"/>
    <w:rsid w:val="00684F36"/>
    <w:rsid w:val="00685F37"/>
    <w:rsid w:val="006860FB"/>
    <w:rsid w:val="00686C1D"/>
    <w:rsid w:val="00686E52"/>
    <w:rsid w:val="0068700A"/>
    <w:rsid w:val="0068766A"/>
    <w:rsid w:val="0069116D"/>
    <w:rsid w:val="006913C6"/>
    <w:rsid w:val="006921EA"/>
    <w:rsid w:val="00692699"/>
    <w:rsid w:val="00692BDE"/>
    <w:rsid w:val="0069318D"/>
    <w:rsid w:val="0069354D"/>
    <w:rsid w:val="00693664"/>
    <w:rsid w:val="0069378F"/>
    <w:rsid w:val="006943CC"/>
    <w:rsid w:val="006951D9"/>
    <w:rsid w:val="00695A5C"/>
    <w:rsid w:val="00695AC3"/>
    <w:rsid w:val="00696C42"/>
    <w:rsid w:val="00696FBD"/>
    <w:rsid w:val="0069768F"/>
    <w:rsid w:val="006979F5"/>
    <w:rsid w:val="006A03F4"/>
    <w:rsid w:val="006A1582"/>
    <w:rsid w:val="006A16AA"/>
    <w:rsid w:val="006A26DD"/>
    <w:rsid w:val="006A30E6"/>
    <w:rsid w:val="006A45DE"/>
    <w:rsid w:val="006A4793"/>
    <w:rsid w:val="006A4BFE"/>
    <w:rsid w:val="006A4C25"/>
    <w:rsid w:val="006A5AFE"/>
    <w:rsid w:val="006A6772"/>
    <w:rsid w:val="006A7612"/>
    <w:rsid w:val="006A7F8D"/>
    <w:rsid w:val="006B0BB1"/>
    <w:rsid w:val="006B150F"/>
    <w:rsid w:val="006B244C"/>
    <w:rsid w:val="006B2DA7"/>
    <w:rsid w:val="006B37F4"/>
    <w:rsid w:val="006B3833"/>
    <w:rsid w:val="006B39C6"/>
    <w:rsid w:val="006B3F8C"/>
    <w:rsid w:val="006B3FC8"/>
    <w:rsid w:val="006B49D2"/>
    <w:rsid w:val="006B5208"/>
    <w:rsid w:val="006B588F"/>
    <w:rsid w:val="006B5944"/>
    <w:rsid w:val="006B6D57"/>
    <w:rsid w:val="006C09EC"/>
    <w:rsid w:val="006C0FCD"/>
    <w:rsid w:val="006C158C"/>
    <w:rsid w:val="006C20A6"/>
    <w:rsid w:val="006C263A"/>
    <w:rsid w:val="006C3941"/>
    <w:rsid w:val="006C4186"/>
    <w:rsid w:val="006C429D"/>
    <w:rsid w:val="006C5835"/>
    <w:rsid w:val="006C642A"/>
    <w:rsid w:val="006C6441"/>
    <w:rsid w:val="006C7027"/>
    <w:rsid w:val="006C745F"/>
    <w:rsid w:val="006C77A2"/>
    <w:rsid w:val="006D09F1"/>
    <w:rsid w:val="006D2024"/>
    <w:rsid w:val="006D22D6"/>
    <w:rsid w:val="006D25B9"/>
    <w:rsid w:val="006D27BA"/>
    <w:rsid w:val="006D3FA0"/>
    <w:rsid w:val="006D457B"/>
    <w:rsid w:val="006D4B85"/>
    <w:rsid w:val="006D4E6D"/>
    <w:rsid w:val="006D53C5"/>
    <w:rsid w:val="006D5603"/>
    <w:rsid w:val="006D5CC9"/>
    <w:rsid w:val="006D5E83"/>
    <w:rsid w:val="006D6032"/>
    <w:rsid w:val="006D6069"/>
    <w:rsid w:val="006D61B5"/>
    <w:rsid w:val="006D643A"/>
    <w:rsid w:val="006D68D1"/>
    <w:rsid w:val="006D75E3"/>
    <w:rsid w:val="006D7796"/>
    <w:rsid w:val="006E0040"/>
    <w:rsid w:val="006E00BC"/>
    <w:rsid w:val="006E0521"/>
    <w:rsid w:val="006E0CE1"/>
    <w:rsid w:val="006E237C"/>
    <w:rsid w:val="006E3AC5"/>
    <w:rsid w:val="006E506D"/>
    <w:rsid w:val="006E51AA"/>
    <w:rsid w:val="006E52E8"/>
    <w:rsid w:val="006E572A"/>
    <w:rsid w:val="006E582B"/>
    <w:rsid w:val="006E5E02"/>
    <w:rsid w:val="006E6F2D"/>
    <w:rsid w:val="006E7998"/>
    <w:rsid w:val="006E7D1E"/>
    <w:rsid w:val="006F1373"/>
    <w:rsid w:val="006F19A9"/>
    <w:rsid w:val="006F1BAB"/>
    <w:rsid w:val="006F204A"/>
    <w:rsid w:val="006F26B5"/>
    <w:rsid w:val="006F292D"/>
    <w:rsid w:val="006F2B8A"/>
    <w:rsid w:val="006F2BCA"/>
    <w:rsid w:val="006F37DA"/>
    <w:rsid w:val="006F3D25"/>
    <w:rsid w:val="006F47EB"/>
    <w:rsid w:val="006F5304"/>
    <w:rsid w:val="006F5689"/>
    <w:rsid w:val="006F5CC6"/>
    <w:rsid w:val="006F65BA"/>
    <w:rsid w:val="006F6DF7"/>
    <w:rsid w:val="006F7043"/>
    <w:rsid w:val="006F75BB"/>
    <w:rsid w:val="00700139"/>
    <w:rsid w:val="00700352"/>
    <w:rsid w:val="007005F6"/>
    <w:rsid w:val="00700A0D"/>
    <w:rsid w:val="00700D9D"/>
    <w:rsid w:val="00701C11"/>
    <w:rsid w:val="00701E85"/>
    <w:rsid w:val="0070275B"/>
    <w:rsid w:val="0070456D"/>
    <w:rsid w:val="00704E20"/>
    <w:rsid w:val="007051C4"/>
    <w:rsid w:val="0070594B"/>
    <w:rsid w:val="00705D30"/>
    <w:rsid w:val="00705DEE"/>
    <w:rsid w:val="00706D26"/>
    <w:rsid w:val="00707A10"/>
    <w:rsid w:val="00707C8C"/>
    <w:rsid w:val="0071002A"/>
    <w:rsid w:val="0071016A"/>
    <w:rsid w:val="007101F9"/>
    <w:rsid w:val="00710ABC"/>
    <w:rsid w:val="00711099"/>
    <w:rsid w:val="0071109D"/>
    <w:rsid w:val="00712EDA"/>
    <w:rsid w:val="00713153"/>
    <w:rsid w:val="007145F3"/>
    <w:rsid w:val="00714D09"/>
    <w:rsid w:val="007150EE"/>
    <w:rsid w:val="0071535F"/>
    <w:rsid w:val="0071576D"/>
    <w:rsid w:val="00715AC5"/>
    <w:rsid w:val="007161DD"/>
    <w:rsid w:val="007201D1"/>
    <w:rsid w:val="00720267"/>
    <w:rsid w:val="0072156E"/>
    <w:rsid w:val="00722CDD"/>
    <w:rsid w:val="00723366"/>
    <w:rsid w:val="007233F9"/>
    <w:rsid w:val="007251F8"/>
    <w:rsid w:val="0072589B"/>
    <w:rsid w:val="007259AE"/>
    <w:rsid w:val="00725DAB"/>
    <w:rsid w:val="00726144"/>
    <w:rsid w:val="00726DD3"/>
    <w:rsid w:val="0072709B"/>
    <w:rsid w:val="0073026F"/>
    <w:rsid w:val="00730BE7"/>
    <w:rsid w:val="007312F7"/>
    <w:rsid w:val="0073135B"/>
    <w:rsid w:val="007313F1"/>
    <w:rsid w:val="007314DB"/>
    <w:rsid w:val="00731783"/>
    <w:rsid w:val="00731E37"/>
    <w:rsid w:val="00732D51"/>
    <w:rsid w:val="007338F4"/>
    <w:rsid w:val="00733A7A"/>
    <w:rsid w:val="00734CCD"/>
    <w:rsid w:val="00734DBD"/>
    <w:rsid w:val="007362AE"/>
    <w:rsid w:val="00736C17"/>
    <w:rsid w:val="00737F92"/>
    <w:rsid w:val="0074029C"/>
    <w:rsid w:val="007408F0"/>
    <w:rsid w:val="007409C3"/>
    <w:rsid w:val="007416A4"/>
    <w:rsid w:val="007417BA"/>
    <w:rsid w:val="00741AE0"/>
    <w:rsid w:val="0074243C"/>
    <w:rsid w:val="00742BD6"/>
    <w:rsid w:val="0074372D"/>
    <w:rsid w:val="00744469"/>
    <w:rsid w:val="00745405"/>
    <w:rsid w:val="00745976"/>
    <w:rsid w:val="00745BE2"/>
    <w:rsid w:val="00745F43"/>
    <w:rsid w:val="00746906"/>
    <w:rsid w:val="00746BB1"/>
    <w:rsid w:val="00746D8F"/>
    <w:rsid w:val="00747696"/>
    <w:rsid w:val="0075103B"/>
    <w:rsid w:val="00751326"/>
    <w:rsid w:val="00751D34"/>
    <w:rsid w:val="00752BAC"/>
    <w:rsid w:val="00752C2B"/>
    <w:rsid w:val="00752DA5"/>
    <w:rsid w:val="0075360E"/>
    <w:rsid w:val="007536EA"/>
    <w:rsid w:val="00753C0B"/>
    <w:rsid w:val="00753D58"/>
    <w:rsid w:val="007548A0"/>
    <w:rsid w:val="007557C7"/>
    <w:rsid w:val="00756701"/>
    <w:rsid w:val="0075690A"/>
    <w:rsid w:val="007571F9"/>
    <w:rsid w:val="007575D4"/>
    <w:rsid w:val="00760233"/>
    <w:rsid w:val="00761299"/>
    <w:rsid w:val="0076204F"/>
    <w:rsid w:val="00762547"/>
    <w:rsid w:val="00762583"/>
    <w:rsid w:val="00762604"/>
    <w:rsid w:val="00762F16"/>
    <w:rsid w:val="00763710"/>
    <w:rsid w:val="007642D5"/>
    <w:rsid w:val="007644D1"/>
    <w:rsid w:val="007645D7"/>
    <w:rsid w:val="00765576"/>
    <w:rsid w:val="007662DD"/>
    <w:rsid w:val="00767348"/>
    <w:rsid w:val="00767A49"/>
    <w:rsid w:val="00770694"/>
    <w:rsid w:val="007714BE"/>
    <w:rsid w:val="0077197F"/>
    <w:rsid w:val="007719F8"/>
    <w:rsid w:val="00771CAE"/>
    <w:rsid w:val="00771DFC"/>
    <w:rsid w:val="007724EE"/>
    <w:rsid w:val="00772FCA"/>
    <w:rsid w:val="00773663"/>
    <w:rsid w:val="007742A2"/>
    <w:rsid w:val="0077471A"/>
    <w:rsid w:val="0077517F"/>
    <w:rsid w:val="00775466"/>
    <w:rsid w:val="007754EF"/>
    <w:rsid w:val="007754FC"/>
    <w:rsid w:val="00775686"/>
    <w:rsid w:val="00776633"/>
    <w:rsid w:val="007773C5"/>
    <w:rsid w:val="00777B1E"/>
    <w:rsid w:val="0078014D"/>
    <w:rsid w:val="00780505"/>
    <w:rsid w:val="00780686"/>
    <w:rsid w:val="007806E8"/>
    <w:rsid w:val="00780F6C"/>
    <w:rsid w:val="00781977"/>
    <w:rsid w:val="0078230C"/>
    <w:rsid w:val="0078626B"/>
    <w:rsid w:val="007863BA"/>
    <w:rsid w:val="00786D3A"/>
    <w:rsid w:val="00787F1E"/>
    <w:rsid w:val="00790A25"/>
    <w:rsid w:val="007910BD"/>
    <w:rsid w:val="007912B9"/>
    <w:rsid w:val="0079165A"/>
    <w:rsid w:val="00791779"/>
    <w:rsid w:val="0079248B"/>
    <w:rsid w:val="0079263B"/>
    <w:rsid w:val="00794A33"/>
    <w:rsid w:val="00794ADB"/>
    <w:rsid w:val="00794DC2"/>
    <w:rsid w:val="0079598A"/>
    <w:rsid w:val="00797932"/>
    <w:rsid w:val="007A05E6"/>
    <w:rsid w:val="007A0857"/>
    <w:rsid w:val="007A0C46"/>
    <w:rsid w:val="007A0FA8"/>
    <w:rsid w:val="007A1777"/>
    <w:rsid w:val="007A3BCF"/>
    <w:rsid w:val="007A3CC0"/>
    <w:rsid w:val="007A3FB6"/>
    <w:rsid w:val="007A4817"/>
    <w:rsid w:val="007A5186"/>
    <w:rsid w:val="007A5D0F"/>
    <w:rsid w:val="007A5DE3"/>
    <w:rsid w:val="007A782D"/>
    <w:rsid w:val="007B0106"/>
    <w:rsid w:val="007B0B75"/>
    <w:rsid w:val="007B0D7D"/>
    <w:rsid w:val="007B11F6"/>
    <w:rsid w:val="007B1447"/>
    <w:rsid w:val="007B23A6"/>
    <w:rsid w:val="007B327B"/>
    <w:rsid w:val="007B374A"/>
    <w:rsid w:val="007B37FC"/>
    <w:rsid w:val="007B3843"/>
    <w:rsid w:val="007B3AFC"/>
    <w:rsid w:val="007B4ECA"/>
    <w:rsid w:val="007B500D"/>
    <w:rsid w:val="007B57AC"/>
    <w:rsid w:val="007B5B18"/>
    <w:rsid w:val="007B5F80"/>
    <w:rsid w:val="007B636E"/>
    <w:rsid w:val="007B6813"/>
    <w:rsid w:val="007B6DC6"/>
    <w:rsid w:val="007B7CCE"/>
    <w:rsid w:val="007C0673"/>
    <w:rsid w:val="007C10CD"/>
    <w:rsid w:val="007C11C1"/>
    <w:rsid w:val="007C14CB"/>
    <w:rsid w:val="007C18D7"/>
    <w:rsid w:val="007C490E"/>
    <w:rsid w:val="007C4C45"/>
    <w:rsid w:val="007C6E8F"/>
    <w:rsid w:val="007C72C3"/>
    <w:rsid w:val="007C73B2"/>
    <w:rsid w:val="007D03D0"/>
    <w:rsid w:val="007D1825"/>
    <w:rsid w:val="007D1BF8"/>
    <w:rsid w:val="007D2375"/>
    <w:rsid w:val="007D23C4"/>
    <w:rsid w:val="007D3049"/>
    <w:rsid w:val="007D3297"/>
    <w:rsid w:val="007D347B"/>
    <w:rsid w:val="007D37BA"/>
    <w:rsid w:val="007D37C6"/>
    <w:rsid w:val="007D37EA"/>
    <w:rsid w:val="007D3C87"/>
    <w:rsid w:val="007D3CBF"/>
    <w:rsid w:val="007D411D"/>
    <w:rsid w:val="007D4582"/>
    <w:rsid w:val="007D4865"/>
    <w:rsid w:val="007D4911"/>
    <w:rsid w:val="007D4F04"/>
    <w:rsid w:val="007D616C"/>
    <w:rsid w:val="007D6AEC"/>
    <w:rsid w:val="007D6B12"/>
    <w:rsid w:val="007E0680"/>
    <w:rsid w:val="007E10E7"/>
    <w:rsid w:val="007E13F3"/>
    <w:rsid w:val="007E1D53"/>
    <w:rsid w:val="007E2D6B"/>
    <w:rsid w:val="007E49BC"/>
    <w:rsid w:val="007E4D43"/>
    <w:rsid w:val="007E534A"/>
    <w:rsid w:val="007E5B94"/>
    <w:rsid w:val="007E61E5"/>
    <w:rsid w:val="007E63ED"/>
    <w:rsid w:val="007E783E"/>
    <w:rsid w:val="007F0166"/>
    <w:rsid w:val="007F0819"/>
    <w:rsid w:val="007F0F63"/>
    <w:rsid w:val="007F12AE"/>
    <w:rsid w:val="007F17FF"/>
    <w:rsid w:val="007F199C"/>
    <w:rsid w:val="007F19E1"/>
    <w:rsid w:val="007F21FB"/>
    <w:rsid w:val="007F3439"/>
    <w:rsid w:val="007F346F"/>
    <w:rsid w:val="007F35CD"/>
    <w:rsid w:val="007F411C"/>
    <w:rsid w:val="007F46C5"/>
    <w:rsid w:val="007F53E8"/>
    <w:rsid w:val="007F5707"/>
    <w:rsid w:val="007F5DF3"/>
    <w:rsid w:val="007F6206"/>
    <w:rsid w:val="007F697F"/>
    <w:rsid w:val="007F75AB"/>
    <w:rsid w:val="007F792A"/>
    <w:rsid w:val="007F7B04"/>
    <w:rsid w:val="007F7B45"/>
    <w:rsid w:val="008001EE"/>
    <w:rsid w:val="00800E8E"/>
    <w:rsid w:val="008013FF"/>
    <w:rsid w:val="00801971"/>
    <w:rsid w:val="00801D49"/>
    <w:rsid w:val="0080209A"/>
    <w:rsid w:val="00802382"/>
    <w:rsid w:val="00802E4F"/>
    <w:rsid w:val="008034F7"/>
    <w:rsid w:val="00803EFC"/>
    <w:rsid w:val="008044BF"/>
    <w:rsid w:val="00805F2D"/>
    <w:rsid w:val="00806119"/>
    <w:rsid w:val="0080792B"/>
    <w:rsid w:val="008100A2"/>
    <w:rsid w:val="00810178"/>
    <w:rsid w:val="00810506"/>
    <w:rsid w:val="008109F1"/>
    <w:rsid w:val="00811108"/>
    <w:rsid w:val="008121C3"/>
    <w:rsid w:val="008128CA"/>
    <w:rsid w:val="00812BC8"/>
    <w:rsid w:val="00812E32"/>
    <w:rsid w:val="00813155"/>
    <w:rsid w:val="00813B67"/>
    <w:rsid w:val="00815E8F"/>
    <w:rsid w:val="0081616A"/>
    <w:rsid w:val="008166D8"/>
    <w:rsid w:val="00817651"/>
    <w:rsid w:val="00817D2C"/>
    <w:rsid w:val="008200A9"/>
    <w:rsid w:val="008202C1"/>
    <w:rsid w:val="008203CE"/>
    <w:rsid w:val="0082069A"/>
    <w:rsid w:val="00820C2F"/>
    <w:rsid w:val="0082208E"/>
    <w:rsid w:val="008227CB"/>
    <w:rsid w:val="00822882"/>
    <w:rsid w:val="00822C1D"/>
    <w:rsid w:val="00822F7D"/>
    <w:rsid w:val="0082398A"/>
    <w:rsid w:val="0082458D"/>
    <w:rsid w:val="0082500B"/>
    <w:rsid w:val="00825F67"/>
    <w:rsid w:val="00826F90"/>
    <w:rsid w:val="00830206"/>
    <w:rsid w:val="008309C8"/>
    <w:rsid w:val="00831648"/>
    <w:rsid w:val="00834676"/>
    <w:rsid w:val="00834F1A"/>
    <w:rsid w:val="00835E81"/>
    <w:rsid w:val="00836DBF"/>
    <w:rsid w:val="00837500"/>
    <w:rsid w:val="00837567"/>
    <w:rsid w:val="00837D9A"/>
    <w:rsid w:val="0084004A"/>
    <w:rsid w:val="00840270"/>
    <w:rsid w:val="0084090D"/>
    <w:rsid w:val="00840BEA"/>
    <w:rsid w:val="00840C48"/>
    <w:rsid w:val="00840EEE"/>
    <w:rsid w:val="00841D08"/>
    <w:rsid w:val="00841D4F"/>
    <w:rsid w:val="008422CA"/>
    <w:rsid w:val="0084239E"/>
    <w:rsid w:val="00842832"/>
    <w:rsid w:val="00842BD0"/>
    <w:rsid w:val="00842D03"/>
    <w:rsid w:val="00842E17"/>
    <w:rsid w:val="0084381C"/>
    <w:rsid w:val="00844778"/>
    <w:rsid w:val="008456FD"/>
    <w:rsid w:val="00845F9E"/>
    <w:rsid w:val="00846C1D"/>
    <w:rsid w:val="0084781F"/>
    <w:rsid w:val="00847CAE"/>
    <w:rsid w:val="00847CD9"/>
    <w:rsid w:val="00850307"/>
    <w:rsid w:val="008503A9"/>
    <w:rsid w:val="00850D00"/>
    <w:rsid w:val="00852184"/>
    <w:rsid w:val="00852517"/>
    <w:rsid w:val="0085276B"/>
    <w:rsid w:val="00852CF7"/>
    <w:rsid w:val="00852DA3"/>
    <w:rsid w:val="00852F22"/>
    <w:rsid w:val="008530CD"/>
    <w:rsid w:val="008534EC"/>
    <w:rsid w:val="008536B3"/>
    <w:rsid w:val="00853CBA"/>
    <w:rsid w:val="0085511F"/>
    <w:rsid w:val="008551C0"/>
    <w:rsid w:val="00855AFD"/>
    <w:rsid w:val="00856320"/>
    <w:rsid w:val="008564B2"/>
    <w:rsid w:val="0085651E"/>
    <w:rsid w:val="008575B7"/>
    <w:rsid w:val="00857F9D"/>
    <w:rsid w:val="00860163"/>
    <w:rsid w:val="00860F38"/>
    <w:rsid w:val="0086100C"/>
    <w:rsid w:val="00861A61"/>
    <w:rsid w:val="00862B44"/>
    <w:rsid w:val="00862E56"/>
    <w:rsid w:val="00863039"/>
    <w:rsid w:val="0086383C"/>
    <w:rsid w:val="00863F0E"/>
    <w:rsid w:val="00864D01"/>
    <w:rsid w:val="00864EB6"/>
    <w:rsid w:val="0086526B"/>
    <w:rsid w:val="00865382"/>
    <w:rsid w:val="00867DC9"/>
    <w:rsid w:val="008703EE"/>
    <w:rsid w:val="00870E91"/>
    <w:rsid w:val="00871089"/>
    <w:rsid w:val="00871145"/>
    <w:rsid w:val="00871539"/>
    <w:rsid w:val="0087216D"/>
    <w:rsid w:val="00873E38"/>
    <w:rsid w:val="00875363"/>
    <w:rsid w:val="008758C4"/>
    <w:rsid w:val="00876071"/>
    <w:rsid w:val="00876D11"/>
    <w:rsid w:val="0087752D"/>
    <w:rsid w:val="00877683"/>
    <w:rsid w:val="00877B35"/>
    <w:rsid w:val="00877F67"/>
    <w:rsid w:val="0088068E"/>
    <w:rsid w:val="00880B44"/>
    <w:rsid w:val="00880C19"/>
    <w:rsid w:val="008810B8"/>
    <w:rsid w:val="00881E89"/>
    <w:rsid w:val="008824B2"/>
    <w:rsid w:val="00882D54"/>
    <w:rsid w:val="00883872"/>
    <w:rsid w:val="00885F3A"/>
    <w:rsid w:val="008866F6"/>
    <w:rsid w:val="00886929"/>
    <w:rsid w:val="00891B66"/>
    <w:rsid w:val="008920E8"/>
    <w:rsid w:val="008921E4"/>
    <w:rsid w:val="008926B1"/>
    <w:rsid w:val="00892B37"/>
    <w:rsid w:val="00892C50"/>
    <w:rsid w:val="0089301E"/>
    <w:rsid w:val="00894521"/>
    <w:rsid w:val="0089456E"/>
    <w:rsid w:val="00894AAE"/>
    <w:rsid w:val="00894AF7"/>
    <w:rsid w:val="00894D44"/>
    <w:rsid w:val="008966C3"/>
    <w:rsid w:val="008969B4"/>
    <w:rsid w:val="00896EFF"/>
    <w:rsid w:val="00897A5A"/>
    <w:rsid w:val="00897BF6"/>
    <w:rsid w:val="00897EEA"/>
    <w:rsid w:val="008A005B"/>
    <w:rsid w:val="008A097F"/>
    <w:rsid w:val="008A12CF"/>
    <w:rsid w:val="008A178C"/>
    <w:rsid w:val="008A1AC8"/>
    <w:rsid w:val="008A1F9E"/>
    <w:rsid w:val="008A2381"/>
    <w:rsid w:val="008A34ED"/>
    <w:rsid w:val="008A3508"/>
    <w:rsid w:val="008A379C"/>
    <w:rsid w:val="008A4CFF"/>
    <w:rsid w:val="008A4F52"/>
    <w:rsid w:val="008A779B"/>
    <w:rsid w:val="008A796F"/>
    <w:rsid w:val="008A7CF1"/>
    <w:rsid w:val="008B04FD"/>
    <w:rsid w:val="008B06E9"/>
    <w:rsid w:val="008B09FE"/>
    <w:rsid w:val="008B1F59"/>
    <w:rsid w:val="008B202C"/>
    <w:rsid w:val="008B26C9"/>
    <w:rsid w:val="008B3A9D"/>
    <w:rsid w:val="008B540A"/>
    <w:rsid w:val="008B60A0"/>
    <w:rsid w:val="008B6B11"/>
    <w:rsid w:val="008B7077"/>
    <w:rsid w:val="008B7F48"/>
    <w:rsid w:val="008C0944"/>
    <w:rsid w:val="008C13AF"/>
    <w:rsid w:val="008C18E3"/>
    <w:rsid w:val="008C1F98"/>
    <w:rsid w:val="008C1FA2"/>
    <w:rsid w:val="008C21B4"/>
    <w:rsid w:val="008C22EC"/>
    <w:rsid w:val="008C29B8"/>
    <w:rsid w:val="008C2B1A"/>
    <w:rsid w:val="008C3BEB"/>
    <w:rsid w:val="008C3D35"/>
    <w:rsid w:val="008C444B"/>
    <w:rsid w:val="008C483B"/>
    <w:rsid w:val="008C6CA7"/>
    <w:rsid w:val="008C7287"/>
    <w:rsid w:val="008C7B95"/>
    <w:rsid w:val="008C7D6F"/>
    <w:rsid w:val="008D07E9"/>
    <w:rsid w:val="008D0AA9"/>
    <w:rsid w:val="008D115F"/>
    <w:rsid w:val="008D2470"/>
    <w:rsid w:val="008D30EF"/>
    <w:rsid w:val="008D4437"/>
    <w:rsid w:val="008D478B"/>
    <w:rsid w:val="008D4BE6"/>
    <w:rsid w:val="008D5ADD"/>
    <w:rsid w:val="008D5D38"/>
    <w:rsid w:val="008D5E15"/>
    <w:rsid w:val="008D69F4"/>
    <w:rsid w:val="008D6B16"/>
    <w:rsid w:val="008D6E0E"/>
    <w:rsid w:val="008D7AC7"/>
    <w:rsid w:val="008E0066"/>
    <w:rsid w:val="008E01E9"/>
    <w:rsid w:val="008E0695"/>
    <w:rsid w:val="008E07E0"/>
    <w:rsid w:val="008E1084"/>
    <w:rsid w:val="008E1D77"/>
    <w:rsid w:val="008E2972"/>
    <w:rsid w:val="008E3732"/>
    <w:rsid w:val="008E3C28"/>
    <w:rsid w:val="008E3DCD"/>
    <w:rsid w:val="008E413B"/>
    <w:rsid w:val="008E4A61"/>
    <w:rsid w:val="008E4BAB"/>
    <w:rsid w:val="008E5D34"/>
    <w:rsid w:val="008E6077"/>
    <w:rsid w:val="008E7175"/>
    <w:rsid w:val="008E76FE"/>
    <w:rsid w:val="008E7CDD"/>
    <w:rsid w:val="008F0A37"/>
    <w:rsid w:val="008F10F4"/>
    <w:rsid w:val="008F190F"/>
    <w:rsid w:val="008F2324"/>
    <w:rsid w:val="008F251E"/>
    <w:rsid w:val="008F2901"/>
    <w:rsid w:val="008F2FAF"/>
    <w:rsid w:val="008F304E"/>
    <w:rsid w:val="008F4556"/>
    <w:rsid w:val="008F4829"/>
    <w:rsid w:val="008F4BA6"/>
    <w:rsid w:val="008F4BD2"/>
    <w:rsid w:val="008F4E17"/>
    <w:rsid w:val="008F62D4"/>
    <w:rsid w:val="008F73D7"/>
    <w:rsid w:val="00900C1C"/>
    <w:rsid w:val="00900D54"/>
    <w:rsid w:val="0090326A"/>
    <w:rsid w:val="00904053"/>
    <w:rsid w:val="00904B33"/>
    <w:rsid w:val="00904B46"/>
    <w:rsid w:val="009054B9"/>
    <w:rsid w:val="00905992"/>
    <w:rsid w:val="00905BF4"/>
    <w:rsid w:val="00906573"/>
    <w:rsid w:val="009072F1"/>
    <w:rsid w:val="00907888"/>
    <w:rsid w:val="00907B4B"/>
    <w:rsid w:val="00907D28"/>
    <w:rsid w:val="009113BB"/>
    <w:rsid w:val="009129C6"/>
    <w:rsid w:val="009156D0"/>
    <w:rsid w:val="00916115"/>
    <w:rsid w:val="009163AD"/>
    <w:rsid w:val="009169A3"/>
    <w:rsid w:val="00916C8E"/>
    <w:rsid w:val="00916EE7"/>
    <w:rsid w:val="00917413"/>
    <w:rsid w:val="00920514"/>
    <w:rsid w:val="00920B5A"/>
    <w:rsid w:val="00921886"/>
    <w:rsid w:val="00921E2E"/>
    <w:rsid w:val="0092202F"/>
    <w:rsid w:val="009224FE"/>
    <w:rsid w:val="00922686"/>
    <w:rsid w:val="0092271B"/>
    <w:rsid w:val="00922CF3"/>
    <w:rsid w:val="00922FC5"/>
    <w:rsid w:val="0092319F"/>
    <w:rsid w:val="009239DB"/>
    <w:rsid w:val="009242CA"/>
    <w:rsid w:val="0092448F"/>
    <w:rsid w:val="00924A7B"/>
    <w:rsid w:val="0092538D"/>
    <w:rsid w:val="0092586C"/>
    <w:rsid w:val="00925D60"/>
    <w:rsid w:val="0092608B"/>
    <w:rsid w:val="00927563"/>
    <w:rsid w:val="00927DFE"/>
    <w:rsid w:val="00931D4A"/>
    <w:rsid w:val="00931E35"/>
    <w:rsid w:val="0093207B"/>
    <w:rsid w:val="00932561"/>
    <w:rsid w:val="00933538"/>
    <w:rsid w:val="00933EC3"/>
    <w:rsid w:val="00934790"/>
    <w:rsid w:val="009372AD"/>
    <w:rsid w:val="00937425"/>
    <w:rsid w:val="00937A13"/>
    <w:rsid w:val="009400E3"/>
    <w:rsid w:val="00940CF8"/>
    <w:rsid w:val="009410C2"/>
    <w:rsid w:val="009418D1"/>
    <w:rsid w:val="00942749"/>
    <w:rsid w:val="009427BE"/>
    <w:rsid w:val="009432A8"/>
    <w:rsid w:val="00943C7F"/>
    <w:rsid w:val="00943FA6"/>
    <w:rsid w:val="0094460C"/>
    <w:rsid w:val="009471D3"/>
    <w:rsid w:val="0094795D"/>
    <w:rsid w:val="00947D5E"/>
    <w:rsid w:val="00950405"/>
    <w:rsid w:val="00950491"/>
    <w:rsid w:val="00950592"/>
    <w:rsid w:val="00950714"/>
    <w:rsid w:val="0095191C"/>
    <w:rsid w:val="00951BDC"/>
    <w:rsid w:val="00952053"/>
    <w:rsid w:val="00953867"/>
    <w:rsid w:val="0095389E"/>
    <w:rsid w:val="00953E29"/>
    <w:rsid w:val="0095659B"/>
    <w:rsid w:val="00956665"/>
    <w:rsid w:val="00957A97"/>
    <w:rsid w:val="00962440"/>
    <w:rsid w:val="00963115"/>
    <w:rsid w:val="00963192"/>
    <w:rsid w:val="009642EE"/>
    <w:rsid w:val="009657DE"/>
    <w:rsid w:val="0096583E"/>
    <w:rsid w:val="00965861"/>
    <w:rsid w:val="0096653F"/>
    <w:rsid w:val="00967188"/>
    <w:rsid w:val="00967922"/>
    <w:rsid w:val="00967D76"/>
    <w:rsid w:val="00970E27"/>
    <w:rsid w:val="00971376"/>
    <w:rsid w:val="00971DBA"/>
    <w:rsid w:val="009725B5"/>
    <w:rsid w:val="0097263D"/>
    <w:rsid w:val="0097321B"/>
    <w:rsid w:val="00973284"/>
    <w:rsid w:val="00973398"/>
    <w:rsid w:val="0097369D"/>
    <w:rsid w:val="00974473"/>
    <w:rsid w:val="0097556F"/>
    <w:rsid w:val="00975E8E"/>
    <w:rsid w:val="009764A5"/>
    <w:rsid w:val="00977417"/>
    <w:rsid w:val="0098133B"/>
    <w:rsid w:val="00981638"/>
    <w:rsid w:val="00981E36"/>
    <w:rsid w:val="009845A9"/>
    <w:rsid w:val="009848BF"/>
    <w:rsid w:val="00984F0F"/>
    <w:rsid w:val="00984F40"/>
    <w:rsid w:val="00985122"/>
    <w:rsid w:val="00985C20"/>
    <w:rsid w:val="00985EDB"/>
    <w:rsid w:val="00986164"/>
    <w:rsid w:val="0098640A"/>
    <w:rsid w:val="009866C9"/>
    <w:rsid w:val="00986E59"/>
    <w:rsid w:val="00986E9F"/>
    <w:rsid w:val="009871EB"/>
    <w:rsid w:val="0098791B"/>
    <w:rsid w:val="00991237"/>
    <w:rsid w:val="00991716"/>
    <w:rsid w:val="0099229E"/>
    <w:rsid w:val="009922F2"/>
    <w:rsid w:val="009924C2"/>
    <w:rsid w:val="00992AA9"/>
    <w:rsid w:val="00992BDA"/>
    <w:rsid w:val="009931D1"/>
    <w:rsid w:val="00993338"/>
    <w:rsid w:val="00993E4A"/>
    <w:rsid w:val="00993EE8"/>
    <w:rsid w:val="00994480"/>
    <w:rsid w:val="009949C6"/>
    <w:rsid w:val="00996AE9"/>
    <w:rsid w:val="00997788"/>
    <w:rsid w:val="00997990"/>
    <w:rsid w:val="009A04F6"/>
    <w:rsid w:val="009A0A52"/>
    <w:rsid w:val="009A1B69"/>
    <w:rsid w:val="009A1C9A"/>
    <w:rsid w:val="009A1EC4"/>
    <w:rsid w:val="009A2430"/>
    <w:rsid w:val="009A2692"/>
    <w:rsid w:val="009A2A2E"/>
    <w:rsid w:val="009A31BC"/>
    <w:rsid w:val="009A3475"/>
    <w:rsid w:val="009A39F8"/>
    <w:rsid w:val="009A4234"/>
    <w:rsid w:val="009A46BD"/>
    <w:rsid w:val="009A4B91"/>
    <w:rsid w:val="009A5980"/>
    <w:rsid w:val="009A5C56"/>
    <w:rsid w:val="009A64D1"/>
    <w:rsid w:val="009A6CC7"/>
    <w:rsid w:val="009A7711"/>
    <w:rsid w:val="009B01AE"/>
    <w:rsid w:val="009B167B"/>
    <w:rsid w:val="009B2739"/>
    <w:rsid w:val="009B2D82"/>
    <w:rsid w:val="009B3EDD"/>
    <w:rsid w:val="009B4C05"/>
    <w:rsid w:val="009B55CB"/>
    <w:rsid w:val="009B5E0E"/>
    <w:rsid w:val="009B6358"/>
    <w:rsid w:val="009B63BC"/>
    <w:rsid w:val="009B6E78"/>
    <w:rsid w:val="009C0F7D"/>
    <w:rsid w:val="009C152B"/>
    <w:rsid w:val="009C27AE"/>
    <w:rsid w:val="009C2A0A"/>
    <w:rsid w:val="009C2BE4"/>
    <w:rsid w:val="009C4C49"/>
    <w:rsid w:val="009C6298"/>
    <w:rsid w:val="009C6A50"/>
    <w:rsid w:val="009C76D6"/>
    <w:rsid w:val="009C7AE5"/>
    <w:rsid w:val="009D03A7"/>
    <w:rsid w:val="009D03D2"/>
    <w:rsid w:val="009D05FE"/>
    <w:rsid w:val="009D0B05"/>
    <w:rsid w:val="009D0BB4"/>
    <w:rsid w:val="009D1004"/>
    <w:rsid w:val="009D163E"/>
    <w:rsid w:val="009D22FB"/>
    <w:rsid w:val="009D277E"/>
    <w:rsid w:val="009D282A"/>
    <w:rsid w:val="009D2FED"/>
    <w:rsid w:val="009D475F"/>
    <w:rsid w:val="009D4D68"/>
    <w:rsid w:val="009D4E60"/>
    <w:rsid w:val="009D514C"/>
    <w:rsid w:val="009D53FF"/>
    <w:rsid w:val="009D5E99"/>
    <w:rsid w:val="009D632F"/>
    <w:rsid w:val="009D690C"/>
    <w:rsid w:val="009D6F46"/>
    <w:rsid w:val="009D7A46"/>
    <w:rsid w:val="009E1F16"/>
    <w:rsid w:val="009E2105"/>
    <w:rsid w:val="009E25BD"/>
    <w:rsid w:val="009E2626"/>
    <w:rsid w:val="009E2D45"/>
    <w:rsid w:val="009E2F33"/>
    <w:rsid w:val="009E3C8F"/>
    <w:rsid w:val="009E3F14"/>
    <w:rsid w:val="009E4003"/>
    <w:rsid w:val="009E4BE2"/>
    <w:rsid w:val="009E59AE"/>
    <w:rsid w:val="009E5E9D"/>
    <w:rsid w:val="009E6C93"/>
    <w:rsid w:val="009E7075"/>
    <w:rsid w:val="009F0248"/>
    <w:rsid w:val="009F1280"/>
    <w:rsid w:val="009F1DD3"/>
    <w:rsid w:val="009F2BD1"/>
    <w:rsid w:val="009F402A"/>
    <w:rsid w:val="009F44B0"/>
    <w:rsid w:val="009F4728"/>
    <w:rsid w:val="009F5271"/>
    <w:rsid w:val="009F6D5D"/>
    <w:rsid w:val="009F718C"/>
    <w:rsid w:val="009F7F2B"/>
    <w:rsid w:val="00A001C7"/>
    <w:rsid w:val="00A007D4"/>
    <w:rsid w:val="00A00D5A"/>
    <w:rsid w:val="00A00FD7"/>
    <w:rsid w:val="00A02146"/>
    <w:rsid w:val="00A04A83"/>
    <w:rsid w:val="00A052EE"/>
    <w:rsid w:val="00A05A3A"/>
    <w:rsid w:val="00A06263"/>
    <w:rsid w:val="00A073DA"/>
    <w:rsid w:val="00A0748B"/>
    <w:rsid w:val="00A078A8"/>
    <w:rsid w:val="00A10993"/>
    <w:rsid w:val="00A11B61"/>
    <w:rsid w:val="00A126EF"/>
    <w:rsid w:val="00A128CE"/>
    <w:rsid w:val="00A12A11"/>
    <w:rsid w:val="00A13215"/>
    <w:rsid w:val="00A13B78"/>
    <w:rsid w:val="00A14D0B"/>
    <w:rsid w:val="00A155DF"/>
    <w:rsid w:val="00A163BC"/>
    <w:rsid w:val="00A1762C"/>
    <w:rsid w:val="00A17834"/>
    <w:rsid w:val="00A201B6"/>
    <w:rsid w:val="00A22093"/>
    <w:rsid w:val="00A22761"/>
    <w:rsid w:val="00A22BEA"/>
    <w:rsid w:val="00A23EA3"/>
    <w:rsid w:val="00A2496B"/>
    <w:rsid w:val="00A2516B"/>
    <w:rsid w:val="00A25309"/>
    <w:rsid w:val="00A263A3"/>
    <w:rsid w:val="00A2792C"/>
    <w:rsid w:val="00A30C11"/>
    <w:rsid w:val="00A315EC"/>
    <w:rsid w:val="00A32185"/>
    <w:rsid w:val="00A32328"/>
    <w:rsid w:val="00A326ED"/>
    <w:rsid w:val="00A32BF9"/>
    <w:rsid w:val="00A32E4B"/>
    <w:rsid w:val="00A3371F"/>
    <w:rsid w:val="00A33C39"/>
    <w:rsid w:val="00A33F8A"/>
    <w:rsid w:val="00A3465D"/>
    <w:rsid w:val="00A34B49"/>
    <w:rsid w:val="00A35A21"/>
    <w:rsid w:val="00A36222"/>
    <w:rsid w:val="00A36945"/>
    <w:rsid w:val="00A36B66"/>
    <w:rsid w:val="00A36FCD"/>
    <w:rsid w:val="00A37416"/>
    <w:rsid w:val="00A37A6A"/>
    <w:rsid w:val="00A409CF"/>
    <w:rsid w:val="00A40C54"/>
    <w:rsid w:val="00A40FEA"/>
    <w:rsid w:val="00A41863"/>
    <w:rsid w:val="00A4201E"/>
    <w:rsid w:val="00A42578"/>
    <w:rsid w:val="00A43159"/>
    <w:rsid w:val="00A431C9"/>
    <w:rsid w:val="00A43CA2"/>
    <w:rsid w:val="00A441B1"/>
    <w:rsid w:val="00A44225"/>
    <w:rsid w:val="00A4496C"/>
    <w:rsid w:val="00A449E1"/>
    <w:rsid w:val="00A45336"/>
    <w:rsid w:val="00A4555C"/>
    <w:rsid w:val="00A4563A"/>
    <w:rsid w:val="00A45953"/>
    <w:rsid w:val="00A45AB3"/>
    <w:rsid w:val="00A467D9"/>
    <w:rsid w:val="00A477CC"/>
    <w:rsid w:val="00A47FCE"/>
    <w:rsid w:val="00A509C0"/>
    <w:rsid w:val="00A52210"/>
    <w:rsid w:val="00A52469"/>
    <w:rsid w:val="00A52880"/>
    <w:rsid w:val="00A543F0"/>
    <w:rsid w:val="00A544A1"/>
    <w:rsid w:val="00A54941"/>
    <w:rsid w:val="00A558A1"/>
    <w:rsid w:val="00A55F50"/>
    <w:rsid w:val="00A56666"/>
    <w:rsid w:val="00A5668D"/>
    <w:rsid w:val="00A56732"/>
    <w:rsid w:val="00A56E98"/>
    <w:rsid w:val="00A5750B"/>
    <w:rsid w:val="00A578AB"/>
    <w:rsid w:val="00A579CE"/>
    <w:rsid w:val="00A6082B"/>
    <w:rsid w:val="00A61293"/>
    <w:rsid w:val="00A61339"/>
    <w:rsid w:val="00A64446"/>
    <w:rsid w:val="00A65796"/>
    <w:rsid w:val="00A66010"/>
    <w:rsid w:val="00A66096"/>
    <w:rsid w:val="00A660FE"/>
    <w:rsid w:val="00A6618C"/>
    <w:rsid w:val="00A66734"/>
    <w:rsid w:val="00A66DDF"/>
    <w:rsid w:val="00A66E01"/>
    <w:rsid w:val="00A66E79"/>
    <w:rsid w:val="00A66EDC"/>
    <w:rsid w:val="00A71452"/>
    <w:rsid w:val="00A723C4"/>
    <w:rsid w:val="00A7331A"/>
    <w:rsid w:val="00A73F2B"/>
    <w:rsid w:val="00A74DB4"/>
    <w:rsid w:val="00A75333"/>
    <w:rsid w:val="00A75A23"/>
    <w:rsid w:val="00A76704"/>
    <w:rsid w:val="00A77DA0"/>
    <w:rsid w:val="00A77FAA"/>
    <w:rsid w:val="00A80A81"/>
    <w:rsid w:val="00A80AC7"/>
    <w:rsid w:val="00A80CF6"/>
    <w:rsid w:val="00A80F87"/>
    <w:rsid w:val="00A8120A"/>
    <w:rsid w:val="00A81B5B"/>
    <w:rsid w:val="00A820F0"/>
    <w:rsid w:val="00A82CD5"/>
    <w:rsid w:val="00A8357A"/>
    <w:rsid w:val="00A83A07"/>
    <w:rsid w:val="00A841E0"/>
    <w:rsid w:val="00A84638"/>
    <w:rsid w:val="00A85694"/>
    <w:rsid w:val="00A85B05"/>
    <w:rsid w:val="00A85F97"/>
    <w:rsid w:val="00A8635A"/>
    <w:rsid w:val="00A87454"/>
    <w:rsid w:val="00A87CAA"/>
    <w:rsid w:val="00A87D0A"/>
    <w:rsid w:val="00A90A0E"/>
    <w:rsid w:val="00A90F70"/>
    <w:rsid w:val="00A910F4"/>
    <w:rsid w:val="00A915F8"/>
    <w:rsid w:val="00A92122"/>
    <w:rsid w:val="00A92C58"/>
    <w:rsid w:val="00A92F1D"/>
    <w:rsid w:val="00A94592"/>
    <w:rsid w:val="00A94B2A"/>
    <w:rsid w:val="00A94F6D"/>
    <w:rsid w:val="00A951BC"/>
    <w:rsid w:val="00A95D4D"/>
    <w:rsid w:val="00A9604A"/>
    <w:rsid w:val="00A961D0"/>
    <w:rsid w:val="00A96B4B"/>
    <w:rsid w:val="00A970DF"/>
    <w:rsid w:val="00A97C90"/>
    <w:rsid w:val="00AA0561"/>
    <w:rsid w:val="00AA0C49"/>
    <w:rsid w:val="00AA0D26"/>
    <w:rsid w:val="00AA0FFE"/>
    <w:rsid w:val="00AA2A53"/>
    <w:rsid w:val="00AA303F"/>
    <w:rsid w:val="00AA3AC4"/>
    <w:rsid w:val="00AA3C2E"/>
    <w:rsid w:val="00AA484A"/>
    <w:rsid w:val="00AA4A75"/>
    <w:rsid w:val="00AA50D4"/>
    <w:rsid w:val="00AA526F"/>
    <w:rsid w:val="00AA5758"/>
    <w:rsid w:val="00AA60F7"/>
    <w:rsid w:val="00AA664B"/>
    <w:rsid w:val="00AA73EA"/>
    <w:rsid w:val="00AA7690"/>
    <w:rsid w:val="00AA77A9"/>
    <w:rsid w:val="00AA7F2C"/>
    <w:rsid w:val="00AB110D"/>
    <w:rsid w:val="00AB1755"/>
    <w:rsid w:val="00AB1DE9"/>
    <w:rsid w:val="00AB2242"/>
    <w:rsid w:val="00AB242F"/>
    <w:rsid w:val="00AB33D3"/>
    <w:rsid w:val="00AB41C8"/>
    <w:rsid w:val="00AB453F"/>
    <w:rsid w:val="00AB4F8C"/>
    <w:rsid w:val="00AB53CD"/>
    <w:rsid w:val="00AB5D96"/>
    <w:rsid w:val="00AB6438"/>
    <w:rsid w:val="00AB679A"/>
    <w:rsid w:val="00AB6E74"/>
    <w:rsid w:val="00AB6FCC"/>
    <w:rsid w:val="00AB73AB"/>
    <w:rsid w:val="00AC0195"/>
    <w:rsid w:val="00AC053E"/>
    <w:rsid w:val="00AC08AE"/>
    <w:rsid w:val="00AC0C0D"/>
    <w:rsid w:val="00AC143B"/>
    <w:rsid w:val="00AC1D39"/>
    <w:rsid w:val="00AC3295"/>
    <w:rsid w:val="00AC3592"/>
    <w:rsid w:val="00AC3764"/>
    <w:rsid w:val="00AC3E80"/>
    <w:rsid w:val="00AC4BE7"/>
    <w:rsid w:val="00AC6C47"/>
    <w:rsid w:val="00AC6D5D"/>
    <w:rsid w:val="00AC74DD"/>
    <w:rsid w:val="00AC75B8"/>
    <w:rsid w:val="00AC7696"/>
    <w:rsid w:val="00AC789F"/>
    <w:rsid w:val="00AD0072"/>
    <w:rsid w:val="00AD0579"/>
    <w:rsid w:val="00AD0BD5"/>
    <w:rsid w:val="00AD1213"/>
    <w:rsid w:val="00AD1F36"/>
    <w:rsid w:val="00AD2480"/>
    <w:rsid w:val="00AD289D"/>
    <w:rsid w:val="00AD2BEF"/>
    <w:rsid w:val="00AD3772"/>
    <w:rsid w:val="00AD3D12"/>
    <w:rsid w:val="00AD5373"/>
    <w:rsid w:val="00AD5E1C"/>
    <w:rsid w:val="00AD6EE5"/>
    <w:rsid w:val="00AD6F88"/>
    <w:rsid w:val="00AD73A0"/>
    <w:rsid w:val="00AE01C9"/>
    <w:rsid w:val="00AE0340"/>
    <w:rsid w:val="00AE0ACB"/>
    <w:rsid w:val="00AE0E60"/>
    <w:rsid w:val="00AE1016"/>
    <w:rsid w:val="00AE1390"/>
    <w:rsid w:val="00AE22A7"/>
    <w:rsid w:val="00AE29A4"/>
    <w:rsid w:val="00AE2CE9"/>
    <w:rsid w:val="00AE2EB2"/>
    <w:rsid w:val="00AE3AE7"/>
    <w:rsid w:val="00AE45FC"/>
    <w:rsid w:val="00AE4AF0"/>
    <w:rsid w:val="00AE576E"/>
    <w:rsid w:val="00AE6705"/>
    <w:rsid w:val="00AE7A3F"/>
    <w:rsid w:val="00AE7E24"/>
    <w:rsid w:val="00AF018B"/>
    <w:rsid w:val="00AF040D"/>
    <w:rsid w:val="00AF08BF"/>
    <w:rsid w:val="00AF0AFC"/>
    <w:rsid w:val="00AF148D"/>
    <w:rsid w:val="00AF15FB"/>
    <w:rsid w:val="00AF1C8E"/>
    <w:rsid w:val="00AF1F74"/>
    <w:rsid w:val="00AF355F"/>
    <w:rsid w:val="00AF364F"/>
    <w:rsid w:val="00AF408E"/>
    <w:rsid w:val="00AF4301"/>
    <w:rsid w:val="00AF53CE"/>
    <w:rsid w:val="00AF594F"/>
    <w:rsid w:val="00AF5F59"/>
    <w:rsid w:val="00AF685C"/>
    <w:rsid w:val="00B003AA"/>
    <w:rsid w:val="00B0069E"/>
    <w:rsid w:val="00B0071C"/>
    <w:rsid w:val="00B00960"/>
    <w:rsid w:val="00B00AF3"/>
    <w:rsid w:val="00B00EC0"/>
    <w:rsid w:val="00B011F5"/>
    <w:rsid w:val="00B01B24"/>
    <w:rsid w:val="00B02862"/>
    <w:rsid w:val="00B02BEC"/>
    <w:rsid w:val="00B032FD"/>
    <w:rsid w:val="00B03DB3"/>
    <w:rsid w:val="00B045D6"/>
    <w:rsid w:val="00B060C6"/>
    <w:rsid w:val="00B06318"/>
    <w:rsid w:val="00B063B0"/>
    <w:rsid w:val="00B06AFD"/>
    <w:rsid w:val="00B072E4"/>
    <w:rsid w:val="00B07D4C"/>
    <w:rsid w:val="00B10D56"/>
    <w:rsid w:val="00B10D8F"/>
    <w:rsid w:val="00B11003"/>
    <w:rsid w:val="00B11327"/>
    <w:rsid w:val="00B11CB4"/>
    <w:rsid w:val="00B126A0"/>
    <w:rsid w:val="00B128ED"/>
    <w:rsid w:val="00B12A73"/>
    <w:rsid w:val="00B12C45"/>
    <w:rsid w:val="00B13B76"/>
    <w:rsid w:val="00B14329"/>
    <w:rsid w:val="00B1484E"/>
    <w:rsid w:val="00B157E3"/>
    <w:rsid w:val="00B158F9"/>
    <w:rsid w:val="00B15C0C"/>
    <w:rsid w:val="00B15F20"/>
    <w:rsid w:val="00B162A1"/>
    <w:rsid w:val="00B16B3E"/>
    <w:rsid w:val="00B174E8"/>
    <w:rsid w:val="00B17A2F"/>
    <w:rsid w:val="00B2003B"/>
    <w:rsid w:val="00B20A51"/>
    <w:rsid w:val="00B20DEF"/>
    <w:rsid w:val="00B2268E"/>
    <w:rsid w:val="00B22867"/>
    <w:rsid w:val="00B2298F"/>
    <w:rsid w:val="00B22AB0"/>
    <w:rsid w:val="00B2366C"/>
    <w:rsid w:val="00B23AF7"/>
    <w:rsid w:val="00B24D5E"/>
    <w:rsid w:val="00B25BC9"/>
    <w:rsid w:val="00B25ECC"/>
    <w:rsid w:val="00B26498"/>
    <w:rsid w:val="00B27940"/>
    <w:rsid w:val="00B30FD0"/>
    <w:rsid w:val="00B31488"/>
    <w:rsid w:val="00B31BEC"/>
    <w:rsid w:val="00B31C2E"/>
    <w:rsid w:val="00B32838"/>
    <w:rsid w:val="00B333F6"/>
    <w:rsid w:val="00B3407A"/>
    <w:rsid w:val="00B34099"/>
    <w:rsid w:val="00B348BB"/>
    <w:rsid w:val="00B348FA"/>
    <w:rsid w:val="00B35204"/>
    <w:rsid w:val="00B36A4B"/>
    <w:rsid w:val="00B36DD1"/>
    <w:rsid w:val="00B37660"/>
    <w:rsid w:val="00B37DEA"/>
    <w:rsid w:val="00B40306"/>
    <w:rsid w:val="00B404CE"/>
    <w:rsid w:val="00B4078E"/>
    <w:rsid w:val="00B40804"/>
    <w:rsid w:val="00B40AD1"/>
    <w:rsid w:val="00B40AFC"/>
    <w:rsid w:val="00B40B1E"/>
    <w:rsid w:val="00B40CA8"/>
    <w:rsid w:val="00B411F2"/>
    <w:rsid w:val="00B4134F"/>
    <w:rsid w:val="00B416A4"/>
    <w:rsid w:val="00B41A47"/>
    <w:rsid w:val="00B41C36"/>
    <w:rsid w:val="00B42696"/>
    <w:rsid w:val="00B42E3E"/>
    <w:rsid w:val="00B42F09"/>
    <w:rsid w:val="00B43195"/>
    <w:rsid w:val="00B43499"/>
    <w:rsid w:val="00B43DFA"/>
    <w:rsid w:val="00B4409C"/>
    <w:rsid w:val="00B443DD"/>
    <w:rsid w:val="00B44EEA"/>
    <w:rsid w:val="00B45077"/>
    <w:rsid w:val="00B45246"/>
    <w:rsid w:val="00B47331"/>
    <w:rsid w:val="00B476DE"/>
    <w:rsid w:val="00B502E2"/>
    <w:rsid w:val="00B506F9"/>
    <w:rsid w:val="00B51F35"/>
    <w:rsid w:val="00B523E8"/>
    <w:rsid w:val="00B53788"/>
    <w:rsid w:val="00B54227"/>
    <w:rsid w:val="00B54AA5"/>
    <w:rsid w:val="00B55938"/>
    <w:rsid w:val="00B55987"/>
    <w:rsid w:val="00B55ACA"/>
    <w:rsid w:val="00B60083"/>
    <w:rsid w:val="00B60560"/>
    <w:rsid w:val="00B60594"/>
    <w:rsid w:val="00B60D5B"/>
    <w:rsid w:val="00B6141A"/>
    <w:rsid w:val="00B6162E"/>
    <w:rsid w:val="00B6400F"/>
    <w:rsid w:val="00B6492D"/>
    <w:rsid w:val="00B65A57"/>
    <w:rsid w:val="00B663AF"/>
    <w:rsid w:val="00B66B84"/>
    <w:rsid w:val="00B67027"/>
    <w:rsid w:val="00B67937"/>
    <w:rsid w:val="00B67FD5"/>
    <w:rsid w:val="00B70299"/>
    <w:rsid w:val="00B70E3B"/>
    <w:rsid w:val="00B71326"/>
    <w:rsid w:val="00B71ED9"/>
    <w:rsid w:val="00B720E0"/>
    <w:rsid w:val="00B72361"/>
    <w:rsid w:val="00B725B9"/>
    <w:rsid w:val="00B7296E"/>
    <w:rsid w:val="00B72DC9"/>
    <w:rsid w:val="00B72DF9"/>
    <w:rsid w:val="00B72E12"/>
    <w:rsid w:val="00B7325E"/>
    <w:rsid w:val="00B7519E"/>
    <w:rsid w:val="00B75939"/>
    <w:rsid w:val="00B75F6F"/>
    <w:rsid w:val="00B7643A"/>
    <w:rsid w:val="00B76510"/>
    <w:rsid w:val="00B7664E"/>
    <w:rsid w:val="00B7738A"/>
    <w:rsid w:val="00B774CB"/>
    <w:rsid w:val="00B775BF"/>
    <w:rsid w:val="00B807FE"/>
    <w:rsid w:val="00B809C6"/>
    <w:rsid w:val="00B80A56"/>
    <w:rsid w:val="00B81194"/>
    <w:rsid w:val="00B8173F"/>
    <w:rsid w:val="00B81CA0"/>
    <w:rsid w:val="00B826FA"/>
    <w:rsid w:val="00B82AD7"/>
    <w:rsid w:val="00B82C57"/>
    <w:rsid w:val="00B834B9"/>
    <w:rsid w:val="00B840F2"/>
    <w:rsid w:val="00B84C5D"/>
    <w:rsid w:val="00B85315"/>
    <w:rsid w:val="00B85581"/>
    <w:rsid w:val="00B85E26"/>
    <w:rsid w:val="00B85FAF"/>
    <w:rsid w:val="00B8620E"/>
    <w:rsid w:val="00B863DF"/>
    <w:rsid w:val="00B8681D"/>
    <w:rsid w:val="00B8719B"/>
    <w:rsid w:val="00B87291"/>
    <w:rsid w:val="00B87D19"/>
    <w:rsid w:val="00B9031A"/>
    <w:rsid w:val="00B90877"/>
    <w:rsid w:val="00B92AC2"/>
    <w:rsid w:val="00B92AD6"/>
    <w:rsid w:val="00B92D72"/>
    <w:rsid w:val="00B9310D"/>
    <w:rsid w:val="00B93433"/>
    <w:rsid w:val="00B95148"/>
    <w:rsid w:val="00B95234"/>
    <w:rsid w:val="00B95DCA"/>
    <w:rsid w:val="00B9671D"/>
    <w:rsid w:val="00B97126"/>
    <w:rsid w:val="00B97377"/>
    <w:rsid w:val="00B97588"/>
    <w:rsid w:val="00B97610"/>
    <w:rsid w:val="00B978B1"/>
    <w:rsid w:val="00B97951"/>
    <w:rsid w:val="00B97EBD"/>
    <w:rsid w:val="00BA03EC"/>
    <w:rsid w:val="00BA0829"/>
    <w:rsid w:val="00BA0A24"/>
    <w:rsid w:val="00BA0E0F"/>
    <w:rsid w:val="00BA1148"/>
    <w:rsid w:val="00BA1397"/>
    <w:rsid w:val="00BA1529"/>
    <w:rsid w:val="00BA1C94"/>
    <w:rsid w:val="00BA2290"/>
    <w:rsid w:val="00BA2D7D"/>
    <w:rsid w:val="00BA33A0"/>
    <w:rsid w:val="00BA3D2A"/>
    <w:rsid w:val="00BA445F"/>
    <w:rsid w:val="00BA4877"/>
    <w:rsid w:val="00BA4BF6"/>
    <w:rsid w:val="00BA557D"/>
    <w:rsid w:val="00BA5988"/>
    <w:rsid w:val="00BA5BFB"/>
    <w:rsid w:val="00BA6F38"/>
    <w:rsid w:val="00BA7366"/>
    <w:rsid w:val="00BA74DA"/>
    <w:rsid w:val="00BA7670"/>
    <w:rsid w:val="00BA7FD9"/>
    <w:rsid w:val="00BB00D7"/>
    <w:rsid w:val="00BB072D"/>
    <w:rsid w:val="00BB0C6F"/>
    <w:rsid w:val="00BB0E3B"/>
    <w:rsid w:val="00BB16B1"/>
    <w:rsid w:val="00BB1EC9"/>
    <w:rsid w:val="00BB2A6B"/>
    <w:rsid w:val="00BB2BA9"/>
    <w:rsid w:val="00BB2E93"/>
    <w:rsid w:val="00BB3445"/>
    <w:rsid w:val="00BB3BAE"/>
    <w:rsid w:val="00BB3DFF"/>
    <w:rsid w:val="00BB4342"/>
    <w:rsid w:val="00BB471D"/>
    <w:rsid w:val="00BB5213"/>
    <w:rsid w:val="00BB5766"/>
    <w:rsid w:val="00BB57E2"/>
    <w:rsid w:val="00BB666C"/>
    <w:rsid w:val="00BB6B7D"/>
    <w:rsid w:val="00BB70DF"/>
    <w:rsid w:val="00BC01E8"/>
    <w:rsid w:val="00BC0540"/>
    <w:rsid w:val="00BC0AE1"/>
    <w:rsid w:val="00BC2474"/>
    <w:rsid w:val="00BC31A6"/>
    <w:rsid w:val="00BC4003"/>
    <w:rsid w:val="00BC499D"/>
    <w:rsid w:val="00BC6F3F"/>
    <w:rsid w:val="00BC7CA4"/>
    <w:rsid w:val="00BD064E"/>
    <w:rsid w:val="00BD0651"/>
    <w:rsid w:val="00BD159C"/>
    <w:rsid w:val="00BD1C09"/>
    <w:rsid w:val="00BD2623"/>
    <w:rsid w:val="00BD383A"/>
    <w:rsid w:val="00BD3EBE"/>
    <w:rsid w:val="00BD5A8D"/>
    <w:rsid w:val="00BD6392"/>
    <w:rsid w:val="00BD66E2"/>
    <w:rsid w:val="00BD72AF"/>
    <w:rsid w:val="00BD7324"/>
    <w:rsid w:val="00BD7353"/>
    <w:rsid w:val="00BD74D4"/>
    <w:rsid w:val="00BE0104"/>
    <w:rsid w:val="00BE036D"/>
    <w:rsid w:val="00BE04CE"/>
    <w:rsid w:val="00BE0AB1"/>
    <w:rsid w:val="00BE1CE1"/>
    <w:rsid w:val="00BE255A"/>
    <w:rsid w:val="00BE256F"/>
    <w:rsid w:val="00BE2826"/>
    <w:rsid w:val="00BE2B96"/>
    <w:rsid w:val="00BE2D64"/>
    <w:rsid w:val="00BE33F3"/>
    <w:rsid w:val="00BE396C"/>
    <w:rsid w:val="00BE3D16"/>
    <w:rsid w:val="00BE3F7F"/>
    <w:rsid w:val="00BE4E5D"/>
    <w:rsid w:val="00BE50C6"/>
    <w:rsid w:val="00BE5296"/>
    <w:rsid w:val="00BE55E1"/>
    <w:rsid w:val="00BE59A3"/>
    <w:rsid w:val="00BE5BFC"/>
    <w:rsid w:val="00BE7D70"/>
    <w:rsid w:val="00BE7D75"/>
    <w:rsid w:val="00BF1257"/>
    <w:rsid w:val="00BF150A"/>
    <w:rsid w:val="00BF2297"/>
    <w:rsid w:val="00BF23F0"/>
    <w:rsid w:val="00BF2F44"/>
    <w:rsid w:val="00BF33A4"/>
    <w:rsid w:val="00BF4475"/>
    <w:rsid w:val="00BF4569"/>
    <w:rsid w:val="00BF49B1"/>
    <w:rsid w:val="00BF4D89"/>
    <w:rsid w:val="00BF507D"/>
    <w:rsid w:val="00BF584A"/>
    <w:rsid w:val="00BF5998"/>
    <w:rsid w:val="00BF5C7C"/>
    <w:rsid w:val="00BF6189"/>
    <w:rsid w:val="00BF65EB"/>
    <w:rsid w:val="00BF67AF"/>
    <w:rsid w:val="00BF6931"/>
    <w:rsid w:val="00BF6DEC"/>
    <w:rsid w:val="00BF6F6D"/>
    <w:rsid w:val="00BF6F89"/>
    <w:rsid w:val="00C02DBD"/>
    <w:rsid w:val="00C0338B"/>
    <w:rsid w:val="00C03F4B"/>
    <w:rsid w:val="00C040BF"/>
    <w:rsid w:val="00C05CD4"/>
    <w:rsid w:val="00C06F1D"/>
    <w:rsid w:val="00C06FE4"/>
    <w:rsid w:val="00C073D1"/>
    <w:rsid w:val="00C107D6"/>
    <w:rsid w:val="00C11156"/>
    <w:rsid w:val="00C11508"/>
    <w:rsid w:val="00C12330"/>
    <w:rsid w:val="00C1284D"/>
    <w:rsid w:val="00C13AD7"/>
    <w:rsid w:val="00C13C83"/>
    <w:rsid w:val="00C14002"/>
    <w:rsid w:val="00C1580B"/>
    <w:rsid w:val="00C15B69"/>
    <w:rsid w:val="00C15F98"/>
    <w:rsid w:val="00C1658A"/>
    <w:rsid w:val="00C17A74"/>
    <w:rsid w:val="00C17AD2"/>
    <w:rsid w:val="00C20E93"/>
    <w:rsid w:val="00C20EEC"/>
    <w:rsid w:val="00C21115"/>
    <w:rsid w:val="00C21244"/>
    <w:rsid w:val="00C2141E"/>
    <w:rsid w:val="00C21845"/>
    <w:rsid w:val="00C21A07"/>
    <w:rsid w:val="00C21C74"/>
    <w:rsid w:val="00C247BD"/>
    <w:rsid w:val="00C24AA1"/>
    <w:rsid w:val="00C25021"/>
    <w:rsid w:val="00C2606D"/>
    <w:rsid w:val="00C261F6"/>
    <w:rsid w:val="00C268D1"/>
    <w:rsid w:val="00C27C44"/>
    <w:rsid w:val="00C305D9"/>
    <w:rsid w:val="00C30D85"/>
    <w:rsid w:val="00C31239"/>
    <w:rsid w:val="00C31C5B"/>
    <w:rsid w:val="00C32687"/>
    <w:rsid w:val="00C32743"/>
    <w:rsid w:val="00C330DB"/>
    <w:rsid w:val="00C33E84"/>
    <w:rsid w:val="00C347CD"/>
    <w:rsid w:val="00C35114"/>
    <w:rsid w:val="00C35D01"/>
    <w:rsid w:val="00C36859"/>
    <w:rsid w:val="00C3753D"/>
    <w:rsid w:val="00C375ED"/>
    <w:rsid w:val="00C4052D"/>
    <w:rsid w:val="00C416E1"/>
    <w:rsid w:val="00C41D99"/>
    <w:rsid w:val="00C42D95"/>
    <w:rsid w:val="00C43064"/>
    <w:rsid w:val="00C43E94"/>
    <w:rsid w:val="00C44493"/>
    <w:rsid w:val="00C445B9"/>
    <w:rsid w:val="00C45CF9"/>
    <w:rsid w:val="00C46A25"/>
    <w:rsid w:val="00C47E76"/>
    <w:rsid w:val="00C5039F"/>
    <w:rsid w:val="00C5156B"/>
    <w:rsid w:val="00C51E7F"/>
    <w:rsid w:val="00C52281"/>
    <w:rsid w:val="00C52498"/>
    <w:rsid w:val="00C525D7"/>
    <w:rsid w:val="00C52776"/>
    <w:rsid w:val="00C52B86"/>
    <w:rsid w:val="00C52FDD"/>
    <w:rsid w:val="00C534B4"/>
    <w:rsid w:val="00C53DA2"/>
    <w:rsid w:val="00C53EE5"/>
    <w:rsid w:val="00C53F11"/>
    <w:rsid w:val="00C5572A"/>
    <w:rsid w:val="00C5583B"/>
    <w:rsid w:val="00C559B0"/>
    <w:rsid w:val="00C562B2"/>
    <w:rsid w:val="00C563B0"/>
    <w:rsid w:val="00C56FCA"/>
    <w:rsid w:val="00C56FEC"/>
    <w:rsid w:val="00C57B80"/>
    <w:rsid w:val="00C60075"/>
    <w:rsid w:val="00C604A9"/>
    <w:rsid w:val="00C607BA"/>
    <w:rsid w:val="00C6114F"/>
    <w:rsid w:val="00C6126E"/>
    <w:rsid w:val="00C61279"/>
    <w:rsid w:val="00C61522"/>
    <w:rsid w:val="00C61DCB"/>
    <w:rsid w:val="00C61E99"/>
    <w:rsid w:val="00C62D50"/>
    <w:rsid w:val="00C63202"/>
    <w:rsid w:val="00C633EC"/>
    <w:rsid w:val="00C63662"/>
    <w:rsid w:val="00C642C1"/>
    <w:rsid w:val="00C64AB6"/>
    <w:rsid w:val="00C64D3C"/>
    <w:rsid w:val="00C65974"/>
    <w:rsid w:val="00C65D3F"/>
    <w:rsid w:val="00C65D96"/>
    <w:rsid w:val="00C662BF"/>
    <w:rsid w:val="00C662D8"/>
    <w:rsid w:val="00C66396"/>
    <w:rsid w:val="00C668C8"/>
    <w:rsid w:val="00C66A06"/>
    <w:rsid w:val="00C66A9E"/>
    <w:rsid w:val="00C67664"/>
    <w:rsid w:val="00C67AA4"/>
    <w:rsid w:val="00C67EC7"/>
    <w:rsid w:val="00C71646"/>
    <w:rsid w:val="00C72471"/>
    <w:rsid w:val="00C72FA5"/>
    <w:rsid w:val="00C72FC0"/>
    <w:rsid w:val="00C731A8"/>
    <w:rsid w:val="00C73CA0"/>
    <w:rsid w:val="00C74056"/>
    <w:rsid w:val="00C743F8"/>
    <w:rsid w:val="00C748E2"/>
    <w:rsid w:val="00C74BC4"/>
    <w:rsid w:val="00C74BD4"/>
    <w:rsid w:val="00C74BE0"/>
    <w:rsid w:val="00C75B5F"/>
    <w:rsid w:val="00C760C3"/>
    <w:rsid w:val="00C76579"/>
    <w:rsid w:val="00C76B91"/>
    <w:rsid w:val="00C76EF1"/>
    <w:rsid w:val="00C77564"/>
    <w:rsid w:val="00C77E12"/>
    <w:rsid w:val="00C80152"/>
    <w:rsid w:val="00C8060D"/>
    <w:rsid w:val="00C80754"/>
    <w:rsid w:val="00C809B5"/>
    <w:rsid w:val="00C80D7A"/>
    <w:rsid w:val="00C8276E"/>
    <w:rsid w:val="00C83681"/>
    <w:rsid w:val="00C84021"/>
    <w:rsid w:val="00C841FD"/>
    <w:rsid w:val="00C86028"/>
    <w:rsid w:val="00C87030"/>
    <w:rsid w:val="00C87F0E"/>
    <w:rsid w:val="00C91FDA"/>
    <w:rsid w:val="00C932E9"/>
    <w:rsid w:val="00C93554"/>
    <w:rsid w:val="00C93E91"/>
    <w:rsid w:val="00C93F29"/>
    <w:rsid w:val="00C953EB"/>
    <w:rsid w:val="00C96E1E"/>
    <w:rsid w:val="00C97094"/>
    <w:rsid w:val="00C9718E"/>
    <w:rsid w:val="00C97AB0"/>
    <w:rsid w:val="00CA022B"/>
    <w:rsid w:val="00CA041A"/>
    <w:rsid w:val="00CA090C"/>
    <w:rsid w:val="00CA2015"/>
    <w:rsid w:val="00CA2426"/>
    <w:rsid w:val="00CA2B48"/>
    <w:rsid w:val="00CA4683"/>
    <w:rsid w:val="00CA4B75"/>
    <w:rsid w:val="00CA4C5D"/>
    <w:rsid w:val="00CA4C96"/>
    <w:rsid w:val="00CA5921"/>
    <w:rsid w:val="00CA61B5"/>
    <w:rsid w:val="00CA6479"/>
    <w:rsid w:val="00CA6693"/>
    <w:rsid w:val="00CA68F3"/>
    <w:rsid w:val="00CA7302"/>
    <w:rsid w:val="00CA7446"/>
    <w:rsid w:val="00CA7C05"/>
    <w:rsid w:val="00CB02D7"/>
    <w:rsid w:val="00CB065E"/>
    <w:rsid w:val="00CB06C1"/>
    <w:rsid w:val="00CB0861"/>
    <w:rsid w:val="00CB18B9"/>
    <w:rsid w:val="00CB1F8D"/>
    <w:rsid w:val="00CB2002"/>
    <w:rsid w:val="00CB202D"/>
    <w:rsid w:val="00CB26D5"/>
    <w:rsid w:val="00CB290D"/>
    <w:rsid w:val="00CB2BE1"/>
    <w:rsid w:val="00CB30DB"/>
    <w:rsid w:val="00CB3278"/>
    <w:rsid w:val="00CB32AA"/>
    <w:rsid w:val="00CB355B"/>
    <w:rsid w:val="00CB3C19"/>
    <w:rsid w:val="00CB5DC9"/>
    <w:rsid w:val="00CB79D3"/>
    <w:rsid w:val="00CC06E3"/>
    <w:rsid w:val="00CC09E7"/>
    <w:rsid w:val="00CC0C70"/>
    <w:rsid w:val="00CC0E48"/>
    <w:rsid w:val="00CC2034"/>
    <w:rsid w:val="00CC225E"/>
    <w:rsid w:val="00CC2607"/>
    <w:rsid w:val="00CC2CDF"/>
    <w:rsid w:val="00CC2F02"/>
    <w:rsid w:val="00CC5DEF"/>
    <w:rsid w:val="00CC7278"/>
    <w:rsid w:val="00CC7665"/>
    <w:rsid w:val="00CC7BAD"/>
    <w:rsid w:val="00CD00CD"/>
    <w:rsid w:val="00CD0349"/>
    <w:rsid w:val="00CD1972"/>
    <w:rsid w:val="00CD2776"/>
    <w:rsid w:val="00CD2A67"/>
    <w:rsid w:val="00CD2F17"/>
    <w:rsid w:val="00CD34E5"/>
    <w:rsid w:val="00CD39D7"/>
    <w:rsid w:val="00CD551D"/>
    <w:rsid w:val="00CD5E03"/>
    <w:rsid w:val="00CD5F25"/>
    <w:rsid w:val="00CD6030"/>
    <w:rsid w:val="00CD6CE1"/>
    <w:rsid w:val="00CD70C4"/>
    <w:rsid w:val="00CD754F"/>
    <w:rsid w:val="00CD7698"/>
    <w:rsid w:val="00CD7780"/>
    <w:rsid w:val="00CE0229"/>
    <w:rsid w:val="00CE0AF0"/>
    <w:rsid w:val="00CE1409"/>
    <w:rsid w:val="00CE1C68"/>
    <w:rsid w:val="00CE1D2D"/>
    <w:rsid w:val="00CE208B"/>
    <w:rsid w:val="00CE27A9"/>
    <w:rsid w:val="00CE2864"/>
    <w:rsid w:val="00CE3148"/>
    <w:rsid w:val="00CE390B"/>
    <w:rsid w:val="00CE4DF5"/>
    <w:rsid w:val="00CE5104"/>
    <w:rsid w:val="00CE52BA"/>
    <w:rsid w:val="00CE5599"/>
    <w:rsid w:val="00CE6037"/>
    <w:rsid w:val="00CE61ED"/>
    <w:rsid w:val="00CE6669"/>
    <w:rsid w:val="00CE6C87"/>
    <w:rsid w:val="00CE7750"/>
    <w:rsid w:val="00CE7D43"/>
    <w:rsid w:val="00CF0CA9"/>
    <w:rsid w:val="00CF0D07"/>
    <w:rsid w:val="00CF1059"/>
    <w:rsid w:val="00CF1A70"/>
    <w:rsid w:val="00CF1E4E"/>
    <w:rsid w:val="00CF298E"/>
    <w:rsid w:val="00CF3A9F"/>
    <w:rsid w:val="00CF4360"/>
    <w:rsid w:val="00CF4906"/>
    <w:rsid w:val="00CF4FE1"/>
    <w:rsid w:val="00CF504A"/>
    <w:rsid w:val="00CF67B6"/>
    <w:rsid w:val="00CF6D84"/>
    <w:rsid w:val="00CF73AA"/>
    <w:rsid w:val="00CF7DF3"/>
    <w:rsid w:val="00D01EA6"/>
    <w:rsid w:val="00D02FD2"/>
    <w:rsid w:val="00D0309A"/>
    <w:rsid w:val="00D035AD"/>
    <w:rsid w:val="00D0395F"/>
    <w:rsid w:val="00D03C83"/>
    <w:rsid w:val="00D04253"/>
    <w:rsid w:val="00D04F1A"/>
    <w:rsid w:val="00D050EA"/>
    <w:rsid w:val="00D05988"/>
    <w:rsid w:val="00D05A4F"/>
    <w:rsid w:val="00D05CD3"/>
    <w:rsid w:val="00D0634F"/>
    <w:rsid w:val="00D07333"/>
    <w:rsid w:val="00D075B7"/>
    <w:rsid w:val="00D079C3"/>
    <w:rsid w:val="00D07D4D"/>
    <w:rsid w:val="00D07E15"/>
    <w:rsid w:val="00D10658"/>
    <w:rsid w:val="00D10A5C"/>
    <w:rsid w:val="00D10A7D"/>
    <w:rsid w:val="00D11323"/>
    <w:rsid w:val="00D12727"/>
    <w:rsid w:val="00D12E62"/>
    <w:rsid w:val="00D13159"/>
    <w:rsid w:val="00D13168"/>
    <w:rsid w:val="00D1326A"/>
    <w:rsid w:val="00D138A6"/>
    <w:rsid w:val="00D13A9F"/>
    <w:rsid w:val="00D14419"/>
    <w:rsid w:val="00D15778"/>
    <w:rsid w:val="00D15B09"/>
    <w:rsid w:val="00D15F67"/>
    <w:rsid w:val="00D162E7"/>
    <w:rsid w:val="00D16740"/>
    <w:rsid w:val="00D16C5A"/>
    <w:rsid w:val="00D177B7"/>
    <w:rsid w:val="00D179F9"/>
    <w:rsid w:val="00D17D26"/>
    <w:rsid w:val="00D17F23"/>
    <w:rsid w:val="00D20896"/>
    <w:rsid w:val="00D21003"/>
    <w:rsid w:val="00D21208"/>
    <w:rsid w:val="00D21A0A"/>
    <w:rsid w:val="00D22313"/>
    <w:rsid w:val="00D2267C"/>
    <w:rsid w:val="00D228CD"/>
    <w:rsid w:val="00D23894"/>
    <w:rsid w:val="00D23BDB"/>
    <w:rsid w:val="00D2422F"/>
    <w:rsid w:val="00D2434A"/>
    <w:rsid w:val="00D2537F"/>
    <w:rsid w:val="00D255A8"/>
    <w:rsid w:val="00D25A24"/>
    <w:rsid w:val="00D26357"/>
    <w:rsid w:val="00D269D4"/>
    <w:rsid w:val="00D26A13"/>
    <w:rsid w:val="00D26C59"/>
    <w:rsid w:val="00D27CE4"/>
    <w:rsid w:val="00D30622"/>
    <w:rsid w:val="00D30841"/>
    <w:rsid w:val="00D319B8"/>
    <w:rsid w:val="00D3207B"/>
    <w:rsid w:val="00D32AA0"/>
    <w:rsid w:val="00D32F38"/>
    <w:rsid w:val="00D33C92"/>
    <w:rsid w:val="00D33E49"/>
    <w:rsid w:val="00D34B03"/>
    <w:rsid w:val="00D34B7D"/>
    <w:rsid w:val="00D34BE8"/>
    <w:rsid w:val="00D34CD1"/>
    <w:rsid w:val="00D363B1"/>
    <w:rsid w:val="00D36F90"/>
    <w:rsid w:val="00D37FDD"/>
    <w:rsid w:val="00D40436"/>
    <w:rsid w:val="00D406DC"/>
    <w:rsid w:val="00D42D7E"/>
    <w:rsid w:val="00D44761"/>
    <w:rsid w:val="00D44D70"/>
    <w:rsid w:val="00D44E2E"/>
    <w:rsid w:val="00D45A6D"/>
    <w:rsid w:val="00D478D2"/>
    <w:rsid w:val="00D503F1"/>
    <w:rsid w:val="00D51789"/>
    <w:rsid w:val="00D51B9C"/>
    <w:rsid w:val="00D52309"/>
    <w:rsid w:val="00D52349"/>
    <w:rsid w:val="00D53349"/>
    <w:rsid w:val="00D5336B"/>
    <w:rsid w:val="00D54539"/>
    <w:rsid w:val="00D548BA"/>
    <w:rsid w:val="00D54B9B"/>
    <w:rsid w:val="00D554A8"/>
    <w:rsid w:val="00D5581C"/>
    <w:rsid w:val="00D55E19"/>
    <w:rsid w:val="00D5657C"/>
    <w:rsid w:val="00D57E22"/>
    <w:rsid w:val="00D57EB6"/>
    <w:rsid w:val="00D603C0"/>
    <w:rsid w:val="00D608E7"/>
    <w:rsid w:val="00D60C8C"/>
    <w:rsid w:val="00D60DB5"/>
    <w:rsid w:val="00D61151"/>
    <w:rsid w:val="00D611CC"/>
    <w:rsid w:val="00D6129A"/>
    <w:rsid w:val="00D62D35"/>
    <w:rsid w:val="00D62FFF"/>
    <w:rsid w:val="00D63B86"/>
    <w:rsid w:val="00D642ED"/>
    <w:rsid w:val="00D64F52"/>
    <w:rsid w:val="00D65A6D"/>
    <w:rsid w:val="00D669EF"/>
    <w:rsid w:val="00D670B8"/>
    <w:rsid w:val="00D676E0"/>
    <w:rsid w:val="00D708BC"/>
    <w:rsid w:val="00D70A61"/>
    <w:rsid w:val="00D7196A"/>
    <w:rsid w:val="00D71BDD"/>
    <w:rsid w:val="00D71E3B"/>
    <w:rsid w:val="00D72568"/>
    <w:rsid w:val="00D72A7A"/>
    <w:rsid w:val="00D72B9C"/>
    <w:rsid w:val="00D730C9"/>
    <w:rsid w:val="00D73B53"/>
    <w:rsid w:val="00D746EE"/>
    <w:rsid w:val="00D74827"/>
    <w:rsid w:val="00D75FAF"/>
    <w:rsid w:val="00D76973"/>
    <w:rsid w:val="00D76B95"/>
    <w:rsid w:val="00D76E4C"/>
    <w:rsid w:val="00D77171"/>
    <w:rsid w:val="00D77C80"/>
    <w:rsid w:val="00D77D96"/>
    <w:rsid w:val="00D77E10"/>
    <w:rsid w:val="00D8085D"/>
    <w:rsid w:val="00D80A42"/>
    <w:rsid w:val="00D80DB6"/>
    <w:rsid w:val="00D80E57"/>
    <w:rsid w:val="00D813C9"/>
    <w:rsid w:val="00D81D9A"/>
    <w:rsid w:val="00D81FBE"/>
    <w:rsid w:val="00D822EA"/>
    <w:rsid w:val="00D824BE"/>
    <w:rsid w:val="00D82796"/>
    <w:rsid w:val="00D83321"/>
    <w:rsid w:val="00D834BF"/>
    <w:rsid w:val="00D8421B"/>
    <w:rsid w:val="00D8521A"/>
    <w:rsid w:val="00D85744"/>
    <w:rsid w:val="00D85E6F"/>
    <w:rsid w:val="00D865BA"/>
    <w:rsid w:val="00D86FF5"/>
    <w:rsid w:val="00D873C3"/>
    <w:rsid w:val="00D903E0"/>
    <w:rsid w:val="00D931C3"/>
    <w:rsid w:val="00D93A0E"/>
    <w:rsid w:val="00D9440B"/>
    <w:rsid w:val="00D94DE1"/>
    <w:rsid w:val="00D94ED8"/>
    <w:rsid w:val="00D94FAF"/>
    <w:rsid w:val="00D95138"/>
    <w:rsid w:val="00D9526D"/>
    <w:rsid w:val="00D955C0"/>
    <w:rsid w:val="00D958ED"/>
    <w:rsid w:val="00D96415"/>
    <w:rsid w:val="00D9649A"/>
    <w:rsid w:val="00D979D6"/>
    <w:rsid w:val="00DA0D48"/>
    <w:rsid w:val="00DA1659"/>
    <w:rsid w:val="00DA200A"/>
    <w:rsid w:val="00DA2D7D"/>
    <w:rsid w:val="00DA30C4"/>
    <w:rsid w:val="00DA498C"/>
    <w:rsid w:val="00DA4A70"/>
    <w:rsid w:val="00DA51C8"/>
    <w:rsid w:val="00DA5DEA"/>
    <w:rsid w:val="00DA605F"/>
    <w:rsid w:val="00DA6082"/>
    <w:rsid w:val="00DA7011"/>
    <w:rsid w:val="00DA7663"/>
    <w:rsid w:val="00DA7A4C"/>
    <w:rsid w:val="00DB02AE"/>
    <w:rsid w:val="00DB0E84"/>
    <w:rsid w:val="00DB0EE4"/>
    <w:rsid w:val="00DB1CB0"/>
    <w:rsid w:val="00DB1D1E"/>
    <w:rsid w:val="00DB1DCA"/>
    <w:rsid w:val="00DB236C"/>
    <w:rsid w:val="00DB285B"/>
    <w:rsid w:val="00DB321F"/>
    <w:rsid w:val="00DB3A57"/>
    <w:rsid w:val="00DB43FA"/>
    <w:rsid w:val="00DB4C88"/>
    <w:rsid w:val="00DB5234"/>
    <w:rsid w:val="00DB5450"/>
    <w:rsid w:val="00DB5818"/>
    <w:rsid w:val="00DB5CBE"/>
    <w:rsid w:val="00DB601A"/>
    <w:rsid w:val="00DB65B8"/>
    <w:rsid w:val="00DB6D56"/>
    <w:rsid w:val="00DB794E"/>
    <w:rsid w:val="00DC1B76"/>
    <w:rsid w:val="00DC1BEA"/>
    <w:rsid w:val="00DC24A9"/>
    <w:rsid w:val="00DC2874"/>
    <w:rsid w:val="00DC3D2D"/>
    <w:rsid w:val="00DC465B"/>
    <w:rsid w:val="00DC562D"/>
    <w:rsid w:val="00DC64C6"/>
    <w:rsid w:val="00DC71A7"/>
    <w:rsid w:val="00DC77D7"/>
    <w:rsid w:val="00DD0B36"/>
    <w:rsid w:val="00DD121B"/>
    <w:rsid w:val="00DD20E7"/>
    <w:rsid w:val="00DD29A5"/>
    <w:rsid w:val="00DD3094"/>
    <w:rsid w:val="00DD3308"/>
    <w:rsid w:val="00DD3480"/>
    <w:rsid w:val="00DD38E6"/>
    <w:rsid w:val="00DD3BFD"/>
    <w:rsid w:val="00DD3D7E"/>
    <w:rsid w:val="00DD4A22"/>
    <w:rsid w:val="00DD4C57"/>
    <w:rsid w:val="00DD6F0E"/>
    <w:rsid w:val="00DE009B"/>
    <w:rsid w:val="00DE0833"/>
    <w:rsid w:val="00DE0977"/>
    <w:rsid w:val="00DE09BC"/>
    <w:rsid w:val="00DE0A0A"/>
    <w:rsid w:val="00DE0F9C"/>
    <w:rsid w:val="00DE106B"/>
    <w:rsid w:val="00DE10FA"/>
    <w:rsid w:val="00DE1744"/>
    <w:rsid w:val="00DE2A83"/>
    <w:rsid w:val="00DE2A94"/>
    <w:rsid w:val="00DE32A3"/>
    <w:rsid w:val="00DE394E"/>
    <w:rsid w:val="00DE402B"/>
    <w:rsid w:val="00DE4593"/>
    <w:rsid w:val="00DE46D9"/>
    <w:rsid w:val="00DE4C8D"/>
    <w:rsid w:val="00DE5BDE"/>
    <w:rsid w:val="00DE6C3D"/>
    <w:rsid w:val="00DE6EE8"/>
    <w:rsid w:val="00DE7606"/>
    <w:rsid w:val="00DE779C"/>
    <w:rsid w:val="00DE7C32"/>
    <w:rsid w:val="00DE7FEB"/>
    <w:rsid w:val="00DF0F0B"/>
    <w:rsid w:val="00DF121F"/>
    <w:rsid w:val="00DF1AF0"/>
    <w:rsid w:val="00DF3895"/>
    <w:rsid w:val="00DF4661"/>
    <w:rsid w:val="00DF46CA"/>
    <w:rsid w:val="00DF46EF"/>
    <w:rsid w:val="00DF46F7"/>
    <w:rsid w:val="00DF5459"/>
    <w:rsid w:val="00DF58BA"/>
    <w:rsid w:val="00DF5A5F"/>
    <w:rsid w:val="00DF647F"/>
    <w:rsid w:val="00DF7A6F"/>
    <w:rsid w:val="00E00C80"/>
    <w:rsid w:val="00E01165"/>
    <w:rsid w:val="00E0202B"/>
    <w:rsid w:val="00E02133"/>
    <w:rsid w:val="00E0242D"/>
    <w:rsid w:val="00E02BC9"/>
    <w:rsid w:val="00E0330A"/>
    <w:rsid w:val="00E03321"/>
    <w:rsid w:val="00E0349C"/>
    <w:rsid w:val="00E040C3"/>
    <w:rsid w:val="00E0470B"/>
    <w:rsid w:val="00E04A5D"/>
    <w:rsid w:val="00E04EA9"/>
    <w:rsid w:val="00E05040"/>
    <w:rsid w:val="00E0531C"/>
    <w:rsid w:val="00E05818"/>
    <w:rsid w:val="00E05928"/>
    <w:rsid w:val="00E05E8D"/>
    <w:rsid w:val="00E06FCD"/>
    <w:rsid w:val="00E07EFC"/>
    <w:rsid w:val="00E1183C"/>
    <w:rsid w:val="00E11B32"/>
    <w:rsid w:val="00E11E12"/>
    <w:rsid w:val="00E13B28"/>
    <w:rsid w:val="00E1474C"/>
    <w:rsid w:val="00E14C7B"/>
    <w:rsid w:val="00E17043"/>
    <w:rsid w:val="00E17834"/>
    <w:rsid w:val="00E20EE1"/>
    <w:rsid w:val="00E218CA"/>
    <w:rsid w:val="00E220B2"/>
    <w:rsid w:val="00E23644"/>
    <w:rsid w:val="00E249C3"/>
    <w:rsid w:val="00E25293"/>
    <w:rsid w:val="00E261C4"/>
    <w:rsid w:val="00E26DC4"/>
    <w:rsid w:val="00E275AD"/>
    <w:rsid w:val="00E27BAA"/>
    <w:rsid w:val="00E30884"/>
    <w:rsid w:val="00E3109F"/>
    <w:rsid w:val="00E31B5A"/>
    <w:rsid w:val="00E3223E"/>
    <w:rsid w:val="00E32529"/>
    <w:rsid w:val="00E327C5"/>
    <w:rsid w:val="00E3284D"/>
    <w:rsid w:val="00E32DE4"/>
    <w:rsid w:val="00E33803"/>
    <w:rsid w:val="00E33E6D"/>
    <w:rsid w:val="00E34865"/>
    <w:rsid w:val="00E34CD7"/>
    <w:rsid w:val="00E3567B"/>
    <w:rsid w:val="00E35789"/>
    <w:rsid w:val="00E363F5"/>
    <w:rsid w:val="00E36E94"/>
    <w:rsid w:val="00E36F74"/>
    <w:rsid w:val="00E37181"/>
    <w:rsid w:val="00E373ED"/>
    <w:rsid w:val="00E37A18"/>
    <w:rsid w:val="00E41747"/>
    <w:rsid w:val="00E42321"/>
    <w:rsid w:val="00E4232E"/>
    <w:rsid w:val="00E42C64"/>
    <w:rsid w:val="00E43086"/>
    <w:rsid w:val="00E43963"/>
    <w:rsid w:val="00E43CED"/>
    <w:rsid w:val="00E43F10"/>
    <w:rsid w:val="00E44ECF"/>
    <w:rsid w:val="00E44EE3"/>
    <w:rsid w:val="00E450C1"/>
    <w:rsid w:val="00E458B5"/>
    <w:rsid w:val="00E45B76"/>
    <w:rsid w:val="00E45B87"/>
    <w:rsid w:val="00E45FE0"/>
    <w:rsid w:val="00E461DF"/>
    <w:rsid w:val="00E46C12"/>
    <w:rsid w:val="00E46F73"/>
    <w:rsid w:val="00E47DAB"/>
    <w:rsid w:val="00E50128"/>
    <w:rsid w:val="00E50825"/>
    <w:rsid w:val="00E514EF"/>
    <w:rsid w:val="00E51BA2"/>
    <w:rsid w:val="00E534DB"/>
    <w:rsid w:val="00E53600"/>
    <w:rsid w:val="00E546AF"/>
    <w:rsid w:val="00E55189"/>
    <w:rsid w:val="00E5546B"/>
    <w:rsid w:val="00E55984"/>
    <w:rsid w:val="00E55C8F"/>
    <w:rsid w:val="00E55DEA"/>
    <w:rsid w:val="00E5665D"/>
    <w:rsid w:val="00E56982"/>
    <w:rsid w:val="00E56BB2"/>
    <w:rsid w:val="00E56C90"/>
    <w:rsid w:val="00E57142"/>
    <w:rsid w:val="00E579ED"/>
    <w:rsid w:val="00E605AE"/>
    <w:rsid w:val="00E60F98"/>
    <w:rsid w:val="00E61333"/>
    <w:rsid w:val="00E616B3"/>
    <w:rsid w:val="00E61733"/>
    <w:rsid w:val="00E6208F"/>
    <w:rsid w:val="00E6218E"/>
    <w:rsid w:val="00E624D5"/>
    <w:rsid w:val="00E63085"/>
    <w:rsid w:val="00E635F6"/>
    <w:rsid w:val="00E637EB"/>
    <w:rsid w:val="00E63D04"/>
    <w:rsid w:val="00E63D5E"/>
    <w:rsid w:val="00E64F2C"/>
    <w:rsid w:val="00E6573F"/>
    <w:rsid w:val="00E65C2A"/>
    <w:rsid w:val="00E65E29"/>
    <w:rsid w:val="00E6652C"/>
    <w:rsid w:val="00E672A3"/>
    <w:rsid w:val="00E67814"/>
    <w:rsid w:val="00E67D35"/>
    <w:rsid w:val="00E7001B"/>
    <w:rsid w:val="00E7089B"/>
    <w:rsid w:val="00E719F6"/>
    <w:rsid w:val="00E723E3"/>
    <w:rsid w:val="00E72703"/>
    <w:rsid w:val="00E736C3"/>
    <w:rsid w:val="00E73713"/>
    <w:rsid w:val="00E7401E"/>
    <w:rsid w:val="00E74923"/>
    <w:rsid w:val="00E749A2"/>
    <w:rsid w:val="00E767C1"/>
    <w:rsid w:val="00E776F0"/>
    <w:rsid w:val="00E7778B"/>
    <w:rsid w:val="00E77D04"/>
    <w:rsid w:val="00E81456"/>
    <w:rsid w:val="00E815F6"/>
    <w:rsid w:val="00E81625"/>
    <w:rsid w:val="00E81839"/>
    <w:rsid w:val="00E81BD4"/>
    <w:rsid w:val="00E82472"/>
    <w:rsid w:val="00E824EF"/>
    <w:rsid w:val="00E826B8"/>
    <w:rsid w:val="00E8385E"/>
    <w:rsid w:val="00E838D2"/>
    <w:rsid w:val="00E83926"/>
    <w:rsid w:val="00E8520E"/>
    <w:rsid w:val="00E8545D"/>
    <w:rsid w:val="00E86278"/>
    <w:rsid w:val="00E8692B"/>
    <w:rsid w:val="00E86CBC"/>
    <w:rsid w:val="00E874CC"/>
    <w:rsid w:val="00E902C7"/>
    <w:rsid w:val="00E902F5"/>
    <w:rsid w:val="00E90989"/>
    <w:rsid w:val="00E90FE6"/>
    <w:rsid w:val="00E91060"/>
    <w:rsid w:val="00E9216C"/>
    <w:rsid w:val="00E921FA"/>
    <w:rsid w:val="00E923DA"/>
    <w:rsid w:val="00E923F8"/>
    <w:rsid w:val="00E934D7"/>
    <w:rsid w:val="00E9418E"/>
    <w:rsid w:val="00E94577"/>
    <w:rsid w:val="00E946E0"/>
    <w:rsid w:val="00E947FE"/>
    <w:rsid w:val="00E949D9"/>
    <w:rsid w:val="00E94A24"/>
    <w:rsid w:val="00E94B78"/>
    <w:rsid w:val="00E95158"/>
    <w:rsid w:val="00E9561C"/>
    <w:rsid w:val="00E970F1"/>
    <w:rsid w:val="00E9762B"/>
    <w:rsid w:val="00E978D2"/>
    <w:rsid w:val="00EA0860"/>
    <w:rsid w:val="00EA0A87"/>
    <w:rsid w:val="00EA133D"/>
    <w:rsid w:val="00EA16BA"/>
    <w:rsid w:val="00EA1CA7"/>
    <w:rsid w:val="00EA1DEB"/>
    <w:rsid w:val="00EA2502"/>
    <w:rsid w:val="00EA3EE7"/>
    <w:rsid w:val="00EA53A7"/>
    <w:rsid w:val="00EA55F0"/>
    <w:rsid w:val="00EA605A"/>
    <w:rsid w:val="00EA66D6"/>
    <w:rsid w:val="00EA684B"/>
    <w:rsid w:val="00EA6920"/>
    <w:rsid w:val="00EA6B00"/>
    <w:rsid w:val="00EA6D4E"/>
    <w:rsid w:val="00EA775C"/>
    <w:rsid w:val="00EA793C"/>
    <w:rsid w:val="00EB066C"/>
    <w:rsid w:val="00EB0BD0"/>
    <w:rsid w:val="00EB0F36"/>
    <w:rsid w:val="00EB1C44"/>
    <w:rsid w:val="00EB1FA9"/>
    <w:rsid w:val="00EB24FF"/>
    <w:rsid w:val="00EB37F2"/>
    <w:rsid w:val="00EB5409"/>
    <w:rsid w:val="00EB5FB8"/>
    <w:rsid w:val="00EB6411"/>
    <w:rsid w:val="00EB6453"/>
    <w:rsid w:val="00EB66C9"/>
    <w:rsid w:val="00EB67F3"/>
    <w:rsid w:val="00EB69D8"/>
    <w:rsid w:val="00EB7023"/>
    <w:rsid w:val="00EB737C"/>
    <w:rsid w:val="00EB7853"/>
    <w:rsid w:val="00EC02C3"/>
    <w:rsid w:val="00EC0393"/>
    <w:rsid w:val="00EC07E7"/>
    <w:rsid w:val="00EC087E"/>
    <w:rsid w:val="00EC1740"/>
    <w:rsid w:val="00EC2DAE"/>
    <w:rsid w:val="00EC3351"/>
    <w:rsid w:val="00EC37D8"/>
    <w:rsid w:val="00EC52BC"/>
    <w:rsid w:val="00EC661A"/>
    <w:rsid w:val="00EC6B08"/>
    <w:rsid w:val="00EC7260"/>
    <w:rsid w:val="00EC7457"/>
    <w:rsid w:val="00EC7DA8"/>
    <w:rsid w:val="00EC7F9F"/>
    <w:rsid w:val="00ED002E"/>
    <w:rsid w:val="00ED0B29"/>
    <w:rsid w:val="00ED16F5"/>
    <w:rsid w:val="00ED2C70"/>
    <w:rsid w:val="00ED3B7C"/>
    <w:rsid w:val="00ED428E"/>
    <w:rsid w:val="00ED4A10"/>
    <w:rsid w:val="00ED5C5D"/>
    <w:rsid w:val="00ED5F03"/>
    <w:rsid w:val="00ED6061"/>
    <w:rsid w:val="00ED6AC7"/>
    <w:rsid w:val="00ED7C07"/>
    <w:rsid w:val="00EE02D9"/>
    <w:rsid w:val="00EE0C7E"/>
    <w:rsid w:val="00EE1042"/>
    <w:rsid w:val="00EE1C89"/>
    <w:rsid w:val="00EE353E"/>
    <w:rsid w:val="00EE3D64"/>
    <w:rsid w:val="00EE40BA"/>
    <w:rsid w:val="00EE4197"/>
    <w:rsid w:val="00EE421A"/>
    <w:rsid w:val="00EE514D"/>
    <w:rsid w:val="00EE63B9"/>
    <w:rsid w:val="00EE70D2"/>
    <w:rsid w:val="00EE7169"/>
    <w:rsid w:val="00EE7DB8"/>
    <w:rsid w:val="00EF014E"/>
    <w:rsid w:val="00EF031F"/>
    <w:rsid w:val="00EF2454"/>
    <w:rsid w:val="00EF36AE"/>
    <w:rsid w:val="00EF37CF"/>
    <w:rsid w:val="00EF5F4F"/>
    <w:rsid w:val="00EF6C4F"/>
    <w:rsid w:val="00EF6D8C"/>
    <w:rsid w:val="00EF745B"/>
    <w:rsid w:val="00F015EF"/>
    <w:rsid w:val="00F02142"/>
    <w:rsid w:val="00F02AEA"/>
    <w:rsid w:val="00F03471"/>
    <w:rsid w:val="00F034A2"/>
    <w:rsid w:val="00F039FE"/>
    <w:rsid w:val="00F0473A"/>
    <w:rsid w:val="00F0523F"/>
    <w:rsid w:val="00F05D6E"/>
    <w:rsid w:val="00F0719A"/>
    <w:rsid w:val="00F076DC"/>
    <w:rsid w:val="00F07D71"/>
    <w:rsid w:val="00F10280"/>
    <w:rsid w:val="00F110C3"/>
    <w:rsid w:val="00F11C13"/>
    <w:rsid w:val="00F121E1"/>
    <w:rsid w:val="00F126A5"/>
    <w:rsid w:val="00F131BC"/>
    <w:rsid w:val="00F1379C"/>
    <w:rsid w:val="00F1559E"/>
    <w:rsid w:val="00F1579C"/>
    <w:rsid w:val="00F16137"/>
    <w:rsid w:val="00F1685C"/>
    <w:rsid w:val="00F16931"/>
    <w:rsid w:val="00F16BD5"/>
    <w:rsid w:val="00F16CAC"/>
    <w:rsid w:val="00F1792E"/>
    <w:rsid w:val="00F209DE"/>
    <w:rsid w:val="00F219C7"/>
    <w:rsid w:val="00F22E48"/>
    <w:rsid w:val="00F22E8E"/>
    <w:rsid w:val="00F23A3F"/>
    <w:rsid w:val="00F23CF4"/>
    <w:rsid w:val="00F24055"/>
    <w:rsid w:val="00F24A6B"/>
    <w:rsid w:val="00F24E61"/>
    <w:rsid w:val="00F25276"/>
    <w:rsid w:val="00F25C0F"/>
    <w:rsid w:val="00F26D25"/>
    <w:rsid w:val="00F26E75"/>
    <w:rsid w:val="00F306CF"/>
    <w:rsid w:val="00F30BAA"/>
    <w:rsid w:val="00F31975"/>
    <w:rsid w:val="00F32A6C"/>
    <w:rsid w:val="00F32D18"/>
    <w:rsid w:val="00F3311C"/>
    <w:rsid w:val="00F33D3F"/>
    <w:rsid w:val="00F349FA"/>
    <w:rsid w:val="00F3530F"/>
    <w:rsid w:val="00F355E7"/>
    <w:rsid w:val="00F36090"/>
    <w:rsid w:val="00F36843"/>
    <w:rsid w:val="00F36910"/>
    <w:rsid w:val="00F37177"/>
    <w:rsid w:val="00F37A1D"/>
    <w:rsid w:val="00F4043E"/>
    <w:rsid w:val="00F407F4"/>
    <w:rsid w:val="00F41AA2"/>
    <w:rsid w:val="00F41F07"/>
    <w:rsid w:val="00F423BA"/>
    <w:rsid w:val="00F42C1F"/>
    <w:rsid w:val="00F43148"/>
    <w:rsid w:val="00F433B6"/>
    <w:rsid w:val="00F4350C"/>
    <w:rsid w:val="00F442DF"/>
    <w:rsid w:val="00F44509"/>
    <w:rsid w:val="00F45322"/>
    <w:rsid w:val="00F45C32"/>
    <w:rsid w:val="00F45E73"/>
    <w:rsid w:val="00F46D6F"/>
    <w:rsid w:val="00F5033C"/>
    <w:rsid w:val="00F51D83"/>
    <w:rsid w:val="00F521DF"/>
    <w:rsid w:val="00F525B3"/>
    <w:rsid w:val="00F534C5"/>
    <w:rsid w:val="00F5505B"/>
    <w:rsid w:val="00F55725"/>
    <w:rsid w:val="00F55F0F"/>
    <w:rsid w:val="00F56FE4"/>
    <w:rsid w:val="00F60D60"/>
    <w:rsid w:val="00F60EE8"/>
    <w:rsid w:val="00F61A0C"/>
    <w:rsid w:val="00F61DEB"/>
    <w:rsid w:val="00F639D4"/>
    <w:rsid w:val="00F63D27"/>
    <w:rsid w:val="00F647FE"/>
    <w:rsid w:val="00F65143"/>
    <w:rsid w:val="00F65DA3"/>
    <w:rsid w:val="00F66861"/>
    <w:rsid w:val="00F668C5"/>
    <w:rsid w:val="00F668C7"/>
    <w:rsid w:val="00F6722A"/>
    <w:rsid w:val="00F67A2C"/>
    <w:rsid w:val="00F67EE6"/>
    <w:rsid w:val="00F70779"/>
    <w:rsid w:val="00F707A0"/>
    <w:rsid w:val="00F70E80"/>
    <w:rsid w:val="00F71ED9"/>
    <w:rsid w:val="00F72174"/>
    <w:rsid w:val="00F727E4"/>
    <w:rsid w:val="00F72E83"/>
    <w:rsid w:val="00F7300B"/>
    <w:rsid w:val="00F735A0"/>
    <w:rsid w:val="00F7375C"/>
    <w:rsid w:val="00F739A1"/>
    <w:rsid w:val="00F73B95"/>
    <w:rsid w:val="00F74422"/>
    <w:rsid w:val="00F74954"/>
    <w:rsid w:val="00F74A39"/>
    <w:rsid w:val="00F75B9B"/>
    <w:rsid w:val="00F77020"/>
    <w:rsid w:val="00F77887"/>
    <w:rsid w:val="00F77F43"/>
    <w:rsid w:val="00F80C67"/>
    <w:rsid w:val="00F80E53"/>
    <w:rsid w:val="00F81BF1"/>
    <w:rsid w:val="00F82399"/>
    <w:rsid w:val="00F82F51"/>
    <w:rsid w:val="00F8309F"/>
    <w:rsid w:val="00F835FE"/>
    <w:rsid w:val="00F836CA"/>
    <w:rsid w:val="00F837F9"/>
    <w:rsid w:val="00F83C30"/>
    <w:rsid w:val="00F83C85"/>
    <w:rsid w:val="00F83CE4"/>
    <w:rsid w:val="00F8489D"/>
    <w:rsid w:val="00F8506C"/>
    <w:rsid w:val="00F854FE"/>
    <w:rsid w:val="00F85E2E"/>
    <w:rsid w:val="00F85E8E"/>
    <w:rsid w:val="00F85F79"/>
    <w:rsid w:val="00F85FF2"/>
    <w:rsid w:val="00F861A2"/>
    <w:rsid w:val="00F90D77"/>
    <w:rsid w:val="00F90E9D"/>
    <w:rsid w:val="00F9128E"/>
    <w:rsid w:val="00F913B8"/>
    <w:rsid w:val="00F913C3"/>
    <w:rsid w:val="00F91C1E"/>
    <w:rsid w:val="00F92DF8"/>
    <w:rsid w:val="00F9325E"/>
    <w:rsid w:val="00F944F0"/>
    <w:rsid w:val="00F94BBE"/>
    <w:rsid w:val="00F95957"/>
    <w:rsid w:val="00F959CB"/>
    <w:rsid w:val="00F959E3"/>
    <w:rsid w:val="00F964BE"/>
    <w:rsid w:val="00F96732"/>
    <w:rsid w:val="00F96A3A"/>
    <w:rsid w:val="00F96B72"/>
    <w:rsid w:val="00F97948"/>
    <w:rsid w:val="00FA0867"/>
    <w:rsid w:val="00FA0CDE"/>
    <w:rsid w:val="00FA100B"/>
    <w:rsid w:val="00FA1436"/>
    <w:rsid w:val="00FA1DAB"/>
    <w:rsid w:val="00FA1E6B"/>
    <w:rsid w:val="00FA2611"/>
    <w:rsid w:val="00FA2CD9"/>
    <w:rsid w:val="00FA47C8"/>
    <w:rsid w:val="00FA4A26"/>
    <w:rsid w:val="00FA4B8F"/>
    <w:rsid w:val="00FA4D89"/>
    <w:rsid w:val="00FA5E75"/>
    <w:rsid w:val="00FA62E9"/>
    <w:rsid w:val="00FA6385"/>
    <w:rsid w:val="00FA7F41"/>
    <w:rsid w:val="00FB03C9"/>
    <w:rsid w:val="00FB0C75"/>
    <w:rsid w:val="00FB0C7A"/>
    <w:rsid w:val="00FB0F66"/>
    <w:rsid w:val="00FB1E35"/>
    <w:rsid w:val="00FB23AB"/>
    <w:rsid w:val="00FB28DE"/>
    <w:rsid w:val="00FB3501"/>
    <w:rsid w:val="00FB3685"/>
    <w:rsid w:val="00FB39A8"/>
    <w:rsid w:val="00FB3F7F"/>
    <w:rsid w:val="00FB517E"/>
    <w:rsid w:val="00FB54FF"/>
    <w:rsid w:val="00FB56D2"/>
    <w:rsid w:val="00FB5B1A"/>
    <w:rsid w:val="00FB6047"/>
    <w:rsid w:val="00FB6636"/>
    <w:rsid w:val="00FB7466"/>
    <w:rsid w:val="00FC0694"/>
    <w:rsid w:val="00FC172A"/>
    <w:rsid w:val="00FC1AE5"/>
    <w:rsid w:val="00FC2BA4"/>
    <w:rsid w:val="00FC3DB0"/>
    <w:rsid w:val="00FC3E1B"/>
    <w:rsid w:val="00FC4F38"/>
    <w:rsid w:val="00FC5490"/>
    <w:rsid w:val="00FC62B1"/>
    <w:rsid w:val="00FC64C2"/>
    <w:rsid w:val="00FC76A4"/>
    <w:rsid w:val="00FD00B6"/>
    <w:rsid w:val="00FD0521"/>
    <w:rsid w:val="00FD0DBD"/>
    <w:rsid w:val="00FD0DDB"/>
    <w:rsid w:val="00FD129B"/>
    <w:rsid w:val="00FD1400"/>
    <w:rsid w:val="00FD1DCB"/>
    <w:rsid w:val="00FD1DEC"/>
    <w:rsid w:val="00FD27BA"/>
    <w:rsid w:val="00FD37B2"/>
    <w:rsid w:val="00FD4387"/>
    <w:rsid w:val="00FD4540"/>
    <w:rsid w:val="00FD57B0"/>
    <w:rsid w:val="00FD66B7"/>
    <w:rsid w:val="00FD7B57"/>
    <w:rsid w:val="00FE0A52"/>
    <w:rsid w:val="00FE301F"/>
    <w:rsid w:val="00FE528C"/>
    <w:rsid w:val="00FE6B10"/>
    <w:rsid w:val="00FE719D"/>
    <w:rsid w:val="00FE77B5"/>
    <w:rsid w:val="00FE7B5F"/>
    <w:rsid w:val="00FE7DC6"/>
    <w:rsid w:val="00FF02CD"/>
    <w:rsid w:val="00FF0BEB"/>
    <w:rsid w:val="00FF1160"/>
    <w:rsid w:val="00FF1314"/>
    <w:rsid w:val="00FF1326"/>
    <w:rsid w:val="00FF18C7"/>
    <w:rsid w:val="00FF2583"/>
    <w:rsid w:val="00FF261F"/>
    <w:rsid w:val="00FF2CAB"/>
    <w:rsid w:val="00FF3395"/>
    <w:rsid w:val="00FF3547"/>
    <w:rsid w:val="00FF3BDE"/>
    <w:rsid w:val="00FF4EB1"/>
    <w:rsid w:val="00FF7454"/>
    <w:rsid w:val="00FF791C"/>
    <w:rsid w:val="00FF7EB3"/>
    <w:rsid w:val="010018CE"/>
    <w:rsid w:val="01161381"/>
    <w:rsid w:val="01181DD9"/>
    <w:rsid w:val="014035EB"/>
    <w:rsid w:val="014B5F51"/>
    <w:rsid w:val="015B71E8"/>
    <w:rsid w:val="01611D93"/>
    <w:rsid w:val="01641635"/>
    <w:rsid w:val="017D31AE"/>
    <w:rsid w:val="01851694"/>
    <w:rsid w:val="01930571"/>
    <w:rsid w:val="019D147D"/>
    <w:rsid w:val="01A108DC"/>
    <w:rsid w:val="01BA5672"/>
    <w:rsid w:val="01BE3C8E"/>
    <w:rsid w:val="01CF1530"/>
    <w:rsid w:val="01D45D8F"/>
    <w:rsid w:val="01D73353"/>
    <w:rsid w:val="01D84888"/>
    <w:rsid w:val="01DA2E72"/>
    <w:rsid w:val="01DC539A"/>
    <w:rsid w:val="01EB2D0A"/>
    <w:rsid w:val="01EF3980"/>
    <w:rsid w:val="01F01BD2"/>
    <w:rsid w:val="01F571E8"/>
    <w:rsid w:val="0202112B"/>
    <w:rsid w:val="02072A78"/>
    <w:rsid w:val="02085203"/>
    <w:rsid w:val="020F5CF5"/>
    <w:rsid w:val="0224187C"/>
    <w:rsid w:val="02336B3B"/>
    <w:rsid w:val="023B0C37"/>
    <w:rsid w:val="0241242E"/>
    <w:rsid w:val="02421D02"/>
    <w:rsid w:val="0261487E"/>
    <w:rsid w:val="026F58EE"/>
    <w:rsid w:val="027503C9"/>
    <w:rsid w:val="027653AF"/>
    <w:rsid w:val="027F0426"/>
    <w:rsid w:val="02857A70"/>
    <w:rsid w:val="02864DCE"/>
    <w:rsid w:val="028975AE"/>
    <w:rsid w:val="028C1F3F"/>
    <w:rsid w:val="029E5443"/>
    <w:rsid w:val="02A0095B"/>
    <w:rsid w:val="02A06C41"/>
    <w:rsid w:val="02A1710F"/>
    <w:rsid w:val="02A30C1F"/>
    <w:rsid w:val="02AE478C"/>
    <w:rsid w:val="02B240F8"/>
    <w:rsid w:val="02B37C3D"/>
    <w:rsid w:val="02B6136E"/>
    <w:rsid w:val="02B8347C"/>
    <w:rsid w:val="02C91C2D"/>
    <w:rsid w:val="02DF21EF"/>
    <w:rsid w:val="02EE1D5F"/>
    <w:rsid w:val="02F900F0"/>
    <w:rsid w:val="02FA5B72"/>
    <w:rsid w:val="03082909"/>
    <w:rsid w:val="0308368E"/>
    <w:rsid w:val="030E7907"/>
    <w:rsid w:val="03121B0D"/>
    <w:rsid w:val="03137677"/>
    <w:rsid w:val="0329503C"/>
    <w:rsid w:val="032E73A0"/>
    <w:rsid w:val="034659BC"/>
    <w:rsid w:val="034C7850"/>
    <w:rsid w:val="034E1A4E"/>
    <w:rsid w:val="034F2928"/>
    <w:rsid w:val="0356048A"/>
    <w:rsid w:val="03597303"/>
    <w:rsid w:val="035A307B"/>
    <w:rsid w:val="035A360D"/>
    <w:rsid w:val="035A48A6"/>
    <w:rsid w:val="03634626"/>
    <w:rsid w:val="036A7363"/>
    <w:rsid w:val="036B5288"/>
    <w:rsid w:val="036E20CA"/>
    <w:rsid w:val="036F653B"/>
    <w:rsid w:val="037554BB"/>
    <w:rsid w:val="037A1943"/>
    <w:rsid w:val="037E6BB8"/>
    <w:rsid w:val="037F787D"/>
    <w:rsid w:val="038469C2"/>
    <w:rsid w:val="038A3960"/>
    <w:rsid w:val="039667A9"/>
    <w:rsid w:val="0397607D"/>
    <w:rsid w:val="03A10E4B"/>
    <w:rsid w:val="03A85C19"/>
    <w:rsid w:val="03B56DB1"/>
    <w:rsid w:val="03BC7892"/>
    <w:rsid w:val="03CD73B1"/>
    <w:rsid w:val="03CE5F43"/>
    <w:rsid w:val="03CF34E3"/>
    <w:rsid w:val="03D80B70"/>
    <w:rsid w:val="03E017D2"/>
    <w:rsid w:val="03F425D6"/>
    <w:rsid w:val="03F81439"/>
    <w:rsid w:val="03F92894"/>
    <w:rsid w:val="04021749"/>
    <w:rsid w:val="04163446"/>
    <w:rsid w:val="041B653B"/>
    <w:rsid w:val="04264033"/>
    <w:rsid w:val="042D4C6A"/>
    <w:rsid w:val="042E7504"/>
    <w:rsid w:val="04447FB3"/>
    <w:rsid w:val="04460E6B"/>
    <w:rsid w:val="0462603D"/>
    <w:rsid w:val="04654DC4"/>
    <w:rsid w:val="046B0929"/>
    <w:rsid w:val="04716995"/>
    <w:rsid w:val="04870534"/>
    <w:rsid w:val="04914B02"/>
    <w:rsid w:val="04A36EB7"/>
    <w:rsid w:val="04AE7FF9"/>
    <w:rsid w:val="04BB1F4F"/>
    <w:rsid w:val="04CD1839"/>
    <w:rsid w:val="04E0470D"/>
    <w:rsid w:val="04E357F7"/>
    <w:rsid w:val="04EA2152"/>
    <w:rsid w:val="04EC501C"/>
    <w:rsid w:val="04ED4785"/>
    <w:rsid w:val="04F217BD"/>
    <w:rsid w:val="04F574FF"/>
    <w:rsid w:val="04F97836"/>
    <w:rsid w:val="050068DC"/>
    <w:rsid w:val="05017C52"/>
    <w:rsid w:val="051060E7"/>
    <w:rsid w:val="05382B9E"/>
    <w:rsid w:val="053C6EDC"/>
    <w:rsid w:val="05410997"/>
    <w:rsid w:val="054753B6"/>
    <w:rsid w:val="054A19C3"/>
    <w:rsid w:val="05504736"/>
    <w:rsid w:val="055C7B56"/>
    <w:rsid w:val="056D1C26"/>
    <w:rsid w:val="056D4888"/>
    <w:rsid w:val="05772978"/>
    <w:rsid w:val="05790131"/>
    <w:rsid w:val="058938A1"/>
    <w:rsid w:val="058D14E6"/>
    <w:rsid w:val="059B4E40"/>
    <w:rsid w:val="05AC50B9"/>
    <w:rsid w:val="05AF3E04"/>
    <w:rsid w:val="05BB3177"/>
    <w:rsid w:val="05C36382"/>
    <w:rsid w:val="05C374EE"/>
    <w:rsid w:val="05D8381C"/>
    <w:rsid w:val="05DA35BA"/>
    <w:rsid w:val="05DE61E6"/>
    <w:rsid w:val="05E17EE5"/>
    <w:rsid w:val="05E30AB8"/>
    <w:rsid w:val="05E53ECA"/>
    <w:rsid w:val="05F544D3"/>
    <w:rsid w:val="05F60ADE"/>
    <w:rsid w:val="05FC035D"/>
    <w:rsid w:val="05FF0490"/>
    <w:rsid w:val="060C3ECA"/>
    <w:rsid w:val="060E11DB"/>
    <w:rsid w:val="061C48FA"/>
    <w:rsid w:val="061D2A41"/>
    <w:rsid w:val="06224324"/>
    <w:rsid w:val="06382740"/>
    <w:rsid w:val="063F547A"/>
    <w:rsid w:val="064321EB"/>
    <w:rsid w:val="06441DE0"/>
    <w:rsid w:val="06451DC1"/>
    <w:rsid w:val="06514C09"/>
    <w:rsid w:val="065331DA"/>
    <w:rsid w:val="065C7F61"/>
    <w:rsid w:val="065E6A20"/>
    <w:rsid w:val="066237F9"/>
    <w:rsid w:val="066279D4"/>
    <w:rsid w:val="0664493D"/>
    <w:rsid w:val="066E55CF"/>
    <w:rsid w:val="068A254B"/>
    <w:rsid w:val="068E7B23"/>
    <w:rsid w:val="068F09AB"/>
    <w:rsid w:val="06911AC5"/>
    <w:rsid w:val="069D376A"/>
    <w:rsid w:val="06A35673"/>
    <w:rsid w:val="06AC3FE2"/>
    <w:rsid w:val="06AD3A04"/>
    <w:rsid w:val="06BB5876"/>
    <w:rsid w:val="06C35752"/>
    <w:rsid w:val="06D505D2"/>
    <w:rsid w:val="06DC2744"/>
    <w:rsid w:val="06DF2215"/>
    <w:rsid w:val="06E23AB3"/>
    <w:rsid w:val="06ED5344"/>
    <w:rsid w:val="06F53E3D"/>
    <w:rsid w:val="06F6179A"/>
    <w:rsid w:val="07031F5F"/>
    <w:rsid w:val="07081F73"/>
    <w:rsid w:val="070C181F"/>
    <w:rsid w:val="07131CDD"/>
    <w:rsid w:val="07195F0C"/>
    <w:rsid w:val="071D4D23"/>
    <w:rsid w:val="07246E25"/>
    <w:rsid w:val="072B0FB7"/>
    <w:rsid w:val="07311F4D"/>
    <w:rsid w:val="07325E00"/>
    <w:rsid w:val="07351E35"/>
    <w:rsid w:val="073A4B0E"/>
    <w:rsid w:val="07443E10"/>
    <w:rsid w:val="074E358D"/>
    <w:rsid w:val="0755664B"/>
    <w:rsid w:val="0757640C"/>
    <w:rsid w:val="0759609B"/>
    <w:rsid w:val="075B7F9A"/>
    <w:rsid w:val="07627EB4"/>
    <w:rsid w:val="0764573B"/>
    <w:rsid w:val="076538AC"/>
    <w:rsid w:val="07667F1E"/>
    <w:rsid w:val="076B1CFB"/>
    <w:rsid w:val="0774295E"/>
    <w:rsid w:val="07771AE7"/>
    <w:rsid w:val="078311DD"/>
    <w:rsid w:val="078D3072"/>
    <w:rsid w:val="07940115"/>
    <w:rsid w:val="079E43F1"/>
    <w:rsid w:val="07AA20A0"/>
    <w:rsid w:val="07AB20F7"/>
    <w:rsid w:val="07D00C50"/>
    <w:rsid w:val="07ED4390"/>
    <w:rsid w:val="07EF6488"/>
    <w:rsid w:val="07F910B5"/>
    <w:rsid w:val="07FD6DF7"/>
    <w:rsid w:val="08042CA2"/>
    <w:rsid w:val="080E48C5"/>
    <w:rsid w:val="081A2D68"/>
    <w:rsid w:val="081C165C"/>
    <w:rsid w:val="082D7F7E"/>
    <w:rsid w:val="08326375"/>
    <w:rsid w:val="08534F1E"/>
    <w:rsid w:val="085602B5"/>
    <w:rsid w:val="085C0BFC"/>
    <w:rsid w:val="085F0FBF"/>
    <w:rsid w:val="086C7996"/>
    <w:rsid w:val="087F53D8"/>
    <w:rsid w:val="089B1EDA"/>
    <w:rsid w:val="08A118B5"/>
    <w:rsid w:val="08A54E0A"/>
    <w:rsid w:val="08BA69F7"/>
    <w:rsid w:val="08BB5CE2"/>
    <w:rsid w:val="08C448BE"/>
    <w:rsid w:val="08D631A4"/>
    <w:rsid w:val="08DB3B5A"/>
    <w:rsid w:val="08DF02AB"/>
    <w:rsid w:val="08E36614"/>
    <w:rsid w:val="08E64D95"/>
    <w:rsid w:val="08E8202A"/>
    <w:rsid w:val="08F74842"/>
    <w:rsid w:val="08F85B28"/>
    <w:rsid w:val="08FC7ABC"/>
    <w:rsid w:val="090076D0"/>
    <w:rsid w:val="09023F99"/>
    <w:rsid w:val="090A231C"/>
    <w:rsid w:val="090B6D66"/>
    <w:rsid w:val="091C7130"/>
    <w:rsid w:val="091D0537"/>
    <w:rsid w:val="09213835"/>
    <w:rsid w:val="09225DD5"/>
    <w:rsid w:val="09276A6D"/>
    <w:rsid w:val="093648A8"/>
    <w:rsid w:val="093916BA"/>
    <w:rsid w:val="0946657C"/>
    <w:rsid w:val="0952160E"/>
    <w:rsid w:val="09597809"/>
    <w:rsid w:val="095C0DC4"/>
    <w:rsid w:val="095F390F"/>
    <w:rsid w:val="09630EDC"/>
    <w:rsid w:val="096E162E"/>
    <w:rsid w:val="0971670A"/>
    <w:rsid w:val="097F55EA"/>
    <w:rsid w:val="09810F23"/>
    <w:rsid w:val="098C48BA"/>
    <w:rsid w:val="0992531D"/>
    <w:rsid w:val="09A621FE"/>
    <w:rsid w:val="09AA7B69"/>
    <w:rsid w:val="09AD779C"/>
    <w:rsid w:val="09D467AF"/>
    <w:rsid w:val="09DF48E1"/>
    <w:rsid w:val="09E35B78"/>
    <w:rsid w:val="09E87633"/>
    <w:rsid w:val="09F24920"/>
    <w:rsid w:val="09F50D92"/>
    <w:rsid w:val="09FC40F0"/>
    <w:rsid w:val="0A012384"/>
    <w:rsid w:val="0A037FC9"/>
    <w:rsid w:val="0A073F5D"/>
    <w:rsid w:val="0A1200CE"/>
    <w:rsid w:val="0A140428"/>
    <w:rsid w:val="0A152D56"/>
    <w:rsid w:val="0A2148F3"/>
    <w:rsid w:val="0A4679E7"/>
    <w:rsid w:val="0A490536"/>
    <w:rsid w:val="0A5078F9"/>
    <w:rsid w:val="0A595E3B"/>
    <w:rsid w:val="0A671DCB"/>
    <w:rsid w:val="0A6A1B79"/>
    <w:rsid w:val="0A78588D"/>
    <w:rsid w:val="0A8235E3"/>
    <w:rsid w:val="0A921402"/>
    <w:rsid w:val="0A9B5C26"/>
    <w:rsid w:val="0AA97A8C"/>
    <w:rsid w:val="0AB22B63"/>
    <w:rsid w:val="0AB63A17"/>
    <w:rsid w:val="0AC47CD7"/>
    <w:rsid w:val="0AC7549A"/>
    <w:rsid w:val="0AD45840"/>
    <w:rsid w:val="0AD508F4"/>
    <w:rsid w:val="0ADB7197"/>
    <w:rsid w:val="0AE12395"/>
    <w:rsid w:val="0AE251D4"/>
    <w:rsid w:val="0AEC39F9"/>
    <w:rsid w:val="0AEF28D0"/>
    <w:rsid w:val="0AF40E05"/>
    <w:rsid w:val="0AFD1FFD"/>
    <w:rsid w:val="0B00615D"/>
    <w:rsid w:val="0B083329"/>
    <w:rsid w:val="0B0B5EA1"/>
    <w:rsid w:val="0B0D0CF5"/>
    <w:rsid w:val="0B0F75B1"/>
    <w:rsid w:val="0B1526A9"/>
    <w:rsid w:val="0B270E5D"/>
    <w:rsid w:val="0B45008E"/>
    <w:rsid w:val="0B546D35"/>
    <w:rsid w:val="0B5B1AAE"/>
    <w:rsid w:val="0B6B7F48"/>
    <w:rsid w:val="0B7329D8"/>
    <w:rsid w:val="0B75067A"/>
    <w:rsid w:val="0B822967"/>
    <w:rsid w:val="0B826F71"/>
    <w:rsid w:val="0B845139"/>
    <w:rsid w:val="0B87399B"/>
    <w:rsid w:val="0B8B0032"/>
    <w:rsid w:val="0B9A1E6F"/>
    <w:rsid w:val="0B9A670B"/>
    <w:rsid w:val="0BA53A2D"/>
    <w:rsid w:val="0BA65ED5"/>
    <w:rsid w:val="0BBF1DEA"/>
    <w:rsid w:val="0BC570D4"/>
    <w:rsid w:val="0BCE727D"/>
    <w:rsid w:val="0BD30A22"/>
    <w:rsid w:val="0BD31788"/>
    <w:rsid w:val="0BD5503F"/>
    <w:rsid w:val="0BD81707"/>
    <w:rsid w:val="0BDA6F9B"/>
    <w:rsid w:val="0BE34556"/>
    <w:rsid w:val="0BE51091"/>
    <w:rsid w:val="0BF16EB1"/>
    <w:rsid w:val="0C004E10"/>
    <w:rsid w:val="0C1C4FDC"/>
    <w:rsid w:val="0C277EFD"/>
    <w:rsid w:val="0C372BB3"/>
    <w:rsid w:val="0C3D6637"/>
    <w:rsid w:val="0C5C04B1"/>
    <w:rsid w:val="0C5D0644"/>
    <w:rsid w:val="0C6A76ED"/>
    <w:rsid w:val="0C6E02C3"/>
    <w:rsid w:val="0C811890"/>
    <w:rsid w:val="0C96783C"/>
    <w:rsid w:val="0CA6624D"/>
    <w:rsid w:val="0CAD0FDF"/>
    <w:rsid w:val="0CCD48BE"/>
    <w:rsid w:val="0CCF6888"/>
    <w:rsid w:val="0CD12600"/>
    <w:rsid w:val="0CDD7C7C"/>
    <w:rsid w:val="0CE02843"/>
    <w:rsid w:val="0CE16828"/>
    <w:rsid w:val="0CE31935"/>
    <w:rsid w:val="0CEE4F60"/>
    <w:rsid w:val="0CEF6BD7"/>
    <w:rsid w:val="0CF343DB"/>
    <w:rsid w:val="0CF3634C"/>
    <w:rsid w:val="0CF705BD"/>
    <w:rsid w:val="0CF76D88"/>
    <w:rsid w:val="0CF832CA"/>
    <w:rsid w:val="0CFD6C5C"/>
    <w:rsid w:val="0D015058"/>
    <w:rsid w:val="0D0429D6"/>
    <w:rsid w:val="0D0520DE"/>
    <w:rsid w:val="0D074FED"/>
    <w:rsid w:val="0D0F5C7C"/>
    <w:rsid w:val="0D2216EC"/>
    <w:rsid w:val="0D242282"/>
    <w:rsid w:val="0D2546FA"/>
    <w:rsid w:val="0D256B12"/>
    <w:rsid w:val="0D29243C"/>
    <w:rsid w:val="0D2C7836"/>
    <w:rsid w:val="0D2D33FB"/>
    <w:rsid w:val="0D3A63F7"/>
    <w:rsid w:val="0D3F04B7"/>
    <w:rsid w:val="0D4B47DC"/>
    <w:rsid w:val="0D4E28CF"/>
    <w:rsid w:val="0D620272"/>
    <w:rsid w:val="0D66199D"/>
    <w:rsid w:val="0D6A7E67"/>
    <w:rsid w:val="0D6B5490"/>
    <w:rsid w:val="0D703943"/>
    <w:rsid w:val="0D7511DD"/>
    <w:rsid w:val="0D755621"/>
    <w:rsid w:val="0D8164E3"/>
    <w:rsid w:val="0D842293"/>
    <w:rsid w:val="0D8544BC"/>
    <w:rsid w:val="0D874243"/>
    <w:rsid w:val="0DA65D93"/>
    <w:rsid w:val="0DC566A4"/>
    <w:rsid w:val="0DD81429"/>
    <w:rsid w:val="0DE55ABA"/>
    <w:rsid w:val="0DEA3D5B"/>
    <w:rsid w:val="0DF6420E"/>
    <w:rsid w:val="0DFA331F"/>
    <w:rsid w:val="0E0F3277"/>
    <w:rsid w:val="0E160A2D"/>
    <w:rsid w:val="0E2561E1"/>
    <w:rsid w:val="0E2600AF"/>
    <w:rsid w:val="0E2F5167"/>
    <w:rsid w:val="0E302B72"/>
    <w:rsid w:val="0E344BF5"/>
    <w:rsid w:val="0E37455A"/>
    <w:rsid w:val="0E39045D"/>
    <w:rsid w:val="0E411871"/>
    <w:rsid w:val="0E4312DC"/>
    <w:rsid w:val="0E4759D0"/>
    <w:rsid w:val="0E4E0B87"/>
    <w:rsid w:val="0E515952"/>
    <w:rsid w:val="0E571FCE"/>
    <w:rsid w:val="0E5D7B1D"/>
    <w:rsid w:val="0E5E7EC3"/>
    <w:rsid w:val="0E6C41AF"/>
    <w:rsid w:val="0E860CE1"/>
    <w:rsid w:val="0E8B3DC2"/>
    <w:rsid w:val="0E8C2C83"/>
    <w:rsid w:val="0E8D0846"/>
    <w:rsid w:val="0E8F4991"/>
    <w:rsid w:val="0E990930"/>
    <w:rsid w:val="0EA12B90"/>
    <w:rsid w:val="0EA50E1D"/>
    <w:rsid w:val="0EA53D44"/>
    <w:rsid w:val="0EBB75E4"/>
    <w:rsid w:val="0EC60290"/>
    <w:rsid w:val="0EC87A33"/>
    <w:rsid w:val="0ECE329B"/>
    <w:rsid w:val="0EE35454"/>
    <w:rsid w:val="0EE53E88"/>
    <w:rsid w:val="0EFA2A3F"/>
    <w:rsid w:val="0F023FFF"/>
    <w:rsid w:val="0F113EB6"/>
    <w:rsid w:val="0F116CAF"/>
    <w:rsid w:val="0F1326F9"/>
    <w:rsid w:val="0F2354BA"/>
    <w:rsid w:val="0F3330FE"/>
    <w:rsid w:val="0F3B1FB3"/>
    <w:rsid w:val="0F3F5F11"/>
    <w:rsid w:val="0F476BA1"/>
    <w:rsid w:val="0F4B602A"/>
    <w:rsid w:val="0F566DED"/>
    <w:rsid w:val="0F615C2F"/>
    <w:rsid w:val="0F621C35"/>
    <w:rsid w:val="0F64150A"/>
    <w:rsid w:val="0F6458A6"/>
    <w:rsid w:val="0F6A005A"/>
    <w:rsid w:val="0F6D1704"/>
    <w:rsid w:val="0F702753"/>
    <w:rsid w:val="0F736CB4"/>
    <w:rsid w:val="0F75527C"/>
    <w:rsid w:val="0F825E34"/>
    <w:rsid w:val="0F826CDC"/>
    <w:rsid w:val="0F8C146F"/>
    <w:rsid w:val="0FA83CF6"/>
    <w:rsid w:val="0FAB538A"/>
    <w:rsid w:val="0FAC4C5F"/>
    <w:rsid w:val="0FB308F7"/>
    <w:rsid w:val="0FB7012C"/>
    <w:rsid w:val="0FBA4303"/>
    <w:rsid w:val="0FC15199"/>
    <w:rsid w:val="0FCB2FF8"/>
    <w:rsid w:val="0FCE15E5"/>
    <w:rsid w:val="0FCF1F7D"/>
    <w:rsid w:val="0FD10D03"/>
    <w:rsid w:val="0FD416B1"/>
    <w:rsid w:val="0FD541B5"/>
    <w:rsid w:val="0FDC3811"/>
    <w:rsid w:val="0FF46D31"/>
    <w:rsid w:val="10061FFB"/>
    <w:rsid w:val="100D434D"/>
    <w:rsid w:val="100D7863"/>
    <w:rsid w:val="101A2BA5"/>
    <w:rsid w:val="101C7E7E"/>
    <w:rsid w:val="1030349B"/>
    <w:rsid w:val="103C7780"/>
    <w:rsid w:val="10606175"/>
    <w:rsid w:val="10637A13"/>
    <w:rsid w:val="10667503"/>
    <w:rsid w:val="1071082F"/>
    <w:rsid w:val="1074577C"/>
    <w:rsid w:val="107A2416"/>
    <w:rsid w:val="10817E99"/>
    <w:rsid w:val="1082318D"/>
    <w:rsid w:val="10A94BB8"/>
    <w:rsid w:val="10AB2BE5"/>
    <w:rsid w:val="10B93AD7"/>
    <w:rsid w:val="10BE25F8"/>
    <w:rsid w:val="10C009C2"/>
    <w:rsid w:val="10C26667"/>
    <w:rsid w:val="10CF6E57"/>
    <w:rsid w:val="10D46BEA"/>
    <w:rsid w:val="10E00821"/>
    <w:rsid w:val="10E0563D"/>
    <w:rsid w:val="10E365C2"/>
    <w:rsid w:val="10E67546"/>
    <w:rsid w:val="10FD1C16"/>
    <w:rsid w:val="10FD7E68"/>
    <w:rsid w:val="110F1949"/>
    <w:rsid w:val="1110186D"/>
    <w:rsid w:val="11102465"/>
    <w:rsid w:val="11286E77"/>
    <w:rsid w:val="11347E65"/>
    <w:rsid w:val="114B6706"/>
    <w:rsid w:val="114D632E"/>
    <w:rsid w:val="11602B72"/>
    <w:rsid w:val="116A55A1"/>
    <w:rsid w:val="116D6526"/>
    <w:rsid w:val="116F5173"/>
    <w:rsid w:val="117513B4"/>
    <w:rsid w:val="11755507"/>
    <w:rsid w:val="117B6FDE"/>
    <w:rsid w:val="117F2E0D"/>
    <w:rsid w:val="11875983"/>
    <w:rsid w:val="118A0054"/>
    <w:rsid w:val="118D1FB4"/>
    <w:rsid w:val="119079DF"/>
    <w:rsid w:val="119107BF"/>
    <w:rsid w:val="11AC41C2"/>
    <w:rsid w:val="11B524F0"/>
    <w:rsid w:val="11C51A51"/>
    <w:rsid w:val="11CC4D23"/>
    <w:rsid w:val="11D4749D"/>
    <w:rsid w:val="11E83C75"/>
    <w:rsid w:val="11FA4BEA"/>
    <w:rsid w:val="11FC1ECD"/>
    <w:rsid w:val="120D5505"/>
    <w:rsid w:val="121360EF"/>
    <w:rsid w:val="12180B4A"/>
    <w:rsid w:val="121F5966"/>
    <w:rsid w:val="122A1702"/>
    <w:rsid w:val="122D0B62"/>
    <w:rsid w:val="123A23F6"/>
    <w:rsid w:val="123E2FFB"/>
    <w:rsid w:val="123F4E2E"/>
    <w:rsid w:val="12411D81"/>
    <w:rsid w:val="124670B3"/>
    <w:rsid w:val="12604832"/>
    <w:rsid w:val="12604834"/>
    <w:rsid w:val="12611808"/>
    <w:rsid w:val="12696E37"/>
    <w:rsid w:val="126D6197"/>
    <w:rsid w:val="12724A88"/>
    <w:rsid w:val="1283614B"/>
    <w:rsid w:val="128B0EFC"/>
    <w:rsid w:val="128F7902"/>
    <w:rsid w:val="129413B7"/>
    <w:rsid w:val="1298498E"/>
    <w:rsid w:val="12A67527"/>
    <w:rsid w:val="12B87441"/>
    <w:rsid w:val="12BE716A"/>
    <w:rsid w:val="12C04C82"/>
    <w:rsid w:val="12C07B00"/>
    <w:rsid w:val="12CB18A0"/>
    <w:rsid w:val="12D62275"/>
    <w:rsid w:val="12D76496"/>
    <w:rsid w:val="12E22503"/>
    <w:rsid w:val="12F21BA5"/>
    <w:rsid w:val="12F72695"/>
    <w:rsid w:val="12FB3256"/>
    <w:rsid w:val="13062056"/>
    <w:rsid w:val="130A23C8"/>
    <w:rsid w:val="130F1CC1"/>
    <w:rsid w:val="13140156"/>
    <w:rsid w:val="13175E40"/>
    <w:rsid w:val="131B4645"/>
    <w:rsid w:val="131D659F"/>
    <w:rsid w:val="13205B09"/>
    <w:rsid w:val="13396A5E"/>
    <w:rsid w:val="1346162F"/>
    <w:rsid w:val="13465DAC"/>
    <w:rsid w:val="13484B32"/>
    <w:rsid w:val="134947B2"/>
    <w:rsid w:val="134A76B8"/>
    <w:rsid w:val="134B408F"/>
    <w:rsid w:val="13584016"/>
    <w:rsid w:val="136564CA"/>
    <w:rsid w:val="1379754E"/>
    <w:rsid w:val="139A7B4E"/>
    <w:rsid w:val="139D77BD"/>
    <w:rsid w:val="13A938D2"/>
    <w:rsid w:val="13AB5B4F"/>
    <w:rsid w:val="13B03DB3"/>
    <w:rsid w:val="13B30CB1"/>
    <w:rsid w:val="13C37E0F"/>
    <w:rsid w:val="13D36F63"/>
    <w:rsid w:val="13D80718"/>
    <w:rsid w:val="13F41A5D"/>
    <w:rsid w:val="13F856F3"/>
    <w:rsid w:val="13FC4AFF"/>
    <w:rsid w:val="140011FF"/>
    <w:rsid w:val="140B1C7C"/>
    <w:rsid w:val="140D5ACB"/>
    <w:rsid w:val="14101C60"/>
    <w:rsid w:val="14147860"/>
    <w:rsid w:val="14180B15"/>
    <w:rsid w:val="141D2158"/>
    <w:rsid w:val="142640A0"/>
    <w:rsid w:val="142E20E6"/>
    <w:rsid w:val="1434150D"/>
    <w:rsid w:val="143D5AD8"/>
    <w:rsid w:val="144114C7"/>
    <w:rsid w:val="14462E4D"/>
    <w:rsid w:val="144E5EA3"/>
    <w:rsid w:val="1457788F"/>
    <w:rsid w:val="145923F1"/>
    <w:rsid w:val="146F0633"/>
    <w:rsid w:val="14700951"/>
    <w:rsid w:val="14741DE5"/>
    <w:rsid w:val="14831A1F"/>
    <w:rsid w:val="14900FF3"/>
    <w:rsid w:val="14946D53"/>
    <w:rsid w:val="14961874"/>
    <w:rsid w:val="14A04D63"/>
    <w:rsid w:val="14A511EB"/>
    <w:rsid w:val="14BC0362"/>
    <w:rsid w:val="14C111AC"/>
    <w:rsid w:val="14E06A3C"/>
    <w:rsid w:val="14F645EC"/>
    <w:rsid w:val="14F72B52"/>
    <w:rsid w:val="150B17BD"/>
    <w:rsid w:val="150F26CC"/>
    <w:rsid w:val="151352B3"/>
    <w:rsid w:val="15202377"/>
    <w:rsid w:val="15243815"/>
    <w:rsid w:val="152C5229"/>
    <w:rsid w:val="15302182"/>
    <w:rsid w:val="153F2DB2"/>
    <w:rsid w:val="15473F56"/>
    <w:rsid w:val="1559294C"/>
    <w:rsid w:val="155A5817"/>
    <w:rsid w:val="15650BB8"/>
    <w:rsid w:val="15695ACC"/>
    <w:rsid w:val="156B0D20"/>
    <w:rsid w:val="156C4AD1"/>
    <w:rsid w:val="15774DC7"/>
    <w:rsid w:val="157D48DE"/>
    <w:rsid w:val="15864BF7"/>
    <w:rsid w:val="15881228"/>
    <w:rsid w:val="158B01E4"/>
    <w:rsid w:val="158C299F"/>
    <w:rsid w:val="15910B7E"/>
    <w:rsid w:val="15973CBB"/>
    <w:rsid w:val="159A569D"/>
    <w:rsid w:val="15A52832"/>
    <w:rsid w:val="15A543F6"/>
    <w:rsid w:val="15A63E23"/>
    <w:rsid w:val="15A8661F"/>
    <w:rsid w:val="15AB7BBF"/>
    <w:rsid w:val="15B41FA8"/>
    <w:rsid w:val="15B44C2C"/>
    <w:rsid w:val="15BE749A"/>
    <w:rsid w:val="15C23F41"/>
    <w:rsid w:val="15C40BB9"/>
    <w:rsid w:val="15C47445"/>
    <w:rsid w:val="15D243FC"/>
    <w:rsid w:val="15E07C15"/>
    <w:rsid w:val="15E31EF8"/>
    <w:rsid w:val="15F63117"/>
    <w:rsid w:val="15F73C82"/>
    <w:rsid w:val="160A4336"/>
    <w:rsid w:val="160E6673"/>
    <w:rsid w:val="161D68B6"/>
    <w:rsid w:val="161F409A"/>
    <w:rsid w:val="162639BD"/>
    <w:rsid w:val="162917A2"/>
    <w:rsid w:val="16371982"/>
    <w:rsid w:val="163A2906"/>
    <w:rsid w:val="163C5679"/>
    <w:rsid w:val="163E130D"/>
    <w:rsid w:val="16461969"/>
    <w:rsid w:val="166A6898"/>
    <w:rsid w:val="168453DE"/>
    <w:rsid w:val="1689179C"/>
    <w:rsid w:val="16916965"/>
    <w:rsid w:val="16A67A37"/>
    <w:rsid w:val="16B0768E"/>
    <w:rsid w:val="16BA66D8"/>
    <w:rsid w:val="16C40F1D"/>
    <w:rsid w:val="16C64858"/>
    <w:rsid w:val="16CB1563"/>
    <w:rsid w:val="16CB43F4"/>
    <w:rsid w:val="16CD47FE"/>
    <w:rsid w:val="16D90B34"/>
    <w:rsid w:val="16DE6045"/>
    <w:rsid w:val="16E06917"/>
    <w:rsid w:val="16E53537"/>
    <w:rsid w:val="16EB0762"/>
    <w:rsid w:val="16FE00C6"/>
    <w:rsid w:val="16FE0D17"/>
    <w:rsid w:val="17011D34"/>
    <w:rsid w:val="1708651B"/>
    <w:rsid w:val="170A508C"/>
    <w:rsid w:val="171A4BA4"/>
    <w:rsid w:val="171C7676"/>
    <w:rsid w:val="172779EC"/>
    <w:rsid w:val="1729524F"/>
    <w:rsid w:val="172B1AAA"/>
    <w:rsid w:val="17312619"/>
    <w:rsid w:val="173D5F29"/>
    <w:rsid w:val="1745083A"/>
    <w:rsid w:val="17485A33"/>
    <w:rsid w:val="1754216A"/>
    <w:rsid w:val="175C51BC"/>
    <w:rsid w:val="175E3962"/>
    <w:rsid w:val="17681825"/>
    <w:rsid w:val="176C18A3"/>
    <w:rsid w:val="17776A8B"/>
    <w:rsid w:val="177D3B7D"/>
    <w:rsid w:val="177E15D6"/>
    <w:rsid w:val="17AF2468"/>
    <w:rsid w:val="17B20944"/>
    <w:rsid w:val="17BC155D"/>
    <w:rsid w:val="17BD2A82"/>
    <w:rsid w:val="17C349C7"/>
    <w:rsid w:val="17C65910"/>
    <w:rsid w:val="17C85590"/>
    <w:rsid w:val="17CC22DD"/>
    <w:rsid w:val="17CF3D95"/>
    <w:rsid w:val="17CF5975"/>
    <w:rsid w:val="17D365AD"/>
    <w:rsid w:val="17DC5EA9"/>
    <w:rsid w:val="17E46D4F"/>
    <w:rsid w:val="17E470BF"/>
    <w:rsid w:val="17EA27C8"/>
    <w:rsid w:val="18024339"/>
    <w:rsid w:val="180C6BDB"/>
    <w:rsid w:val="18143491"/>
    <w:rsid w:val="18187B97"/>
    <w:rsid w:val="18332E0E"/>
    <w:rsid w:val="183710C7"/>
    <w:rsid w:val="18553EFB"/>
    <w:rsid w:val="18573B7A"/>
    <w:rsid w:val="186A2B9B"/>
    <w:rsid w:val="18700536"/>
    <w:rsid w:val="18775734"/>
    <w:rsid w:val="187F2B40"/>
    <w:rsid w:val="18856328"/>
    <w:rsid w:val="18866995"/>
    <w:rsid w:val="18891E95"/>
    <w:rsid w:val="18986835"/>
    <w:rsid w:val="189F153D"/>
    <w:rsid w:val="18A6291F"/>
    <w:rsid w:val="18AB2207"/>
    <w:rsid w:val="18AC668D"/>
    <w:rsid w:val="18B105F4"/>
    <w:rsid w:val="18C253A6"/>
    <w:rsid w:val="18CB31CF"/>
    <w:rsid w:val="18D314AE"/>
    <w:rsid w:val="18DA5F66"/>
    <w:rsid w:val="18EA390D"/>
    <w:rsid w:val="18EC14F0"/>
    <w:rsid w:val="18ED5373"/>
    <w:rsid w:val="19037516"/>
    <w:rsid w:val="19053D5D"/>
    <w:rsid w:val="190B4AAB"/>
    <w:rsid w:val="190C23A4"/>
    <w:rsid w:val="19151A93"/>
    <w:rsid w:val="192148C8"/>
    <w:rsid w:val="1927785E"/>
    <w:rsid w:val="19293D5C"/>
    <w:rsid w:val="192E3DA6"/>
    <w:rsid w:val="192F4830"/>
    <w:rsid w:val="19412BFE"/>
    <w:rsid w:val="19441605"/>
    <w:rsid w:val="19453803"/>
    <w:rsid w:val="194B7296"/>
    <w:rsid w:val="194E0911"/>
    <w:rsid w:val="195720DF"/>
    <w:rsid w:val="1965472C"/>
    <w:rsid w:val="1968518A"/>
    <w:rsid w:val="198274E1"/>
    <w:rsid w:val="198E4EFC"/>
    <w:rsid w:val="198F229E"/>
    <w:rsid w:val="19A76BC3"/>
    <w:rsid w:val="19AD282F"/>
    <w:rsid w:val="19AF1F1B"/>
    <w:rsid w:val="19B802BF"/>
    <w:rsid w:val="19BA24E8"/>
    <w:rsid w:val="19BB6B1D"/>
    <w:rsid w:val="19BD4746"/>
    <w:rsid w:val="19CA72DF"/>
    <w:rsid w:val="19D11434"/>
    <w:rsid w:val="19D7484B"/>
    <w:rsid w:val="19E044B8"/>
    <w:rsid w:val="1A081343"/>
    <w:rsid w:val="1A0B5B4A"/>
    <w:rsid w:val="1A1865A8"/>
    <w:rsid w:val="1A400DC5"/>
    <w:rsid w:val="1A406F1E"/>
    <w:rsid w:val="1A420699"/>
    <w:rsid w:val="1A4D0094"/>
    <w:rsid w:val="1A50308A"/>
    <w:rsid w:val="1A556618"/>
    <w:rsid w:val="1A5F2D7D"/>
    <w:rsid w:val="1A681E40"/>
    <w:rsid w:val="1A7265D3"/>
    <w:rsid w:val="1A765CC7"/>
    <w:rsid w:val="1A7D5B75"/>
    <w:rsid w:val="1A7E62DA"/>
    <w:rsid w:val="1A7F083F"/>
    <w:rsid w:val="1A86266A"/>
    <w:rsid w:val="1A880997"/>
    <w:rsid w:val="1A93570A"/>
    <w:rsid w:val="1A961EAB"/>
    <w:rsid w:val="1AA438C3"/>
    <w:rsid w:val="1AB62E35"/>
    <w:rsid w:val="1AB958E3"/>
    <w:rsid w:val="1AC2439C"/>
    <w:rsid w:val="1ACB68E1"/>
    <w:rsid w:val="1AD05732"/>
    <w:rsid w:val="1AD141C8"/>
    <w:rsid w:val="1AD75AC7"/>
    <w:rsid w:val="1AE74F30"/>
    <w:rsid w:val="1AEE6CA4"/>
    <w:rsid w:val="1AF112C0"/>
    <w:rsid w:val="1AF241FD"/>
    <w:rsid w:val="1AF95B35"/>
    <w:rsid w:val="1AFA79D1"/>
    <w:rsid w:val="1AFE47B7"/>
    <w:rsid w:val="1AFF6820"/>
    <w:rsid w:val="1B010554"/>
    <w:rsid w:val="1B0A2006"/>
    <w:rsid w:val="1B1068CC"/>
    <w:rsid w:val="1B1117F5"/>
    <w:rsid w:val="1B1C6F45"/>
    <w:rsid w:val="1B1D07A3"/>
    <w:rsid w:val="1B2B1202"/>
    <w:rsid w:val="1B344713"/>
    <w:rsid w:val="1B3B7456"/>
    <w:rsid w:val="1B3D7E07"/>
    <w:rsid w:val="1B3F6702"/>
    <w:rsid w:val="1B461891"/>
    <w:rsid w:val="1B48552F"/>
    <w:rsid w:val="1B4C29A5"/>
    <w:rsid w:val="1B530684"/>
    <w:rsid w:val="1B5A4718"/>
    <w:rsid w:val="1B5E3E72"/>
    <w:rsid w:val="1B61318B"/>
    <w:rsid w:val="1B777889"/>
    <w:rsid w:val="1B7C407F"/>
    <w:rsid w:val="1B7E5D06"/>
    <w:rsid w:val="1B8076CB"/>
    <w:rsid w:val="1B966DB4"/>
    <w:rsid w:val="1B994819"/>
    <w:rsid w:val="1B9E44CE"/>
    <w:rsid w:val="1B9F7CA6"/>
    <w:rsid w:val="1BA323E9"/>
    <w:rsid w:val="1BAD33E7"/>
    <w:rsid w:val="1BB46657"/>
    <w:rsid w:val="1BC33495"/>
    <w:rsid w:val="1BC81906"/>
    <w:rsid w:val="1BCB46BE"/>
    <w:rsid w:val="1BCD6688"/>
    <w:rsid w:val="1BDD1DDE"/>
    <w:rsid w:val="1BE3196F"/>
    <w:rsid w:val="1BEA3B45"/>
    <w:rsid w:val="1BF41E67"/>
    <w:rsid w:val="1C077205"/>
    <w:rsid w:val="1C0876C1"/>
    <w:rsid w:val="1C11163B"/>
    <w:rsid w:val="1C116575"/>
    <w:rsid w:val="1C163621"/>
    <w:rsid w:val="1C177904"/>
    <w:rsid w:val="1C1918CE"/>
    <w:rsid w:val="1C1B3898"/>
    <w:rsid w:val="1C212CA9"/>
    <w:rsid w:val="1C2344FA"/>
    <w:rsid w:val="1C26713F"/>
    <w:rsid w:val="1C3715D7"/>
    <w:rsid w:val="1C3B7A96"/>
    <w:rsid w:val="1C3D4A2E"/>
    <w:rsid w:val="1C3E4A09"/>
    <w:rsid w:val="1C4B0278"/>
    <w:rsid w:val="1C4B0F87"/>
    <w:rsid w:val="1C4D37C9"/>
    <w:rsid w:val="1C5A0A58"/>
    <w:rsid w:val="1C5D5C5E"/>
    <w:rsid w:val="1C666884"/>
    <w:rsid w:val="1C695629"/>
    <w:rsid w:val="1C716FA4"/>
    <w:rsid w:val="1C756EBE"/>
    <w:rsid w:val="1C7603E0"/>
    <w:rsid w:val="1C7D5B40"/>
    <w:rsid w:val="1C80524F"/>
    <w:rsid w:val="1C883072"/>
    <w:rsid w:val="1C884FC2"/>
    <w:rsid w:val="1CA03585"/>
    <w:rsid w:val="1CA7072B"/>
    <w:rsid w:val="1CB731AA"/>
    <w:rsid w:val="1CC7757C"/>
    <w:rsid w:val="1CCD21A9"/>
    <w:rsid w:val="1CD04682"/>
    <w:rsid w:val="1CDF206E"/>
    <w:rsid w:val="1CE11716"/>
    <w:rsid w:val="1CFE5B1D"/>
    <w:rsid w:val="1D03740A"/>
    <w:rsid w:val="1D075501"/>
    <w:rsid w:val="1D1744C9"/>
    <w:rsid w:val="1D26064A"/>
    <w:rsid w:val="1D2912B5"/>
    <w:rsid w:val="1D2A6D3C"/>
    <w:rsid w:val="1D2B3169"/>
    <w:rsid w:val="1D3058D7"/>
    <w:rsid w:val="1D357D36"/>
    <w:rsid w:val="1D3764AF"/>
    <w:rsid w:val="1D3F269C"/>
    <w:rsid w:val="1D404361"/>
    <w:rsid w:val="1D441B15"/>
    <w:rsid w:val="1D4576F2"/>
    <w:rsid w:val="1D4823EC"/>
    <w:rsid w:val="1D4F1A4B"/>
    <w:rsid w:val="1D4F4622"/>
    <w:rsid w:val="1D5133A9"/>
    <w:rsid w:val="1D525431"/>
    <w:rsid w:val="1D58430D"/>
    <w:rsid w:val="1D5C71BB"/>
    <w:rsid w:val="1D601FCC"/>
    <w:rsid w:val="1D650714"/>
    <w:rsid w:val="1D7025D9"/>
    <w:rsid w:val="1D70551D"/>
    <w:rsid w:val="1D7D3E6D"/>
    <w:rsid w:val="1D807B0D"/>
    <w:rsid w:val="1D8A0F84"/>
    <w:rsid w:val="1D94745E"/>
    <w:rsid w:val="1DAA4ED3"/>
    <w:rsid w:val="1DAE32E8"/>
    <w:rsid w:val="1DDA6E3B"/>
    <w:rsid w:val="1DE2466D"/>
    <w:rsid w:val="1DED79A4"/>
    <w:rsid w:val="1DF276AF"/>
    <w:rsid w:val="1DFF75E6"/>
    <w:rsid w:val="1E043561"/>
    <w:rsid w:val="1E0513AA"/>
    <w:rsid w:val="1E2533E9"/>
    <w:rsid w:val="1E29229C"/>
    <w:rsid w:val="1E297809"/>
    <w:rsid w:val="1E2C0FC6"/>
    <w:rsid w:val="1E2D1660"/>
    <w:rsid w:val="1E2D43B2"/>
    <w:rsid w:val="1E302F11"/>
    <w:rsid w:val="1E392382"/>
    <w:rsid w:val="1E487CA2"/>
    <w:rsid w:val="1E4C5F8A"/>
    <w:rsid w:val="1E4D16C6"/>
    <w:rsid w:val="1E5873CD"/>
    <w:rsid w:val="1E5A2FB0"/>
    <w:rsid w:val="1E61744B"/>
    <w:rsid w:val="1E624A87"/>
    <w:rsid w:val="1E673D11"/>
    <w:rsid w:val="1E676920"/>
    <w:rsid w:val="1E6A4663"/>
    <w:rsid w:val="1E716229"/>
    <w:rsid w:val="1E827BFE"/>
    <w:rsid w:val="1E922995"/>
    <w:rsid w:val="1E95493A"/>
    <w:rsid w:val="1E992ED1"/>
    <w:rsid w:val="1EA71413"/>
    <w:rsid w:val="1EAA1045"/>
    <w:rsid w:val="1EB563CE"/>
    <w:rsid w:val="1EB904D1"/>
    <w:rsid w:val="1ECC1B78"/>
    <w:rsid w:val="1ECD0FFF"/>
    <w:rsid w:val="1ECE2E43"/>
    <w:rsid w:val="1ECF2831"/>
    <w:rsid w:val="1ED23F48"/>
    <w:rsid w:val="1ED929D1"/>
    <w:rsid w:val="1EDB2E6A"/>
    <w:rsid w:val="1EDC68B5"/>
    <w:rsid w:val="1EE5468C"/>
    <w:rsid w:val="1EF143DF"/>
    <w:rsid w:val="1EF26B32"/>
    <w:rsid w:val="1EFB7B61"/>
    <w:rsid w:val="1F0D1100"/>
    <w:rsid w:val="1F16618C"/>
    <w:rsid w:val="1F1C3919"/>
    <w:rsid w:val="1F2669A0"/>
    <w:rsid w:val="1F2F00AB"/>
    <w:rsid w:val="1F356A41"/>
    <w:rsid w:val="1F366694"/>
    <w:rsid w:val="1F3C1C4F"/>
    <w:rsid w:val="1F427E7B"/>
    <w:rsid w:val="1F4437CF"/>
    <w:rsid w:val="1F4A0F65"/>
    <w:rsid w:val="1F513FC7"/>
    <w:rsid w:val="1F604DA3"/>
    <w:rsid w:val="1F764D61"/>
    <w:rsid w:val="1F7A2683"/>
    <w:rsid w:val="1F7D61BA"/>
    <w:rsid w:val="1F886296"/>
    <w:rsid w:val="1F8964CB"/>
    <w:rsid w:val="1F9F7E8A"/>
    <w:rsid w:val="1FA26921"/>
    <w:rsid w:val="1FA44319"/>
    <w:rsid w:val="1FAB177D"/>
    <w:rsid w:val="1FAB7D05"/>
    <w:rsid w:val="1FB35111"/>
    <w:rsid w:val="1FB62FB7"/>
    <w:rsid w:val="1FB97650"/>
    <w:rsid w:val="1FC13C36"/>
    <w:rsid w:val="1FC81833"/>
    <w:rsid w:val="1FC84D61"/>
    <w:rsid w:val="1FCF33BD"/>
    <w:rsid w:val="1FD52AA5"/>
    <w:rsid w:val="1FDD51F9"/>
    <w:rsid w:val="1FE16BA6"/>
    <w:rsid w:val="1FED72F9"/>
    <w:rsid w:val="1FFD5F54"/>
    <w:rsid w:val="2000254E"/>
    <w:rsid w:val="200F101E"/>
    <w:rsid w:val="20180F77"/>
    <w:rsid w:val="20233570"/>
    <w:rsid w:val="203C5F6F"/>
    <w:rsid w:val="20452AC6"/>
    <w:rsid w:val="20497803"/>
    <w:rsid w:val="20505F62"/>
    <w:rsid w:val="20577E1E"/>
    <w:rsid w:val="205F739C"/>
    <w:rsid w:val="206241B8"/>
    <w:rsid w:val="20670E5A"/>
    <w:rsid w:val="206A21AB"/>
    <w:rsid w:val="207221CF"/>
    <w:rsid w:val="207A7D16"/>
    <w:rsid w:val="207C6812"/>
    <w:rsid w:val="208C1FCB"/>
    <w:rsid w:val="20976FE5"/>
    <w:rsid w:val="209971E9"/>
    <w:rsid w:val="209D2B10"/>
    <w:rsid w:val="20A210C9"/>
    <w:rsid w:val="20AB4024"/>
    <w:rsid w:val="20AD0A3C"/>
    <w:rsid w:val="20AD23D3"/>
    <w:rsid w:val="20BB11A5"/>
    <w:rsid w:val="20BB73F7"/>
    <w:rsid w:val="20D451E9"/>
    <w:rsid w:val="20E406FC"/>
    <w:rsid w:val="20EE1616"/>
    <w:rsid w:val="20EE3814"/>
    <w:rsid w:val="20EE6304"/>
    <w:rsid w:val="20F213E7"/>
    <w:rsid w:val="20F34833"/>
    <w:rsid w:val="20FF64CA"/>
    <w:rsid w:val="211D4C6B"/>
    <w:rsid w:val="21263E0F"/>
    <w:rsid w:val="212F26E9"/>
    <w:rsid w:val="2130305C"/>
    <w:rsid w:val="213276BA"/>
    <w:rsid w:val="21352ABC"/>
    <w:rsid w:val="214271D1"/>
    <w:rsid w:val="21431F4D"/>
    <w:rsid w:val="21442F49"/>
    <w:rsid w:val="2146128B"/>
    <w:rsid w:val="21464F73"/>
    <w:rsid w:val="215653CF"/>
    <w:rsid w:val="215F0EF2"/>
    <w:rsid w:val="216A400B"/>
    <w:rsid w:val="217A2E0F"/>
    <w:rsid w:val="217B0E7A"/>
    <w:rsid w:val="217B34D9"/>
    <w:rsid w:val="218905AF"/>
    <w:rsid w:val="2197576F"/>
    <w:rsid w:val="219F1439"/>
    <w:rsid w:val="21A97250"/>
    <w:rsid w:val="21AA5E85"/>
    <w:rsid w:val="21BB1804"/>
    <w:rsid w:val="21CA447C"/>
    <w:rsid w:val="21CC0891"/>
    <w:rsid w:val="21CD095B"/>
    <w:rsid w:val="21CD3B10"/>
    <w:rsid w:val="21D11372"/>
    <w:rsid w:val="21EC462B"/>
    <w:rsid w:val="21FA56F9"/>
    <w:rsid w:val="21FB78FD"/>
    <w:rsid w:val="22077A14"/>
    <w:rsid w:val="220B1CB9"/>
    <w:rsid w:val="220E16ED"/>
    <w:rsid w:val="22156E7A"/>
    <w:rsid w:val="22190165"/>
    <w:rsid w:val="222059D5"/>
    <w:rsid w:val="222C0C9D"/>
    <w:rsid w:val="22316A02"/>
    <w:rsid w:val="22327245"/>
    <w:rsid w:val="22355531"/>
    <w:rsid w:val="22396826"/>
    <w:rsid w:val="223A4BE5"/>
    <w:rsid w:val="223B3EF0"/>
    <w:rsid w:val="22437E3E"/>
    <w:rsid w:val="225D41A5"/>
    <w:rsid w:val="22636AE2"/>
    <w:rsid w:val="22705A00"/>
    <w:rsid w:val="2278111D"/>
    <w:rsid w:val="22854BAF"/>
    <w:rsid w:val="229C7ED7"/>
    <w:rsid w:val="22AB75E9"/>
    <w:rsid w:val="22AD0EC5"/>
    <w:rsid w:val="22B12860"/>
    <w:rsid w:val="22BC2C2B"/>
    <w:rsid w:val="22CA4CF5"/>
    <w:rsid w:val="22DC1E91"/>
    <w:rsid w:val="22DD2EED"/>
    <w:rsid w:val="22DE1C31"/>
    <w:rsid w:val="22E272A0"/>
    <w:rsid w:val="22E91FFA"/>
    <w:rsid w:val="22EB7DD7"/>
    <w:rsid w:val="22EF47D8"/>
    <w:rsid w:val="22F0425E"/>
    <w:rsid w:val="22F15352"/>
    <w:rsid w:val="22F83EE6"/>
    <w:rsid w:val="22FE5B52"/>
    <w:rsid w:val="23042EFF"/>
    <w:rsid w:val="2305410A"/>
    <w:rsid w:val="232A616E"/>
    <w:rsid w:val="23360FB7"/>
    <w:rsid w:val="233E2BD7"/>
    <w:rsid w:val="23404BDF"/>
    <w:rsid w:val="23435D44"/>
    <w:rsid w:val="23563407"/>
    <w:rsid w:val="235A6A54"/>
    <w:rsid w:val="235E5C65"/>
    <w:rsid w:val="23766D83"/>
    <w:rsid w:val="23767783"/>
    <w:rsid w:val="237A41C3"/>
    <w:rsid w:val="237D11EE"/>
    <w:rsid w:val="238476EC"/>
    <w:rsid w:val="238C0BD7"/>
    <w:rsid w:val="238D058C"/>
    <w:rsid w:val="238D25B8"/>
    <w:rsid w:val="23912487"/>
    <w:rsid w:val="23A30EBB"/>
    <w:rsid w:val="23A97E99"/>
    <w:rsid w:val="23AF6015"/>
    <w:rsid w:val="23B26485"/>
    <w:rsid w:val="23BE0314"/>
    <w:rsid w:val="23CE5E4B"/>
    <w:rsid w:val="23F10D3D"/>
    <w:rsid w:val="23FA3853"/>
    <w:rsid w:val="23FE538C"/>
    <w:rsid w:val="240C39B1"/>
    <w:rsid w:val="240D7F6A"/>
    <w:rsid w:val="24102138"/>
    <w:rsid w:val="2413693F"/>
    <w:rsid w:val="241428A8"/>
    <w:rsid w:val="24171AC2"/>
    <w:rsid w:val="242258D5"/>
    <w:rsid w:val="24236BDA"/>
    <w:rsid w:val="24257655"/>
    <w:rsid w:val="242B4A09"/>
    <w:rsid w:val="24305B60"/>
    <w:rsid w:val="243674C1"/>
    <w:rsid w:val="24381196"/>
    <w:rsid w:val="243A0779"/>
    <w:rsid w:val="243F336E"/>
    <w:rsid w:val="244B0E6B"/>
    <w:rsid w:val="244D0366"/>
    <w:rsid w:val="24557D0B"/>
    <w:rsid w:val="245C67FB"/>
    <w:rsid w:val="246650C5"/>
    <w:rsid w:val="24743B5F"/>
    <w:rsid w:val="247614B8"/>
    <w:rsid w:val="248014F2"/>
    <w:rsid w:val="24857B00"/>
    <w:rsid w:val="248C728E"/>
    <w:rsid w:val="24924C8F"/>
    <w:rsid w:val="249617A8"/>
    <w:rsid w:val="249D3020"/>
    <w:rsid w:val="24B71279"/>
    <w:rsid w:val="24B777C4"/>
    <w:rsid w:val="24BD78F8"/>
    <w:rsid w:val="24C34ACD"/>
    <w:rsid w:val="24C6362D"/>
    <w:rsid w:val="24C73E65"/>
    <w:rsid w:val="24C862FD"/>
    <w:rsid w:val="24CD5D6E"/>
    <w:rsid w:val="24D33BBD"/>
    <w:rsid w:val="24E05421"/>
    <w:rsid w:val="24F05FA0"/>
    <w:rsid w:val="25007ACF"/>
    <w:rsid w:val="25016986"/>
    <w:rsid w:val="250A6257"/>
    <w:rsid w:val="25110FBE"/>
    <w:rsid w:val="251A70CA"/>
    <w:rsid w:val="251B5A92"/>
    <w:rsid w:val="251E582B"/>
    <w:rsid w:val="25201F1F"/>
    <w:rsid w:val="25206609"/>
    <w:rsid w:val="252A68FA"/>
    <w:rsid w:val="252F5CBE"/>
    <w:rsid w:val="25477C36"/>
    <w:rsid w:val="254E25E8"/>
    <w:rsid w:val="255549CD"/>
    <w:rsid w:val="25595E5A"/>
    <w:rsid w:val="25633CE3"/>
    <w:rsid w:val="25664C67"/>
    <w:rsid w:val="25724BEE"/>
    <w:rsid w:val="25741764"/>
    <w:rsid w:val="25776824"/>
    <w:rsid w:val="257C4719"/>
    <w:rsid w:val="25852B93"/>
    <w:rsid w:val="258B7398"/>
    <w:rsid w:val="25965D3D"/>
    <w:rsid w:val="259D531E"/>
    <w:rsid w:val="25A25407"/>
    <w:rsid w:val="25A53853"/>
    <w:rsid w:val="25A55F80"/>
    <w:rsid w:val="25A921AA"/>
    <w:rsid w:val="25AE2A87"/>
    <w:rsid w:val="25BD1BDD"/>
    <w:rsid w:val="25BF5294"/>
    <w:rsid w:val="25C25453"/>
    <w:rsid w:val="25D105C8"/>
    <w:rsid w:val="25DD43FE"/>
    <w:rsid w:val="25E60A39"/>
    <w:rsid w:val="25EE5DB4"/>
    <w:rsid w:val="25F27954"/>
    <w:rsid w:val="25FD5DBC"/>
    <w:rsid w:val="26025AEB"/>
    <w:rsid w:val="26192D78"/>
    <w:rsid w:val="261C26E6"/>
    <w:rsid w:val="26237CB0"/>
    <w:rsid w:val="262E235B"/>
    <w:rsid w:val="263377A7"/>
    <w:rsid w:val="26392A41"/>
    <w:rsid w:val="26476B54"/>
    <w:rsid w:val="265D5BF8"/>
    <w:rsid w:val="26614BD2"/>
    <w:rsid w:val="26647BE9"/>
    <w:rsid w:val="266A3452"/>
    <w:rsid w:val="267C14B4"/>
    <w:rsid w:val="26833001"/>
    <w:rsid w:val="268705C2"/>
    <w:rsid w:val="26A56238"/>
    <w:rsid w:val="26AB74FD"/>
    <w:rsid w:val="26B020F7"/>
    <w:rsid w:val="26B45C0E"/>
    <w:rsid w:val="26BE31A3"/>
    <w:rsid w:val="26C94E3C"/>
    <w:rsid w:val="26D86D2D"/>
    <w:rsid w:val="26DD6DD3"/>
    <w:rsid w:val="26EC0876"/>
    <w:rsid w:val="26ED7791"/>
    <w:rsid w:val="26EF378B"/>
    <w:rsid w:val="26FD1886"/>
    <w:rsid w:val="27065257"/>
    <w:rsid w:val="2709311A"/>
    <w:rsid w:val="270A253F"/>
    <w:rsid w:val="270E3D1E"/>
    <w:rsid w:val="2712017D"/>
    <w:rsid w:val="27200F48"/>
    <w:rsid w:val="27217E53"/>
    <w:rsid w:val="2723736A"/>
    <w:rsid w:val="27272739"/>
    <w:rsid w:val="272A42CB"/>
    <w:rsid w:val="272C2223"/>
    <w:rsid w:val="27335F39"/>
    <w:rsid w:val="273F7D71"/>
    <w:rsid w:val="2742617D"/>
    <w:rsid w:val="27490680"/>
    <w:rsid w:val="274968EC"/>
    <w:rsid w:val="275A1718"/>
    <w:rsid w:val="27602C90"/>
    <w:rsid w:val="277125BE"/>
    <w:rsid w:val="27737BD1"/>
    <w:rsid w:val="27784A86"/>
    <w:rsid w:val="27820787"/>
    <w:rsid w:val="27837101"/>
    <w:rsid w:val="27851EF2"/>
    <w:rsid w:val="27853A48"/>
    <w:rsid w:val="27854A50"/>
    <w:rsid w:val="27945391"/>
    <w:rsid w:val="279544FE"/>
    <w:rsid w:val="279660CA"/>
    <w:rsid w:val="279A5643"/>
    <w:rsid w:val="279B3ADF"/>
    <w:rsid w:val="27A878B1"/>
    <w:rsid w:val="27AA33F7"/>
    <w:rsid w:val="27B723EE"/>
    <w:rsid w:val="27C11148"/>
    <w:rsid w:val="27C748D4"/>
    <w:rsid w:val="27CD257E"/>
    <w:rsid w:val="27CE415D"/>
    <w:rsid w:val="27E77285"/>
    <w:rsid w:val="27F526CE"/>
    <w:rsid w:val="280D7987"/>
    <w:rsid w:val="28163D05"/>
    <w:rsid w:val="28164551"/>
    <w:rsid w:val="281C077C"/>
    <w:rsid w:val="281C1CDD"/>
    <w:rsid w:val="281E729C"/>
    <w:rsid w:val="28316D0D"/>
    <w:rsid w:val="28362887"/>
    <w:rsid w:val="284877C3"/>
    <w:rsid w:val="284B3726"/>
    <w:rsid w:val="285301A3"/>
    <w:rsid w:val="28553C8E"/>
    <w:rsid w:val="28567521"/>
    <w:rsid w:val="285B7244"/>
    <w:rsid w:val="28665E9B"/>
    <w:rsid w:val="286B1DEC"/>
    <w:rsid w:val="287C444F"/>
    <w:rsid w:val="2881465B"/>
    <w:rsid w:val="28982C84"/>
    <w:rsid w:val="289B1FE8"/>
    <w:rsid w:val="289C222B"/>
    <w:rsid w:val="28A013AD"/>
    <w:rsid w:val="28A615AA"/>
    <w:rsid w:val="28B14C22"/>
    <w:rsid w:val="28B2052F"/>
    <w:rsid w:val="28C36649"/>
    <w:rsid w:val="28CD2D8F"/>
    <w:rsid w:val="28D64DCE"/>
    <w:rsid w:val="28D65C3B"/>
    <w:rsid w:val="28DC6898"/>
    <w:rsid w:val="28DF17A9"/>
    <w:rsid w:val="28F96D0F"/>
    <w:rsid w:val="29004B53"/>
    <w:rsid w:val="291021EA"/>
    <w:rsid w:val="291D2345"/>
    <w:rsid w:val="292A7C00"/>
    <w:rsid w:val="293215BB"/>
    <w:rsid w:val="2932352C"/>
    <w:rsid w:val="293905BA"/>
    <w:rsid w:val="293E7C15"/>
    <w:rsid w:val="29452A44"/>
    <w:rsid w:val="295761E2"/>
    <w:rsid w:val="295B01BA"/>
    <w:rsid w:val="295D49CD"/>
    <w:rsid w:val="295F5795"/>
    <w:rsid w:val="296609FB"/>
    <w:rsid w:val="297C0335"/>
    <w:rsid w:val="297E0959"/>
    <w:rsid w:val="29801F7E"/>
    <w:rsid w:val="29A462E1"/>
    <w:rsid w:val="29AA6921"/>
    <w:rsid w:val="29B52641"/>
    <w:rsid w:val="29C342B8"/>
    <w:rsid w:val="29CA08BF"/>
    <w:rsid w:val="29D357B2"/>
    <w:rsid w:val="29D56336"/>
    <w:rsid w:val="29E4351B"/>
    <w:rsid w:val="29F115CD"/>
    <w:rsid w:val="29FD22B4"/>
    <w:rsid w:val="2A0F210D"/>
    <w:rsid w:val="2A120B13"/>
    <w:rsid w:val="2A15789A"/>
    <w:rsid w:val="2A182A1D"/>
    <w:rsid w:val="2A1A17A3"/>
    <w:rsid w:val="2A1B0F3E"/>
    <w:rsid w:val="2A24157B"/>
    <w:rsid w:val="2A24680D"/>
    <w:rsid w:val="2A2A61BA"/>
    <w:rsid w:val="2A2E79BA"/>
    <w:rsid w:val="2A35268B"/>
    <w:rsid w:val="2A35590C"/>
    <w:rsid w:val="2A3A09D3"/>
    <w:rsid w:val="2A4E6BE6"/>
    <w:rsid w:val="2A53244F"/>
    <w:rsid w:val="2A571E58"/>
    <w:rsid w:val="2A581813"/>
    <w:rsid w:val="2A727C33"/>
    <w:rsid w:val="2A764D30"/>
    <w:rsid w:val="2A7E571E"/>
    <w:rsid w:val="2A8D1B1F"/>
    <w:rsid w:val="2A906605"/>
    <w:rsid w:val="2A944F41"/>
    <w:rsid w:val="2A9D413D"/>
    <w:rsid w:val="2AAA39A9"/>
    <w:rsid w:val="2AAC6F46"/>
    <w:rsid w:val="2AAE213C"/>
    <w:rsid w:val="2AD01CF1"/>
    <w:rsid w:val="2AD22CF3"/>
    <w:rsid w:val="2AD435FD"/>
    <w:rsid w:val="2AD6555A"/>
    <w:rsid w:val="2ADE7F6A"/>
    <w:rsid w:val="2AE01F34"/>
    <w:rsid w:val="2AE142A2"/>
    <w:rsid w:val="2AEC6B2B"/>
    <w:rsid w:val="2B0E7AB2"/>
    <w:rsid w:val="2B1610F7"/>
    <w:rsid w:val="2B1F57CD"/>
    <w:rsid w:val="2B232A0B"/>
    <w:rsid w:val="2B245BA8"/>
    <w:rsid w:val="2B2473DC"/>
    <w:rsid w:val="2B2B6DA0"/>
    <w:rsid w:val="2B2F07C6"/>
    <w:rsid w:val="2B3631F4"/>
    <w:rsid w:val="2B37157F"/>
    <w:rsid w:val="2B3B66E0"/>
    <w:rsid w:val="2B503D9E"/>
    <w:rsid w:val="2B5A0E06"/>
    <w:rsid w:val="2B6371BC"/>
    <w:rsid w:val="2B852ADC"/>
    <w:rsid w:val="2B984085"/>
    <w:rsid w:val="2BA07294"/>
    <w:rsid w:val="2BA524BA"/>
    <w:rsid w:val="2BA557CB"/>
    <w:rsid w:val="2BAB58C0"/>
    <w:rsid w:val="2BBC30CD"/>
    <w:rsid w:val="2BBD0B4F"/>
    <w:rsid w:val="2BBE1B4A"/>
    <w:rsid w:val="2BCC766D"/>
    <w:rsid w:val="2BD13FEC"/>
    <w:rsid w:val="2BD17ACF"/>
    <w:rsid w:val="2BD27F42"/>
    <w:rsid w:val="2BD55811"/>
    <w:rsid w:val="2BD9042B"/>
    <w:rsid w:val="2BDD744C"/>
    <w:rsid w:val="2BEC6C07"/>
    <w:rsid w:val="2BF21662"/>
    <w:rsid w:val="2BFD7A45"/>
    <w:rsid w:val="2BFE7BC6"/>
    <w:rsid w:val="2BFF4499"/>
    <w:rsid w:val="2C02219A"/>
    <w:rsid w:val="2C2A7A9E"/>
    <w:rsid w:val="2C2E4F21"/>
    <w:rsid w:val="2C327295"/>
    <w:rsid w:val="2C3906DA"/>
    <w:rsid w:val="2C466F57"/>
    <w:rsid w:val="2C475230"/>
    <w:rsid w:val="2C490FEF"/>
    <w:rsid w:val="2C4E42D3"/>
    <w:rsid w:val="2C5205B5"/>
    <w:rsid w:val="2C55425C"/>
    <w:rsid w:val="2C554743"/>
    <w:rsid w:val="2C555457"/>
    <w:rsid w:val="2C593155"/>
    <w:rsid w:val="2C6F63F4"/>
    <w:rsid w:val="2C764DFA"/>
    <w:rsid w:val="2C784B05"/>
    <w:rsid w:val="2C825415"/>
    <w:rsid w:val="2C835E6C"/>
    <w:rsid w:val="2C8763E0"/>
    <w:rsid w:val="2C8C190C"/>
    <w:rsid w:val="2C940BB2"/>
    <w:rsid w:val="2C9805ED"/>
    <w:rsid w:val="2C9D241C"/>
    <w:rsid w:val="2CA46F92"/>
    <w:rsid w:val="2CB25B52"/>
    <w:rsid w:val="2CB526FB"/>
    <w:rsid w:val="2CC77CA3"/>
    <w:rsid w:val="2CD7605E"/>
    <w:rsid w:val="2CD77AF7"/>
    <w:rsid w:val="2CD90022"/>
    <w:rsid w:val="2CDE7D2D"/>
    <w:rsid w:val="2CE576B8"/>
    <w:rsid w:val="2CFF066C"/>
    <w:rsid w:val="2D0E7225"/>
    <w:rsid w:val="2D1B4474"/>
    <w:rsid w:val="2D39401C"/>
    <w:rsid w:val="2D4D7629"/>
    <w:rsid w:val="2D52226A"/>
    <w:rsid w:val="2D522C15"/>
    <w:rsid w:val="2D550BB0"/>
    <w:rsid w:val="2D593DF3"/>
    <w:rsid w:val="2D610A5B"/>
    <w:rsid w:val="2D627A2F"/>
    <w:rsid w:val="2D680B8A"/>
    <w:rsid w:val="2D894942"/>
    <w:rsid w:val="2D8C591B"/>
    <w:rsid w:val="2DB8784F"/>
    <w:rsid w:val="2DB96A54"/>
    <w:rsid w:val="2DCF4051"/>
    <w:rsid w:val="2DD12008"/>
    <w:rsid w:val="2DD35D80"/>
    <w:rsid w:val="2DDC4904"/>
    <w:rsid w:val="2DDD60A8"/>
    <w:rsid w:val="2DE12513"/>
    <w:rsid w:val="2DFA177E"/>
    <w:rsid w:val="2E11657A"/>
    <w:rsid w:val="2E2634D8"/>
    <w:rsid w:val="2E293BF2"/>
    <w:rsid w:val="2E560813"/>
    <w:rsid w:val="2E613A80"/>
    <w:rsid w:val="2E7C28D5"/>
    <w:rsid w:val="2E7D7A9A"/>
    <w:rsid w:val="2E8956B3"/>
    <w:rsid w:val="2E923C5F"/>
    <w:rsid w:val="2E936607"/>
    <w:rsid w:val="2E9F6689"/>
    <w:rsid w:val="2EA50EA1"/>
    <w:rsid w:val="2EA65704"/>
    <w:rsid w:val="2EBA361B"/>
    <w:rsid w:val="2EC75444"/>
    <w:rsid w:val="2EDB14C6"/>
    <w:rsid w:val="2EDD678B"/>
    <w:rsid w:val="2EE97933"/>
    <w:rsid w:val="2EEE38E7"/>
    <w:rsid w:val="2EF534D9"/>
    <w:rsid w:val="2EFF3B7B"/>
    <w:rsid w:val="2F130EE9"/>
    <w:rsid w:val="2F202595"/>
    <w:rsid w:val="2F46399F"/>
    <w:rsid w:val="2F48106C"/>
    <w:rsid w:val="2F4B5198"/>
    <w:rsid w:val="2F4B6E71"/>
    <w:rsid w:val="2F4D1ED1"/>
    <w:rsid w:val="2F4D3910"/>
    <w:rsid w:val="2F663C08"/>
    <w:rsid w:val="2F6D7FDB"/>
    <w:rsid w:val="2F740E9D"/>
    <w:rsid w:val="2F776B5E"/>
    <w:rsid w:val="2F7964B4"/>
    <w:rsid w:val="2F7C41F6"/>
    <w:rsid w:val="2F89665E"/>
    <w:rsid w:val="2F8C54E6"/>
    <w:rsid w:val="2F9358EA"/>
    <w:rsid w:val="2F956542"/>
    <w:rsid w:val="2F9F2CDF"/>
    <w:rsid w:val="2FAE4480"/>
    <w:rsid w:val="2FB92D54"/>
    <w:rsid w:val="2FCD5708"/>
    <w:rsid w:val="2FD23E6C"/>
    <w:rsid w:val="2FD31004"/>
    <w:rsid w:val="2FDD2E6F"/>
    <w:rsid w:val="2FE30B18"/>
    <w:rsid w:val="2FE4776C"/>
    <w:rsid w:val="2FE813FF"/>
    <w:rsid w:val="2FE902F2"/>
    <w:rsid w:val="2FF13E66"/>
    <w:rsid w:val="2FF81244"/>
    <w:rsid w:val="2FFA3500"/>
    <w:rsid w:val="30007685"/>
    <w:rsid w:val="30032221"/>
    <w:rsid w:val="300631C6"/>
    <w:rsid w:val="30103B57"/>
    <w:rsid w:val="301545BA"/>
    <w:rsid w:val="301D22B7"/>
    <w:rsid w:val="30201103"/>
    <w:rsid w:val="302867DE"/>
    <w:rsid w:val="30291A13"/>
    <w:rsid w:val="30671293"/>
    <w:rsid w:val="30740B8E"/>
    <w:rsid w:val="3074574B"/>
    <w:rsid w:val="3075080D"/>
    <w:rsid w:val="307F5D4C"/>
    <w:rsid w:val="30872E52"/>
    <w:rsid w:val="308E42BC"/>
    <w:rsid w:val="309148BA"/>
    <w:rsid w:val="30991CC7"/>
    <w:rsid w:val="30AA21A4"/>
    <w:rsid w:val="30B31E99"/>
    <w:rsid w:val="30BA4D03"/>
    <w:rsid w:val="30BD2991"/>
    <w:rsid w:val="30BF439A"/>
    <w:rsid w:val="30C23924"/>
    <w:rsid w:val="30C3138C"/>
    <w:rsid w:val="30D6434A"/>
    <w:rsid w:val="30E459D5"/>
    <w:rsid w:val="30E85977"/>
    <w:rsid w:val="30F32296"/>
    <w:rsid w:val="30F41A67"/>
    <w:rsid w:val="30FC500D"/>
    <w:rsid w:val="31021D86"/>
    <w:rsid w:val="310857FE"/>
    <w:rsid w:val="312C4917"/>
    <w:rsid w:val="31305298"/>
    <w:rsid w:val="314D233F"/>
    <w:rsid w:val="314E49B7"/>
    <w:rsid w:val="315D170E"/>
    <w:rsid w:val="316164CC"/>
    <w:rsid w:val="31677002"/>
    <w:rsid w:val="317119AA"/>
    <w:rsid w:val="3176145F"/>
    <w:rsid w:val="317751AA"/>
    <w:rsid w:val="31796EC9"/>
    <w:rsid w:val="318254C8"/>
    <w:rsid w:val="3184468C"/>
    <w:rsid w:val="31914FA8"/>
    <w:rsid w:val="31947FB6"/>
    <w:rsid w:val="319E400E"/>
    <w:rsid w:val="319F4868"/>
    <w:rsid w:val="31A54783"/>
    <w:rsid w:val="31B935FE"/>
    <w:rsid w:val="31BE403B"/>
    <w:rsid w:val="31D200FD"/>
    <w:rsid w:val="31D43E75"/>
    <w:rsid w:val="31E16795"/>
    <w:rsid w:val="31E52A0A"/>
    <w:rsid w:val="31E82A28"/>
    <w:rsid w:val="31EF4A25"/>
    <w:rsid w:val="31F80989"/>
    <w:rsid w:val="32075721"/>
    <w:rsid w:val="320A5DA8"/>
    <w:rsid w:val="320C0650"/>
    <w:rsid w:val="32121533"/>
    <w:rsid w:val="322512EF"/>
    <w:rsid w:val="3226688B"/>
    <w:rsid w:val="32296F5A"/>
    <w:rsid w:val="32323FE6"/>
    <w:rsid w:val="323D63E4"/>
    <w:rsid w:val="32473F7A"/>
    <w:rsid w:val="32483335"/>
    <w:rsid w:val="325250B2"/>
    <w:rsid w:val="32564176"/>
    <w:rsid w:val="32591785"/>
    <w:rsid w:val="327158CB"/>
    <w:rsid w:val="327909B1"/>
    <w:rsid w:val="329D61C5"/>
    <w:rsid w:val="32A037F2"/>
    <w:rsid w:val="32A92119"/>
    <w:rsid w:val="32AF6BD3"/>
    <w:rsid w:val="32C055F3"/>
    <w:rsid w:val="32C44BD2"/>
    <w:rsid w:val="32C75B5F"/>
    <w:rsid w:val="32C91500"/>
    <w:rsid w:val="32CE54EA"/>
    <w:rsid w:val="32D216CC"/>
    <w:rsid w:val="32DD144F"/>
    <w:rsid w:val="32EE71E8"/>
    <w:rsid w:val="32F82AAB"/>
    <w:rsid w:val="3301513E"/>
    <w:rsid w:val="330410FD"/>
    <w:rsid w:val="330A175A"/>
    <w:rsid w:val="330E67C6"/>
    <w:rsid w:val="331A05EC"/>
    <w:rsid w:val="33287766"/>
    <w:rsid w:val="332B4269"/>
    <w:rsid w:val="3336416A"/>
    <w:rsid w:val="33401494"/>
    <w:rsid w:val="33450928"/>
    <w:rsid w:val="33472563"/>
    <w:rsid w:val="33522B6B"/>
    <w:rsid w:val="335A65FC"/>
    <w:rsid w:val="33603301"/>
    <w:rsid w:val="33705C39"/>
    <w:rsid w:val="33716EF1"/>
    <w:rsid w:val="337525CB"/>
    <w:rsid w:val="337A5602"/>
    <w:rsid w:val="337B5316"/>
    <w:rsid w:val="33855315"/>
    <w:rsid w:val="33874918"/>
    <w:rsid w:val="338C31D7"/>
    <w:rsid w:val="3392223A"/>
    <w:rsid w:val="339461AC"/>
    <w:rsid w:val="33992789"/>
    <w:rsid w:val="339B0B0D"/>
    <w:rsid w:val="339C103A"/>
    <w:rsid w:val="33A03224"/>
    <w:rsid w:val="33BC7371"/>
    <w:rsid w:val="33C75702"/>
    <w:rsid w:val="33CA09CB"/>
    <w:rsid w:val="33CB483C"/>
    <w:rsid w:val="33CD3EE8"/>
    <w:rsid w:val="33D20872"/>
    <w:rsid w:val="33D46F96"/>
    <w:rsid w:val="33DE5327"/>
    <w:rsid w:val="33E162AB"/>
    <w:rsid w:val="33EA5BD2"/>
    <w:rsid w:val="33F23FC7"/>
    <w:rsid w:val="33F629CD"/>
    <w:rsid w:val="33FF585B"/>
    <w:rsid w:val="34001470"/>
    <w:rsid w:val="34085823"/>
    <w:rsid w:val="340E2E3E"/>
    <w:rsid w:val="34126A7A"/>
    <w:rsid w:val="34181EC4"/>
    <w:rsid w:val="341B4186"/>
    <w:rsid w:val="34224418"/>
    <w:rsid w:val="342350D2"/>
    <w:rsid w:val="342F7AA3"/>
    <w:rsid w:val="34311634"/>
    <w:rsid w:val="343D4DD9"/>
    <w:rsid w:val="34427ED3"/>
    <w:rsid w:val="3445105A"/>
    <w:rsid w:val="34544100"/>
    <w:rsid w:val="345735B0"/>
    <w:rsid w:val="345920CE"/>
    <w:rsid w:val="345F6432"/>
    <w:rsid w:val="345F6CD7"/>
    <w:rsid w:val="346C7733"/>
    <w:rsid w:val="346F60D7"/>
    <w:rsid w:val="34732D57"/>
    <w:rsid w:val="3473361C"/>
    <w:rsid w:val="347A6B1E"/>
    <w:rsid w:val="34887D3E"/>
    <w:rsid w:val="348F4889"/>
    <w:rsid w:val="34A36369"/>
    <w:rsid w:val="34A95BA8"/>
    <w:rsid w:val="34B0194F"/>
    <w:rsid w:val="34B8182C"/>
    <w:rsid w:val="34BB4F72"/>
    <w:rsid w:val="34BE2B18"/>
    <w:rsid w:val="34C04B85"/>
    <w:rsid w:val="34CA4252"/>
    <w:rsid w:val="34CC2AB5"/>
    <w:rsid w:val="34D545CF"/>
    <w:rsid w:val="34D96D32"/>
    <w:rsid w:val="34DA64C3"/>
    <w:rsid w:val="34DB1D47"/>
    <w:rsid w:val="34E622D6"/>
    <w:rsid w:val="34F373ED"/>
    <w:rsid w:val="34F45C71"/>
    <w:rsid w:val="34FD2B33"/>
    <w:rsid w:val="34FF56AD"/>
    <w:rsid w:val="35027E93"/>
    <w:rsid w:val="35034475"/>
    <w:rsid w:val="350C4714"/>
    <w:rsid w:val="3523213B"/>
    <w:rsid w:val="352D7F4C"/>
    <w:rsid w:val="353D300A"/>
    <w:rsid w:val="353E0766"/>
    <w:rsid w:val="3541482A"/>
    <w:rsid w:val="35466DBB"/>
    <w:rsid w:val="355359F9"/>
    <w:rsid w:val="3555351F"/>
    <w:rsid w:val="355C6F55"/>
    <w:rsid w:val="356A4AAD"/>
    <w:rsid w:val="3589141A"/>
    <w:rsid w:val="358A766C"/>
    <w:rsid w:val="359C2EFC"/>
    <w:rsid w:val="359C6581"/>
    <w:rsid w:val="35AF000C"/>
    <w:rsid w:val="35B70430"/>
    <w:rsid w:val="35BE4538"/>
    <w:rsid w:val="35C0308E"/>
    <w:rsid w:val="35CF5AD7"/>
    <w:rsid w:val="35D06417"/>
    <w:rsid w:val="35D5640E"/>
    <w:rsid w:val="35D77660"/>
    <w:rsid w:val="35DF14FE"/>
    <w:rsid w:val="35DF46B8"/>
    <w:rsid w:val="35E461A2"/>
    <w:rsid w:val="35F010D5"/>
    <w:rsid w:val="35F91BFE"/>
    <w:rsid w:val="35FC62B1"/>
    <w:rsid w:val="35FD5321"/>
    <w:rsid w:val="35FF2902"/>
    <w:rsid w:val="360C1F8B"/>
    <w:rsid w:val="360D204B"/>
    <w:rsid w:val="361913CE"/>
    <w:rsid w:val="361B6516"/>
    <w:rsid w:val="362058DB"/>
    <w:rsid w:val="36374201"/>
    <w:rsid w:val="363F160E"/>
    <w:rsid w:val="364835DC"/>
    <w:rsid w:val="36491F1D"/>
    <w:rsid w:val="36576300"/>
    <w:rsid w:val="366A4151"/>
    <w:rsid w:val="366B2458"/>
    <w:rsid w:val="366C59F2"/>
    <w:rsid w:val="36785889"/>
    <w:rsid w:val="367E4976"/>
    <w:rsid w:val="36813FAE"/>
    <w:rsid w:val="3696421B"/>
    <w:rsid w:val="369B3C67"/>
    <w:rsid w:val="36AA5455"/>
    <w:rsid w:val="36AC41C0"/>
    <w:rsid w:val="36AE6E7F"/>
    <w:rsid w:val="36B14685"/>
    <w:rsid w:val="36CC6606"/>
    <w:rsid w:val="36D24400"/>
    <w:rsid w:val="36D44917"/>
    <w:rsid w:val="36E0150E"/>
    <w:rsid w:val="36EB6B2E"/>
    <w:rsid w:val="36EE5F2E"/>
    <w:rsid w:val="36F23901"/>
    <w:rsid w:val="36F36B33"/>
    <w:rsid w:val="36F77A9E"/>
    <w:rsid w:val="3702210D"/>
    <w:rsid w:val="370276D6"/>
    <w:rsid w:val="37041678"/>
    <w:rsid w:val="3704484F"/>
    <w:rsid w:val="37070849"/>
    <w:rsid w:val="37152F66"/>
    <w:rsid w:val="371812F1"/>
    <w:rsid w:val="371D31FA"/>
    <w:rsid w:val="372B21B9"/>
    <w:rsid w:val="37350624"/>
    <w:rsid w:val="37363961"/>
    <w:rsid w:val="373667D4"/>
    <w:rsid w:val="373759C7"/>
    <w:rsid w:val="373A29CC"/>
    <w:rsid w:val="373D2422"/>
    <w:rsid w:val="37406C32"/>
    <w:rsid w:val="3747215A"/>
    <w:rsid w:val="3747231F"/>
    <w:rsid w:val="374F724D"/>
    <w:rsid w:val="375021F0"/>
    <w:rsid w:val="375872F6"/>
    <w:rsid w:val="375B0AC3"/>
    <w:rsid w:val="375B253A"/>
    <w:rsid w:val="376318F3"/>
    <w:rsid w:val="376F6EDF"/>
    <w:rsid w:val="37704640"/>
    <w:rsid w:val="377D260F"/>
    <w:rsid w:val="3786163D"/>
    <w:rsid w:val="378F7F72"/>
    <w:rsid w:val="379A7E45"/>
    <w:rsid w:val="379C0FAF"/>
    <w:rsid w:val="379D6FCC"/>
    <w:rsid w:val="37A266EF"/>
    <w:rsid w:val="37AC319E"/>
    <w:rsid w:val="37AC3842"/>
    <w:rsid w:val="37C60704"/>
    <w:rsid w:val="37CA36FF"/>
    <w:rsid w:val="37D72629"/>
    <w:rsid w:val="37D75CA1"/>
    <w:rsid w:val="37DB05D7"/>
    <w:rsid w:val="37DC3A83"/>
    <w:rsid w:val="37EA1649"/>
    <w:rsid w:val="37F81C64"/>
    <w:rsid w:val="37F963E3"/>
    <w:rsid w:val="380A6E07"/>
    <w:rsid w:val="380F4E21"/>
    <w:rsid w:val="38166C00"/>
    <w:rsid w:val="381745D0"/>
    <w:rsid w:val="38231C7C"/>
    <w:rsid w:val="382464AA"/>
    <w:rsid w:val="38262F51"/>
    <w:rsid w:val="3826386B"/>
    <w:rsid w:val="38277224"/>
    <w:rsid w:val="38292433"/>
    <w:rsid w:val="383218F5"/>
    <w:rsid w:val="38494E73"/>
    <w:rsid w:val="38606463"/>
    <w:rsid w:val="38615E10"/>
    <w:rsid w:val="38623892"/>
    <w:rsid w:val="38644565"/>
    <w:rsid w:val="38697616"/>
    <w:rsid w:val="38717930"/>
    <w:rsid w:val="38787C50"/>
    <w:rsid w:val="387A611D"/>
    <w:rsid w:val="387F7C4B"/>
    <w:rsid w:val="38886865"/>
    <w:rsid w:val="388A26D2"/>
    <w:rsid w:val="388C0703"/>
    <w:rsid w:val="389E7473"/>
    <w:rsid w:val="389F4A2A"/>
    <w:rsid w:val="38A041DC"/>
    <w:rsid w:val="38A6160E"/>
    <w:rsid w:val="38A94B7B"/>
    <w:rsid w:val="38AA7772"/>
    <w:rsid w:val="38AF1946"/>
    <w:rsid w:val="38B85B09"/>
    <w:rsid w:val="38C01839"/>
    <w:rsid w:val="38CA7D80"/>
    <w:rsid w:val="38CB22D7"/>
    <w:rsid w:val="38DC7CD8"/>
    <w:rsid w:val="38E5044C"/>
    <w:rsid w:val="38EC0F67"/>
    <w:rsid w:val="38EE7BF2"/>
    <w:rsid w:val="38F42DE1"/>
    <w:rsid w:val="38F84824"/>
    <w:rsid w:val="39091AA1"/>
    <w:rsid w:val="39162FC5"/>
    <w:rsid w:val="391E2591"/>
    <w:rsid w:val="392A2847"/>
    <w:rsid w:val="393F1F7B"/>
    <w:rsid w:val="393F45CC"/>
    <w:rsid w:val="394A3CE5"/>
    <w:rsid w:val="39621A02"/>
    <w:rsid w:val="39651F02"/>
    <w:rsid w:val="39673821"/>
    <w:rsid w:val="39691347"/>
    <w:rsid w:val="396E1053"/>
    <w:rsid w:val="396F52AC"/>
    <w:rsid w:val="3972314B"/>
    <w:rsid w:val="39761451"/>
    <w:rsid w:val="39914201"/>
    <w:rsid w:val="3995059C"/>
    <w:rsid w:val="39982FC9"/>
    <w:rsid w:val="399F745E"/>
    <w:rsid w:val="39AD25AF"/>
    <w:rsid w:val="39AF5AB2"/>
    <w:rsid w:val="39B56B07"/>
    <w:rsid w:val="39BA1E92"/>
    <w:rsid w:val="39C42A21"/>
    <w:rsid w:val="39E13D03"/>
    <w:rsid w:val="39F374A0"/>
    <w:rsid w:val="39F83C57"/>
    <w:rsid w:val="39FF0D34"/>
    <w:rsid w:val="3A026202"/>
    <w:rsid w:val="3A127C30"/>
    <w:rsid w:val="3A1763DB"/>
    <w:rsid w:val="3A231B61"/>
    <w:rsid w:val="3A296D28"/>
    <w:rsid w:val="3A301FB3"/>
    <w:rsid w:val="3A307305"/>
    <w:rsid w:val="3A324913"/>
    <w:rsid w:val="3A4D1B8A"/>
    <w:rsid w:val="3A512D5B"/>
    <w:rsid w:val="3A560363"/>
    <w:rsid w:val="3A5C6ECF"/>
    <w:rsid w:val="3A6457AA"/>
    <w:rsid w:val="3A653F5C"/>
    <w:rsid w:val="3A691377"/>
    <w:rsid w:val="3A6B582A"/>
    <w:rsid w:val="3A744576"/>
    <w:rsid w:val="3A7829E1"/>
    <w:rsid w:val="3A7A067E"/>
    <w:rsid w:val="3A7E4E86"/>
    <w:rsid w:val="3A813937"/>
    <w:rsid w:val="3A847105"/>
    <w:rsid w:val="3A982E4E"/>
    <w:rsid w:val="3A9E7716"/>
    <w:rsid w:val="3AA0348E"/>
    <w:rsid w:val="3AA666F2"/>
    <w:rsid w:val="3AAA7E69"/>
    <w:rsid w:val="3AAC5FCE"/>
    <w:rsid w:val="3AB4755E"/>
    <w:rsid w:val="3ABB0FB6"/>
    <w:rsid w:val="3AC054DD"/>
    <w:rsid w:val="3AD53316"/>
    <w:rsid w:val="3ADC3ADB"/>
    <w:rsid w:val="3ADE1E32"/>
    <w:rsid w:val="3AE16F6F"/>
    <w:rsid w:val="3AE71EB9"/>
    <w:rsid w:val="3AEF2E86"/>
    <w:rsid w:val="3AF13613"/>
    <w:rsid w:val="3B042005"/>
    <w:rsid w:val="3B07350D"/>
    <w:rsid w:val="3B0911E6"/>
    <w:rsid w:val="3B0D1B9B"/>
    <w:rsid w:val="3B135118"/>
    <w:rsid w:val="3B194449"/>
    <w:rsid w:val="3B1B0D67"/>
    <w:rsid w:val="3B306EA8"/>
    <w:rsid w:val="3B425EC8"/>
    <w:rsid w:val="3B4400CC"/>
    <w:rsid w:val="3B47572F"/>
    <w:rsid w:val="3B4B1314"/>
    <w:rsid w:val="3B6D0F0B"/>
    <w:rsid w:val="3B7129DF"/>
    <w:rsid w:val="3B7164C1"/>
    <w:rsid w:val="3B786B02"/>
    <w:rsid w:val="3B7A4A8C"/>
    <w:rsid w:val="3B7D0E45"/>
    <w:rsid w:val="3B822B94"/>
    <w:rsid w:val="3B827442"/>
    <w:rsid w:val="3B8830C4"/>
    <w:rsid w:val="3B8C17C0"/>
    <w:rsid w:val="3B976591"/>
    <w:rsid w:val="3BB149FB"/>
    <w:rsid w:val="3BB62604"/>
    <w:rsid w:val="3BBC4A80"/>
    <w:rsid w:val="3BD242BB"/>
    <w:rsid w:val="3C027F5C"/>
    <w:rsid w:val="3C0A01B1"/>
    <w:rsid w:val="3C0A5FE9"/>
    <w:rsid w:val="3C100ED6"/>
    <w:rsid w:val="3C153E8E"/>
    <w:rsid w:val="3C1A012A"/>
    <w:rsid w:val="3C217365"/>
    <w:rsid w:val="3C361BC3"/>
    <w:rsid w:val="3C37397E"/>
    <w:rsid w:val="3C3C71E7"/>
    <w:rsid w:val="3C4125DB"/>
    <w:rsid w:val="3C583A0B"/>
    <w:rsid w:val="3C5B008C"/>
    <w:rsid w:val="3C666F24"/>
    <w:rsid w:val="3C677BC4"/>
    <w:rsid w:val="3C6978B0"/>
    <w:rsid w:val="3C6A0DE8"/>
    <w:rsid w:val="3C7A4FBF"/>
    <w:rsid w:val="3C7F70D3"/>
    <w:rsid w:val="3C8961DF"/>
    <w:rsid w:val="3CA05E05"/>
    <w:rsid w:val="3CAD3514"/>
    <w:rsid w:val="3CBB0420"/>
    <w:rsid w:val="3CBB4F2E"/>
    <w:rsid w:val="3CC0413B"/>
    <w:rsid w:val="3CC52D38"/>
    <w:rsid w:val="3CE21B3C"/>
    <w:rsid w:val="3CE358B4"/>
    <w:rsid w:val="3CF37E0D"/>
    <w:rsid w:val="3CF96461"/>
    <w:rsid w:val="3CFA5349"/>
    <w:rsid w:val="3CFB7418"/>
    <w:rsid w:val="3CFC5A39"/>
    <w:rsid w:val="3D0E250E"/>
    <w:rsid w:val="3D113054"/>
    <w:rsid w:val="3D2D6B2F"/>
    <w:rsid w:val="3D346110"/>
    <w:rsid w:val="3D3A4EC2"/>
    <w:rsid w:val="3D3B64CB"/>
    <w:rsid w:val="3D4811DA"/>
    <w:rsid w:val="3D485319"/>
    <w:rsid w:val="3D5508B2"/>
    <w:rsid w:val="3D5B6538"/>
    <w:rsid w:val="3D632551"/>
    <w:rsid w:val="3D745150"/>
    <w:rsid w:val="3D795AE8"/>
    <w:rsid w:val="3D87287F"/>
    <w:rsid w:val="3D932E36"/>
    <w:rsid w:val="3DB7359E"/>
    <w:rsid w:val="3DB86B6E"/>
    <w:rsid w:val="3DCA206F"/>
    <w:rsid w:val="3DCC6348"/>
    <w:rsid w:val="3DD749CD"/>
    <w:rsid w:val="3DDC0EBC"/>
    <w:rsid w:val="3DE53FC4"/>
    <w:rsid w:val="3DF9513C"/>
    <w:rsid w:val="3DFE15C4"/>
    <w:rsid w:val="3E016A21"/>
    <w:rsid w:val="3E113008"/>
    <w:rsid w:val="3E1164A2"/>
    <w:rsid w:val="3E1869DD"/>
    <w:rsid w:val="3E1B045D"/>
    <w:rsid w:val="3E216694"/>
    <w:rsid w:val="3E35213F"/>
    <w:rsid w:val="3E38578C"/>
    <w:rsid w:val="3E421CF8"/>
    <w:rsid w:val="3E432AAE"/>
    <w:rsid w:val="3E515386"/>
    <w:rsid w:val="3E614D2C"/>
    <w:rsid w:val="3E6432A1"/>
    <w:rsid w:val="3E6622F9"/>
    <w:rsid w:val="3E6E2B7D"/>
    <w:rsid w:val="3E737D50"/>
    <w:rsid w:val="3E7D1B12"/>
    <w:rsid w:val="3E800899"/>
    <w:rsid w:val="3E865145"/>
    <w:rsid w:val="3E9A1443"/>
    <w:rsid w:val="3E9F580B"/>
    <w:rsid w:val="3EA81114"/>
    <w:rsid w:val="3EAD1914"/>
    <w:rsid w:val="3EBA43F3"/>
    <w:rsid w:val="3EBC460F"/>
    <w:rsid w:val="3EC42287"/>
    <w:rsid w:val="3EC924E2"/>
    <w:rsid w:val="3ED100BA"/>
    <w:rsid w:val="3ED30323"/>
    <w:rsid w:val="3EDA7CAE"/>
    <w:rsid w:val="3EDE0147"/>
    <w:rsid w:val="3EF709D8"/>
    <w:rsid w:val="3F277DAD"/>
    <w:rsid w:val="3F345DBE"/>
    <w:rsid w:val="3F395AC9"/>
    <w:rsid w:val="3F3B6B38"/>
    <w:rsid w:val="3F3D1329"/>
    <w:rsid w:val="3F4D7AF3"/>
    <w:rsid w:val="3F6251B6"/>
    <w:rsid w:val="3F6F01A1"/>
    <w:rsid w:val="3F7D74B7"/>
    <w:rsid w:val="3F8E320E"/>
    <w:rsid w:val="3F985D71"/>
    <w:rsid w:val="3F996DE7"/>
    <w:rsid w:val="3FAF3F62"/>
    <w:rsid w:val="3FB44AD4"/>
    <w:rsid w:val="3FB53069"/>
    <w:rsid w:val="3FBF43B6"/>
    <w:rsid w:val="3FC372B1"/>
    <w:rsid w:val="3FCC6219"/>
    <w:rsid w:val="3FD37D6E"/>
    <w:rsid w:val="3FDA11F0"/>
    <w:rsid w:val="3FF17476"/>
    <w:rsid w:val="400C0C7E"/>
    <w:rsid w:val="4012261E"/>
    <w:rsid w:val="40176116"/>
    <w:rsid w:val="40280651"/>
    <w:rsid w:val="40281B4E"/>
    <w:rsid w:val="402E5098"/>
    <w:rsid w:val="40387CC5"/>
    <w:rsid w:val="403A57EB"/>
    <w:rsid w:val="404B1083"/>
    <w:rsid w:val="406A5E3B"/>
    <w:rsid w:val="407231D7"/>
    <w:rsid w:val="409014E1"/>
    <w:rsid w:val="409A2000"/>
    <w:rsid w:val="40A23390"/>
    <w:rsid w:val="40A47108"/>
    <w:rsid w:val="40A81AF0"/>
    <w:rsid w:val="40B21825"/>
    <w:rsid w:val="40B97B0A"/>
    <w:rsid w:val="40C120CD"/>
    <w:rsid w:val="40C72A04"/>
    <w:rsid w:val="40CA1D70"/>
    <w:rsid w:val="40D31FE7"/>
    <w:rsid w:val="40D9394E"/>
    <w:rsid w:val="40DE6ABE"/>
    <w:rsid w:val="40E01ACC"/>
    <w:rsid w:val="40E63206"/>
    <w:rsid w:val="40E83499"/>
    <w:rsid w:val="40EA0F72"/>
    <w:rsid w:val="40EF6094"/>
    <w:rsid w:val="41022FD4"/>
    <w:rsid w:val="410427B6"/>
    <w:rsid w:val="410D73A4"/>
    <w:rsid w:val="410E2FA0"/>
    <w:rsid w:val="41414FFE"/>
    <w:rsid w:val="414B422F"/>
    <w:rsid w:val="41524DB6"/>
    <w:rsid w:val="415B3C6B"/>
    <w:rsid w:val="415C66C8"/>
    <w:rsid w:val="4162324B"/>
    <w:rsid w:val="416C0DC4"/>
    <w:rsid w:val="416E099C"/>
    <w:rsid w:val="417116E0"/>
    <w:rsid w:val="417B557F"/>
    <w:rsid w:val="4184568E"/>
    <w:rsid w:val="418869E6"/>
    <w:rsid w:val="418C7217"/>
    <w:rsid w:val="41911120"/>
    <w:rsid w:val="41932425"/>
    <w:rsid w:val="419B2CA3"/>
    <w:rsid w:val="419E3712"/>
    <w:rsid w:val="41A84176"/>
    <w:rsid w:val="41AC2CD4"/>
    <w:rsid w:val="41B06152"/>
    <w:rsid w:val="41B6005B"/>
    <w:rsid w:val="41B80080"/>
    <w:rsid w:val="41C852A6"/>
    <w:rsid w:val="41CC5A82"/>
    <w:rsid w:val="41D50910"/>
    <w:rsid w:val="41E1607C"/>
    <w:rsid w:val="41E77BF5"/>
    <w:rsid w:val="41EB7DC9"/>
    <w:rsid w:val="41EF371A"/>
    <w:rsid w:val="41FA0DF5"/>
    <w:rsid w:val="41FA2085"/>
    <w:rsid w:val="41FB6D0A"/>
    <w:rsid w:val="42023204"/>
    <w:rsid w:val="42087E65"/>
    <w:rsid w:val="42124EF1"/>
    <w:rsid w:val="42132798"/>
    <w:rsid w:val="42143977"/>
    <w:rsid w:val="421D7172"/>
    <w:rsid w:val="42425F4A"/>
    <w:rsid w:val="42470660"/>
    <w:rsid w:val="42492E4D"/>
    <w:rsid w:val="425C5EED"/>
    <w:rsid w:val="42664FBD"/>
    <w:rsid w:val="42786A9F"/>
    <w:rsid w:val="427D5E63"/>
    <w:rsid w:val="428803B3"/>
    <w:rsid w:val="429554CB"/>
    <w:rsid w:val="429D3550"/>
    <w:rsid w:val="429F385C"/>
    <w:rsid w:val="42B11AD7"/>
    <w:rsid w:val="42BE088D"/>
    <w:rsid w:val="42DE6BC4"/>
    <w:rsid w:val="42DF08CC"/>
    <w:rsid w:val="42F9198D"/>
    <w:rsid w:val="43034564"/>
    <w:rsid w:val="43036DF2"/>
    <w:rsid w:val="43086074"/>
    <w:rsid w:val="430B346F"/>
    <w:rsid w:val="43115615"/>
    <w:rsid w:val="43166D40"/>
    <w:rsid w:val="431B1B9B"/>
    <w:rsid w:val="43252CC7"/>
    <w:rsid w:val="432A0151"/>
    <w:rsid w:val="43301D99"/>
    <w:rsid w:val="433751CB"/>
    <w:rsid w:val="433A3D54"/>
    <w:rsid w:val="433C0DD2"/>
    <w:rsid w:val="434E26FB"/>
    <w:rsid w:val="43524832"/>
    <w:rsid w:val="435C54A2"/>
    <w:rsid w:val="437159C8"/>
    <w:rsid w:val="437325EB"/>
    <w:rsid w:val="437B05F4"/>
    <w:rsid w:val="43811983"/>
    <w:rsid w:val="43866F99"/>
    <w:rsid w:val="43904815"/>
    <w:rsid w:val="43A15B81"/>
    <w:rsid w:val="43B3461E"/>
    <w:rsid w:val="43B93FA8"/>
    <w:rsid w:val="43BB2D3C"/>
    <w:rsid w:val="43BB57E7"/>
    <w:rsid w:val="43C52AF9"/>
    <w:rsid w:val="43C7484A"/>
    <w:rsid w:val="43CC05E0"/>
    <w:rsid w:val="43CE1136"/>
    <w:rsid w:val="43D9356D"/>
    <w:rsid w:val="43E45A1B"/>
    <w:rsid w:val="43E53CC0"/>
    <w:rsid w:val="43E715F4"/>
    <w:rsid w:val="43F7188F"/>
    <w:rsid w:val="43FB3B18"/>
    <w:rsid w:val="43FD2DAF"/>
    <w:rsid w:val="43FD74A5"/>
    <w:rsid w:val="441743AC"/>
    <w:rsid w:val="441D6EDE"/>
    <w:rsid w:val="442422EE"/>
    <w:rsid w:val="4426495C"/>
    <w:rsid w:val="44277E60"/>
    <w:rsid w:val="44305883"/>
    <w:rsid w:val="44336610"/>
    <w:rsid w:val="44394E23"/>
    <w:rsid w:val="443E588E"/>
    <w:rsid w:val="443E724F"/>
    <w:rsid w:val="44420495"/>
    <w:rsid w:val="4447309F"/>
    <w:rsid w:val="444810E7"/>
    <w:rsid w:val="444C6D9A"/>
    <w:rsid w:val="444E59D6"/>
    <w:rsid w:val="445A46AE"/>
    <w:rsid w:val="44693A30"/>
    <w:rsid w:val="446C02E2"/>
    <w:rsid w:val="446D7D29"/>
    <w:rsid w:val="447A7A51"/>
    <w:rsid w:val="44881986"/>
    <w:rsid w:val="448C6831"/>
    <w:rsid w:val="448E3087"/>
    <w:rsid w:val="449F0DA3"/>
    <w:rsid w:val="44A816B2"/>
    <w:rsid w:val="44B71CCD"/>
    <w:rsid w:val="44BF6C07"/>
    <w:rsid w:val="44CC407B"/>
    <w:rsid w:val="44D0671E"/>
    <w:rsid w:val="44DC3315"/>
    <w:rsid w:val="44DD0888"/>
    <w:rsid w:val="44EB3421"/>
    <w:rsid w:val="44EC107E"/>
    <w:rsid w:val="44EC1534"/>
    <w:rsid w:val="44EE4DF6"/>
    <w:rsid w:val="44EE641E"/>
    <w:rsid w:val="44F04944"/>
    <w:rsid w:val="44F53D30"/>
    <w:rsid w:val="45032ACF"/>
    <w:rsid w:val="45084F4F"/>
    <w:rsid w:val="450C6FC4"/>
    <w:rsid w:val="45146C3F"/>
    <w:rsid w:val="45211B84"/>
    <w:rsid w:val="452A4B48"/>
    <w:rsid w:val="45306F6D"/>
    <w:rsid w:val="453A0CA2"/>
    <w:rsid w:val="453F1CAB"/>
    <w:rsid w:val="45497982"/>
    <w:rsid w:val="45524604"/>
    <w:rsid w:val="45616F96"/>
    <w:rsid w:val="45623936"/>
    <w:rsid w:val="456841C6"/>
    <w:rsid w:val="45790B64"/>
    <w:rsid w:val="457A49AD"/>
    <w:rsid w:val="457B2F71"/>
    <w:rsid w:val="457D4828"/>
    <w:rsid w:val="458614D2"/>
    <w:rsid w:val="458978FD"/>
    <w:rsid w:val="4593785F"/>
    <w:rsid w:val="459528B4"/>
    <w:rsid w:val="45A044AD"/>
    <w:rsid w:val="45AA09C5"/>
    <w:rsid w:val="45AF0BE0"/>
    <w:rsid w:val="45C30031"/>
    <w:rsid w:val="45C951A4"/>
    <w:rsid w:val="45D21188"/>
    <w:rsid w:val="45DB368C"/>
    <w:rsid w:val="45F12DF0"/>
    <w:rsid w:val="45F20916"/>
    <w:rsid w:val="45F33FF4"/>
    <w:rsid w:val="45F428E0"/>
    <w:rsid w:val="45F61354"/>
    <w:rsid w:val="46003033"/>
    <w:rsid w:val="460F447D"/>
    <w:rsid w:val="461508D0"/>
    <w:rsid w:val="461E170B"/>
    <w:rsid w:val="461F3F1D"/>
    <w:rsid w:val="46217C1A"/>
    <w:rsid w:val="462A540E"/>
    <w:rsid w:val="462E594E"/>
    <w:rsid w:val="463852B9"/>
    <w:rsid w:val="464153DE"/>
    <w:rsid w:val="4642189D"/>
    <w:rsid w:val="465161EB"/>
    <w:rsid w:val="46524241"/>
    <w:rsid w:val="466424D4"/>
    <w:rsid w:val="466D449F"/>
    <w:rsid w:val="466E1504"/>
    <w:rsid w:val="46765B52"/>
    <w:rsid w:val="46773EAE"/>
    <w:rsid w:val="468A6779"/>
    <w:rsid w:val="468D226A"/>
    <w:rsid w:val="468F0A5F"/>
    <w:rsid w:val="469733AB"/>
    <w:rsid w:val="469F41B9"/>
    <w:rsid w:val="46A0283F"/>
    <w:rsid w:val="46A40A91"/>
    <w:rsid w:val="46A71700"/>
    <w:rsid w:val="46AE05D8"/>
    <w:rsid w:val="46B67B95"/>
    <w:rsid w:val="46B758A3"/>
    <w:rsid w:val="46BB5C1A"/>
    <w:rsid w:val="46C410F2"/>
    <w:rsid w:val="46C42CA7"/>
    <w:rsid w:val="46D44BA4"/>
    <w:rsid w:val="46DD18E6"/>
    <w:rsid w:val="46DF0E9A"/>
    <w:rsid w:val="46DF1D2C"/>
    <w:rsid w:val="46F514D2"/>
    <w:rsid w:val="4708063B"/>
    <w:rsid w:val="470809A7"/>
    <w:rsid w:val="470D369E"/>
    <w:rsid w:val="47120827"/>
    <w:rsid w:val="47147820"/>
    <w:rsid w:val="47172E19"/>
    <w:rsid w:val="47185634"/>
    <w:rsid w:val="471901B2"/>
    <w:rsid w:val="471C1137"/>
    <w:rsid w:val="47236543"/>
    <w:rsid w:val="47255730"/>
    <w:rsid w:val="47262FC9"/>
    <w:rsid w:val="47266580"/>
    <w:rsid w:val="472965B9"/>
    <w:rsid w:val="473D551C"/>
    <w:rsid w:val="47501D98"/>
    <w:rsid w:val="47520EB1"/>
    <w:rsid w:val="47564260"/>
    <w:rsid w:val="476118AC"/>
    <w:rsid w:val="47775FCD"/>
    <w:rsid w:val="47842AA8"/>
    <w:rsid w:val="47843480"/>
    <w:rsid w:val="47862927"/>
    <w:rsid w:val="4786435B"/>
    <w:rsid w:val="478C5FC3"/>
    <w:rsid w:val="478E5BF3"/>
    <w:rsid w:val="47A37321"/>
    <w:rsid w:val="47A86240"/>
    <w:rsid w:val="47AB6FCE"/>
    <w:rsid w:val="47C46827"/>
    <w:rsid w:val="47C932CD"/>
    <w:rsid w:val="47D14D37"/>
    <w:rsid w:val="47E7539D"/>
    <w:rsid w:val="47EB2FFC"/>
    <w:rsid w:val="47F47DC1"/>
    <w:rsid w:val="47F90B25"/>
    <w:rsid w:val="480D3F42"/>
    <w:rsid w:val="48112E05"/>
    <w:rsid w:val="481316CF"/>
    <w:rsid w:val="48152260"/>
    <w:rsid w:val="4829517C"/>
    <w:rsid w:val="482D12BE"/>
    <w:rsid w:val="48335D86"/>
    <w:rsid w:val="48427933"/>
    <w:rsid w:val="48457423"/>
    <w:rsid w:val="4849316A"/>
    <w:rsid w:val="485456B3"/>
    <w:rsid w:val="485760FA"/>
    <w:rsid w:val="485B747D"/>
    <w:rsid w:val="485F7FEA"/>
    <w:rsid w:val="48613938"/>
    <w:rsid w:val="48686272"/>
    <w:rsid w:val="48783354"/>
    <w:rsid w:val="487E032C"/>
    <w:rsid w:val="488C64E1"/>
    <w:rsid w:val="489049D5"/>
    <w:rsid w:val="48955BB2"/>
    <w:rsid w:val="489C64B8"/>
    <w:rsid w:val="489E1E6C"/>
    <w:rsid w:val="48A91E45"/>
    <w:rsid w:val="48AB2B47"/>
    <w:rsid w:val="48AC5C4C"/>
    <w:rsid w:val="48B2721C"/>
    <w:rsid w:val="48B843DB"/>
    <w:rsid w:val="48B9571B"/>
    <w:rsid w:val="48C017E8"/>
    <w:rsid w:val="48C63077"/>
    <w:rsid w:val="48CA33FC"/>
    <w:rsid w:val="48D9732C"/>
    <w:rsid w:val="48DE5A18"/>
    <w:rsid w:val="48E37354"/>
    <w:rsid w:val="48E85E85"/>
    <w:rsid w:val="48EC789E"/>
    <w:rsid w:val="48EF379A"/>
    <w:rsid w:val="48EF57BE"/>
    <w:rsid w:val="48F94ED4"/>
    <w:rsid w:val="48FC132D"/>
    <w:rsid w:val="48FF3A76"/>
    <w:rsid w:val="49004C54"/>
    <w:rsid w:val="490C3E65"/>
    <w:rsid w:val="490D58BF"/>
    <w:rsid w:val="49135467"/>
    <w:rsid w:val="491929A4"/>
    <w:rsid w:val="49310822"/>
    <w:rsid w:val="4933398C"/>
    <w:rsid w:val="493C25D4"/>
    <w:rsid w:val="494D2A33"/>
    <w:rsid w:val="495D6F47"/>
    <w:rsid w:val="49614633"/>
    <w:rsid w:val="49636A72"/>
    <w:rsid w:val="496B2C2B"/>
    <w:rsid w:val="498334B4"/>
    <w:rsid w:val="499917D4"/>
    <w:rsid w:val="499C358C"/>
    <w:rsid w:val="499F0E56"/>
    <w:rsid w:val="49B16F8D"/>
    <w:rsid w:val="49B764FC"/>
    <w:rsid w:val="49BA0FA4"/>
    <w:rsid w:val="49BC3715"/>
    <w:rsid w:val="49C65F48"/>
    <w:rsid w:val="49D8310C"/>
    <w:rsid w:val="49DA19EA"/>
    <w:rsid w:val="49E24AA9"/>
    <w:rsid w:val="49E27FD0"/>
    <w:rsid w:val="49E45B25"/>
    <w:rsid w:val="4A0F5F3A"/>
    <w:rsid w:val="4A1248C6"/>
    <w:rsid w:val="4A1E5D46"/>
    <w:rsid w:val="4A244932"/>
    <w:rsid w:val="4A285AF5"/>
    <w:rsid w:val="4A3B288C"/>
    <w:rsid w:val="4A4628E8"/>
    <w:rsid w:val="4A5108EE"/>
    <w:rsid w:val="4A582A54"/>
    <w:rsid w:val="4A633B90"/>
    <w:rsid w:val="4A895743"/>
    <w:rsid w:val="4A8C42D3"/>
    <w:rsid w:val="4A8D0CA1"/>
    <w:rsid w:val="4A8E3303"/>
    <w:rsid w:val="4A93695B"/>
    <w:rsid w:val="4A950670"/>
    <w:rsid w:val="4A99498B"/>
    <w:rsid w:val="4A9B272E"/>
    <w:rsid w:val="4A9C2F1A"/>
    <w:rsid w:val="4AA11AE6"/>
    <w:rsid w:val="4AB24F9B"/>
    <w:rsid w:val="4AB34B18"/>
    <w:rsid w:val="4AB640C6"/>
    <w:rsid w:val="4AB651B1"/>
    <w:rsid w:val="4ABB0329"/>
    <w:rsid w:val="4AC11FBB"/>
    <w:rsid w:val="4AC7413B"/>
    <w:rsid w:val="4ACB7688"/>
    <w:rsid w:val="4ACE168F"/>
    <w:rsid w:val="4AD20798"/>
    <w:rsid w:val="4AD361E1"/>
    <w:rsid w:val="4ADD195B"/>
    <w:rsid w:val="4AEF1E37"/>
    <w:rsid w:val="4AF33D06"/>
    <w:rsid w:val="4AFE16D1"/>
    <w:rsid w:val="4B064F25"/>
    <w:rsid w:val="4B0E78FD"/>
    <w:rsid w:val="4B0F1793"/>
    <w:rsid w:val="4B15132F"/>
    <w:rsid w:val="4B1B26BD"/>
    <w:rsid w:val="4B1B3B59"/>
    <w:rsid w:val="4B1F5D09"/>
    <w:rsid w:val="4B230849"/>
    <w:rsid w:val="4B313C8F"/>
    <w:rsid w:val="4B34391F"/>
    <w:rsid w:val="4B3E2E80"/>
    <w:rsid w:val="4B3E33A3"/>
    <w:rsid w:val="4B425E9C"/>
    <w:rsid w:val="4B496C93"/>
    <w:rsid w:val="4B4F4276"/>
    <w:rsid w:val="4B576212"/>
    <w:rsid w:val="4B6630EB"/>
    <w:rsid w:val="4B7122DD"/>
    <w:rsid w:val="4B7C3C7C"/>
    <w:rsid w:val="4B816014"/>
    <w:rsid w:val="4B8B517E"/>
    <w:rsid w:val="4B8C0DC3"/>
    <w:rsid w:val="4B92472D"/>
    <w:rsid w:val="4B9B03F0"/>
    <w:rsid w:val="4BA018A0"/>
    <w:rsid w:val="4BA9404F"/>
    <w:rsid w:val="4BB4033C"/>
    <w:rsid w:val="4BBD036D"/>
    <w:rsid w:val="4BBE25CA"/>
    <w:rsid w:val="4BCB5F67"/>
    <w:rsid w:val="4BD50E28"/>
    <w:rsid w:val="4BDF1395"/>
    <w:rsid w:val="4BE73050"/>
    <w:rsid w:val="4BE965B6"/>
    <w:rsid w:val="4BEB4463"/>
    <w:rsid w:val="4C033D8E"/>
    <w:rsid w:val="4C112C04"/>
    <w:rsid w:val="4C161882"/>
    <w:rsid w:val="4C1A5A61"/>
    <w:rsid w:val="4C1D2A3A"/>
    <w:rsid w:val="4C2130F3"/>
    <w:rsid w:val="4C286E40"/>
    <w:rsid w:val="4C303F46"/>
    <w:rsid w:val="4C31118F"/>
    <w:rsid w:val="4C346E5D"/>
    <w:rsid w:val="4C383A1F"/>
    <w:rsid w:val="4C3D6D8F"/>
    <w:rsid w:val="4C462956"/>
    <w:rsid w:val="4C4707AB"/>
    <w:rsid w:val="4C526272"/>
    <w:rsid w:val="4C6406E4"/>
    <w:rsid w:val="4C6D5C2A"/>
    <w:rsid w:val="4C7105EB"/>
    <w:rsid w:val="4C8B4D21"/>
    <w:rsid w:val="4C9125B9"/>
    <w:rsid w:val="4C992D1A"/>
    <w:rsid w:val="4CA45B57"/>
    <w:rsid w:val="4CA465B6"/>
    <w:rsid w:val="4CAA1E07"/>
    <w:rsid w:val="4CB12D62"/>
    <w:rsid w:val="4CB608EF"/>
    <w:rsid w:val="4CB708CE"/>
    <w:rsid w:val="4CC36B68"/>
    <w:rsid w:val="4CC529EA"/>
    <w:rsid w:val="4CC90989"/>
    <w:rsid w:val="4CD20D18"/>
    <w:rsid w:val="4CD21B5F"/>
    <w:rsid w:val="4CDD7C2A"/>
    <w:rsid w:val="4CE331B1"/>
    <w:rsid w:val="4CF56350"/>
    <w:rsid w:val="4D043409"/>
    <w:rsid w:val="4D137AF0"/>
    <w:rsid w:val="4D1A110D"/>
    <w:rsid w:val="4D211C43"/>
    <w:rsid w:val="4D23781E"/>
    <w:rsid w:val="4D274EBE"/>
    <w:rsid w:val="4D2E7DAD"/>
    <w:rsid w:val="4D323CAC"/>
    <w:rsid w:val="4D337AB8"/>
    <w:rsid w:val="4D34553A"/>
    <w:rsid w:val="4D460574"/>
    <w:rsid w:val="4D4D3247"/>
    <w:rsid w:val="4D7B242B"/>
    <w:rsid w:val="4D884FC4"/>
    <w:rsid w:val="4D9132F9"/>
    <w:rsid w:val="4D941E7D"/>
    <w:rsid w:val="4D9463EC"/>
    <w:rsid w:val="4D9549A9"/>
    <w:rsid w:val="4D973F59"/>
    <w:rsid w:val="4D992041"/>
    <w:rsid w:val="4D9E59CC"/>
    <w:rsid w:val="4DA64EC2"/>
    <w:rsid w:val="4DA83375"/>
    <w:rsid w:val="4DA97163"/>
    <w:rsid w:val="4DAF745E"/>
    <w:rsid w:val="4DC360A2"/>
    <w:rsid w:val="4DCD38CD"/>
    <w:rsid w:val="4DDA7481"/>
    <w:rsid w:val="4DDF59CF"/>
    <w:rsid w:val="4DE0542E"/>
    <w:rsid w:val="4DED6FEE"/>
    <w:rsid w:val="4DF23BA9"/>
    <w:rsid w:val="4DF42E70"/>
    <w:rsid w:val="4DF93351"/>
    <w:rsid w:val="4DFC0584"/>
    <w:rsid w:val="4E03108A"/>
    <w:rsid w:val="4E065892"/>
    <w:rsid w:val="4E08517B"/>
    <w:rsid w:val="4E0D453F"/>
    <w:rsid w:val="4E102281"/>
    <w:rsid w:val="4E1315AB"/>
    <w:rsid w:val="4E1347B4"/>
    <w:rsid w:val="4E2F6FA7"/>
    <w:rsid w:val="4E334165"/>
    <w:rsid w:val="4E353A59"/>
    <w:rsid w:val="4E3A13EF"/>
    <w:rsid w:val="4E3F065B"/>
    <w:rsid w:val="4E51661F"/>
    <w:rsid w:val="4E590016"/>
    <w:rsid w:val="4E593C28"/>
    <w:rsid w:val="4E5A24F2"/>
    <w:rsid w:val="4E5A531C"/>
    <w:rsid w:val="4E7858B4"/>
    <w:rsid w:val="4E7C32D2"/>
    <w:rsid w:val="4E824704"/>
    <w:rsid w:val="4E986765"/>
    <w:rsid w:val="4EA0220D"/>
    <w:rsid w:val="4EA215B1"/>
    <w:rsid w:val="4EA355D2"/>
    <w:rsid w:val="4EA74993"/>
    <w:rsid w:val="4EB15812"/>
    <w:rsid w:val="4EBB39A2"/>
    <w:rsid w:val="4EBF2EE2"/>
    <w:rsid w:val="4EC4477A"/>
    <w:rsid w:val="4EC84CAE"/>
    <w:rsid w:val="4ECC6563"/>
    <w:rsid w:val="4ECE6928"/>
    <w:rsid w:val="4EE01C53"/>
    <w:rsid w:val="4EF3587F"/>
    <w:rsid w:val="4EFD24B4"/>
    <w:rsid w:val="4F0A54F9"/>
    <w:rsid w:val="4F22401A"/>
    <w:rsid w:val="4F272BAB"/>
    <w:rsid w:val="4F293C6B"/>
    <w:rsid w:val="4F4A7EDF"/>
    <w:rsid w:val="4F5824AA"/>
    <w:rsid w:val="4F6B3C13"/>
    <w:rsid w:val="4F6D2D16"/>
    <w:rsid w:val="4F7505EE"/>
    <w:rsid w:val="4F7D5C10"/>
    <w:rsid w:val="4F801DF4"/>
    <w:rsid w:val="4F862C20"/>
    <w:rsid w:val="4F8C3B89"/>
    <w:rsid w:val="4F8D5534"/>
    <w:rsid w:val="4F8E14E4"/>
    <w:rsid w:val="4F920F57"/>
    <w:rsid w:val="4F9819C1"/>
    <w:rsid w:val="4F9F68AD"/>
    <w:rsid w:val="4FC60E49"/>
    <w:rsid w:val="4FD07F1A"/>
    <w:rsid w:val="4FDA66A3"/>
    <w:rsid w:val="4FE14704"/>
    <w:rsid w:val="4FE77892"/>
    <w:rsid w:val="4FF260E2"/>
    <w:rsid w:val="4FF652DA"/>
    <w:rsid w:val="4FF80BDD"/>
    <w:rsid w:val="4FFC0D0F"/>
    <w:rsid w:val="50006B82"/>
    <w:rsid w:val="50056F78"/>
    <w:rsid w:val="500D2F23"/>
    <w:rsid w:val="500E0D76"/>
    <w:rsid w:val="50196029"/>
    <w:rsid w:val="501D30CA"/>
    <w:rsid w:val="501D55AD"/>
    <w:rsid w:val="502369AB"/>
    <w:rsid w:val="502F4C40"/>
    <w:rsid w:val="50422451"/>
    <w:rsid w:val="5044508F"/>
    <w:rsid w:val="50494A56"/>
    <w:rsid w:val="504E4B13"/>
    <w:rsid w:val="505521CD"/>
    <w:rsid w:val="50561ADE"/>
    <w:rsid w:val="50587233"/>
    <w:rsid w:val="50776590"/>
    <w:rsid w:val="507C02A9"/>
    <w:rsid w:val="50903205"/>
    <w:rsid w:val="509151BA"/>
    <w:rsid w:val="50922A67"/>
    <w:rsid w:val="509946DA"/>
    <w:rsid w:val="509B0528"/>
    <w:rsid w:val="509B4D1B"/>
    <w:rsid w:val="50B079EF"/>
    <w:rsid w:val="50BA0BE5"/>
    <w:rsid w:val="50BC224C"/>
    <w:rsid w:val="50D13030"/>
    <w:rsid w:val="50D43A3A"/>
    <w:rsid w:val="50D71E2D"/>
    <w:rsid w:val="50E5117C"/>
    <w:rsid w:val="50E833CC"/>
    <w:rsid w:val="50F129D7"/>
    <w:rsid w:val="50F20458"/>
    <w:rsid w:val="50F471DE"/>
    <w:rsid w:val="5109070F"/>
    <w:rsid w:val="510C1CD9"/>
    <w:rsid w:val="510C6D30"/>
    <w:rsid w:val="51162C16"/>
    <w:rsid w:val="511F2F07"/>
    <w:rsid w:val="51324D93"/>
    <w:rsid w:val="51376FE9"/>
    <w:rsid w:val="51545631"/>
    <w:rsid w:val="51571481"/>
    <w:rsid w:val="51585608"/>
    <w:rsid w:val="515C3A4F"/>
    <w:rsid w:val="51646B6C"/>
    <w:rsid w:val="516B5D29"/>
    <w:rsid w:val="51703763"/>
    <w:rsid w:val="517040EB"/>
    <w:rsid w:val="517A0438"/>
    <w:rsid w:val="51887140"/>
    <w:rsid w:val="5193217E"/>
    <w:rsid w:val="51A4340C"/>
    <w:rsid w:val="51AA7C07"/>
    <w:rsid w:val="51AE1D36"/>
    <w:rsid w:val="51B15013"/>
    <w:rsid w:val="51B95364"/>
    <w:rsid w:val="51BA5AB7"/>
    <w:rsid w:val="51BA678C"/>
    <w:rsid w:val="51CB3390"/>
    <w:rsid w:val="51CB5002"/>
    <w:rsid w:val="51DC4954"/>
    <w:rsid w:val="51DE153A"/>
    <w:rsid w:val="51E82F6F"/>
    <w:rsid w:val="51EA0C38"/>
    <w:rsid w:val="51F438BB"/>
    <w:rsid w:val="51FF2B94"/>
    <w:rsid w:val="521C7F46"/>
    <w:rsid w:val="521F0E9F"/>
    <w:rsid w:val="52264794"/>
    <w:rsid w:val="52284B4C"/>
    <w:rsid w:val="52350508"/>
    <w:rsid w:val="524A409B"/>
    <w:rsid w:val="52533B5A"/>
    <w:rsid w:val="52567E20"/>
    <w:rsid w:val="525A3ACB"/>
    <w:rsid w:val="525A6304"/>
    <w:rsid w:val="525D073D"/>
    <w:rsid w:val="52650D16"/>
    <w:rsid w:val="526B3F2A"/>
    <w:rsid w:val="52733A71"/>
    <w:rsid w:val="527505D4"/>
    <w:rsid w:val="528662F0"/>
    <w:rsid w:val="528D5C4E"/>
    <w:rsid w:val="529717E5"/>
    <w:rsid w:val="5298788F"/>
    <w:rsid w:val="529C40E3"/>
    <w:rsid w:val="52A70F48"/>
    <w:rsid w:val="52A86F2C"/>
    <w:rsid w:val="52B30BA8"/>
    <w:rsid w:val="52B7075D"/>
    <w:rsid w:val="52BE2CB0"/>
    <w:rsid w:val="52C059E7"/>
    <w:rsid w:val="52C664D9"/>
    <w:rsid w:val="52CF4614"/>
    <w:rsid w:val="52D86862"/>
    <w:rsid w:val="52E57838"/>
    <w:rsid w:val="52E5798E"/>
    <w:rsid w:val="52E63890"/>
    <w:rsid w:val="52EE4A1B"/>
    <w:rsid w:val="53141034"/>
    <w:rsid w:val="53147604"/>
    <w:rsid w:val="531574C8"/>
    <w:rsid w:val="53193986"/>
    <w:rsid w:val="531B76FE"/>
    <w:rsid w:val="531E71EE"/>
    <w:rsid w:val="53213F70"/>
    <w:rsid w:val="5328717E"/>
    <w:rsid w:val="533407C0"/>
    <w:rsid w:val="53404483"/>
    <w:rsid w:val="534474E1"/>
    <w:rsid w:val="53480807"/>
    <w:rsid w:val="53486019"/>
    <w:rsid w:val="53516D2C"/>
    <w:rsid w:val="537570DD"/>
    <w:rsid w:val="537C0F42"/>
    <w:rsid w:val="538440C0"/>
    <w:rsid w:val="53851A96"/>
    <w:rsid w:val="53867518"/>
    <w:rsid w:val="53940A2C"/>
    <w:rsid w:val="53981060"/>
    <w:rsid w:val="53A304DF"/>
    <w:rsid w:val="53A5521A"/>
    <w:rsid w:val="53C03989"/>
    <w:rsid w:val="53C76F98"/>
    <w:rsid w:val="53D26312"/>
    <w:rsid w:val="53D8739D"/>
    <w:rsid w:val="53DC46A3"/>
    <w:rsid w:val="53DD2EB9"/>
    <w:rsid w:val="53E172B6"/>
    <w:rsid w:val="53F43F3C"/>
    <w:rsid w:val="53F577CC"/>
    <w:rsid w:val="53FE0149"/>
    <w:rsid w:val="53FF3EAD"/>
    <w:rsid w:val="540003BA"/>
    <w:rsid w:val="54093406"/>
    <w:rsid w:val="540957A8"/>
    <w:rsid w:val="5409646C"/>
    <w:rsid w:val="540969A6"/>
    <w:rsid w:val="54136627"/>
    <w:rsid w:val="54160CAA"/>
    <w:rsid w:val="5418149D"/>
    <w:rsid w:val="54197134"/>
    <w:rsid w:val="541D1254"/>
    <w:rsid w:val="54224ABC"/>
    <w:rsid w:val="54262873"/>
    <w:rsid w:val="542B775A"/>
    <w:rsid w:val="54327630"/>
    <w:rsid w:val="54373AB8"/>
    <w:rsid w:val="54431726"/>
    <w:rsid w:val="545E3D46"/>
    <w:rsid w:val="546B1FBF"/>
    <w:rsid w:val="5474061F"/>
    <w:rsid w:val="54771E12"/>
    <w:rsid w:val="548F6884"/>
    <w:rsid w:val="54980C95"/>
    <w:rsid w:val="549F1A4F"/>
    <w:rsid w:val="54A97595"/>
    <w:rsid w:val="54AD677F"/>
    <w:rsid w:val="54B12D96"/>
    <w:rsid w:val="54B716A8"/>
    <w:rsid w:val="54C449A1"/>
    <w:rsid w:val="54C67EA4"/>
    <w:rsid w:val="54CD2775"/>
    <w:rsid w:val="54CF6E42"/>
    <w:rsid w:val="54D41AC8"/>
    <w:rsid w:val="54DC2048"/>
    <w:rsid w:val="54DC2EBD"/>
    <w:rsid w:val="54E00A4E"/>
    <w:rsid w:val="54E712AB"/>
    <w:rsid w:val="54EB0582"/>
    <w:rsid w:val="54ED555D"/>
    <w:rsid w:val="54EF229B"/>
    <w:rsid w:val="54F3218D"/>
    <w:rsid w:val="54F35804"/>
    <w:rsid w:val="54F93EBC"/>
    <w:rsid w:val="550B1D72"/>
    <w:rsid w:val="552503C0"/>
    <w:rsid w:val="552C443B"/>
    <w:rsid w:val="553304D8"/>
    <w:rsid w:val="55392EE2"/>
    <w:rsid w:val="553936F8"/>
    <w:rsid w:val="553F2324"/>
    <w:rsid w:val="55437454"/>
    <w:rsid w:val="5572144D"/>
    <w:rsid w:val="55750F41"/>
    <w:rsid w:val="557C08CC"/>
    <w:rsid w:val="557E071B"/>
    <w:rsid w:val="558C7D49"/>
    <w:rsid w:val="55943798"/>
    <w:rsid w:val="55A321C1"/>
    <w:rsid w:val="55A7171D"/>
    <w:rsid w:val="55B506B8"/>
    <w:rsid w:val="55B6370E"/>
    <w:rsid w:val="55C10535"/>
    <w:rsid w:val="55C93441"/>
    <w:rsid w:val="55CD616E"/>
    <w:rsid w:val="55D342C0"/>
    <w:rsid w:val="55DB4F23"/>
    <w:rsid w:val="55E23AF4"/>
    <w:rsid w:val="55EE646E"/>
    <w:rsid w:val="55F304BE"/>
    <w:rsid w:val="55F5449E"/>
    <w:rsid w:val="55FB5E70"/>
    <w:rsid w:val="56105467"/>
    <w:rsid w:val="56141D44"/>
    <w:rsid w:val="5621105A"/>
    <w:rsid w:val="56310FE7"/>
    <w:rsid w:val="563C1E65"/>
    <w:rsid w:val="5642388E"/>
    <w:rsid w:val="56576C9F"/>
    <w:rsid w:val="565F5B54"/>
    <w:rsid w:val="56695472"/>
    <w:rsid w:val="566A242D"/>
    <w:rsid w:val="568420B9"/>
    <w:rsid w:val="56885586"/>
    <w:rsid w:val="569216C3"/>
    <w:rsid w:val="569644F9"/>
    <w:rsid w:val="56A901D0"/>
    <w:rsid w:val="56BB46EC"/>
    <w:rsid w:val="56BB705A"/>
    <w:rsid w:val="56BC6CDA"/>
    <w:rsid w:val="56C93A38"/>
    <w:rsid w:val="56D17126"/>
    <w:rsid w:val="56D36A74"/>
    <w:rsid w:val="56FC0043"/>
    <w:rsid w:val="56FE210A"/>
    <w:rsid w:val="56FF4F3E"/>
    <w:rsid w:val="5708289B"/>
    <w:rsid w:val="5711443D"/>
    <w:rsid w:val="57134EAE"/>
    <w:rsid w:val="57152BEC"/>
    <w:rsid w:val="571A7074"/>
    <w:rsid w:val="572F19CA"/>
    <w:rsid w:val="572F5526"/>
    <w:rsid w:val="57303F87"/>
    <w:rsid w:val="57462612"/>
    <w:rsid w:val="575B631B"/>
    <w:rsid w:val="577949F3"/>
    <w:rsid w:val="57880101"/>
    <w:rsid w:val="57924E35"/>
    <w:rsid w:val="57971EC0"/>
    <w:rsid w:val="57972248"/>
    <w:rsid w:val="579D3DCA"/>
    <w:rsid w:val="57A31556"/>
    <w:rsid w:val="57AF3A2D"/>
    <w:rsid w:val="57B61CC3"/>
    <w:rsid w:val="57C63965"/>
    <w:rsid w:val="57C9767E"/>
    <w:rsid w:val="57CA2B3B"/>
    <w:rsid w:val="57CB5E90"/>
    <w:rsid w:val="57D144D8"/>
    <w:rsid w:val="57D562BD"/>
    <w:rsid w:val="57D72154"/>
    <w:rsid w:val="57DC5D60"/>
    <w:rsid w:val="57E01184"/>
    <w:rsid w:val="57E76F1A"/>
    <w:rsid w:val="57EC73CC"/>
    <w:rsid w:val="57EE5C6E"/>
    <w:rsid w:val="57EE7791"/>
    <w:rsid w:val="57F86A62"/>
    <w:rsid w:val="57FB5D50"/>
    <w:rsid w:val="57FD2BBF"/>
    <w:rsid w:val="58006EC2"/>
    <w:rsid w:val="58033FA1"/>
    <w:rsid w:val="5807127B"/>
    <w:rsid w:val="58082AC4"/>
    <w:rsid w:val="580C3AB9"/>
    <w:rsid w:val="580D3184"/>
    <w:rsid w:val="58214023"/>
    <w:rsid w:val="582D4143"/>
    <w:rsid w:val="582E1C82"/>
    <w:rsid w:val="583E0E16"/>
    <w:rsid w:val="584B5A6E"/>
    <w:rsid w:val="58545AF7"/>
    <w:rsid w:val="58550FBC"/>
    <w:rsid w:val="586A7C9A"/>
    <w:rsid w:val="589A2E73"/>
    <w:rsid w:val="58A22108"/>
    <w:rsid w:val="58A96922"/>
    <w:rsid w:val="58AE09A3"/>
    <w:rsid w:val="58B27195"/>
    <w:rsid w:val="58BA45A1"/>
    <w:rsid w:val="58BC728D"/>
    <w:rsid w:val="58C93758"/>
    <w:rsid w:val="58CE0D6F"/>
    <w:rsid w:val="58D074BB"/>
    <w:rsid w:val="58D53ACA"/>
    <w:rsid w:val="58D97E3F"/>
    <w:rsid w:val="59027AE7"/>
    <w:rsid w:val="59044100"/>
    <w:rsid w:val="5909243F"/>
    <w:rsid w:val="591F781C"/>
    <w:rsid w:val="592056A2"/>
    <w:rsid w:val="5936196D"/>
    <w:rsid w:val="5940227C"/>
    <w:rsid w:val="59442E81"/>
    <w:rsid w:val="594B74F3"/>
    <w:rsid w:val="59551ADB"/>
    <w:rsid w:val="5957067B"/>
    <w:rsid w:val="595D3DAB"/>
    <w:rsid w:val="595F6330"/>
    <w:rsid w:val="59623DC3"/>
    <w:rsid w:val="59735ABF"/>
    <w:rsid w:val="597D42DF"/>
    <w:rsid w:val="59890156"/>
    <w:rsid w:val="599A2A69"/>
    <w:rsid w:val="599E6993"/>
    <w:rsid w:val="59A301AC"/>
    <w:rsid w:val="59A57D21"/>
    <w:rsid w:val="59AE5C9B"/>
    <w:rsid w:val="59AF6DF2"/>
    <w:rsid w:val="59B671A6"/>
    <w:rsid w:val="59B81A46"/>
    <w:rsid w:val="59B92E3F"/>
    <w:rsid w:val="59C02DAD"/>
    <w:rsid w:val="59C12681"/>
    <w:rsid w:val="59D44313"/>
    <w:rsid w:val="59D45AEF"/>
    <w:rsid w:val="59E14637"/>
    <w:rsid w:val="59E15CD9"/>
    <w:rsid w:val="59E52814"/>
    <w:rsid w:val="59F34F31"/>
    <w:rsid w:val="59FA5965"/>
    <w:rsid w:val="59FB30B7"/>
    <w:rsid w:val="5A016AB7"/>
    <w:rsid w:val="5A0636D9"/>
    <w:rsid w:val="5A074243"/>
    <w:rsid w:val="5A096502"/>
    <w:rsid w:val="5A186745"/>
    <w:rsid w:val="5A1B4488"/>
    <w:rsid w:val="5A22601F"/>
    <w:rsid w:val="5A281112"/>
    <w:rsid w:val="5A2A57A8"/>
    <w:rsid w:val="5A2F4103"/>
    <w:rsid w:val="5A3C3C4B"/>
    <w:rsid w:val="5A421A14"/>
    <w:rsid w:val="5A437DF3"/>
    <w:rsid w:val="5A592E3F"/>
    <w:rsid w:val="5A7024AF"/>
    <w:rsid w:val="5A7744F7"/>
    <w:rsid w:val="5A797D8C"/>
    <w:rsid w:val="5A81078E"/>
    <w:rsid w:val="5A8F5421"/>
    <w:rsid w:val="5A900D5F"/>
    <w:rsid w:val="5A9F7C3A"/>
    <w:rsid w:val="5AA721BA"/>
    <w:rsid w:val="5AC021B9"/>
    <w:rsid w:val="5AD6734C"/>
    <w:rsid w:val="5AE40D1D"/>
    <w:rsid w:val="5AE673F8"/>
    <w:rsid w:val="5AF55909"/>
    <w:rsid w:val="5AFC0709"/>
    <w:rsid w:val="5B24392C"/>
    <w:rsid w:val="5B2B25C6"/>
    <w:rsid w:val="5B355BAF"/>
    <w:rsid w:val="5B413AB6"/>
    <w:rsid w:val="5B4638CB"/>
    <w:rsid w:val="5B49484F"/>
    <w:rsid w:val="5B5347FA"/>
    <w:rsid w:val="5B5828EC"/>
    <w:rsid w:val="5B6854AA"/>
    <w:rsid w:val="5B6D486F"/>
    <w:rsid w:val="5B743E4F"/>
    <w:rsid w:val="5B7E082A"/>
    <w:rsid w:val="5B7E4CCE"/>
    <w:rsid w:val="5B81656C"/>
    <w:rsid w:val="5B833730"/>
    <w:rsid w:val="5B85605C"/>
    <w:rsid w:val="5B973FF4"/>
    <w:rsid w:val="5B977B3E"/>
    <w:rsid w:val="5BA504AD"/>
    <w:rsid w:val="5BA51471"/>
    <w:rsid w:val="5BA64DC5"/>
    <w:rsid w:val="5BBA747C"/>
    <w:rsid w:val="5BC6762F"/>
    <w:rsid w:val="5BCC2EF9"/>
    <w:rsid w:val="5BD0382F"/>
    <w:rsid w:val="5BD26DC8"/>
    <w:rsid w:val="5BDD02C0"/>
    <w:rsid w:val="5BDE63C8"/>
    <w:rsid w:val="5BE52428"/>
    <w:rsid w:val="5BE7577A"/>
    <w:rsid w:val="5BF322FC"/>
    <w:rsid w:val="5BF92475"/>
    <w:rsid w:val="5BF949F3"/>
    <w:rsid w:val="5C02756B"/>
    <w:rsid w:val="5C094C8E"/>
    <w:rsid w:val="5C0D6A67"/>
    <w:rsid w:val="5C173C20"/>
    <w:rsid w:val="5C1A29AA"/>
    <w:rsid w:val="5C1D66DF"/>
    <w:rsid w:val="5C256C5C"/>
    <w:rsid w:val="5C313AEE"/>
    <w:rsid w:val="5C3F18E4"/>
    <w:rsid w:val="5C433822"/>
    <w:rsid w:val="5C440896"/>
    <w:rsid w:val="5C5507DB"/>
    <w:rsid w:val="5C576A9A"/>
    <w:rsid w:val="5C5E4BB5"/>
    <w:rsid w:val="5C6460C2"/>
    <w:rsid w:val="5C6B14AF"/>
    <w:rsid w:val="5C6B7CDD"/>
    <w:rsid w:val="5C734427"/>
    <w:rsid w:val="5C743C38"/>
    <w:rsid w:val="5C753FBD"/>
    <w:rsid w:val="5C7D3B73"/>
    <w:rsid w:val="5C8E444F"/>
    <w:rsid w:val="5C9238ED"/>
    <w:rsid w:val="5C950521"/>
    <w:rsid w:val="5C9522F3"/>
    <w:rsid w:val="5C9C2561"/>
    <w:rsid w:val="5CA16EC6"/>
    <w:rsid w:val="5CAB2DEF"/>
    <w:rsid w:val="5CAE4D40"/>
    <w:rsid w:val="5CB118A4"/>
    <w:rsid w:val="5CB169DD"/>
    <w:rsid w:val="5CB90151"/>
    <w:rsid w:val="5CBF559E"/>
    <w:rsid w:val="5CCB23DA"/>
    <w:rsid w:val="5CCB4659"/>
    <w:rsid w:val="5CE241F5"/>
    <w:rsid w:val="5CE26312"/>
    <w:rsid w:val="5CE60EC1"/>
    <w:rsid w:val="5CE7687A"/>
    <w:rsid w:val="5CE80A78"/>
    <w:rsid w:val="5CE964FA"/>
    <w:rsid w:val="5CED4F00"/>
    <w:rsid w:val="5CF27722"/>
    <w:rsid w:val="5D037AAA"/>
    <w:rsid w:val="5D066D29"/>
    <w:rsid w:val="5D110DF0"/>
    <w:rsid w:val="5D125487"/>
    <w:rsid w:val="5D135979"/>
    <w:rsid w:val="5D1458EA"/>
    <w:rsid w:val="5D1C02FB"/>
    <w:rsid w:val="5D1E7743"/>
    <w:rsid w:val="5D20742E"/>
    <w:rsid w:val="5D213B63"/>
    <w:rsid w:val="5D2A2281"/>
    <w:rsid w:val="5D2C3D36"/>
    <w:rsid w:val="5D327B1E"/>
    <w:rsid w:val="5D333744"/>
    <w:rsid w:val="5D367714"/>
    <w:rsid w:val="5D3F13E0"/>
    <w:rsid w:val="5D4B33F2"/>
    <w:rsid w:val="5D4E06D0"/>
    <w:rsid w:val="5D4E2229"/>
    <w:rsid w:val="5D516D75"/>
    <w:rsid w:val="5D694C73"/>
    <w:rsid w:val="5D6A35D0"/>
    <w:rsid w:val="5D6F3E31"/>
    <w:rsid w:val="5D8440F2"/>
    <w:rsid w:val="5D9023ED"/>
    <w:rsid w:val="5D924A61"/>
    <w:rsid w:val="5D9C1821"/>
    <w:rsid w:val="5DA0717E"/>
    <w:rsid w:val="5DA424B0"/>
    <w:rsid w:val="5DB14E3C"/>
    <w:rsid w:val="5DBD55D9"/>
    <w:rsid w:val="5DBF3F49"/>
    <w:rsid w:val="5DD1073C"/>
    <w:rsid w:val="5DD358DD"/>
    <w:rsid w:val="5DDC12FC"/>
    <w:rsid w:val="5DEB4A20"/>
    <w:rsid w:val="5DF80C6D"/>
    <w:rsid w:val="5DF94596"/>
    <w:rsid w:val="5E0314BA"/>
    <w:rsid w:val="5E06344E"/>
    <w:rsid w:val="5E0B3C39"/>
    <w:rsid w:val="5E2638B8"/>
    <w:rsid w:val="5E271C93"/>
    <w:rsid w:val="5E337FF2"/>
    <w:rsid w:val="5E441B05"/>
    <w:rsid w:val="5E447596"/>
    <w:rsid w:val="5E453C56"/>
    <w:rsid w:val="5E4577A1"/>
    <w:rsid w:val="5E4A533B"/>
    <w:rsid w:val="5E5C3E75"/>
    <w:rsid w:val="5E602469"/>
    <w:rsid w:val="5E79121B"/>
    <w:rsid w:val="5E797EB5"/>
    <w:rsid w:val="5E7F3237"/>
    <w:rsid w:val="5E7F7895"/>
    <w:rsid w:val="5E82081A"/>
    <w:rsid w:val="5E96232F"/>
    <w:rsid w:val="5EB1716B"/>
    <w:rsid w:val="5EB378FE"/>
    <w:rsid w:val="5EB427B5"/>
    <w:rsid w:val="5EB52D47"/>
    <w:rsid w:val="5EB94577"/>
    <w:rsid w:val="5EBB3254"/>
    <w:rsid w:val="5EC23124"/>
    <w:rsid w:val="5ECC1C23"/>
    <w:rsid w:val="5ECD607D"/>
    <w:rsid w:val="5ECF26F0"/>
    <w:rsid w:val="5EDC1FD4"/>
    <w:rsid w:val="5EDD34B2"/>
    <w:rsid w:val="5EDE7A16"/>
    <w:rsid w:val="5EEE46E5"/>
    <w:rsid w:val="5EF376B1"/>
    <w:rsid w:val="5F0441B1"/>
    <w:rsid w:val="5F074075"/>
    <w:rsid w:val="5F0C4827"/>
    <w:rsid w:val="5F1812F4"/>
    <w:rsid w:val="5F24252F"/>
    <w:rsid w:val="5F24793A"/>
    <w:rsid w:val="5F334021"/>
    <w:rsid w:val="5F36141C"/>
    <w:rsid w:val="5F396D54"/>
    <w:rsid w:val="5F3C6553"/>
    <w:rsid w:val="5F555D46"/>
    <w:rsid w:val="5F5C78D3"/>
    <w:rsid w:val="5F5D467C"/>
    <w:rsid w:val="5F6F1B1A"/>
    <w:rsid w:val="5F7470DF"/>
    <w:rsid w:val="5F750405"/>
    <w:rsid w:val="5F833C40"/>
    <w:rsid w:val="5F903222"/>
    <w:rsid w:val="5F9E226B"/>
    <w:rsid w:val="5FA44230"/>
    <w:rsid w:val="5FA665A1"/>
    <w:rsid w:val="5FAA3AFF"/>
    <w:rsid w:val="5FC5111D"/>
    <w:rsid w:val="5FD27396"/>
    <w:rsid w:val="5FD31841"/>
    <w:rsid w:val="5FD92450"/>
    <w:rsid w:val="5FE53E51"/>
    <w:rsid w:val="5FE56528"/>
    <w:rsid w:val="5FE65A7D"/>
    <w:rsid w:val="5FEC339C"/>
    <w:rsid w:val="5FF76DFD"/>
    <w:rsid w:val="60011A2A"/>
    <w:rsid w:val="60061DF7"/>
    <w:rsid w:val="60105F49"/>
    <w:rsid w:val="601427B8"/>
    <w:rsid w:val="60255713"/>
    <w:rsid w:val="602821CF"/>
    <w:rsid w:val="602D40D8"/>
    <w:rsid w:val="603C46F3"/>
    <w:rsid w:val="604D12DD"/>
    <w:rsid w:val="60547FA0"/>
    <w:rsid w:val="60583D40"/>
    <w:rsid w:val="605E50CE"/>
    <w:rsid w:val="606210AF"/>
    <w:rsid w:val="60687F2B"/>
    <w:rsid w:val="606F1089"/>
    <w:rsid w:val="6072134A"/>
    <w:rsid w:val="60725F80"/>
    <w:rsid w:val="607E307A"/>
    <w:rsid w:val="608A7C71"/>
    <w:rsid w:val="608B1383"/>
    <w:rsid w:val="608C5797"/>
    <w:rsid w:val="60913563"/>
    <w:rsid w:val="60997EB4"/>
    <w:rsid w:val="609A350B"/>
    <w:rsid w:val="609A58D5"/>
    <w:rsid w:val="60BB607C"/>
    <w:rsid w:val="60C34A45"/>
    <w:rsid w:val="60C4204E"/>
    <w:rsid w:val="60D14BE6"/>
    <w:rsid w:val="60D45F04"/>
    <w:rsid w:val="60DF3EFC"/>
    <w:rsid w:val="60E70F31"/>
    <w:rsid w:val="60E71957"/>
    <w:rsid w:val="60E72DBA"/>
    <w:rsid w:val="60ED47F3"/>
    <w:rsid w:val="60F72D40"/>
    <w:rsid w:val="610405E7"/>
    <w:rsid w:val="61041DB2"/>
    <w:rsid w:val="61057833"/>
    <w:rsid w:val="61072AD0"/>
    <w:rsid w:val="610E2650"/>
    <w:rsid w:val="61173FFF"/>
    <w:rsid w:val="6118527D"/>
    <w:rsid w:val="611F6EE4"/>
    <w:rsid w:val="61286B5F"/>
    <w:rsid w:val="612A5035"/>
    <w:rsid w:val="612C11D1"/>
    <w:rsid w:val="61357BDD"/>
    <w:rsid w:val="61614E76"/>
    <w:rsid w:val="616917DC"/>
    <w:rsid w:val="616C3E03"/>
    <w:rsid w:val="6177777B"/>
    <w:rsid w:val="617E0582"/>
    <w:rsid w:val="6188757A"/>
    <w:rsid w:val="61914D9C"/>
    <w:rsid w:val="61915B6A"/>
    <w:rsid w:val="619D1B13"/>
    <w:rsid w:val="619D22AF"/>
    <w:rsid w:val="619F4326"/>
    <w:rsid w:val="61A316BC"/>
    <w:rsid w:val="61A84853"/>
    <w:rsid w:val="61AD5404"/>
    <w:rsid w:val="61AF5FAD"/>
    <w:rsid w:val="61BD612B"/>
    <w:rsid w:val="61C7189C"/>
    <w:rsid w:val="61CE5BC3"/>
    <w:rsid w:val="61D03DA9"/>
    <w:rsid w:val="61D10B63"/>
    <w:rsid w:val="61D20161"/>
    <w:rsid w:val="61D933E4"/>
    <w:rsid w:val="61E82848"/>
    <w:rsid w:val="61E82EA1"/>
    <w:rsid w:val="61EA6C19"/>
    <w:rsid w:val="61F12690"/>
    <w:rsid w:val="61F348BD"/>
    <w:rsid w:val="61FB0E26"/>
    <w:rsid w:val="62142C74"/>
    <w:rsid w:val="621E04DB"/>
    <w:rsid w:val="62251B0C"/>
    <w:rsid w:val="62264CD4"/>
    <w:rsid w:val="623779B1"/>
    <w:rsid w:val="623D02E8"/>
    <w:rsid w:val="623F023C"/>
    <w:rsid w:val="624215C5"/>
    <w:rsid w:val="62436034"/>
    <w:rsid w:val="62451C3F"/>
    <w:rsid w:val="624A590A"/>
    <w:rsid w:val="62643CF8"/>
    <w:rsid w:val="626F59A3"/>
    <w:rsid w:val="62736511"/>
    <w:rsid w:val="62776B0A"/>
    <w:rsid w:val="627E55B4"/>
    <w:rsid w:val="627E76E1"/>
    <w:rsid w:val="628A23DC"/>
    <w:rsid w:val="629C2F58"/>
    <w:rsid w:val="62A768B8"/>
    <w:rsid w:val="62A77C19"/>
    <w:rsid w:val="62A94E73"/>
    <w:rsid w:val="62AE2A85"/>
    <w:rsid w:val="62B02CB8"/>
    <w:rsid w:val="62BC30F1"/>
    <w:rsid w:val="62BD348D"/>
    <w:rsid w:val="62D652C2"/>
    <w:rsid w:val="62D82F16"/>
    <w:rsid w:val="62DB14E6"/>
    <w:rsid w:val="62EF16DE"/>
    <w:rsid w:val="62F04BE1"/>
    <w:rsid w:val="62F0715F"/>
    <w:rsid w:val="62F516DF"/>
    <w:rsid w:val="62F74E19"/>
    <w:rsid w:val="63033C02"/>
    <w:rsid w:val="63082571"/>
    <w:rsid w:val="63085CDC"/>
    <w:rsid w:val="630B644D"/>
    <w:rsid w:val="630E6937"/>
    <w:rsid w:val="630F7A14"/>
    <w:rsid w:val="63114176"/>
    <w:rsid w:val="631E69AA"/>
    <w:rsid w:val="631F442B"/>
    <w:rsid w:val="632131B2"/>
    <w:rsid w:val="632C5E70"/>
    <w:rsid w:val="63365FCF"/>
    <w:rsid w:val="633D5D1F"/>
    <w:rsid w:val="63402869"/>
    <w:rsid w:val="63411336"/>
    <w:rsid w:val="6344515E"/>
    <w:rsid w:val="634B0FC2"/>
    <w:rsid w:val="634E7862"/>
    <w:rsid w:val="635579ED"/>
    <w:rsid w:val="635D67A5"/>
    <w:rsid w:val="636059BD"/>
    <w:rsid w:val="63626DC1"/>
    <w:rsid w:val="636A3CCE"/>
    <w:rsid w:val="637349EC"/>
    <w:rsid w:val="6377613F"/>
    <w:rsid w:val="638219C0"/>
    <w:rsid w:val="63836319"/>
    <w:rsid w:val="639A229E"/>
    <w:rsid w:val="639A75F8"/>
    <w:rsid w:val="63A34684"/>
    <w:rsid w:val="63AA7FA8"/>
    <w:rsid w:val="63AC7512"/>
    <w:rsid w:val="63AF6069"/>
    <w:rsid w:val="63C70076"/>
    <w:rsid w:val="63C82F8A"/>
    <w:rsid w:val="63D62198"/>
    <w:rsid w:val="63D7190C"/>
    <w:rsid w:val="63DE29D7"/>
    <w:rsid w:val="63F656CF"/>
    <w:rsid w:val="63FF26E0"/>
    <w:rsid w:val="640A78AC"/>
    <w:rsid w:val="64261175"/>
    <w:rsid w:val="6427203D"/>
    <w:rsid w:val="642B5570"/>
    <w:rsid w:val="642D6001"/>
    <w:rsid w:val="642F0F87"/>
    <w:rsid w:val="642F7CB8"/>
    <w:rsid w:val="645B6BE2"/>
    <w:rsid w:val="645E4247"/>
    <w:rsid w:val="646802C9"/>
    <w:rsid w:val="646D3D82"/>
    <w:rsid w:val="64801AB7"/>
    <w:rsid w:val="64915F46"/>
    <w:rsid w:val="649D4417"/>
    <w:rsid w:val="64A27E52"/>
    <w:rsid w:val="64A435CD"/>
    <w:rsid w:val="64A97CF5"/>
    <w:rsid w:val="64CB796A"/>
    <w:rsid w:val="64CE08EF"/>
    <w:rsid w:val="64D34D76"/>
    <w:rsid w:val="64D65CFB"/>
    <w:rsid w:val="64DB0A9B"/>
    <w:rsid w:val="64DD0F09"/>
    <w:rsid w:val="64E83DE8"/>
    <w:rsid w:val="64EE4C72"/>
    <w:rsid w:val="64EF4547"/>
    <w:rsid w:val="64F2596B"/>
    <w:rsid w:val="650023C2"/>
    <w:rsid w:val="650151DB"/>
    <w:rsid w:val="650852D4"/>
    <w:rsid w:val="650A75D2"/>
    <w:rsid w:val="65110961"/>
    <w:rsid w:val="651A15EE"/>
    <w:rsid w:val="651D1EC8"/>
    <w:rsid w:val="65215A12"/>
    <w:rsid w:val="652911A2"/>
    <w:rsid w:val="65302769"/>
    <w:rsid w:val="65441C91"/>
    <w:rsid w:val="65457634"/>
    <w:rsid w:val="65470F70"/>
    <w:rsid w:val="654A5B17"/>
    <w:rsid w:val="654E3963"/>
    <w:rsid w:val="654F4FE5"/>
    <w:rsid w:val="655016BB"/>
    <w:rsid w:val="6559333B"/>
    <w:rsid w:val="65597015"/>
    <w:rsid w:val="655C1AF8"/>
    <w:rsid w:val="656E2F3B"/>
    <w:rsid w:val="65762391"/>
    <w:rsid w:val="657A2ED4"/>
    <w:rsid w:val="65813C15"/>
    <w:rsid w:val="65863920"/>
    <w:rsid w:val="65A05841"/>
    <w:rsid w:val="65A2716B"/>
    <w:rsid w:val="65AE1C35"/>
    <w:rsid w:val="65AE5462"/>
    <w:rsid w:val="65B23EF2"/>
    <w:rsid w:val="65B92CC9"/>
    <w:rsid w:val="65BF27BC"/>
    <w:rsid w:val="65C36135"/>
    <w:rsid w:val="65C710C5"/>
    <w:rsid w:val="65C73ADE"/>
    <w:rsid w:val="65CE6293"/>
    <w:rsid w:val="65D04378"/>
    <w:rsid w:val="65E12D35"/>
    <w:rsid w:val="65E534EF"/>
    <w:rsid w:val="65EA2EBA"/>
    <w:rsid w:val="65EC32C5"/>
    <w:rsid w:val="65F01A96"/>
    <w:rsid w:val="65F22BB6"/>
    <w:rsid w:val="66012783"/>
    <w:rsid w:val="660E1486"/>
    <w:rsid w:val="66146C63"/>
    <w:rsid w:val="661E7317"/>
    <w:rsid w:val="6627097F"/>
    <w:rsid w:val="662A0BAB"/>
    <w:rsid w:val="662C71A3"/>
    <w:rsid w:val="66344907"/>
    <w:rsid w:val="66383AE8"/>
    <w:rsid w:val="663D1DCA"/>
    <w:rsid w:val="66444C48"/>
    <w:rsid w:val="66457407"/>
    <w:rsid w:val="66507267"/>
    <w:rsid w:val="665A38F8"/>
    <w:rsid w:val="6669784C"/>
    <w:rsid w:val="666C6F22"/>
    <w:rsid w:val="667A0F34"/>
    <w:rsid w:val="667E6B45"/>
    <w:rsid w:val="66894448"/>
    <w:rsid w:val="66894D85"/>
    <w:rsid w:val="668A3F3C"/>
    <w:rsid w:val="66903DD3"/>
    <w:rsid w:val="669855B8"/>
    <w:rsid w:val="66A739F8"/>
    <w:rsid w:val="66AF24E6"/>
    <w:rsid w:val="66C3259F"/>
    <w:rsid w:val="66C373BF"/>
    <w:rsid w:val="66C700C4"/>
    <w:rsid w:val="66D93700"/>
    <w:rsid w:val="66EA10AD"/>
    <w:rsid w:val="66EE416C"/>
    <w:rsid w:val="66F50DF7"/>
    <w:rsid w:val="66F71181"/>
    <w:rsid w:val="66FF2D41"/>
    <w:rsid w:val="67024DAC"/>
    <w:rsid w:val="67050051"/>
    <w:rsid w:val="671B17B8"/>
    <w:rsid w:val="6728524B"/>
    <w:rsid w:val="672C7336"/>
    <w:rsid w:val="672C74D4"/>
    <w:rsid w:val="67307337"/>
    <w:rsid w:val="673A6CEF"/>
    <w:rsid w:val="673C4D43"/>
    <w:rsid w:val="674C3ED2"/>
    <w:rsid w:val="674F246D"/>
    <w:rsid w:val="67583798"/>
    <w:rsid w:val="67612AD9"/>
    <w:rsid w:val="676166A9"/>
    <w:rsid w:val="676C6322"/>
    <w:rsid w:val="676E7F3D"/>
    <w:rsid w:val="67734258"/>
    <w:rsid w:val="67767967"/>
    <w:rsid w:val="677A5055"/>
    <w:rsid w:val="677A75D3"/>
    <w:rsid w:val="67887528"/>
    <w:rsid w:val="678C42CF"/>
    <w:rsid w:val="678C48BD"/>
    <w:rsid w:val="678F5EF4"/>
    <w:rsid w:val="679130CF"/>
    <w:rsid w:val="67943C27"/>
    <w:rsid w:val="67AF7FBD"/>
    <w:rsid w:val="67B406B2"/>
    <w:rsid w:val="67B51A77"/>
    <w:rsid w:val="67B80600"/>
    <w:rsid w:val="67BA52E0"/>
    <w:rsid w:val="67D143D7"/>
    <w:rsid w:val="67D65A90"/>
    <w:rsid w:val="67EE6D37"/>
    <w:rsid w:val="67EF5014"/>
    <w:rsid w:val="67F267F8"/>
    <w:rsid w:val="67F26828"/>
    <w:rsid w:val="67F85AF2"/>
    <w:rsid w:val="68030A35"/>
    <w:rsid w:val="680B1697"/>
    <w:rsid w:val="68102D20"/>
    <w:rsid w:val="68144654"/>
    <w:rsid w:val="681A5D7E"/>
    <w:rsid w:val="68276D46"/>
    <w:rsid w:val="6828189F"/>
    <w:rsid w:val="6829726E"/>
    <w:rsid w:val="682A2E18"/>
    <w:rsid w:val="682B15F5"/>
    <w:rsid w:val="68364B4E"/>
    <w:rsid w:val="6837113C"/>
    <w:rsid w:val="685112C3"/>
    <w:rsid w:val="68525518"/>
    <w:rsid w:val="68572309"/>
    <w:rsid w:val="68642184"/>
    <w:rsid w:val="68642A54"/>
    <w:rsid w:val="686C7830"/>
    <w:rsid w:val="68721D6A"/>
    <w:rsid w:val="687A681D"/>
    <w:rsid w:val="688B27D8"/>
    <w:rsid w:val="688C1FD2"/>
    <w:rsid w:val="688D7571"/>
    <w:rsid w:val="68910C40"/>
    <w:rsid w:val="68B00491"/>
    <w:rsid w:val="68C73114"/>
    <w:rsid w:val="68CA5ED8"/>
    <w:rsid w:val="68E61D28"/>
    <w:rsid w:val="68E65C61"/>
    <w:rsid w:val="68E82F52"/>
    <w:rsid w:val="68EB2B79"/>
    <w:rsid w:val="68F92F8D"/>
    <w:rsid w:val="69086737"/>
    <w:rsid w:val="690D4335"/>
    <w:rsid w:val="69143AF1"/>
    <w:rsid w:val="69172DED"/>
    <w:rsid w:val="693710DE"/>
    <w:rsid w:val="694158BA"/>
    <w:rsid w:val="69433658"/>
    <w:rsid w:val="69486D38"/>
    <w:rsid w:val="695074D3"/>
    <w:rsid w:val="69512143"/>
    <w:rsid w:val="695B664F"/>
    <w:rsid w:val="696911AE"/>
    <w:rsid w:val="696A4500"/>
    <w:rsid w:val="69894DB5"/>
    <w:rsid w:val="698E662B"/>
    <w:rsid w:val="69905753"/>
    <w:rsid w:val="699121C1"/>
    <w:rsid w:val="699345C0"/>
    <w:rsid w:val="69937B96"/>
    <w:rsid w:val="699B6911"/>
    <w:rsid w:val="69A43B52"/>
    <w:rsid w:val="69AC6EAA"/>
    <w:rsid w:val="69B55D5F"/>
    <w:rsid w:val="69C2222A"/>
    <w:rsid w:val="69C51D1A"/>
    <w:rsid w:val="69C73CE4"/>
    <w:rsid w:val="69CA05AB"/>
    <w:rsid w:val="69E4001D"/>
    <w:rsid w:val="69E51C4B"/>
    <w:rsid w:val="69E82B0F"/>
    <w:rsid w:val="69F36887"/>
    <w:rsid w:val="69FD2532"/>
    <w:rsid w:val="6A0500BE"/>
    <w:rsid w:val="6A071E00"/>
    <w:rsid w:val="6A073AA8"/>
    <w:rsid w:val="6A0C2C21"/>
    <w:rsid w:val="6A1142BF"/>
    <w:rsid w:val="6A154999"/>
    <w:rsid w:val="6A195E69"/>
    <w:rsid w:val="6A1F767C"/>
    <w:rsid w:val="6A2C3B47"/>
    <w:rsid w:val="6A4315BC"/>
    <w:rsid w:val="6A440E91"/>
    <w:rsid w:val="6A49294B"/>
    <w:rsid w:val="6A4D41E9"/>
    <w:rsid w:val="6A4F3918"/>
    <w:rsid w:val="6A5105C2"/>
    <w:rsid w:val="6A5437CA"/>
    <w:rsid w:val="6A71346D"/>
    <w:rsid w:val="6A721EA2"/>
    <w:rsid w:val="6A775937"/>
    <w:rsid w:val="6A8A46FA"/>
    <w:rsid w:val="6A986D21"/>
    <w:rsid w:val="6A9B2674"/>
    <w:rsid w:val="6AA87DCA"/>
    <w:rsid w:val="6AB62858"/>
    <w:rsid w:val="6ACD4FC1"/>
    <w:rsid w:val="6AD20C96"/>
    <w:rsid w:val="6AD97090"/>
    <w:rsid w:val="6AE76BE9"/>
    <w:rsid w:val="6AE807B5"/>
    <w:rsid w:val="6AEA1A38"/>
    <w:rsid w:val="6AED3865"/>
    <w:rsid w:val="6B011F97"/>
    <w:rsid w:val="6B021FBD"/>
    <w:rsid w:val="6B0A5858"/>
    <w:rsid w:val="6B0E29B2"/>
    <w:rsid w:val="6B3A79EB"/>
    <w:rsid w:val="6B3F3181"/>
    <w:rsid w:val="6B44273D"/>
    <w:rsid w:val="6B465904"/>
    <w:rsid w:val="6B482C03"/>
    <w:rsid w:val="6B4A5933"/>
    <w:rsid w:val="6B4F70C5"/>
    <w:rsid w:val="6B5B46E4"/>
    <w:rsid w:val="6B6449E9"/>
    <w:rsid w:val="6B715CB5"/>
    <w:rsid w:val="6B7845BA"/>
    <w:rsid w:val="6B826114"/>
    <w:rsid w:val="6B8B79FD"/>
    <w:rsid w:val="6B8E10FC"/>
    <w:rsid w:val="6B9225EF"/>
    <w:rsid w:val="6B947BF6"/>
    <w:rsid w:val="6BA914C0"/>
    <w:rsid w:val="6BAC13E3"/>
    <w:rsid w:val="6BAE1E2A"/>
    <w:rsid w:val="6BB42046"/>
    <w:rsid w:val="6BB71B46"/>
    <w:rsid w:val="6BB7260B"/>
    <w:rsid w:val="6BC44A51"/>
    <w:rsid w:val="6BCF0C2E"/>
    <w:rsid w:val="6BCF125C"/>
    <w:rsid w:val="6BD36970"/>
    <w:rsid w:val="6BD9560E"/>
    <w:rsid w:val="6BE4292B"/>
    <w:rsid w:val="6BE902A4"/>
    <w:rsid w:val="6BEB329A"/>
    <w:rsid w:val="6BEC0D1C"/>
    <w:rsid w:val="6BF239FF"/>
    <w:rsid w:val="6BF464B5"/>
    <w:rsid w:val="6BFE4F45"/>
    <w:rsid w:val="6C0072E5"/>
    <w:rsid w:val="6C032D55"/>
    <w:rsid w:val="6C060AF4"/>
    <w:rsid w:val="6C09284A"/>
    <w:rsid w:val="6C0D41AC"/>
    <w:rsid w:val="6C0F0C37"/>
    <w:rsid w:val="6C152327"/>
    <w:rsid w:val="6C164AAF"/>
    <w:rsid w:val="6C1808E6"/>
    <w:rsid w:val="6C1D2E26"/>
    <w:rsid w:val="6C1E3B87"/>
    <w:rsid w:val="6C1F5BAD"/>
    <w:rsid w:val="6C2076DB"/>
    <w:rsid w:val="6C230A7B"/>
    <w:rsid w:val="6C25217A"/>
    <w:rsid w:val="6C25681A"/>
    <w:rsid w:val="6C383399"/>
    <w:rsid w:val="6C390445"/>
    <w:rsid w:val="6C541E33"/>
    <w:rsid w:val="6C5630FD"/>
    <w:rsid w:val="6C5871B6"/>
    <w:rsid w:val="6C5E0635"/>
    <w:rsid w:val="6C5F3DF6"/>
    <w:rsid w:val="6C6509E5"/>
    <w:rsid w:val="6C74335F"/>
    <w:rsid w:val="6C7937AF"/>
    <w:rsid w:val="6C795FAF"/>
    <w:rsid w:val="6C7B2887"/>
    <w:rsid w:val="6C7B5091"/>
    <w:rsid w:val="6C832144"/>
    <w:rsid w:val="6C847C6A"/>
    <w:rsid w:val="6C8934D3"/>
    <w:rsid w:val="6C951E77"/>
    <w:rsid w:val="6CA43297"/>
    <w:rsid w:val="6CA7310F"/>
    <w:rsid w:val="6CA94E22"/>
    <w:rsid w:val="6CB40765"/>
    <w:rsid w:val="6CC664D5"/>
    <w:rsid w:val="6CCC0102"/>
    <w:rsid w:val="6CCD33BF"/>
    <w:rsid w:val="6CD670B7"/>
    <w:rsid w:val="6CD909AD"/>
    <w:rsid w:val="6CD92F23"/>
    <w:rsid w:val="6CE10E70"/>
    <w:rsid w:val="6D0446EE"/>
    <w:rsid w:val="6D155306"/>
    <w:rsid w:val="6D176D30"/>
    <w:rsid w:val="6D1A3CAC"/>
    <w:rsid w:val="6D205BE5"/>
    <w:rsid w:val="6D29640D"/>
    <w:rsid w:val="6D2B4D20"/>
    <w:rsid w:val="6D2E042E"/>
    <w:rsid w:val="6D2F5E28"/>
    <w:rsid w:val="6D370D3E"/>
    <w:rsid w:val="6D394E41"/>
    <w:rsid w:val="6D3B1544"/>
    <w:rsid w:val="6D446D4F"/>
    <w:rsid w:val="6D48513C"/>
    <w:rsid w:val="6D5B2E41"/>
    <w:rsid w:val="6D740BA3"/>
    <w:rsid w:val="6D8223FC"/>
    <w:rsid w:val="6D970D57"/>
    <w:rsid w:val="6D9D06E2"/>
    <w:rsid w:val="6DB0387F"/>
    <w:rsid w:val="6DCE60FB"/>
    <w:rsid w:val="6DD10C8D"/>
    <w:rsid w:val="6DD4663E"/>
    <w:rsid w:val="6DDA1310"/>
    <w:rsid w:val="6DE0074F"/>
    <w:rsid w:val="6E070112"/>
    <w:rsid w:val="6E0E1EE1"/>
    <w:rsid w:val="6E0F2A6A"/>
    <w:rsid w:val="6E246564"/>
    <w:rsid w:val="6E361438"/>
    <w:rsid w:val="6E382615"/>
    <w:rsid w:val="6E40370E"/>
    <w:rsid w:val="6E472043"/>
    <w:rsid w:val="6E4E2A84"/>
    <w:rsid w:val="6E503372"/>
    <w:rsid w:val="6E59211A"/>
    <w:rsid w:val="6E623FDB"/>
    <w:rsid w:val="6E6A0D4E"/>
    <w:rsid w:val="6E6C043A"/>
    <w:rsid w:val="6E7219BF"/>
    <w:rsid w:val="6E745AA1"/>
    <w:rsid w:val="6E75517D"/>
    <w:rsid w:val="6E7A4290"/>
    <w:rsid w:val="6E80181D"/>
    <w:rsid w:val="6E873A42"/>
    <w:rsid w:val="6E8772A6"/>
    <w:rsid w:val="6E95001C"/>
    <w:rsid w:val="6EA33813"/>
    <w:rsid w:val="6EA347C9"/>
    <w:rsid w:val="6EAE7626"/>
    <w:rsid w:val="6EB14085"/>
    <w:rsid w:val="6EB5235D"/>
    <w:rsid w:val="6EC03EA2"/>
    <w:rsid w:val="6EC43A47"/>
    <w:rsid w:val="6EC72090"/>
    <w:rsid w:val="6ECE01AD"/>
    <w:rsid w:val="6ED461E0"/>
    <w:rsid w:val="6EE01F27"/>
    <w:rsid w:val="6EE449F0"/>
    <w:rsid w:val="6EEB3C07"/>
    <w:rsid w:val="6EF44517"/>
    <w:rsid w:val="6F03595C"/>
    <w:rsid w:val="6F044DA8"/>
    <w:rsid w:val="6F0B557E"/>
    <w:rsid w:val="6F0C4904"/>
    <w:rsid w:val="6F2B0871"/>
    <w:rsid w:val="6F335386"/>
    <w:rsid w:val="6F352D82"/>
    <w:rsid w:val="6F3E05A4"/>
    <w:rsid w:val="6F540CA9"/>
    <w:rsid w:val="6F5430C0"/>
    <w:rsid w:val="6F5F59C2"/>
    <w:rsid w:val="6F6F4C26"/>
    <w:rsid w:val="6F712728"/>
    <w:rsid w:val="6F7C7C3D"/>
    <w:rsid w:val="6F8B248C"/>
    <w:rsid w:val="6F991C7F"/>
    <w:rsid w:val="6F9A4FDF"/>
    <w:rsid w:val="6FA56875"/>
    <w:rsid w:val="6FAA5CAD"/>
    <w:rsid w:val="6FAB29C1"/>
    <w:rsid w:val="6FB16245"/>
    <w:rsid w:val="6FC54BEF"/>
    <w:rsid w:val="6FC5768B"/>
    <w:rsid w:val="6FC71ABD"/>
    <w:rsid w:val="6FCB6AF9"/>
    <w:rsid w:val="6FD25EA1"/>
    <w:rsid w:val="6FD35191"/>
    <w:rsid w:val="6FD42CB7"/>
    <w:rsid w:val="6FD76702"/>
    <w:rsid w:val="6FDC0F91"/>
    <w:rsid w:val="6FDE0D08"/>
    <w:rsid w:val="6FF60AEF"/>
    <w:rsid w:val="6FF6127D"/>
    <w:rsid w:val="6FF96343"/>
    <w:rsid w:val="6FFB5B3A"/>
    <w:rsid w:val="701532A3"/>
    <w:rsid w:val="701C4E8B"/>
    <w:rsid w:val="70237187"/>
    <w:rsid w:val="7025268A"/>
    <w:rsid w:val="70293D7A"/>
    <w:rsid w:val="70430EAA"/>
    <w:rsid w:val="70483B44"/>
    <w:rsid w:val="705931BC"/>
    <w:rsid w:val="705D73B8"/>
    <w:rsid w:val="706F3EDB"/>
    <w:rsid w:val="70862203"/>
    <w:rsid w:val="70981F36"/>
    <w:rsid w:val="70A81B57"/>
    <w:rsid w:val="70B03E52"/>
    <w:rsid w:val="70B07280"/>
    <w:rsid w:val="70B90980"/>
    <w:rsid w:val="70CE401F"/>
    <w:rsid w:val="70D21AA5"/>
    <w:rsid w:val="70DE3777"/>
    <w:rsid w:val="70E262BF"/>
    <w:rsid w:val="70F57389"/>
    <w:rsid w:val="70F80C27"/>
    <w:rsid w:val="70FA3707"/>
    <w:rsid w:val="70FE53E8"/>
    <w:rsid w:val="711D41EA"/>
    <w:rsid w:val="711E068D"/>
    <w:rsid w:val="71325EE7"/>
    <w:rsid w:val="7133776B"/>
    <w:rsid w:val="713D78D4"/>
    <w:rsid w:val="713F665A"/>
    <w:rsid w:val="71463740"/>
    <w:rsid w:val="71487EC7"/>
    <w:rsid w:val="71511DF8"/>
    <w:rsid w:val="71530B04"/>
    <w:rsid w:val="715A5D6A"/>
    <w:rsid w:val="7161057A"/>
    <w:rsid w:val="71612B50"/>
    <w:rsid w:val="71680579"/>
    <w:rsid w:val="71685DAD"/>
    <w:rsid w:val="71760D33"/>
    <w:rsid w:val="7179553A"/>
    <w:rsid w:val="717958C4"/>
    <w:rsid w:val="717C1858"/>
    <w:rsid w:val="7182411F"/>
    <w:rsid w:val="71840147"/>
    <w:rsid w:val="718A4B57"/>
    <w:rsid w:val="719130E6"/>
    <w:rsid w:val="71920D2A"/>
    <w:rsid w:val="71931163"/>
    <w:rsid w:val="71A208FD"/>
    <w:rsid w:val="71AD2DDE"/>
    <w:rsid w:val="71C034F3"/>
    <w:rsid w:val="71C13613"/>
    <w:rsid w:val="71C57BB8"/>
    <w:rsid w:val="71CE706C"/>
    <w:rsid w:val="71D51EF2"/>
    <w:rsid w:val="71D932B7"/>
    <w:rsid w:val="71EB6A14"/>
    <w:rsid w:val="71EC42E8"/>
    <w:rsid w:val="71ED7A78"/>
    <w:rsid w:val="7207078C"/>
    <w:rsid w:val="720A5E7E"/>
    <w:rsid w:val="721169B3"/>
    <w:rsid w:val="72120143"/>
    <w:rsid w:val="72150A46"/>
    <w:rsid w:val="721F6552"/>
    <w:rsid w:val="72222707"/>
    <w:rsid w:val="72272376"/>
    <w:rsid w:val="722E596A"/>
    <w:rsid w:val="722F3DFA"/>
    <w:rsid w:val="72340516"/>
    <w:rsid w:val="723E7A36"/>
    <w:rsid w:val="72403C7E"/>
    <w:rsid w:val="72477770"/>
    <w:rsid w:val="725400DF"/>
    <w:rsid w:val="72572D1E"/>
    <w:rsid w:val="725E7F10"/>
    <w:rsid w:val="72613807"/>
    <w:rsid w:val="727238EA"/>
    <w:rsid w:val="727429AB"/>
    <w:rsid w:val="72920205"/>
    <w:rsid w:val="7292139F"/>
    <w:rsid w:val="729A6D07"/>
    <w:rsid w:val="72A22A1E"/>
    <w:rsid w:val="72A9136A"/>
    <w:rsid w:val="72AC2B54"/>
    <w:rsid w:val="72AE628D"/>
    <w:rsid w:val="72CC4119"/>
    <w:rsid w:val="72EE6064"/>
    <w:rsid w:val="73062743"/>
    <w:rsid w:val="7318735E"/>
    <w:rsid w:val="731F693F"/>
    <w:rsid w:val="732E03B5"/>
    <w:rsid w:val="732E72F9"/>
    <w:rsid w:val="73334198"/>
    <w:rsid w:val="733A5C69"/>
    <w:rsid w:val="733A771A"/>
    <w:rsid w:val="733F6699"/>
    <w:rsid w:val="73491E8F"/>
    <w:rsid w:val="7355638E"/>
    <w:rsid w:val="735F0AE9"/>
    <w:rsid w:val="7363682B"/>
    <w:rsid w:val="73643DE1"/>
    <w:rsid w:val="73671066"/>
    <w:rsid w:val="736F0A6B"/>
    <w:rsid w:val="737722D7"/>
    <w:rsid w:val="737C66C2"/>
    <w:rsid w:val="73832A2A"/>
    <w:rsid w:val="738F6E24"/>
    <w:rsid w:val="73966C01"/>
    <w:rsid w:val="739B64B9"/>
    <w:rsid w:val="73AE76A4"/>
    <w:rsid w:val="73AF7CC3"/>
    <w:rsid w:val="73BA31F7"/>
    <w:rsid w:val="73CE218C"/>
    <w:rsid w:val="73D05762"/>
    <w:rsid w:val="73E31FE5"/>
    <w:rsid w:val="7410142A"/>
    <w:rsid w:val="7429771C"/>
    <w:rsid w:val="742B4687"/>
    <w:rsid w:val="742E75A7"/>
    <w:rsid w:val="74337DA4"/>
    <w:rsid w:val="74402983"/>
    <w:rsid w:val="74416C47"/>
    <w:rsid w:val="7443230A"/>
    <w:rsid w:val="746016FA"/>
    <w:rsid w:val="74707C36"/>
    <w:rsid w:val="74714E72"/>
    <w:rsid w:val="7481790F"/>
    <w:rsid w:val="748F3650"/>
    <w:rsid w:val="748F714F"/>
    <w:rsid w:val="7490135F"/>
    <w:rsid w:val="74A878F0"/>
    <w:rsid w:val="74B35815"/>
    <w:rsid w:val="74B62BF8"/>
    <w:rsid w:val="74B8613C"/>
    <w:rsid w:val="74C4223F"/>
    <w:rsid w:val="74C468F8"/>
    <w:rsid w:val="74CB0937"/>
    <w:rsid w:val="74D552C0"/>
    <w:rsid w:val="74D769FD"/>
    <w:rsid w:val="74E514C2"/>
    <w:rsid w:val="74E52C9C"/>
    <w:rsid w:val="74F86CED"/>
    <w:rsid w:val="751A4786"/>
    <w:rsid w:val="75202EB4"/>
    <w:rsid w:val="75355FA6"/>
    <w:rsid w:val="753A35BC"/>
    <w:rsid w:val="753C2362"/>
    <w:rsid w:val="753C5BE5"/>
    <w:rsid w:val="753F6E24"/>
    <w:rsid w:val="7544576F"/>
    <w:rsid w:val="75454A9D"/>
    <w:rsid w:val="75480A0A"/>
    <w:rsid w:val="75545D90"/>
    <w:rsid w:val="75550D0E"/>
    <w:rsid w:val="75552F27"/>
    <w:rsid w:val="75622B13"/>
    <w:rsid w:val="757C314C"/>
    <w:rsid w:val="757E33E6"/>
    <w:rsid w:val="75871D6C"/>
    <w:rsid w:val="758D193E"/>
    <w:rsid w:val="7590605C"/>
    <w:rsid w:val="75947D87"/>
    <w:rsid w:val="75956A44"/>
    <w:rsid w:val="759919C8"/>
    <w:rsid w:val="759D521C"/>
    <w:rsid w:val="75B02F99"/>
    <w:rsid w:val="75B6393A"/>
    <w:rsid w:val="75B74C0D"/>
    <w:rsid w:val="75C31342"/>
    <w:rsid w:val="75CD674E"/>
    <w:rsid w:val="75D44E5F"/>
    <w:rsid w:val="75D532E5"/>
    <w:rsid w:val="75D73501"/>
    <w:rsid w:val="75E023B5"/>
    <w:rsid w:val="75E619A0"/>
    <w:rsid w:val="75F7399D"/>
    <w:rsid w:val="75FD16BD"/>
    <w:rsid w:val="75FF3BCF"/>
    <w:rsid w:val="76026FDA"/>
    <w:rsid w:val="76085468"/>
    <w:rsid w:val="76225710"/>
    <w:rsid w:val="762301E1"/>
    <w:rsid w:val="76311F84"/>
    <w:rsid w:val="763B7D07"/>
    <w:rsid w:val="764A0CBE"/>
    <w:rsid w:val="76514429"/>
    <w:rsid w:val="76684159"/>
    <w:rsid w:val="766A1C7F"/>
    <w:rsid w:val="766B5E5D"/>
    <w:rsid w:val="766D2264"/>
    <w:rsid w:val="767135EB"/>
    <w:rsid w:val="767720EA"/>
    <w:rsid w:val="767C48BF"/>
    <w:rsid w:val="767E5FFC"/>
    <w:rsid w:val="767F34B5"/>
    <w:rsid w:val="7682047B"/>
    <w:rsid w:val="76871AD9"/>
    <w:rsid w:val="7695128E"/>
    <w:rsid w:val="76966F18"/>
    <w:rsid w:val="76A43EB3"/>
    <w:rsid w:val="76A56138"/>
    <w:rsid w:val="76A82115"/>
    <w:rsid w:val="76D16731"/>
    <w:rsid w:val="76D25C7C"/>
    <w:rsid w:val="76D30A98"/>
    <w:rsid w:val="76D96E05"/>
    <w:rsid w:val="76E9529A"/>
    <w:rsid w:val="76F1294D"/>
    <w:rsid w:val="76F37EC6"/>
    <w:rsid w:val="76F61765"/>
    <w:rsid w:val="76FE67AA"/>
    <w:rsid w:val="76FF50F3"/>
    <w:rsid w:val="77083F34"/>
    <w:rsid w:val="770F6259"/>
    <w:rsid w:val="77127548"/>
    <w:rsid w:val="771F0CBB"/>
    <w:rsid w:val="772466C2"/>
    <w:rsid w:val="77324E93"/>
    <w:rsid w:val="77447586"/>
    <w:rsid w:val="774B4FFE"/>
    <w:rsid w:val="774F434C"/>
    <w:rsid w:val="77523473"/>
    <w:rsid w:val="77553B74"/>
    <w:rsid w:val="775753BA"/>
    <w:rsid w:val="7762586D"/>
    <w:rsid w:val="776E5551"/>
    <w:rsid w:val="77797AE3"/>
    <w:rsid w:val="777A5235"/>
    <w:rsid w:val="77803F76"/>
    <w:rsid w:val="778068D9"/>
    <w:rsid w:val="778C06AA"/>
    <w:rsid w:val="779561E8"/>
    <w:rsid w:val="77980565"/>
    <w:rsid w:val="77A2369A"/>
    <w:rsid w:val="77B84C6C"/>
    <w:rsid w:val="77C60E96"/>
    <w:rsid w:val="77D01FB6"/>
    <w:rsid w:val="77D84510"/>
    <w:rsid w:val="77DA1086"/>
    <w:rsid w:val="77E126BA"/>
    <w:rsid w:val="77E9603D"/>
    <w:rsid w:val="77F273D8"/>
    <w:rsid w:val="77F44BF7"/>
    <w:rsid w:val="77F75794"/>
    <w:rsid w:val="77FD38AE"/>
    <w:rsid w:val="78022F20"/>
    <w:rsid w:val="78043237"/>
    <w:rsid w:val="78100D89"/>
    <w:rsid w:val="781C51FB"/>
    <w:rsid w:val="78682435"/>
    <w:rsid w:val="786A5CAD"/>
    <w:rsid w:val="78886285"/>
    <w:rsid w:val="788F35E0"/>
    <w:rsid w:val="78966DE6"/>
    <w:rsid w:val="78972E32"/>
    <w:rsid w:val="789F62F5"/>
    <w:rsid w:val="78AD22F7"/>
    <w:rsid w:val="78B33C13"/>
    <w:rsid w:val="78B9139F"/>
    <w:rsid w:val="78BA1843"/>
    <w:rsid w:val="78BD4522"/>
    <w:rsid w:val="78BF07B9"/>
    <w:rsid w:val="78C02B79"/>
    <w:rsid w:val="78C277FD"/>
    <w:rsid w:val="78C728B3"/>
    <w:rsid w:val="78C903AD"/>
    <w:rsid w:val="78E6034E"/>
    <w:rsid w:val="790C5FAF"/>
    <w:rsid w:val="790C7784"/>
    <w:rsid w:val="79164340"/>
    <w:rsid w:val="791813B9"/>
    <w:rsid w:val="791A3E30"/>
    <w:rsid w:val="792012A6"/>
    <w:rsid w:val="792136D7"/>
    <w:rsid w:val="79304861"/>
    <w:rsid w:val="79316E88"/>
    <w:rsid w:val="79327CC0"/>
    <w:rsid w:val="7937409E"/>
    <w:rsid w:val="793876EF"/>
    <w:rsid w:val="793B59AB"/>
    <w:rsid w:val="794C5FB4"/>
    <w:rsid w:val="79535D1B"/>
    <w:rsid w:val="79560566"/>
    <w:rsid w:val="79692E96"/>
    <w:rsid w:val="79695A94"/>
    <w:rsid w:val="79735FFE"/>
    <w:rsid w:val="798F00FE"/>
    <w:rsid w:val="79913601"/>
    <w:rsid w:val="79976F87"/>
    <w:rsid w:val="799D236B"/>
    <w:rsid w:val="79A36A61"/>
    <w:rsid w:val="79A731EA"/>
    <w:rsid w:val="79B4002B"/>
    <w:rsid w:val="79B96FD5"/>
    <w:rsid w:val="79CF6D12"/>
    <w:rsid w:val="79D16AD3"/>
    <w:rsid w:val="79D85059"/>
    <w:rsid w:val="79E72D0B"/>
    <w:rsid w:val="79F503F9"/>
    <w:rsid w:val="7A134455"/>
    <w:rsid w:val="7A20416A"/>
    <w:rsid w:val="7A213A5B"/>
    <w:rsid w:val="7A2723C1"/>
    <w:rsid w:val="7A2860D9"/>
    <w:rsid w:val="7A307C87"/>
    <w:rsid w:val="7A3C2F21"/>
    <w:rsid w:val="7A4078C7"/>
    <w:rsid w:val="7A430287"/>
    <w:rsid w:val="7A43200F"/>
    <w:rsid w:val="7A496FF2"/>
    <w:rsid w:val="7A4E0739"/>
    <w:rsid w:val="7A5275FA"/>
    <w:rsid w:val="7A554441"/>
    <w:rsid w:val="7A57096E"/>
    <w:rsid w:val="7A5756C4"/>
    <w:rsid w:val="7A614BD3"/>
    <w:rsid w:val="7A796F16"/>
    <w:rsid w:val="7A7B2AC8"/>
    <w:rsid w:val="7A8A5D97"/>
    <w:rsid w:val="7A963A05"/>
    <w:rsid w:val="7A980C7E"/>
    <w:rsid w:val="7A9E45ED"/>
    <w:rsid w:val="7AA67DE3"/>
    <w:rsid w:val="7ABA7F61"/>
    <w:rsid w:val="7ABB6566"/>
    <w:rsid w:val="7AC00470"/>
    <w:rsid w:val="7ACC2F08"/>
    <w:rsid w:val="7AD13F8D"/>
    <w:rsid w:val="7AD2618C"/>
    <w:rsid w:val="7AE3214D"/>
    <w:rsid w:val="7AEB5B6D"/>
    <w:rsid w:val="7AFF37D8"/>
    <w:rsid w:val="7B016CDB"/>
    <w:rsid w:val="7B064AAD"/>
    <w:rsid w:val="7B0940E7"/>
    <w:rsid w:val="7B0E0EC4"/>
    <w:rsid w:val="7B15597B"/>
    <w:rsid w:val="7B2E4784"/>
    <w:rsid w:val="7B3B47AE"/>
    <w:rsid w:val="7B3F192C"/>
    <w:rsid w:val="7B526932"/>
    <w:rsid w:val="7B5754EB"/>
    <w:rsid w:val="7B5A4212"/>
    <w:rsid w:val="7B640754"/>
    <w:rsid w:val="7B6C6499"/>
    <w:rsid w:val="7B7F05B8"/>
    <w:rsid w:val="7B866F34"/>
    <w:rsid w:val="7B8E3089"/>
    <w:rsid w:val="7B965D35"/>
    <w:rsid w:val="7B987B1F"/>
    <w:rsid w:val="7B9C1B1E"/>
    <w:rsid w:val="7BB02821"/>
    <w:rsid w:val="7BB9230A"/>
    <w:rsid w:val="7BBE2AF4"/>
    <w:rsid w:val="7BC24B9B"/>
    <w:rsid w:val="7BC3629A"/>
    <w:rsid w:val="7BD552D0"/>
    <w:rsid w:val="7BE213D0"/>
    <w:rsid w:val="7BE35E80"/>
    <w:rsid w:val="7C031D81"/>
    <w:rsid w:val="7C1101E9"/>
    <w:rsid w:val="7C240B22"/>
    <w:rsid w:val="7C305760"/>
    <w:rsid w:val="7C354ADD"/>
    <w:rsid w:val="7C3D46FA"/>
    <w:rsid w:val="7C3E6787"/>
    <w:rsid w:val="7C453F17"/>
    <w:rsid w:val="7C484A74"/>
    <w:rsid w:val="7C4F2043"/>
    <w:rsid w:val="7C502412"/>
    <w:rsid w:val="7C53287A"/>
    <w:rsid w:val="7C551BF0"/>
    <w:rsid w:val="7C593D11"/>
    <w:rsid w:val="7C5B46DC"/>
    <w:rsid w:val="7C626CEC"/>
    <w:rsid w:val="7C6333B9"/>
    <w:rsid w:val="7C667A27"/>
    <w:rsid w:val="7C765B14"/>
    <w:rsid w:val="7C7827EF"/>
    <w:rsid w:val="7C817F6E"/>
    <w:rsid w:val="7C8543F1"/>
    <w:rsid w:val="7C8932DF"/>
    <w:rsid w:val="7C8B6DF3"/>
    <w:rsid w:val="7C8D5568"/>
    <w:rsid w:val="7C935F3C"/>
    <w:rsid w:val="7C943EFA"/>
    <w:rsid w:val="7C985E4B"/>
    <w:rsid w:val="7C9B56F5"/>
    <w:rsid w:val="7C9B7036"/>
    <w:rsid w:val="7CA00285"/>
    <w:rsid w:val="7CA37C99"/>
    <w:rsid w:val="7CA57EB5"/>
    <w:rsid w:val="7CA66985"/>
    <w:rsid w:val="7CA81753"/>
    <w:rsid w:val="7CB0600F"/>
    <w:rsid w:val="7CB33210"/>
    <w:rsid w:val="7CC20EBA"/>
    <w:rsid w:val="7CD442F6"/>
    <w:rsid w:val="7CD65874"/>
    <w:rsid w:val="7CE1176F"/>
    <w:rsid w:val="7CE710FA"/>
    <w:rsid w:val="7CEC5AE4"/>
    <w:rsid w:val="7CF46211"/>
    <w:rsid w:val="7D08162E"/>
    <w:rsid w:val="7D0F17D2"/>
    <w:rsid w:val="7D1604F2"/>
    <w:rsid w:val="7D163141"/>
    <w:rsid w:val="7D204AD7"/>
    <w:rsid w:val="7D3C33A6"/>
    <w:rsid w:val="7D3F5AB3"/>
    <w:rsid w:val="7D40500C"/>
    <w:rsid w:val="7D4C6582"/>
    <w:rsid w:val="7D5B67C5"/>
    <w:rsid w:val="7D662422"/>
    <w:rsid w:val="7D6A3C51"/>
    <w:rsid w:val="7D744336"/>
    <w:rsid w:val="7D7A30EF"/>
    <w:rsid w:val="7D861EFD"/>
    <w:rsid w:val="7D8F2EA3"/>
    <w:rsid w:val="7D9321ED"/>
    <w:rsid w:val="7D944A96"/>
    <w:rsid w:val="7DBC6672"/>
    <w:rsid w:val="7DC26844"/>
    <w:rsid w:val="7DC31C1C"/>
    <w:rsid w:val="7DC47E0B"/>
    <w:rsid w:val="7DC93BA1"/>
    <w:rsid w:val="7DDC7906"/>
    <w:rsid w:val="7DDE3C10"/>
    <w:rsid w:val="7DE7303A"/>
    <w:rsid w:val="7DE7321B"/>
    <w:rsid w:val="7DEA23D2"/>
    <w:rsid w:val="7DEE0627"/>
    <w:rsid w:val="7E103B41"/>
    <w:rsid w:val="7E19490C"/>
    <w:rsid w:val="7E1E2975"/>
    <w:rsid w:val="7E2E6078"/>
    <w:rsid w:val="7E312396"/>
    <w:rsid w:val="7E4055DF"/>
    <w:rsid w:val="7E434EF6"/>
    <w:rsid w:val="7E4D6442"/>
    <w:rsid w:val="7E511CD5"/>
    <w:rsid w:val="7E552738"/>
    <w:rsid w:val="7E5F1BE0"/>
    <w:rsid w:val="7E631DD5"/>
    <w:rsid w:val="7E6D0CF1"/>
    <w:rsid w:val="7E772B0A"/>
    <w:rsid w:val="7E7A465F"/>
    <w:rsid w:val="7E810AA8"/>
    <w:rsid w:val="7EA36676"/>
    <w:rsid w:val="7EA96B5C"/>
    <w:rsid w:val="7EAF1794"/>
    <w:rsid w:val="7EB77390"/>
    <w:rsid w:val="7EBA0E62"/>
    <w:rsid w:val="7EBF0D00"/>
    <w:rsid w:val="7ECB1729"/>
    <w:rsid w:val="7ECD36F3"/>
    <w:rsid w:val="7ED46AB7"/>
    <w:rsid w:val="7EE12F7C"/>
    <w:rsid w:val="7EE8199C"/>
    <w:rsid w:val="7EFE0754"/>
    <w:rsid w:val="7F0D2526"/>
    <w:rsid w:val="7F107805"/>
    <w:rsid w:val="7F124F07"/>
    <w:rsid w:val="7F16569D"/>
    <w:rsid w:val="7F182BC0"/>
    <w:rsid w:val="7F207CC7"/>
    <w:rsid w:val="7F2D5F40"/>
    <w:rsid w:val="7F306AFA"/>
    <w:rsid w:val="7F3A61C6"/>
    <w:rsid w:val="7F3E6D16"/>
    <w:rsid w:val="7F404B08"/>
    <w:rsid w:val="7F465DED"/>
    <w:rsid w:val="7F4A08A0"/>
    <w:rsid w:val="7F52620A"/>
    <w:rsid w:val="7F5431F8"/>
    <w:rsid w:val="7F5565A1"/>
    <w:rsid w:val="7F5E0122"/>
    <w:rsid w:val="7F621BEE"/>
    <w:rsid w:val="7F6C10C9"/>
    <w:rsid w:val="7F6E48F8"/>
    <w:rsid w:val="7F6E717F"/>
    <w:rsid w:val="7F7D0C75"/>
    <w:rsid w:val="7F883290"/>
    <w:rsid w:val="7F911058"/>
    <w:rsid w:val="7F991937"/>
    <w:rsid w:val="7F9E25F4"/>
    <w:rsid w:val="7FB52506"/>
    <w:rsid w:val="7FD96613"/>
    <w:rsid w:val="7FDA6ECE"/>
    <w:rsid w:val="7FDF548C"/>
    <w:rsid w:val="7FF31FF6"/>
    <w:rsid w:val="7FF33F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iPriority="0" w:name="toc 2" w:locked="1"/>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qFormat="1" w:unhideWhenUsed="0" w:uiPriority="0" w:semiHidden="0" w:name="macro" w:locked="1"/>
    <w:lsdException w:uiPriority="0" w:name="toa heading" w:locked="1"/>
    <w:lsdException w:uiPriority="0" w:name="List" w:locked="1"/>
    <w:lsdException w:uiPriority="0" w:name="List Bullet" w:locked="1"/>
    <w:lsdException w:uiPriority="0" w:name="List Number" w:locked="1"/>
    <w:lsdException w:qFormat="1" w:uiPriority="0" w:semiHidden="0" w:name="List 2" w:locked="1"/>
    <w:lsdException w:uiPriority="0" w:name="List 3" w:locked="1"/>
    <w:lsdException w:uiPriority="0" w:name="List 4" w:locked="1"/>
    <w:lsdException w:qFormat="1" w:unhideWhenUsed="0" w:uiPriority="0" w:semiHidden="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qFormat="1" w:uiPriority="99" w:name="Block Text" w:locked="1"/>
    <w:lsdException w:qFormat="1"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qFormat="1" w:unhideWhenUsed="0" w:uiPriority="0" w:semiHidden="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1"/>
    <w:unhideWhenUsed/>
    <w:qFormat/>
    <w:locked/>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link w:val="52"/>
    <w:qFormat/>
    <w:locked/>
    <w:uiPriority w:val="0"/>
    <w:pPr>
      <w:keepNext/>
      <w:keepLines/>
      <w:spacing w:before="260" w:after="260" w:line="416" w:lineRule="auto"/>
      <w:outlineLvl w:val="2"/>
    </w:pPr>
    <w:rPr>
      <w:b/>
      <w:bCs/>
      <w:sz w:val="32"/>
      <w:szCs w:val="32"/>
    </w:rPr>
  </w:style>
  <w:style w:type="paragraph" w:styleId="6">
    <w:name w:val="heading 4"/>
    <w:basedOn w:val="1"/>
    <w:next w:val="1"/>
    <w:link w:val="53"/>
    <w:qFormat/>
    <w:locked/>
    <w:uiPriority w:val="0"/>
    <w:pPr>
      <w:widowControl/>
      <w:spacing w:line="500" w:lineRule="atLeast"/>
      <w:jc w:val="left"/>
      <w:outlineLvl w:val="3"/>
    </w:pPr>
    <w:rPr>
      <w:rFonts w:ascii="Calibri" w:hAnsi="Calibri"/>
      <w:kern w:val="0"/>
      <w:sz w:val="28"/>
      <w:szCs w:val="20"/>
    </w:rPr>
  </w:style>
  <w:style w:type="paragraph" w:styleId="7">
    <w:name w:val="heading 6"/>
    <w:basedOn w:val="1"/>
    <w:next w:val="1"/>
    <w:link w:val="118"/>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6">
    <w:name w:val="Default Paragraph Font"/>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500" w:lineRule="exact"/>
      <w:ind w:firstLine="1044" w:firstLineChars="200"/>
    </w:pPr>
    <w:rPr>
      <w:rFonts w:ascii="Times New Roman" w:hAnsi="Times New Roman" w:eastAsia="宋体" w:cs="Times New Roman"/>
      <w:kern w:val="2"/>
      <w:sz w:val="24"/>
      <w:szCs w:val="24"/>
      <w:lang w:val="en-US" w:eastAsia="zh-CN" w:bidi="ar-SA"/>
    </w:rPr>
  </w:style>
  <w:style w:type="paragraph" w:styleId="8">
    <w:name w:val="Normal Indent"/>
    <w:basedOn w:val="1"/>
    <w:next w:val="1"/>
    <w:link w:val="54"/>
    <w:qFormat/>
    <w:locked/>
    <w:uiPriority w:val="0"/>
    <w:pPr>
      <w:widowControl/>
      <w:spacing w:line="240" w:lineRule="exact"/>
      <w:ind w:firstLine="420" w:firstLineChars="200"/>
      <w:jc w:val="left"/>
    </w:pPr>
    <w:rPr>
      <w:kern w:val="0"/>
      <w:sz w:val="20"/>
      <w:szCs w:val="20"/>
    </w:rPr>
  </w:style>
  <w:style w:type="paragraph" w:styleId="9">
    <w:name w:val="caption"/>
    <w:basedOn w:val="1"/>
    <w:next w:val="1"/>
    <w:qFormat/>
    <w:locked/>
    <w:uiPriority w:val="0"/>
    <w:pPr>
      <w:jc w:val="center"/>
    </w:pPr>
    <w:rPr>
      <w:rFonts w:eastAsia="仿宋_GB2312"/>
      <w:b/>
      <w:sz w:val="24"/>
      <w:szCs w:val="20"/>
    </w:rPr>
  </w:style>
  <w:style w:type="paragraph" w:styleId="10">
    <w:name w:val="Document Map"/>
    <w:basedOn w:val="1"/>
    <w:link w:val="55"/>
    <w:qFormat/>
    <w:locked/>
    <w:uiPriority w:val="0"/>
    <w:rPr>
      <w:rFonts w:ascii="宋体"/>
      <w:sz w:val="18"/>
      <w:szCs w:val="18"/>
    </w:rPr>
  </w:style>
  <w:style w:type="paragraph" w:styleId="11">
    <w:name w:val="annotation text"/>
    <w:basedOn w:val="1"/>
    <w:link w:val="56"/>
    <w:qFormat/>
    <w:uiPriority w:val="99"/>
    <w:pPr>
      <w:jc w:val="left"/>
    </w:pPr>
    <w:rPr>
      <w:kern w:val="0"/>
      <w:sz w:val="24"/>
      <w:szCs w:val="20"/>
    </w:rPr>
  </w:style>
  <w:style w:type="paragraph" w:styleId="12">
    <w:name w:val="Body Text"/>
    <w:basedOn w:val="1"/>
    <w:link w:val="57"/>
    <w:qFormat/>
    <w:uiPriority w:val="0"/>
    <w:pPr>
      <w:widowControl/>
      <w:snapToGrid w:val="0"/>
      <w:spacing w:before="60" w:after="160" w:line="259" w:lineRule="auto"/>
      <w:ind w:right="113"/>
    </w:pPr>
    <w:rPr>
      <w:kern w:val="0"/>
      <w:sz w:val="18"/>
      <w:szCs w:val="20"/>
    </w:rPr>
  </w:style>
  <w:style w:type="paragraph" w:styleId="13">
    <w:name w:val="Body Text Indent"/>
    <w:basedOn w:val="1"/>
    <w:next w:val="8"/>
    <w:link w:val="58"/>
    <w:qFormat/>
    <w:uiPriority w:val="0"/>
    <w:pPr>
      <w:spacing w:after="120"/>
      <w:ind w:left="420" w:leftChars="200"/>
    </w:pPr>
    <w:rPr>
      <w:kern w:val="0"/>
      <w:sz w:val="24"/>
      <w:szCs w:val="20"/>
    </w:rPr>
  </w:style>
  <w:style w:type="paragraph" w:styleId="14">
    <w:name w:val="List 2"/>
    <w:basedOn w:val="1"/>
    <w:unhideWhenUsed/>
    <w:qFormat/>
    <w:locked/>
    <w:uiPriority w:val="0"/>
    <w:pPr>
      <w:widowControl/>
      <w:spacing w:line="240" w:lineRule="exact"/>
      <w:ind w:left="100" w:leftChars="200" w:hanging="200" w:hangingChars="200"/>
      <w:contextualSpacing/>
      <w:jc w:val="left"/>
    </w:pPr>
    <w:rPr>
      <w:kern w:val="0"/>
      <w:sz w:val="20"/>
      <w:szCs w:val="20"/>
    </w:rPr>
  </w:style>
  <w:style w:type="paragraph" w:styleId="15">
    <w:name w:val="Block Text"/>
    <w:basedOn w:val="1"/>
    <w:semiHidden/>
    <w:unhideWhenUsed/>
    <w:qFormat/>
    <w:locked/>
    <w:uiPriority w:val="99"/>
    <w:pPr>
      <w:spacing w:after="120"/>
      <w:ind w:left="1440" w:leftChars="700" w:right="1440" w:rightChars="700"/>
    </w:pPr>
  </w:style>
  <w:style w:type="paragraph" w:styleId="16">
    <w:name w:val="toc 3"/>
    <w:basedOn w:val="1"/>
    <w:next w:val="1"/>
    <w:unhideWhenUsed/>
    <w:qFormat/>
    <w:locked/>
    <w:uiPriority w:val="39"/>
    <w:pPr>
      <w:ind w:left="840" w:leftChars="400"/>
    </w:pPr>
  </w:style>
  <w:style w:type="paragraph" w:styleId="17">
    <w:name w:val="Plain Text"/>
    <w:basedOn w:val="1"/>
    <w:link w:val="122"/>
    <w:semiHidden/>
    <w:unhideWhenUsed/>
    <w:qFormat/>
    <w:locked/>
    <w:uiPriority w:val="0"/>
    <w:rPr>
      <w:rFonts w:hAnsi="Courier New" w:cs="Courier New" w:asciiTheme="minorEastAsia" w:eastAsiaTheme="minorEastAsia"/>
    </w:rPr>
  </w:style>
  <w:style w:type="paragraph" w:styleId="18">
    <w:name w:val="List Bullet 5"/>
    <w:basedOn w:val="1"/>
    <w:semiHidden/>
    <w:unhideWhenUsed/>
    <w:qFormat/>
    <w:locked/>
    <w:uiPriority w:val="0"/>
    <w:pPr>
      <w:numPr>
        <w:ilvl w:val="0"/>
        <w:numId w:val="1"/>
      </w:numPr>
    </w:pPr>
  </w:style>
  <w:style w:type="paragraph" w:styleId="19">
    <w:name w:val="Date"/>
    <w:basedOn w:val="1"/>
    <w:next w:val="1"/>
    <w:link w:val="59"/>
    <w:qFormat/>
    <w:uiPriority w:val="0"/>
    <w:pPr>
      <w:ind w:left="100" w:leftChars="2500"/>
    </w:pPr>
    <w:rPr>
      <w:kern w:val="0"/>
      <w:sz w:val="24"/>
      <w:szCs w:val="20"/>
    </w:rPr>
  </w:style>
  <w:style w:type="paragraph" w:styleId="20">
    <w:name w:val="Balloon Text"/>
    <w:basedOn w:val="1"/>
    <w:link w:val="60"/>
    <w:semiHidden/>
    <w:qFormat/>
    <w:uiPriority w:val="0"/>
    <w:rPr>
      <w:kern w:val="0"/>
      <w:sz w:val="18"/>
      <w:szCs w:val="20"/>
    </w:rPr>
  </w:style>
  <w:style w:type="paragraph" w:styleId="21">
    <w:name w:val="footer"/>
    <w:basedOn w:val="1"/>
    <w:link w:val="61"/>
    <w:qFormat/>
    <w:uiPriority w:val="99"/>
    <w:pPr>
      <w:tabs>
        <w:tab w:val="center" w:pos="4153"/>
        <w:tab w:val="right" w:pos="8306"/>
      </w:tabs>
      <w:snapToGrid w:val="0"/>
      <w:jc w:val="left"/>
    </w:pPr>
    <w:rPr>
      <w:kern w:val="0"/>
      <w:sz w:val="18"/>
      <w:szCs w:val="20"/>
    </w:rPr>
  </w:style>
  <w:style w:type="paragraph" w:styleId="22">
    <w:name w:val="header"/>
    <w:basedOn w:val="1"/>
    <w:link w:val="62"/>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39"/>
  </w:style>
  <w:style w:type="paragraph" w:styleId="24">
    <w:name w:val="index heading"/>
    <w:basedOn w:val="1"/>
    <w:next w:val="25"/>
    <w:qFormat/>
    <w:locked/>
    <w:uiPriority w:val="99"/>
    <w:pPr>
      <w:spacing w:line="500" w:lineRule="exact"/>
    </w:pPr>
    <w:rPr>
      <w:rFonts w:ascii="仿宋_GB2312" w:eastAsia="仿宋_GB2312" w:cstheme="minorBidi"/>
      <w:sz w:val="28"/>
      <w:szCs w:val="20"/>
    </w:rPr>
  </w:style>
  <w:style w:type="paragraph" w:styleId="25">
    <w:name w:val="index 1"/>
    <w:basedOn w:val="1"/>
    <w:next w:val="1"/>
    <w:unhideWhenUsed/>
    <w:qFormat/>
    <w:locked/>
    <w:uiPriority w:val="0"/>
  </w:style>
  <w:style w:type="paragraph" w:styleId="26">
    <w:name w:val="List 5"/>
    <w:basedOn w:val="1"/>
    <w:qFormat/>
    <w:locked/>
    <w:uiPriority w:val="0"/>
    <w:pPr>
      <w:widowControl/>
      <w:tabs>
        <w:tab w:val="left" w:pos="780"/>
      </w:tabs>
      <w:spacing w:before="50" w:line="500" w:lineRule="exact"/>
      <w:ind w:left="780" w:hanging="360"/>
      <w:jc w:val="left"/>
    </w:pPr>
    <w:rPr>
      <w:rFonts w:hint="eastAsia"/>
      <w:spacing w:val="6"/>
      <w:kern w:val="0"/>
      <w:sz w:val="28"/>
      <w:szCs w:val="20"/>
    </w:rPr>
  </w:style>
  <w:style w:type="paragraph" w:styleId="27">
    <w:name w:val="Body Text Indent 3"/>
    <w:basedOn w:val="1"/>
    <w:link w:val="63"/>
    <w:qFormat/>
    <w:locked/>
    <w:uiPriority w:val="0"/>
    <w:pPr>
      <w:spacing w:after="120"/>
      <w:ind w:left="420" w:leftChars="200"/>
    </w:pPr>
    <w:rPr>
      <w:sz w:val="16"/>
      <w:szCs w:val="16"/>
    </w:rPr>
  </w:style>
  <w:style w:type="paragraph" w:styleId="28">
    <w:name w:val="toc 2"/>
    <w:basedOn w:val="1"/>
    <w:next w:val="1"/>
    <w:semiHidden/>
    <w:unhideWhenUsed/>
    <w:qFormat/>
    <w:locked/>
    <w:uiPriority w:val="0"/>
    <w:pPr>
      <w:ind w:left="420" w:leftChars="200"/>
    </w:pPr>
  </w:style>
  <w:style w:type="paragraph" w:styleId="29">
    <w:name w:val="Normal (Web)"/>
    <w:basedOn w:val="1"/>
    <w:link w:val="64"/>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1"/>
    <w:next w:val="11"/>
    <w:link w:val="65"/>
    <w:semiHidden/>
    <w:qFormat/>
    <w:uiPriority w:val="0"/>
    <w:rPr>
      <w:b/>
      <w:kern w:val="2"/>
    </w:rPr>
  </w:style>
  <w:style w:type="paragraph" w:styleId="31">
    <w:name w:val="Body Text First Indent"/>
    <w:basedOn w:val="12"/>
    <w:next w:val="1"/>
    <w:qFormat/>
    <w:locked/>
    <w:uiPriority w:val="0"/>
    <w:pPr>
      <w:widowControl w:val="0"/>
      <w:snapToGrid/>
      <w:spacing w:before="0" w:after="120" w:line="240" w:lineRule="auto"/>
      <w:ind w:right="0" w:firstLine="420" w:firstLineChars="100"/>
    </w:pPr>
    <w:rPr>
      <w:kern w:val="2"/>
      <w:sz w:val="21"/>
    </w:rPr>
  </w:style>
  <w:style w:type="paragraph" w:styleId="32">
    <w:name w:val="Body Text First Indent 2"/>
    <w:basedOn w:val="13"/>
    <w:next w:val="1"/>
    <w:qFormat/>
    <w:locked/>
    <w:uiPriority w:val="0"/>
    <w:pPr>
      <w:ind w:firstLine="420" w:firstLineChars="200"/>
    </w:pPr>
    <w:rPr>
      <w:sz w:val="20"/>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Simple 1"/>
    <w:basedOn w:val="33"/>
    <w:qFormat/>
    <w:locked/>
    <w:uiPriority w:val="0"/>
    <w:pPr>
      <w:widowControl w:val="0"/>
      <w:spacing w:line="500" w:lineRule="exact"/>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37">
    <w:name w:val="Strong"/>
    <w:basedOn w:val="36"/>
    <w:qFormat/>
    <w:locked/>
    <w:uiPriority w:val="22"/>
    <w:rPr>
      <w:b/>
      <w:bCs/>
    </w:rPr>
  </w:style>
  <w:style w:type="character" w:styleId="38">
    <w:name w:val="page number"/>
    <w:basedOn w:val="36"/>
    <w:qFormat/>
    <w:locked/>
    <w:uiPriority w:val="0"/>
  </w:style>
  <w:style w:type="character" w:styleId="39">
    <w:name w:val="Emphasis"/>
    <w:basedOn w:val="36"/>
    <w:qFormat/>
    <w:locked/>
    <w:uiPriority w:val="20"/>
    <w:rPr>
      <w:i/>
      <w:iCs/>
    </w:rPr>
  </w:style>
  <w:style w:type="character" w:styleId="40">
    <w:name w:val="Hyperlink"/>
    <w:basedOn w:val="36"/>
    <w:unhideWhenUsed/>
    <w:qFormat/>
    <w:locked/>
    <w:uiPriority w:val="99"/>
    <w:rPr>
      <w:color w:val="0000FF" w:themeColor="hyperlink"/>
      <w:u w:val="single"/>
      <w14:textFill>
        <w14:solidFill>
          <w14:schemeClr w14:val="hlink"/>
        </w14:solidFill>
      </w14:textFill>
    </w:rPr>
  </w:style>
  <w:style w:type="character" w:styleId="41">
    <w:name w:val="annotation reference"/>
    <w:basedOn w:val="36"/>
    <w:qFormat/>
    <w:uiPriority w:val="99"/>
    <w:rPr>
      <w:sz w:val="21"/>
    </w:rPr>
  </w:style>
  <w:style w:type="paragraph" w:customStyle="1" w:styleId="42">
    <w:name w:val="Default"/>
    <w:basedOn w:val="43"/>
    <w:qFormat/>
    <w:uiPriority w:val="0"/>
    <w:pPr>
      <w:autoSpaceDE w:val="0"/>
      <w:autoSpaceDN w:val="0"/>
      <w:adjustRightInd w:val="0"/>
      <w:spacing w:line="240" w:lineRule="exact"/>
    </w:pPr>
    <w:rPr>
      <w:rFonts w:ascii="宋体" w:hAnsi="宋体"/>
      <w:color w:val="000000"/>
      <w:sz w:val="24"/>
    </w:rPr>
  </w:style>
  <w:style w:type="paragraph" w:customStyle="1" w:styleId="43">
    <w:name w:val="标题 段落4级"/>
    <w:basedOn w:val="44"/>
    <w:next w:val="11"/>
    <w:qFormat/>
    <w:uiPriority w:val="0"/>
    <w:pPr>
      <w:outlineLvl w:val="3"/>
    </w:pPr>
    <w:rPr>
      <w:rFonts w:cs="Calibri"/>
      <w:b/>
    </w:rPr>
  </w:style>
  <w:style w:type="paragraph" w:customStyle="1" w:styleId="44">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45">
    <w:name w:val="纯文本1"/>
    <w:basedOn w:val="1"/>
    <w:qFormat/>
    <w:uiPriority w:val="0"/>
    <w:pPr>
      <w:adjustRightInd w:val="0"/>
      <w:textAlignment w:val="baseline"/>
    </w:pPr>
    <w:rPr>
      <w:rFonts w:ascii="宋体" w:hAnsi="Courier New"/>
      <w:kern w:val="0"/>
      <w:szCs w:val="20"/>
    </w:rPr>
  </w:style>
  <w:style w:type="paragraph" w:customStyle="1" w:styleId="46">
    <w:name w:val="正文1"/>
    <w:qFormat/>
    <w:uiPriority w:val="0"/>
    <w:pPr>
      <w:jc w:val="both"/>
    </w:pPr>
    <w:rPr>
      <w:rFonts w:ascii="Calibri" w:hAnsi="Calibri" w:eastAsia="宋体" w:cs="宋体"/>
      <w:kern w:val="2"/>
      <w:sz w:val="21"/>
      <w:szCs w:val="21"/>
      <w:lang w:val="en-US" w:eastAsia="zh-CN" w:bidi="ar-SA"/>
    </w:rPr>
  </w:style>
  <w:style w:type="paragraph" w:customStyle="1" w:styleId="47">
    <w:name w:val="表格"/>
    <w:basedOn w:val="48"/>
    <w:next w:val="1"/>
    <w:link w:val="49"/>
    <w:qFormat/>
    <w:uiPriority w:val="99"/>
    <w:pPr>
      <w:adjustRightInd w:val="0"/>
      <w:snapToGrid w:val="0"/>
      <w:spacing w:beforeLines="10" w:afterLines="10" w:line="259" w:lineRule="auto"/>
      <w:jc w:val="center"/>
    </w:pPr>
    <w:rPr>
      <w:rFonts w:ascii="宋体"/>
      <w:kern w:val="0"/>
      <w:szCs w:val="20"/>
    </w:rPr>
  </w:style>
  <w:style w:type="paragraph" w:customStyle="1" w:styleId="48">
    <w:name w:val="表头lcc1"/>
    <w:basedOn w:val="1"/>
    <w:qFormat/>
    <w:uiPriority w:val="0"/>
    <w:pPr>
      <w:jc w:val="center"/>
    </w:pPr>
    <w:rPr>
      <w:b/>
      <w:kern w:val="0"/>
      <w:szCs w:val="20"/>
    </w:rPr>
  </w:style>
  <w:style w:type="character" w:customStyle="1" w:styleId="49">
    <w:name w:val="表格 Char"/>
    <w:link w:val="47"/>
    <w:qFormat/>
    <w:locked/>
    <w:uiPriority w:val="99"/>
    <w:rPr>
      <w:rFonts w:ascii="宋体"/>
      <w:sz w:val="21"/>
    </w:rPr>
  </w:style>
  <w:style w:type="character" w:customStyle="1" w:styleId="50">
    <w:name w:val="标题 1 字符"/>
    <w:basedOn w:val="36"/>
    <w:link w:val="3"/>
    <w:qFormat/>
    <w:uiPriority w:val="99"/>
    <w:rPr>
      <w:rFonts w:eastAsia="黑体"/>
      <w:b/>
      <w:bCs/>
      <w:color w:val="000000"/>
      <w:kern w:val="44"/>
      <w:sz w:val="30"/>
      <w:szCs w:val="30"/>
    </w:rPr>
  </w:style>
  <w:style w:type="character" w:customStyle="1" w:styleId="51">
    <w:name w:val="标题 2 字符"/>
    <w:basedOn w:val="36"/>
    <w:link w:val="4"/>
    <w:qFormat/>
    <w:uiPriority w:val="9"/>
    <w:rPr>
      <w:rFonts w:ascii="Arial" w:hAnsi="Arial" w:eastAsia="黑体"/>
      <w:b/>
      <w:kern w:val="2"/>
      <w:sz w:val="32"/>
      <w:szCs w:val="24"/>
    </w:rPr>
  </w:style>
  <w:style w:type="character" w:customStyle="1" w:styleId="52">
    <w:name w:val="标题 3 字符"/>
    <w:basedOn w:val="36"/>
    <w:link w:val="5"/>
    <w:qFormat/>
    <w:uiPriority w:val="0"/>
    <w:rPr>
      <w:b/>
      <w:bCs/>
      <w:kern w:val="2"/>
      <w:sz w:val="32"/>
      <w:szCs w:val="32"/>
    </w:rPr>
  </w:style>
  <w:style w:type="character" w:customStyle="1" w:styleId="53">
    <w:name w:val="标题 4 字符"/>
    <w:link w:val="6"/>
    <w:qFormat/>
    <w:uiPriority w:val="0"/>
    <w:rPr>
      <w:rFonts w:ascii="Calibri" w:hAnsi="Calibri"/>
      <w:sz w:val="28"/>
    </w:rPr>
  </w:style>
  <w:style w:type="character" w:customStyle="1" w:styleId="54">
    <w:name w:val="正文缩进 字符"/>
    <w:basedOn w:val="36"/>
    <w:link w:val="8"/>
    <w:qFormat/>
    <w:uiPriority w:val="0"/>
  </w:style>
  <w:style w:type="character" w:customStyle="1" w:styleId="55">
    <w:name w:val="文档结构图 字符"/>
    <w:basedOn w:val="36"/>
    <w:link w:val="10"/>
    <w:qFormat/>
    <w:uiPriority w:val="0"/>
    <w:rPr>
      <w:rFonts w:ascii="宋体"/>
      <w:kern w:val="2"/>
      <w:sz w:val="18"/>
      <w:szCs w:val="18"/>
    </w:rPr>
  </w:style>
  <w:style w:type="character" w:customStyle="1" w:styleId="56">
    <w:name w:val="批注文字 字符"/>
    <w:link w:val="11"/>
    <w:qFormat/>
    <w:locked/>
    <w:uiPriority w:val="99"/>
    <w:rPr>
      <w:rFonts w:ascii="Times New Roman" w:hAnsi="Times New Roman" w:eastAsia="宋体"/>
      <w:sz w:val="24"/>
    </w:rPr>
  </w:style>
  <w:style w:type="character" w:customStyle="1" w:styleId="57">
    <w:name w:val="正文文本 字符"/>
    <w:link w:val="12"/>
    <w:qFormat/>
    <w:locked/>
    <w:uiPriority w:val="0"/>
    <w:rPr>
      <w:sz w:val="18"/>
    </w:rPr>
  </w:style>
  <w:style w:type="character" w:customStyle="1" w:styleId="58">
    <w:name w:val="正文文本缩进 字符"/>
    <w:link w:val="13"/>
    <w:qFormat/>
    <w:locked/>
    <w:uiPriority w:val="0"/>
    <w:rPr>
      <w:rFonts w:ascii="Times New Roman" w:hAnsi="Times New Roman" w:eastAsia="宋体"/>
      <w:sz w:val="24"/>
    </w:rPr>
  </w:style>
  <w:style w:type="character" w:customStyle="1" w:styleId="59">
    <w:name w:val="日期 字符1"/>
    <w:link w:val="19"/>
    <w:qFormat/>
    <w:locked/>
    <w:uiPriority w:val="0"/>
    <w:rPr>
      <w:rFonts w:ascii="Times New Roman" w:hAnsi="Times New Roman" w:eastAsia="宋体"/>
      <w:sz w:val="24"/>
    </w:rPr>
  </w:style>
  <w:style w:type="character" w:customStyle="1" w:styleId="60">
    <w:name w:val="批注框文本 字符"/>
    <w:link w:val="20"/>
    <w:semiHidden/>
    <w:qFormat/>
    <w:locked/>
    <w:uiPriority w:val="0"/>
    <w:rPr>
      <w:rFonts w:ascii="Times New Roman" w:hAnsi="Times New Roman" w:eastAsia="宋体"/>
      <w:sz w:val="18"/>
    </w:rPr>
  </w:style>
  <w:style w:type="character" w:customStyle="1" w:styleId="61">
    <w:name w:val="页脚 字符1"/>
    <w:link w:val="21"/>
    <w:qFormat/>
    <w:locked/>
    <w:uiPriority w:val="99"/>
    <w:rPr>
      <w:sz w:val="18"/>
    </w:rPr>
  </w:style>
  <w:style w:type="character" w:customStyle="1" w:styleId="62">
    <w:name w:val="页眉 字符"/>
    <w:link w:val="22"/>
    <w:qFormat/>
    <w:locked/>
    <w:uiPriority w:val="0"/>
    <w:rPr>
      <w:sz w:val="18"/>
    </w:rPr>
  </w:style>
  <w:style w:type="character" w:customStyle="1" w:styleId="63">
    <w:name w:val="正文文本缩进 3 字符"/>
    <w:basedOn w:val="36"/>
    <w:link w:val="27"/>
    <w:qFormat/>
    <w:uiPriority w:val="0"/>
    <w:rPr>
      <w:kern w:val="2"/>
      <w:sz w:val="16"/>
      <w:szCs w:val="16"/>
    </w:rPr>
  </w:style>
  <w:style w:type="character" w:customStyle="1" w:styleId="64">
    <w:name w:val="普通(网站) 字符"/>
    <w:link w:val="29"/>
    <w:qFormat/>
    <w:locked/>
    <w:uiPriority w:val="0"/>
    <w:rPr>
      <w:rFonts w:ascii="宋体" w:hAnsi="宋体" w:eastAsia="宋体"/>
      <w:sz w:val="24"/>
    </w:rPr>
  </w:style>
  <w:style w:type="character" w:customStyle="1" w:styleId="65">
    <w:name w:val="批注主题 字符"/>
    <w:link w:val="30"/>
    <w:semiHidden/>
    <w:qFormat/>
    <w:locked/>
    <w:uiPriority w:val="0"/>
    <w:rPr>
      <w:rFonts w:ascii="Times New Roman" w:hAnsi="Times New Roman" w:eastAsia="宋体"/>
      <w:b/>
      <w:kern w:val="2"/>
      <w:sz w:val="24"/>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页脚 字符"/>
    <w:basedOn w:val="36"/>
    <w:qFormat/>
    <w:uiPriority w:val="99"/>
  </w:style>
  <w:style w:type="character" w:customStyle="1" w:styleId="68">
    <w:name w:val="日期 字符"/>
    <w:semiHidden/>
    <w:qFormat/>
    <w:uiPriority w:val="0"/>
    <w:rPr>
      <w:rFonts w:ascii="Times New Roman" w:hAnsi="Times New Roman" w:eastAsia="宋体"/>
      <w:sz w:val="24"/>
    </w:rPr>
  </w:style>
  <w:style w:type="character" w:customStyle="1" w:styleId="69">
    <w:name w:val="正文文本 字符1"/>
    <w:semiHidden/>
    <w:qFormat/>
    <w:uiPriority w:val="0"/>
    <w:rPr>
      <w:rFonts w:ascii="Times New Roman" w:hAnsi="Times New Roman" w:eastAsia="宋体"/>
      <w:sz w:val="24"/>
    </w:rPr>
  </w:style>
  <w:style w:type="paragraph" w:customStyle="1" w:styleId="70">
    <w:name w:val="Table Paragraph"/>
    <w:basedOn w:val="1"/>
    <w:qFormat/>
    <w:uiPriority w:val="1"/>
    <w:rPr>
      <w:rFonts w:ascii="宋体" w:hAnsi="宋体" w:cs="宋体"/>
      <w:szCs w:val="20"/>
      <w:lang w:val="zh-CN" w:bidi="zh-CN"/>
    </w:rPr>
  </w:style>
  <w:style w:type="paragraph" w:customStyle="1" w:styleId="7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Body Text 21"/>
    <w:basedOn w:val="1"/>
    <w:qFormat/>
    <w:uiPriority w:val="99"/>
    <w:pPr>
      <w:adjustRightInd w:val="0"/>
      <w:textAlignment w:val="baseline"/>
    </w:pPr>
    <w:rPr>
      <w:rFonts w:ascii="仿宋_GB2312" w:eastAsia="仿宋体"/>
      <w:sz w:val="24"/>
    </w:rPr>
  </w:style>
  <w:style w:type="paragraph" w:customStyle="1" w:styleId="74">
    <w:name w:val="正文文本缩进1"/>
    <w:basedOn w:val="1"/>
    <w:qFormat/>
    <w:uiPriority w:val="0"/>
    <w:pPr>
      <w:widowControl/>
      <w:spacing w:line="360" w:lineRule="auto"/>
      <w:ind w:firstLine="560"/>
      <w:jc w:val="left"/>
    </w:pPr>
    <w:rPr>
      <w:rFonts w:ascii="仿宋_GB2312" w:hAnsi="宋体" w:eastAsia="仿宋_GB2312"/>
      <w:sz w:val="28"/>
    </w:rPr>
  </w:style>
  <w:style w:type="paragraph" w:customStyle="1" w:styleId="75">
    <w:name w:val="简单回函地址"/>
    <w:basedOn w:val="1"/>
    <w:qFormat/>
    <w:uiPriority w:val="0"/>
    <w:pPr>
      <w:widowControl/>
      <w:spacing w:line="240" w:lineRule="exact"/>
      <w:jc w:val="left"/>
    </w:pPr>
    <w:rPr>
      <w:kern w:val="0"/>
      <w:sz w:val="24"/>
      <w:szCs w:val="20"/>
    </w:rPr>
  </w:style>
  <w:style w:type="paragraph" w:customStyle="1" w:styleId="76">
    <w:name w:val="+列表1"/>
    <w:basedOn w:val="1"/>
    <w:qFormat/>
    <w:uiPriority w:val="0"/>
    <w:pPr>
      <w:widowControl/>
      <w:jc w:val="center"/>
    </w:pPr>
    <w:rPr>
      <w:kern w:val="0"/>
      <w:sz w:val="20"/>
      <w:lang w:eastAsia="en-US"/>
    </w:rPr>
  </w:style>
  <w:style w:type="character" w:customStyle="1" w:styleId="77">
    <w:name w:val="批注文字 Char1"/>
    <w:qFormat/>
    <w:uiPriority w:val="99"/>
    <w:rPr>
      <w:rFonts w:ascii="Times New Roman" w:hAnsi="Times New Roman"/>
    </w:rPr>
  </w:style>
  <w:style w:type="paragraph" w:customStyle="1" w:styleId="78">
    <w:name w:val="文1"/>
    <w:basedOn w:val="1"/>
    <w:qFormat/>
    <w:uiPriority w:val="0"/>
    <w:pPr>
      <w:widowControl/>
      <w:snapToGrid w:val="0"/>
      <w:spacing w:line="360" w:lineRule="auto"/>
      <w:ind w:firstLine="567"/>
      <w:jc w:val="left"/>
    </w:pPr>
    <w:rPr>
      <w:rFonts w:ascii="Arial" w:hAnsi="Arial" w:eastAsia="幼圆"/>
      <w:kern w:val="0"/>
      <w:sz w:val="24"/>
      <w:szCs w:val="20"/>
    </w:rPr>
  </w:style>
  <w:style w:type="paragraph" w:styleId="79">
    <w:name w:val="List Paragraph"/>
    <w:basedOn w:val="1"/>
    <w:qFormat/>
    <w:uiPriority w:val="34"/>
    <w:pPr>
      <w:ind w:firstLine="420" w:firstLineChars="200"/>
    </w:pPr>
  </w:style>
  <w:style w:type="paragraph" w:customStyle="1" w:styleId="8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1">
    <w:name w:val="标题 4 Char"/>
    <w:basedOn w:val="36"/>
    <w:semiHidden/>
    <w:qFormat/>
    <w:uiPriority w:val="9"/>
    <w:rPr>
      <w:rFonts w:asciiTheme="majorHAnsi" w:hAnsiTheme="majorHAnsi" w:eastAsiaTheme="majorEastAsia" w:cstheme="majorBidi"/>
      <w:b/>
      <w:bCs/>
      <w:kern w:val="2"/>
      <w:sz w:val="28"/>
      <w:szCs w:val="28"/>
    </w:rPr>
  </w:style>
  <w:style w:type="character" w:customStyle="1" w:styleId="82">
    <w:name w:val="15"/>
    <w:basedOn w:val="36"/>
    <w:qFormat/>
    <w:uiPriority w:val="0"/>
    <w:rPr>
      <w:rFonts w:hint="default" w:ascii="Times New Roman" w:hAnsi="Times New Roman" w:eastAsia="宋体" w:cs="Times New Roman"/>
      <w:sz w:val="21"/>
      <w:szCs w:val="21"/>
    </w:rPr>
  </w:style>
  <w:style w:type="paragraph" w:customStyle="1" w:styleId="83">
    <w:name w:val="表格内文字"/>
    <w:basedOn w:val="1"/>
    <w:link w:val="84"/>
    <w:qFormat/>
    <w:uiPriority w:val="0"/>
    <w:pPr>
      <w:kinsoku w:val="0"/>
      <w:wordWrap w:val="0"/>
      <w:overflowPunct w:val="0"/>
      <w:snapToGrid w:val="0"/>
      <w:jc w:val="center"/>
    </w:pPr>
    <w:rPr>
      <w:snapToGrid w:val="0"/>
    </w:rPr>
  </w:style>
  <w:style w:type="character" w:customStyle="1" w:styleId="84">
    <w:name w:val="表格内文字 Char"/>
    <w:link w:val="83"/>
    <w:qFormat/>
    <w:uiPriority w:val="0"/>
    <w:rPr>
      <w:snapToGrid w:val="0"/>
      <w:kern w:val="2"/>
      <w:sz w:val="21"/>
      <w:szCs w:val="24"/>
    </w:rPr>
  </w:style>
  <w:style w:type="character" w:customStyle="1" w:styleId="85">
    <w:name w:val="NormalCharacter"/>
    <w:semiHidden/>
    <w:qFormat/>
    <w:uiPriority w:val="0"/>
  </w:style>
  <w:style w:type="character" w:customStyle="1" w:styleId="86">
    <w:name w:val="样式 表格 + 黑色 Char Char"/>
    <w:link w:val="87"/>
    <w:qFormat/>
    <w:uiPriority w:val="0"/>
    <w:rPr>
      <w:rFonts w:ascii="宋体" w:hAnsi="宋体"/>
      <w:color w:val="000000"/>
      <w:spacing w:val="-4"/>
      <w:sz w:val="21"/>
      <w:szCs w:val="21"/>
    </w:rPr>
  </w:style>
  <w:style w:type="paragraph" w:customStyle="1" w:styleId="87">
    <w:name w:val="样式 表格 + 黑色"/>
    <w:basedOn w:val="1"/>
    <w:link w:val="86"/>
    <w:qFormat/>
    <w:uiPriority w:val="0"/>
    <w:pPr>
      <w:adjustRightInd w:val="0"/>
      <w:snapToGrid w:val="0"/>
      <w:jc w:val="center"/>
    </w:pPr>
    <w:rPr>
      <w:rFonts w:ascii="宋体" w:hAnsi="宋体"/>
      <w:color w:val="000000"/>
      <w:spacing w:val="-4"/>
      <w:kern w:val="0"/>
      <w:szCs w:val="21"/>
    </w:rPr>
  </w:style>
  <w:style w:type="paragraph" w:customStyle="1" w:styleId="88">
    <w:name w:val="Char2"/>
    <w:basedOn w:val="1"/>
    <w:qFormat/>
    <w:uiPriority w:val="0"/>
    <w:pPr>
      <w:snapToGrid w:val="0"/>
      <w:spacing w:line="360" w:lineRule="auto"/>
      <w:ind w:firstLine="200" w:firstLineChars="200"/>
    </w:pPr>
    <w:rPr>
      <w:rFonts w:eastAsia="仿宋_GB2312"/>
      <w:sz w:val="24"/>
    </w:rPr>
  </w:style>
  <w:style w:type="paragraph" w:customStyle="1" w:styleId="89">
    <w:name w:val="表格?????"/>
    <w:basedOn w:val="1"/>
    <w:link w:val="90"/>
    <w:qFormat/>
    <w:uiPriority w:val="99"/>
    <w:pPr>
      <w:spacing w:before="100" w:after="100" w:line="320" w:lineRule="exact"/>
      <w:jc w:val="center"/>
    </w:pPr>
    <w:rPr>
      <w:spacing w:val="10"/>
      <w:kern w:val="0"/>
      <w:sz w:val="24"/>
      <w:szCs w:val="20"/>
    </w:rPr>
  </w:style>
  <w:style w:type="character" w:customStyle="1" w:styleId="90">
    <w:name w:val="表格????????内"/>
    <w:link w:val="89"/>
    <w:qFormat/>
    <w:locked/>
    <w:uiPriority w:val="99"/>
    <w:rPr>
      <w:spacing w:val="10"/>
      <w:sz w:val="24"/>
    </w:rPr>
  </w:style>
  <w:style w:type="paragraph" w:customStyle="1" w:styleId="91">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92">
    <w:name w:val="正文缩进 Char1"/>
    <w:qFormat/>
    <w:locked/>
    <w:uiPriority w:val="0"/>
    <w:rPr>
      <w:sz w:val="28"/>
    </w:rPr>
  </w:style>
  <w:style w:type="paragraph" w:customStyle="1" w:styleId="93">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94">
    <w:name w:val="三级大纲1"/>
    <w:basedOn w:val="1"/>
    <w:link w:val="95"/>
    <w:qFormat/>
    <w:uiPriority w:val="99"/>
    <w:pPr>
      <w:tabs>
        <w:tab w:val="left" w:pos="774"/>
      </w:tabs>
      <w:adjustRightInd w:val="0"/>
      <w:snapToGrid w:val="0"/>
      <w:spacing w:beforeLines="50" w:afterLines="50"/>
      <w:outlineLvl w:val="2"/>
    </w:pPr>
    <w:rPr>
      <w:rFonts w:eastAsia="仿宋"/>
      <w:b/>
      <w:spacing w:val="16"/>
      <w:sz w:val="24"/>
    </w:rPr>
  </w:style>
  <w:style w:type="character" w:customStyle="1" w:styleId="95">
    <w:name w:val="三级大纲1 字符"/>
    <w:link w:val="94"/>
    <w:qFormat/>
    <w:locked/>
    <w:uiPriority w:val="99"/>
    <w:rPr>
      <w:rFonts w:eastAsia="仿宋"/>
      <w:b/>
      <w:spacing w:val="16"/>
      <w:kern w:val="2"/>
      <w:sz w:val="24"/>
      <w:szCs w:val="24"/>
    </w:rPr>
  </w:style>
  <w:style w:type="character" w:customStyle="1" w:styleId="96">
    <w:name w:val="font31"/>
    <w:basedOn w:val="36"/>
    <w:qFormat/>
    <w:uiPriority w:val="0"/>
    <w:rPr>
      <w:rFonts w:hint="eastAsia" w:ascii="宋体" w:hAnsi="宋体" w:eastAsia="宋体" w:cs="宋体"/>
      <w:color w:val="FF0000"/>
      <w:sz w:val="18"/>
      <w:szCs w:val="18"/>
      <w:u w:val="none"/>
    </w:rPr>
  </w:style>
  <w:style w:type="paragraph" w:customStyle="1" w:styleId="97">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98">
    <w:name w:val="font21"/>
    <w:basedOn w:val="36"/>
    <w:qFormat/>
    <w:uiPriority w:val="0"/>
    <w:rPr>
      <w:rFonts w:hint="eastAsia" w:ascii="MingLiU" w:eastAsia="MingLiU"/>
      <w:color w:val="000000"/>
      <w:sz w:val="24"/>
      <w:szCs w:val="24"/>
      <w:u w:val="none"/>
    </w:rPr>
  </w:style>
  <w:style w:type="character" w:customStyle="1" w:styleId="99">
    <w:name w:val="font81"/>
    <w:basedOn w:val="36"/>
    <w:qFormat/>
    <w:uiPriority w:val="0"/>
    <w:rPr>
      <w:rFonts w:hint="eastAsia" w:ascii="MingLiU" w:eastAsia="MingLiU"/>
      <w:color w:val="000000"/>
      <w:sz w:val="24"/>
      <w:szCs w:val="24"/>
      <w:u w:val="none"/>
    </w:rPr>
  </w:style>
  <w:style w:type="character" w:customStyle="1" w:styleId="100">
    <w:name w:val="font51"/>
    <w:basedOn w:val="36"/>
    <w:qFormat/>
    <w:uiPriority w:val="0"/>
    <w:rPr>
      <w:rFonts w:hint="default" w:ascii="SF Hello Regular" w:hAnsi="SF Hello Regular"/>
      <w:color w:val="000000"/>
      <w:sz w:val="24"/>
      <w:szCs w:val="24"/>
      <w:u w:val="none"/>
    </w:rPr>
  </w:style>
  <w:style w:type="character" w:customStyle="1" w:styleId="101">
    <w:name w:val="font01"/>
    <w:basedOn w:val="36"/>
    <w:qFormat/>
    <w:uiPriority w:val="0"/>
    <w:rPr>
      <w:rFonts w:hint="default" w:ascii="Arial" w:hAnsi="Arial" w:cs="Arial"/>
      <w:color w:val="000000"/>
      <w:sz w:val="24"/>
      <w:szCs w:val="24"/>
      <w:u w:val="none"/>
    </w:rPr>
  </w:style>
  <w:style w:type="paragraph" w:customStyle="1" w:styleId="102">
    <w:name w:val="表格样式"/>
    <w:basedOn w:val="1"/>
    <w:qFormat/>
    <w:uiPriority w:val="99"/>
    <w:pPr>
      <w:widowControl/>
      <w:adjustRightInd w:val="0"/>
      <w:snapToGrid w:val="0"/>
      <w:jc w:val="center"/>
    </w:pPr>
    <w:rPr>
      <w:rFonts w:ascii="宋体"/>
      <w:color w:val="000000"/>
      <w:kern w:val="0"/>
      <w:sz w:val="24"/>
      <w:szCs w:val="20"/>
    </w:rPr>
  </w:style>
  <w:style w:type="paragraph" w:customStyle="1" w:styleId="10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04">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105">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107">
    <w:name w:val="修订8"/>
    <w:hidden/>
    <w:semiHidden/>
    <w:qFormat/>
    <w:uiPriority w:val="99"/>
    <w:rPr>
      <w:rFonts w:ascii="Times New Roman" w:hAnsi="Times New Roman" w:eastAsia="宋体" w:cs="Times New Roman"/>
      <w:kern w:val="2"/>
      <w:sz w:val="21"/>
      <w:szCs w:val="24"/>
      <w:lang w:val="en-US" w:eastAsia="zh-CN" w:bidi="ar-SA"/>
    </w:rPr>
  </w:style>
  <w:style w:type="paragraph" w:customStyle="1" w:styleId="108">
    <w:name w:val="修订9"/>
    <w:hidden/>
    <w:semiHidden/>
    <w:qFormat/>
    <w:uiPriority w:val="99"/>
    <w:rPr>
      <w:rFonts w:ascii="Times New Roman" w:hAnsi="Times New Roman" w:eastAsia="宋体" w:cs="Times New Roman"/>
      <w:kern w:val="2"/>
      <w:sz w:val="21"/>
      <w:szCs w:val="24"/>
      <w:lang w:val="en-US" w:eastAsia="zh-CN" w:bidi="ar-SA"/>
    </w:rPr>
  </w:style>
  <w:style w:type="paragraph" w:customStyle="1" w:styleId="109">
    <w:name w:val="修订10"/>
    <w:hidden/>
    <w:semiHidden/>
    <w:qFormat/>
    <w:uiPriority w:val="99"/>
    <w:rPr>
      <w:rFonts w:ascii="Times New Roman" w:hAnsi="Times New Roman" w:eastAsia="宋体" w:cs="Times New Roman"/>
      <w:kern w:val="2"/>
      <w:sz w:val="21"/>
      <w:szCs w:val="24"/>
      <w:lang w:val="en-US" w:eastAsia="zh-CN" w:bidi="ar-SA"/>
    </w:rPr>
  </w:style>
  <w:style w:type="paragraph" w:customStyle="1" w:styleId="110">
    <w:name w:val="Default1"/>
    <w:qFormat/>
    <w:uiPriority w:val="0"/>
    <w:pPr>
      <w:widowControl w:val="0"/>
      <w:autoSpaceDE w:val="0"/>
      <w:autoSpaceDN w:val="0"/>
      <w:adjustRightInd w:val="0"/>
      <w:jc w:val="center"/>
    </w:pPr>
    <w:rPr>
      <w:rFonts w:ascii="宋体" w:hAnsi="Times New Roman" w:eastAsia="宋体" w:cs="宋体"/>
      <w:color w:val="000000"/>
      <w:sz w:val="24"/>
      <w:szCs w:val="24"/>
      <w:lang w:val="en-US" w:eastAsia="zh-CN" w:bidi="ar-SA"/>
    </w:rPr>
  </w:style>
  <w:style w:type="paragraph" w:customStyle="1" w:styleId="111">
    <w:name w:val="修订11"/>
    <w:hidden/>
    <w:unhideWhenUsed/>
    <w:qFormat/>
    <w:uiPriority w:val="99"/>
    <w:rPr>
      <w:rFonts w:ascii="Times New Roman" w:hAnsi="Times New Roman" w:eastAsia="宋体" w:cs="Times New Roman"/>
      <w:kern w:val="2"/>
      <w:sz w:val="21"/>
      <w:szCs w:val="24"/>
      <w:lang w:val="en-US" w:eastAsia="zh-CN" w:bidi="ar-SA"/>
    </w:rPr>
  </w:style>
  <w:style w:type="character" w:customStyle="1" w:styleId="112">
    <w:name w:val="k54rn5"/>
    <w:basedOn w:val="36"/>
    <w:qFormat/>
    <w:uiPriority w:val="0"/>
  </w:style>
  <w:style w:type="character" w:customStyle="1" w:styleId="113">
    <w:name w:val="l919o0b35b"/>
    <w:basedOn w:val="36"/>
    <w:qFormat/>
    <w:uiPriority w:val="0"/>
  </w:style>
  <w:style w:type="character" w:customStyle="1" w:styleId="114">
    <w:name w:val="sw6z3t96o"/>
    <w:basedOn w:val="36"/>
    <w:qFormat/>
    <w:uiPriority w:val="0"/>
  </w:style>
  <w:style w:type="paragraph" w:customStyle="1" w:styleId="115">
    <w:name w:val="正文-报告表"/>
    <w:basedOn w:val="1"/>
    <w:qFormat/>
    <w:uiPriority w:val="0"/>
    <w:pPr>
      <w:adjustRightInd w:val="0"/>
      <w:snapToGrid w:val="0"/>
      <w:spacing w:line="480" w:lineRule="exact"/>
      <w:ind w:firstLine="480" w:firstLineChars="200"/>
      <w:jc w:val="left"/>
    </w:pPr>
    <w:rPr>
      <w:sz w:val="24"/>
    </w:rPr>
  </w:style>
  <w:style w:type="paragraph" w:customStyle="1" w:styleId="116">
    <w:name w:val="标题-报告表"/>
    <w:basedOn w:val="1"/>
    <w:qFormat/>
    <w:uiPriority w:val="0"/>
    <w:pPr>
      <w:spacing w:line="480" w:lineRule="exact"/>
      <w:jc w:val="center"/>
    </w:pPr>
    <w:rPr>
      <w:b/>
      <w:bCs/>
      <w:sz w:val="24"/>
    </w:rPr>
  </w:style>
  <w:style w:type="paragraph" w:customStyle="1" w:styleId="117">
    <w:name w:val="0表格格式"/>
    <w:basedOn w:val="1"/>
    <w:qFormat/>
    <w:uiPriority w:val="0"/>
    <w:pPr>
      <w:widowControl/>
      <w:jc w:val="center"/>
    </w:pPr>
    <w:rPr>
      <w:kern w:val="0"/>
      <w:szCs w:val="21"/>
    </w:rPr>
  </w:style>
  <w:style w:type="character" w:customStyle="1" w:styleId="118">
    <w:name w:val="标题 6 字符"/>
    <w:basedOn w:val="36"/>
    <w:link w:val="7"/>
    <w:semiHidden/>
    <w:qFormat/>
    <w:uiPriority w:val="0"/>
    <w:rPr>
      <w:rFonts w:asciiTheme="majorHAnsi" w:hAnsiTheme="majorHAnsi" w:eastAsiaTheme="majorEastAsia" w:cstheme="majorBidi"/>
      <w:b/>
      <w:bCs/>
      <w:kern w:val="2"/>
      <w:sz w:val="24"/>
      <w:szCs w:val="24"/>
    </w:rPr>
  </w:style>
  <w:style w:type="character" w:customStyle="1" w:styleId="119">
    <w:name w:val="fontstyle01"/>
    <w:qFormat/>
    <w:uiPriority w:val="0"/>
    <w:rPr>
      <w:rFonts w:hint="eastAsia" w:ascii="宋体" w:hAnsi="宋体" w:eastAsia="宋体"/>
      <w:color w:val="000000"/>
      <w:sz w:val="22"/>
      <w:szCs w:val="22"/>
    </w:rPr>
  </w:style>
  <w:style w:type="paragraph" w:customStyle="1" w:styleId="120">
    <w:name w:val="表内lcc"/>
    <w:basedOn w:val="1"/>
    <w:qFormat/>
    <w:uiPriority w:val="0"/>
    <w:pPr>
      <w:adjustRightInd w:val="0"/>
      <w:jc w:val="center"/>
    </w:pPr>
    <w:rPr>
      <w:iCs/>
      <w:color w:val="000000"/>
    </w:rPr>
  </w:style>
  <w:style w:type="paragraph" w:customStyle="1" w:styleId="121">
    <w:name w:val="表文-lcc"/>
    <w:basedOn w:val="17"/>
    <w:qFormat/>
    <w:uiPriority w:val="0"/>
    <w:pPr>
      <w:jc w:val="center"/>
    </w:pPr>
    <w:rPr>
      <w:rFonts w:ascii="宋体" w:eastAsia="宋体" w:cs="宋体"/>
    </w:rPr>
  </w:style>
  <w:style w:type="character" w:customStyle="1" w:styleId="122">
    <w:name w:val="纯文本 字符"/>
    <w:basedOn w:val="36"/>
    <w:link w:val="17"/>
    <w:semiHidden/>
    <w:qFormat/>
    <w:uiPriority w:val="0"/>
    <w:rPr>
      <w:rFonts w:hAnsi="Courier New" w:cs="Courier New" w:asciiTheme="minorEastAsia" w:eastAsiaTheme="minorEastAsia"/>
      <w:kern w:val="2"/>
      <w:sz w:val="21"/>
      <w:szCs w:val="24"/>
    </w:rPr>
  </w:style>
  <w:style w:type="character" w:customStyle="1" w:styleId="123">
    <w:name w:val="表图 Char"/>
    <w:link w:val="124"/>
    <w:qFormat/>
    <w:uiPriority w:val="0"/>
    <w:rPr>
      <w:color w:val="000000"/>
      <w:kern w:val="2"/>
      <w:sz w:val="21"/>
      <w:szCs w:val="22"/>
    </w:rPr>
  </w:style>
  <w:style w:type="paragraph" w:customStyle="1" w:styleId="124">
    <w:name w:val="表图"/>
    <w:basedOn w:val="1"/>
    <w:next w:val="1"/>
    <w:link w:val="123"/>
    <w:qFormat/>
    <w:uiPriority w:val="0"/>
    <w:pPr>
      <w:adjustRightInd w:val="0"/>
      <w:snapToGrid w:val="0"/>
      <w:spacing w:after="200"/>
      <w:jc w:val="center"/>
    </w:pPr>
    <w:rPr>
      <w:color w:val="000000"/>
      <w:szCs w:val="22"/>
    </w:rPr>
  </w:style>
  <w:style w:type="paragraph" w:customStyle="1" w:styleId="125">
    <w:name w:val="_Style 138"/>
    <w:basedOn w:val="1"/>
    <w:qFormat/>
    <w:uiPriority w:val="0"/>
    <w:rPr>
      <w:rFonts w:ascii="Calibri" w:hAnsi="Calibri"/>
      <w:szCs w:val="21"/>
    </w:rPr>
  </w:style>
  <w:style w:type="paragraph" w:customStyle="1" w:styleId="126">
    <w:name w:val="List Paragraph2"/>
    <w:basedOn w:val="1"/>
    <w:qFormat/>
    <w:uiPriority w:val="0"/>
    <w:pPr>
      <w:ind w:firstLine="420" w:firstLineChars="200"/>
    </w:pPr>
  </w:style>
  <w:style w:type="paragraph" w:customStyle="1" w:styleId="127">
    <w:name w:val="表头（仿宋 小四）"/>
    <w:basedOn w:val="1"/>
    <w:qFormat/>
    <w:uiPriority w:val="0"/>
    <w:pPr>
      <w:spacing w:line="520" w:lineRule="exact"/>
      <w:jc w:val="center"/>
    </w:pPr>
    <w:rPr>
      <w:rFonts w:ascii="仿宋_GB2312" w:hAnsi="宋体" w:cs="宋体"/>
      <w:color w:val="000000"/>
      <w:sz w:val="24"/>
    </w:rPr>
  </w:style>
  <w:style w:type="paragraph" w:customStyle="1" w:styleId="128">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29">
    <w:name w:val="XQ报告表正文"/>
    <w:basedOn w:val="1"/>
    <w:qFormat/>
    <w:uiPriority w:val="0"/>
    <w:pPr>
      <w:adjustRightInd w:val="0"/>
      <w:snapToGrid w:val="0"/>
      <w:spacing w:line="360" w:lineRule="auto"/>
      <w:ind w:firstLine="200" w:firstLineChars="200"/>
    </w:pPr>
    <w:rPr>
      <w:rFonts w:hAnsi="宋体" w:cs="宋体"/>
      <w:bCs/>
      <w:snapToGrid w:val="0"/>
      <w:kern w:val="0"/>
      <w:sz w:val="24"/>
      <w:lang w:val="zh-CN"/>
    </w:rPr>
  </w:style>
  <w:style w:type="paragraph" w:customStyle="1" w:styleId="130">
    <w:name w:val="正文(首行缩进)"/>
    <w:basedOn w:val="1"/>
    <w:qFormat/>
    <w:uiPriority w:val="0"/>
    <w:pPr>
      <w:spacing w:line="360" w:lineRule="auto"/>
      <w:ind w:firstLine="480" w:firstLineChars="200"/>
    </w:pPr>
    <w:rPr>
      <w:snapToGrid w:val="0"/>
      <w:color w:val="000000"/>
      <w:kern w:val="0"/>
      <w:sz w:val="24"/>
    </w:rPr>
  </w:style>
  <w:style w:type="paragraph" w:customStyle="1" w:styleId="131">
    <w:name w:val="环评表格"/>
    <w:basedOn w:val="132"/>
    <w:next w:val="1"/>
    <w:qFormat/>
    <w:uiPriority w:val="0"/>
    <w:pPr>
      <w:widowControl/>
    </w:pPr>
    <w:rPr>
      <w:rFonts w:ascii="等线" w:hAnsi="等线" w:eastAsia="等线" w:cs="Times New Roman"/>
      <w:kern w:val="2"/>
      <w:sz w:val="21"/>
      <w:szCs w:val="22"/>
    </w:rPr>
  </w:style>
  <w:style w:type="paragraph" w:customStyle="1" w:styleId="132">
    <w:name w:val="表格内容"/>
    <w:basedOn w:val="1"/>
    <w:qFormat/>
    <w:uiPriority w:val="0"/>
    <w:pPr>
      <w:adjustRightInd w:val="0"/>
      <w:snapToGrid w:val="0"/>
      <w:spacing w:line="240" w:lineRule="atLeast"/>
      <w:jc w:val="center"/>
    </w:pPr>
    <w:rPr>
      <w:rFonts w:ascii="宋体" w:hAnsi="宋体" w:cs="Arial Unicode MS"/>
    </w:rPr>
  </w:style>
  <w:style w:type="paragraph" w:customStyle="1" w:styleId="133">
    <w:name w:val="环评正文"/>
    <w:basedOn w:val="1"/>
    <w:qFormat/>
    <w:uiPriority w:val="0"/>
    <w:pPr>
      <w:spacing w:line="360" w:lineRule="auto"/>
      <w:ind w:firstLine="200" w:firstLineChars="200"/>
    </w:pPr>
    <w:rPr>
      <w:sz w:val="24"/>
    </w:rPr>
  </w:style>
  <w:style w:type="paragraph" w:customStyle="1" w:styleId="134">
    <w:name w:val="表头"/>
    <w:basedOn w:val="1"/>
    <w:qFormat/>
    <w:uiPriority w:val="0"/>
    <w:pPr>
      <w:widowControl/>
      <w:spacing w:before="50" w:beforeLines="50" w:line="240" w:lineRule="auto"/>
      <w:ind w:firstLine="0" w:firstLineChars="0"/>
      <w:jc w:val="center"/>
      <w:outlineLvl w:val="0"/>
    </w:pPr>
    <w:rPr>
      <w:b/>
      <w:bCs/>
      <w:snapToGrid w:val="0"/>
      <w:kern w:val="0"/>
      <w:sz w:val="21"/>
      <w:szCs w:val="21"/>
    </w:rPr>
  </w:style>
  <w:style w:type="paragraph" w:customStyle="1" w:styleId="135">
    <w:name w:val="Table Text"/>
    <w:basedOn w:val="1"/>
    <w:semiHidden/>
    <w:qFormat/>
    <w:uiPriority w:val="0"/>
    <w:rPr>
      <w:rFonts w:ascii="宋体" w:hAnsi="宋体" w:eastAsia="宋体" w:cs="宋体"/>
      <w:sz w:val="20"/>
      <w:szCs w:val="20"/>
      <w:lang w:val="en-US" w:eastAsia="en-US" w:bidi="ar-SA"/>
    </w:rPr>
  </w:style>
  <w:style w:type="table" w:customStyle="1" w:styleId="136">
    <w:name w:val="Table Normal"/>
    <w:semiHidden/>
    <w:unhideWhenUsed/>
    <w:qFormat/>
    <w:uiPriority w:val="0"/>
    <w:tblPr>
      <w:tblCellMar>
        <w:top w:w="0" w:type="dxa"/>
        <w:left w:w="0" w:type="dxa"/>
        <w:bottom w:w="0" w:type="dxa"/>
        <w:right w:w="0" w:type="dxa"/>
      </w:tblCellMar>
    </w:tblPr>
  </w:style>
  <w:style w:type="paragraph" w:customStyle="1" w:styleId="137">
    <w:name w:val="表格文字"/>
    <w:qFormat/>
    <w:uiPriority w:val="0"/>
    <w:pPr>
      <w:jc w:val="center"/>
    </w:pPr>
    <w:rPr>
      <w:rFonts w:ascii="Times New Roman" w:hAnsi="Times New Roman" w:eastAsia="仿宋" w:cs="Times New Roman"/>
      <w:sz w:val="21"/>
      <w:lang w:val="en-US" w:eastAsia="zh-CN" w:bidi="ar-SA"/>
    </w:rPr>
  </w:style>
  <w:style w:type="paragraph" w:customStyle="1" w:styleId="138">
    <w:name w:val="表标题"/>
    <w:basedOn w:val="1"/>
    <w:qFormat/>
    <w:uiPriority w:val="0"/>
    <w:pPr>
      <w:ind w:firstLine="0" w:firstLineChars="0"/>
      <w:jc w:val="center"/>
    </w:pPr>
    <w:rPr>
      <w:b/>
    </w:rPr>
  </w:style>
  <w:style w:type="paragraph" w:customStyle="1" w:styleId="139">
    <w:name w:val="表"/>
    <w:basedOn w:val="1"/>
    <w:qFormat/>
    <w:uiPriority w:val="99"/>
    <w:pPr>
      <w:topLinePunct/>
      <w:adjustRightInd w:val="0"/>
      <w:snapToGrid w:val="0"/>
      <w:spacing w:line="240" w:lineRule="auto"/>
      <w:ind w:firstLine="0" w:firstLineChars="0"/>
      <w:jc w:val="center"/>
    </w:pPr>
    <w:rPr>
      <w:rFonts w:eastAsia="Times New Roman"/>
      <w:kern w:val="0"/>
      <w:sz w:val="21"/>
      <w:szCs w:val="21"/>
    </w:rPr>
  </w:style>
  <w:style w:type="character" w:customStyle="1" w:styleId="140">
    <w:name w:val="font11"/>
    <w:basedOn w:val="36"/>
    <w:qFormat/>
    <w:uiPriority w:val="0"/>
    <w:rPr>
      <w:rFonts w:hint="default" w:ascii="Times New Roman" w:hAnsi="Times New Roman" w:cs="Times New Roman"/>
      <w:color w:val="000000"/>
      <w:sz w:val="18"/>
      <w:szCs w:val="18"/>
      <w:u w:val="none"/>
      <w:vertAlign w:val="subscript"/>
    </w:rPr>
  </w:style>
  <w:style w:type="paragraph" w:customStyle="1" w:styleId="141">
    <w:name w:val="列出段落1"/>
    <w:basedOn w:val="1"/>
    <w:qFormat/>
    <w:uiPriority w:val="0"/>
    <w:pPr>
      <w:ind w:firstLine="420" w:firstLineChars="200"/>
    </w:pPr>
    <w:rPr>
      <w:szCs w:val="21"/>
    </w:rPr>
  </w:style>
  <w:style w:type="paragraph" w:customStyle="1" w:styleId="142">
    <w:name w:val="正文lcc"/>
    <w:basedOn w:val="1"/>
    <w:qFormat/>
    <w:uiPriority w:val="0"/>
    <w:pPr>
      <w:snapToGrid w:val="0"/>
      <w:ind w:firstLine="480"/>
    </w:pPr>
    <w:rPr>
      <w:szCs w:val="20"/>
    </w:rPr>
  </w:style>
  <w:style w:type="paragraph" w:customStyle="1" w:styleId="143">
    <w:name w:val="08表格文字"/>
    <w:basedOn w:val="1"/>
    <w:qFormat/>
    <w:uiPriority w:val="0"/>
    <w:pPr>
      <w:widowControl/>
      <w:adjustRightInd w:val="0"/>
      <w:snapToGrid w:val="0"/>
      <w:jc w:val="center"/>
    </w:pPr>
    <w:rPr>
      <w:rFonts w:eastAsia="仿宋_GB2312" w:cstheme="minorBidi"/>
      <w:kern w:val="0"/>
      <w:szCs w:val="22"/>
    </w:rPr>
  </w:style>
  <w:style w:type="table" w:customStyle="1" w:styleId="144">
    <w:name w:val="NJUAE"/>
    <w:basedOn w:val="33"/>
    <w:qFormat/>
    <w:uiPriority w:val="99"/>
    <w:pPr>
      <w:adjustRightInd w:val="0"/>
      <w:snapToGrid w:val="0"/>
      <w:jc w:val="both"/>
    </w:pPr>
    <w:rPr>
      <w:rFonts w:ascii="Times New Roman" w:hAnsi="Times New Roman" w:eastAsia="仿宋_GB2312"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145">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46">
    <w:name w:val="列出段落3"/>
    <w:basedOn w:val="1"/>
    <w:qFormat/>
    <w:uiPriority w:val="34"/>
    <w:pPr>
      <w:ind w:firstLine="420" w:firstLineChars="200"/>
    </w:pPr>
    <w:rPr>
      <w:sz w:val="24"/>
      <w:szCs w:val="20"/>
    </w:rPr>
  </w:style>
  <w:style w:type="paragraph" w:customStyle="1" w:styleId="147">
    <w:name w:val="表内表"/>
    <w:basedOn w:val="1"/>
    <w:qFormat/>
    <w:uiPriority w:val="0"/>
    <w:pPr>
      <w:adjustRightInd w:val="0"/>
      <w:snapToGrid w:val="0"/>
      <w:jc w:val="center"/>
    </w:pPr>
    <w:rPr>
      <w:szCs w:val="21"/>
    </w:rPr>
  </w:style>
  <w:style w:type="paragraph" w:customStyle="1" w:styleId="148">
    <w:name w:val="！正文"/>
    <w:basedOn w:val="1"/>
    <w:qFormat/>
    <w:uiPriority w:val="0"/>
    <w:pPr>
      <w:spacing w:line="360" w:lineRule="auto"/>
      <w:ind w:firstLine="200" w:firstLineChars="200"/>
    </w:pPr>
    <w:rPr>
      <w:rFonts w:eastAsia="仿宋_GB2312"/>
      <w:sz w:val="24"/>
      <w:szCs w:val="20"/>
    </w:rPr>
  </w:style>
  <w:style w:type="paragraph" w:customStyle="1" w:styleId="149">
    <w:name w:val="aurona"/>
    <w:basedOn w:val="1"/>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 w:type="paragraph" w:customStyle="1" w:styleId="150">
    <w:name w:val="正文-报告书"/>
    <w:basedOn w:val="1"/>
    <w:qFormat/>
    <w:uiPriority w:val="0"/>
    <w:pPr>
      <w:widowControl w:val="0"/>
      <w:adjustRightInd w:val="0"/>
      <w:snapToGrid w:val="0"/>
      <w:spacing w:line="500" w:lineRule="exact"/>
      <w:ind w:firstLine="480" w:firstLineChars="200"/>
      <w:jc w:val="both"/>
    </w:pPr>
    <w:rPr>
      <w:rFonts w:ascii="Times New Roman" w:hAnsi="Times New Roman" w:cs="Times New Roman"/>
      <w:szCs w:val="21"/>
      <w:lang w:val="zh-CN"/>
    </w:rPr>
  </w:style>
  <w:style w:type="paragraph" w:customStyle="1" w:styleId="151">
    <w:name w:val="EIS_TABLE_TITLE"/>
    <w:basedOn w:val="152"/>
    <w:next w:val="152"/>
    <w:qFormat/>
    <w:uiPriority w:val="0"/>
    <w:pPr>
      <w:spacing w:before="50" w:beforeLines="50" w:after="0" w:afterLines="0" w:line="240" w:lineRule="auto"/>
      <w:ind w:firstLine="0" w:firstLineChars="0"/>
      <w:jc w:val="center"/>
    </w:pPr>
    <w:rPr>
      <w:b/>
      <w:kern w:val="2"/>
    </w:rPr>
  </w:style>
  <w:style w:type="paragraph" w:customStyle="1" w:styleId="152">
    <w:name w:val="EIS_TEXT"/>
    <w:basedOn w:val="1"/>
    <w:qFormat/>
    <w:uiPriority w:val="0"/>
    <w:pPr>
      <w:adjustRightInd w:val="0"/>
      <w:snapToGrid w:val="0"/>
      <w:spacing w:before="20" w:beforeLines="20" w:after="20" w:afterLines="20" w:line="360" w:lineRule="auto"/>
      <w:ind w:firstLine="200" w:firstLineChars="200"/>
      <w:contextualSpacing/>
    </w:pPr>
    <w:rPr>
      <w:kern w:val="0"/>
      <w:sz w:val="24"/>
    </w:rPr>
  </w:style>
  <w:style w:type="paragraph" w:customStyle="1" w:styleId="153">
    <w:name w:val="+正文"/>
    <w:basedOn w:val="1"/>
    <w:qFormat/>
    <w:uiPriority w:val="0"/>
    <w:pPr>
      <w:snapToGrid w:val="0"/>
      <w:spacing w:line="500" w:lineRule="exact"/>
      <w:ind w:firstLine="480" w:firstLineChars="200"/>
      <w:jc w:val="both"/>
    </w:pPr>
    <w:rPr>
      <w:rFonts w:ascii="Times New Roman" w:hAnsi="Times New Roman" w:cs="Times New Roman"/>
      <w:shd w:val="clear" w:color="auto" w:fill="FFFFFF" w:themeFill="background1"/>
    </w:rPr>
  </w:style>
  <w:style w:type="paragraph" w:customStyle="1" w:styleId="154">
    <w:name w:val="新正文"/>
    <w:basedOn w:val="1"/>
    <w:qFormat/>
    <w:uiPriority w:val="0"/>
    <w:pPr>
      <w:widowControl w:val="0"/>
      <w:spacing w:line="480" w:lineRule="exact"/>
      <w:ind w:firstLine="567"/>
      <w:jc w:val="both"/>
    </w:pPr>
    <w:rPr>
      <w:rFonts w:ascii="仿宋_GB2312" w:hAnsi="Times New Roman" w:eastAsia="仿宋_GB2312" w:cs="Times New Roman"/>
      <w:bCs/>
      <w:sz w:val="28"/>
      <w:szCs w:val="20"/>
    </w:rPr>
  </w:style>
  <w:style w:type="paragraph" w:customStyle="1" w:styleId="155">
    <w:name w:val="段落1"/>
    <w:basedOn w:val="1"/>
    <w:qFormat/>
    <w:uiPriority w:val="0"/>
    <w:pPr>
      <w:widowControl w:val="0"/>
      <w:adjustRightInd w:val="0"/>
      <w:spacing w:line="480" w:lineRule="exact"/>
      <w:ind w:firstLine="538" w:firstLineChars="210"/>
      <w:jc w:val="both"/>
    </w:pPr>
    <w:rPr>
      <w:rFonts w:ascii="Times New Roman" w:hAnsi="Times New Roman" w:cs="Times New Roman"/>
      <w:spacing w:val="8"/>
      <w:kern w:val="2"/>
      <w:szCs w:val="20"/>
    </w:rPr>
  </w:style>
  <w:style w:type="paragraph" w:customStyle="1" w:styleId="156">
    <w:name w:val="图表标题"/>
    <w:basedOn w:val="1"/>
    <w:qFormat/>
    <w:uiPriority w:val="0"/>
    <w:pPr>
      <w:widowControl w:val="0"/>
      <w:autoSpaceDE w:val="0"/>
      <w:autoSpaceDN w:val="0"/>
      <w:adjustRightInd w:val="0"/>
      <w:snapToGrid w:val="0"/>
      <w:spacing w:line="320" w:lineRule="atLeast"/>
      <w:jc w:val="center"/>
    </w:pPr>
    <w:rPr>
      <w:rFonts w:ascii="黑体" w:eastAsia="黑体" w:cstheme="minorBidi"/>
      <w:b/>
      <w:snapToGrid w:val="0"/>
      <w:color w:val="000000"/>
      <w:kern w:val="2"/>
      <w:sz w:val="21"/>
    </w:rPr>
  </w:style>
  <w:style w:type="paragraph" w:customStyle="1" w:styleId="157">
    <w:name w:val="Char Char1 Char Char Char Char Char Char Char1"/>
    <w:basedOn w:val="1"/>
    <w:qFormat/>
    <w:uiPriority w:val="0"/>
    <w:pPr>
      <w:widowControl w:val="0"/>
      <w:jc w:val="both"/>
    </w:pPr>
    <w:rPr>
      <w:rFonts w:ascii="Times New Roman" w:hAnsi="Times New Roman" w:cs="Times New Roman"/>
      <w:kern w:val="2"/>
    </w:rPr>
  </w:style>
  <w:style w:type="paragraph" w:customStyle="1" w:styleId="158">
    <w:name w:val="ZW"/>
    <w:basedOn w:val="1"/>
    <w:qFormat/>
    <w:uiPriority w:val="0"/>
    <w:pPr>
      <w:spacing w:line="500" w:lineRule="exact"/>
      <w:ind w:firstLine="480" w:firstLineChars="200"/>
      <w:jc w:val="both"/>
    </w:pPr>
    <w:rPr>
      <w:rFonts w:ascii="Times New Roman" w:hAnsi="Times New Roman"/>
      <w:bCs/>
      <w:lang w:val="zh-CN"/>
    </w:rPr>
  </w:style>
  <w:style w:type="paragraph" w:customStyle="1" w:styleId="159">
    <w:name w:val="+ 表内文字"/>
    <w:basedOn w:val="1"/>
    <w:qFormat/>
    <w:uiPriority w:val="0"/>
    <w:pPr>
      <w:widowControl w:val="0"/>
      <w:jc w:val="center"/>
    </w:pPr>
    <w:rPr>
      <w:rFonts w:ascii="Times New Roman" w:hAnsi="Times New Roman"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5721f24e-3eaa-4643-a644-29ec1077d18e</errorID>
      <errorWord>(2025)31号</errorWord>
      <group>L1_Knowledge</group>
      <groupName>知识性问题</groupName>
      <ability>L2_Knowledge</ability>
      <abilityName>其他知识</abilityName>
      <candidateList>
        <item>〔2025〕31号</item>
      </candidateList>
      <explain>发文字号格式错误。</explain>
      <paraID>2714F372</paraID>
      <start>4</start>
      <end>13</end>
      <status>modified</status>
      <modifiedWord>〔2025〕31号</modifiedWord>
      <trackRevisions>false</trackRevisions>
    </reviewItem>
    <reviewItem>
      <errorID>0bbcb8c7-3b77-4a0e-9ecb-41af0ba615bc</errorID>
      <errorWord>(2025)31号</errorWord>
      <group>L1_Knowledge</group>
      <groupName>知识性问题</groupName>
      <ability>L2_Knowledge</ability>
      <abilityName>其他知识</abilityName>
      <candidateList>
        <item>〔2025〕31号</item>
      </candidateList>
      <explain>发文字号格式错误。</explain>
      <paraID> 635DEE4</paraID>
      <start>62</start>
      <end>71</end>
      <status>modified</status>
      <modifiedWord>〔2025〕31号</modifiedWord>
      <trackRevisions>false</trackRevisions>
    </reviewItem>
    <reviewItem>
      <errorID>12fe67f0-6aa6-49c3-b2ce-e0eabbb49c09</errorID>
      <errorWord>《</errorWord>
      <group>L1_Punc</group>
      <groupName>标点问题</groupName>
      <ability>L2_Punc</ability>
      <abilityName>标点符号检查</abilityName>
      <candidateList/>
      <explain/>
      <paraID>240F6F8B</paraID>
      <start>26</start>
      <end>27</end>
      <status>unmodified</status>
      <modifiedWord/>
      <trackRevisions>false</trackRevisions>
    </reviewItem>
    <reviewItem>
      <errorID>2652f2a6-8302-4c46-89f8-d27eb57dde10</errorID>
      <errorWord>(</errorWord>
      <group>L1_Format</group>
      <groupName>格式问题</groupName>
      <ability>L2_HalfPunc</ability>
      <abilityName>全半角检查</abilityName>
      <candidateList>
        <item>（</item>
      </candidateList>
      <explain>文本全半角错误。</explain>
      <paraID>240F6F8B</paraID>
      <start>46</start>
      <end>47</end>
      <status>modified</status>
      <modifiedWord>（</modifiedWord>
      <trackRevisions>false</trackRevisions>
    </reviewItem>
    <reviewItem>
      <errorID>2a589995-69ea-4d08-8589-d71a524547df</errorID>
      <errorWord>)</errorWord>
      <group>L1_Format</group>
      <groupName>格式问题</groupName>
      <ability>L2_HalfPunc</ability>
      <abilityName>全半角检查</abilityName>
      <candidateList>
        <item>）</item>
      </candidateList>
      <explain>文本全半角错误。</explain>
      <paraID>240F6F8B</paraID>
      <start>53</start>
      <end>54</end>
      <status>modified</status>
      <modifiedWord>）</modifiedWord>
      <trackRevisions>false</trackRevisions>
    </reviewItem>
    <reviewItem>
      <errorID>a7f7325a-f7d5-4036-a89f-b618498028d6</errorID>
      <errorWord>》</errorWord>
      <group>L1_Word</group>
      <groupName>字词问题</groupName>
      <ability>L2_Typo</ability>
      <abilityName>字词错误</abilityName>
      <candidateList>
        <item>》等</item>
      </candidateList>
      <explain/>
      <paraID>240F6F8B</paraID>
      <start>97</start>
      <end>99</end>
      <status>modified</status>
      <modifiedWord>》等</modifiedWord>
      <trackRevisions>false</trackRevisions>
    </reviewItem>
    <reviewItem>
      <errorID>9dd0c04f-ecce-4439-beed-407da8c1ec8c</errorID>
      <errorWord>(</errorWord>
      <group>L1_Format</group>
      <groupName>格式问题</groupName>
      <ability>L2_HalfPunc</ability>
      <abilityName>全半角检查</abilityName>
      <candidateList>
        <item>（</item>
      </candidateList>
      <explain>文本全半角错误。</explain>
      <paraID>6BEC3ABD</paraID>
      <start>109</start>
      <end>110</end>
      <status>modified</status>
      <modifiedWord>（</modifiedWord>
      <trackRevisions>false</trackRevisions>
    </reviewItem>
    <reviewItem>
      <errorID>33682c99-1ee5-4de9-bc44-91e48684dfef</errorID>
      <errorWord>)</errorWord>
      <group>L1_Format</group>
      <groupName>格式问题</groupName>
      <ability>L2_HalfPunc</ability>
      <abilityName>全半角检查</abilityName>
      <candidateList>
        <item>）</item>
      </candidateList>
      <explain>文本全半角错误。</explain>
      <paraID>6BEC3ABD</paraID>
      <start>113</start>
      <end>114</end>
      <status>modified</status>
      <modifiedWord>）</modifiedWord>
      <trackRevisions>false</trackRevisions>
    </reviewItem>
    <reviewItem>
      <errorID>e44ea08b-7c23-4ef8-9e0d-4361ed2ac3ec</errorID>
      <errorWord>(</errorWord>
      <group>L1_Format</group>
      <groupName>格式问题</groupName>
      <ability>L2_HalfPunc</ability>
      <abilityName>全半角检查</abilityName>
      <candidateList>
        <item>（</item>
      </candidateList>
      <explain>文本全半角错误。</explain>
      <paraID>28834088</paraID>
      <start>3</start>
      <end>4</end>
      <status>modified</status>
      <modifiedWord>（</modifiedWord>
      <trackRevisions>false</trackRevisions>
    </reviewItem>
    <reviewItem>
      <errorID>d365c0f2-229d-4f06-8eaf-2f04c8e29836</errorID>
      <errorWord>)</errorWord>
      <group>L1_Format</group>
      <groupName>格式问题</groupName>
      <ability>L2_HalfPunc</ability>
      <abilityName>全半角检查</abilityName>
      <candidateList>
        <item>）</item>
      </candidateList>
      <explain>文本全半角错误。</explain>
      <paraID>28834088</paraID>
      <start>7</start>
      <end>8</end>
      <status>modified</status>
      <modifiedWord>）</modifiedWord>
      <trackRevisions>false</trackRevisions>
    </reviewItem>
    <reviewItem>
      <errorID>20b865a1-c673-46ac-831d-b48b9994773a</errorID>
      <errorWord>连水县</errorWord>
      <group>L1_Knowledge</group>
      <groupName>知识性问题</groupName>
      <ability>L2_Location</ability>
      <abilityName>地名检查</abilityName>
      <candidateList>
        <item>涟水县</item>
      </candidateList>
      <explain>地名表述错误</explain>
      <paraID>726091F6</paraID>
      <start>0</start>
      <end>3</end>
      <status>modified</status>
      <modifiedWord>涟水县</modifiedWord>
      <trackRevisions>false</trackRevisions>
    </reviewItem>
    <reviewItem>
      <errorID>f446c73d-7c7a-4514-8e12-6898f2c5b1ed</errorID>
      <errorWord>[2018]74号</errorWord>
      <group>L1_Knowledge</group>
      <groupName>知识性问题</groupName>
      <ability>L2_Knowledge</ability>
      <abilityName>其他知识</abilityName>
      <candidateList>
        <item>〔2018〕74号</item>
      </candidateList>
      <explain>发文字号格式错误。</explain>
      <paraID>72AE448F</paraID>
      <start>89</start>
      <end>98</end>
      <status>modified</status>
      <modifiedWord>〔2018〕74号</modifiedWord>
      <trackRevisions>false</trackRevisions>
    </reviewItem>
    <reviewItem>
      <errorID>a46522f2-c1f4-45dd-a1f8-66740a3a24dd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1E0AE7E0</paraID>
      <start>0</start>
      <end>2</end>
      <status>modified</status>
      <modifiedWord>1.</modifiedWord>
      <trackRevisions>false</trackRevisions>
    </reviewItem>
    <reviewItem>
      <errorID>b03685c4-0af9-47bb-a324-7a0f64f06c30</errorID>
      <errorWord>业</errorWord>
      <group>L1_Word</group>
      <groupName>字词问题</groupName>
      <ability>L2_Typo</ability>
      <abilityName>字词错误</abilityName>
      <candidateList>
        <item>业区</item>
      </candidateList>
      <explain/>
      <paraID>7A97A56F</paraID>
      <start>194</start>
      <end>196</end>
      <status>modified</status>
      <modifiedWord>业区</modifiedWord>
      <trackRevisions>false</trackRevisions>
    </reviewItem>
    <reviewItem>
      <errorID>c6fd61fe-4979-439a-bd80-8475737587d1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53660D4D</paraID>
      <start>0</start>
      <end>2</end>
      <status>modified</status>
      <modifiedWord>1.</modifiedWord>
      <trackRevisions>false</trackRevisions>
    </reviewItem>
    <reviewItem>
      <errorID>beb3daad-7413-4e42-b3f6-c7613ce7ae2c</errorID>
      <errorWord>(</errorWord>
      <group>L1_Format</group>
      <groupName>格式问题</groupName>
      <ability>L2_HalfPunc</ability>
      <abilityName>全半角检查</abilityName>
      <candidateList>
        <item>（</item>
      </candidateList>
      <explain>文本全半角错误。</explain>
      <paraID>3556A739</paraID>
      <start>25</start>
      <end>26</end>
      <status>modified</status>
      <modifiedWord>（</modifiedWord>
      <trackRevisions>false</trackRevisions>
    </reviewItem>
    <reviewItem>
      <errorID>d5db3730-5375-4e62-a488-ef95eac80590</errorID>
      <errorWord>)</errorWord>
      <group>L1_Format</group>
      <groupName>格式问题</groupName>
      <ability>L2_HalfPunc</ability>
      <abilityName>全半角检查</abilityName>
      <candidateList>
        <item>）</item>
      </candidateList>
      <explain>文本全半角错误。</explain>
      <paraID>3556A739</paraID>
      <start>29</start>
      <end>30</end>
      <status>modified</status>
      <modifiedWord>）</modifiedWord>
      <trackRevisions>false</trackRevisions>
    </reviewItem>
    <reviewItem>
      <errorID>688d06fe-d92b-489a-a17d-ec8cae60d091</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69FB7ED1</paraID>
      <start>36</start>
      <end>38</end>
      <status>modified</status>
      <modifiedWord>5）</modifiedWord>
      <trackRevisions>false</trackRevisions>
    </reviewItem>
    <reviewItem>
      <errorID>86e10fa5-8f26-462f-ba4d-1852c2ffa800</errorID>
      <errorWord>[2023]17号</errorWord>
      <group>L1_Knowledge</group>
      <groupName>知识性问题</groupName>
      <ability>L2_Knowledge</ability>
      <abilityName>其他知识</abilityName>
      <candidateList>
        <item>〔2023〕17号</item>
      </candidateList>
      <explain>发文字号格式错误。</explain>
      <paraID>495A8571</paraID>
      <start>75</start>
      <end>84</end>
      <status>modified</status>
      <modifiedWord>〔2023〕17号</modifiedWord>
      <trackRevisions>false</trackRevisions>
    </reviewItem>
    <reviewItem>
      <errorID>e519c600-a0ce-473d-bcdf-b17c59fc6ea4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495A8571</paraID>
      <start>133</start>
      <end>134</end>
      <status>modified</status>
      <modifiedWord>—</modifiedWord>
      <trackRevisions>false</trackRevisions>
    </reviewItem>
    <reviewItem>
      <errorID>2f3e8c2f-e928-4e68-b6dd-9872ede5b8ae</errorID>
      <errorWord>[2022]8号</errorWord>
      <group>L1_Knowledge</group>
      <groupName>知识性问题</groupName>
      <ability>L2_Knowledge</ability>
      <abilityName>其他知识</abilityName>
      <candidateList>
        <item>〔2022〕8号</item>
      </candidateList>
      <explain>发文字号格式错误。</explain>
      <paraID>495A8571</paraID>
      <start>166</start>
      <end>174</end>
      <status>modified</status>
      <modifiedWord>〔2022〕8号</modifiedWord>
      <trackRevisions>false</trackRevisions>
    </reviewItem>
    <reviewItem>
      <errorID>58ad3f26-c0ce-4752-8e96-4f40976a227a</errorID>
      <errorWord>[2023]17号</errorWord>
      <group>L1_Knowledge</group>
      <groupName>知识性问题</groupName>
      <ability>L2_Knowledge</ability>
      <abilityName>其他知识</abilityName>
      <candidateList>
        <item>〔2023〕17号</item>
      </candidateList>
      <explain>发文字号格式错误。</explain>
      <paraID>35B9E8CE</paraID>
      <start>28</start>
      <end>37</end>
      <status>modified</status>
      <modifiedWord>〔2023〕17号</modifiedWord>
      <trackRevisions>false</trackRevisions>
    </reviewItem>
    <reviewItem>
      <errorID>a62f267b-8b83-411e-8b64-b13a93ff0c07</errorID>
      <errorWord>[2022]224号</errorWord>
      <group>L1_Knowledge</group>
      <groupName>知识性问题</groupName>
      <ability>L2_Knowledge</ability>
      <abilityName>其他知识</abilityName>
      <candidateList>
        <item>〔2022〕224号</item>
      </candidateList>
      <explain>发文字号格式错误。</explain>
      <paraID>351B8C02</paraID>
      <start>27</start>
      <end>37</end>
      <status>modified</status>
      <modifiedWord>〔2022〕224号</modifiedWord>
      <trackRevisions>false</trackRevisions>
    </reviewItem>
    <reviewItem>
      <errorID>6f7171ba-1b9f-4e1c-8038-67202f025ca0</errorID>
      <errorWord>[2020]67号</errorWord>
      <group>L1_Knowledge</group>
      <groupName>知识性问题</groupName>
      <ability>L2_Knowledge</ability>
      <abilityName>其他知识</abilityName>
      <candidateList>
        <item>〔2020〕67号</item>
      </candidateList>
      <explain>发文字号格式错误。</explain>
      <paraID>5469B1D7</paraID>
      <start>21</start>
      <end>30</end>
      <status>modified</status>
      <modifiedWord>〔2020〕67号</modifiedWord>
      <trackRevisions>false</trackRevisions>
    </reviewItem>
    <reviewItem>
      <errorID>f6133856-805f-48c6-acd0-713cd606c624</errorID>
      <errorWord>[2020]58号</errorWord>
      <group>L1_Knowledge</group>
      <groupName>知识性问题</groupName>
      <ability>L2_Knowledge</ability>
      <abilityName>其他知识</abilityName>
      <candidateList>
        <item>〔2020〕58号</item>
      </candidateList>
      <explain>发文字号格式错误。</explain>
      <paraID>5469B1D7</paraID>
      <start>62</start>
      <end>71</end>
      <status>modified</status>
      <modifiedWord>〔2020〕58号</modifiedWord>
      <trackRevisions>false</trackRevisions>
    </reviewItem>
    <reviewItem>
      <errorID>85688ab1-a774-47e5-8795-89d390c8b9e8</errorID>
      <errorWord>[2021]24号</errorWord>
      <group>L1_Knowledge</group>
      <groupName>知识性问题</groupName>
      <ability>L2_Knowledge</ability>
      <abilityName>其他知识</abilityName>
      <candidateList>
        <item>〔2021〕24号</item>
      </candidateList>
      <explain>发文字号格式错误。</explain>
      <paraID>5469B1D7</paraID>
      <start>104</start>
      <end>113</end>
      <status>modified</status>
      <modifiedWord>〔2021〕24号</modifiedWord>
      <trackRevisions>false</trackRevisions>
    </reviewItem>
    <reviewItem>
      <errorID>206f2eca-922c-4d48-a30a-cf5e43a0e43d</errorID>
      <errorWord>[2023]17号</errorWord>
      <group>L1_Knowledge</group>
      <groupName>知识性问题</groupName>
      <ability>L2_Knowledge</ability>
      <abilityName>其他知识</abilityName>
      <candidateList>
        <item>〔2023〕17号</item>
      </candidateList>
      <explain>发文字号格式错误。</explain>
      <paraID>2EC5DBF4</paraID>
      <start>66</start>
      <end>75</end>
      <status>modified</status>
      <modifiedWord>〔2023〕17号</modifiedWord>
      <trackRevisions>false</trackRevisions>
    </reviewItem>
    <reviewItem>
      <errorID>3d03c38a-627b-4712-badf-04bd7a1a0ceb</errorID>
      <errorWord>”</errorWord>
      <group>L1_Punc</group>
      <groupName>标点问题</groupName>
      <ability>L2_Punc</ability>
      <abilityName>标点符号检查</abilityName>
      <candidateList/>
      <explain/>
      <paraID>5E89B269</paraID>
      <start>23</start>
      <end>24</end>
      <status>unmodified</status>
      <modifiedWord/>
      <trackRevisions>false</trackRevisions>
    </reviewItem>
    <reviewItem>
      <errorID>973dfb83-4664-47b6-a57c-beef68f9604d</errorID>
      <errorWord>[2022]6号</errorWord>
      <group>L1_Knowledge</group>
      <groupName>知识性问题</groupName>
      <ability>L2_Knowledge</ability>
      <abilityName>其他知识</abilityName>
      <candidateList>
        <item>〔2022〕6号</item>
      </candidateList>
      <explain>发文字号格式错误。</explain>
      <paraID>5E89B269</paraID>
      <start>43</start>
      <end>51</end>
      <status>modified</status>
      <modifiedWord>〔2022〕6号</modifiedWord>
      <trackRevisions>false</trackRevisions>
    </reviewItem>
    <reviewItem>
      <errorID>7796bf0b-1fa4-45dc-83e4-139a5f77d6e2</errorID>
      <errorWord>[2022]4号</errorWord>
      <group>L1_Knowledge</group>
      <groupName>知识性问题</groupName>
      <ability>L2_Knowledge</ability>
      <abilityName>其他知识</abilityName>
      <candidateList>
        <item>〔2022〕4号</item>
      </candidateList>
      <explain>发文字号格式错误。</explain>
      <paraID>5E89B269</paraID>
      <start>96</start>
      <end>104</end>
      <status>modified</status>
      <modifiedWord>〔2022〕4号</modifiedWord>
      <trackRevisions>false</trackRevisions>
    </reviewItem>
    <reviewItem>
      <errorID>c7abb45d-f1a5-4910-aa28-590ded39d017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5E89B269</paraID>
      <start>123</start>
      <end>124</end>
      <status>modified</status>
      <modifiedWord>—</modifiedWord>
      <trackRevisions>false</trackRevisions>
    </reviewItem>
    <reviewItem>
      <errorID>f7b3ab5a-b050-4845-8c03-723ff8f7f5d8</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70B8740E</paraID>
      <start>110</start>
      <end>112</end>
      <status>modified</status>
      <modifiedWord>5）</modifiedWord>
      <trackRevisions>false</trackRevisions>
    </reviewItem>
    <reviewItem>
      <errorID>aca9169b-c656-4ba7-baa8-7cacedcebe60</errorID>
      <errorWord>去年</errorWord>
      <group>L1_Knowledge</group>
      <groupName>知识性问题</groupName>
      <ability>L2_Time</ability>
      <abilityName>日期时间</abilityName>
      <candidateList/>
      <explain>在公文场景，请避免使用“去年”这种模糊表述。</explain>
      <paraID>  F76115</paraID>
      <start>86</start>
      <end>88</end>
      <status>unmodified</status>
      <modifiedWord/>
      <trackRevisions>false</trackRevisions>
    </reviewItem>
    <reviewItem>
      <errorID>4d9bbf03-18f2-451c-a861-5928af1a7196</errorID>
      <errorWord>去年</errorWord>
      <group>L1_Knowledge</group>
      <groupName>知识性问题</groupName>
      <ability>L2_Time</ability>
      <abilityName>日期时间</abilityName>
      <candidateList/>
      <explain>在公文场景，请避免使用“去年”这种模糊表述。</explain>
      <paraID>  F76115</paraID>
      <start>110</start>
      <end>112</end>
      <status>unmodified</status>
      <modifiedWord/>
      <trackRevisions>false</trackRevisions>
    </reviewItem>
    <reviewItem>
      <errorID>ce78bdda-2a96-4642-826d-a6c58e19960d</errorID>
      <errorWord>(</errorWord>
      <group>L1_Format</group>
      <groupName>格式问题</groupName>
      <ability>L2_HalfPunc</ability>
      <abilityName>全半角检查</abilityName>
      <candidateList>
        <item>（</item>
      </candidateList>
      <explain>文本全半角错误。</explain>
      <paraID>4F4A9F40</paraID>
      <start>20</start>
      <end>21</end>
      <status>modified</status>
      <modifiedWord>（</modifiedWord>
      <trackRevisions>false</trackRevisions>
    </reviewItem>
    <reviewItem>
      <errorID>744130ba-098a-4689-9f68-689779a3daad</errorID>
      <errorWord>)</errorWord>
      <group>L1_Format</group>
      <groupName>格式问题</groupName>
      <ability>L2_HalfPunc</ability>
      <abilityName>全半角检查</abilityName>
      <candidateList>
        <item>）</item>
      </candidateList>
      <explain>文本全半角错误。</explain>
      <paraID>4F4A9F40</paraID>
      <start>27</start>
      <end>28</end>
      <status>modified</status>
      <modifiedWord>）</modifiedWord>
      <trackRevisions>false</trackRevisions>
    </reviewItem>
    <reviewItem>
      <errorID>06eba808-bd11-4d18-ab18-465e311907fc</errorID>
      <errorWord>(</errorWord>
      <group>L1_Format</group>
      <groupName>格式问题</groupName>
      <ability>L2_HalfPunc</ability>
      <abilityName>全半角检查</abilityName>
      <candidateList>
        <item>（</item>
      </candidateList>
      <explain>文本全半角错误。</explain>
      <paraID>155E62DA</paraID>
      <start>14</start>
      <end>15</end>
      <status>modified</status>
      <modifiedWord>（</modifiedWord>
      <trackRevisions>false</trackRevisions>
    </reviewItem>
    <reviewItem>
      <errorID>9c2d5c21-dc02-43fe-b223-5b302dd7009d</errorID>
      <errorWord>)</errorWord>
      <group>L1_Format</group>
      <groupName>格式问题</groupName>
      <ability>L2_HalfPunc</ability>
      <abilityName>全半角检查</abilityName>
      <candidateList>
        <item>）</item>
      </candidateList>
      <explain>文本全半角错误。</explain>
      <paraID>155E62DA</paraID>
      <start>24</start>
      <end>25</end>
      <status>modified</status>
      <modifiedWord>）</modifiedWord>
      <trackRevisions>false</trackRevisions>
    </reviewItem>
    <reviewItem>
      <errorID>63c5e492-17eb-45a7-afa9-97d67cbb6119</errorID>
      <errorWord>[2022]7号</errorWord>
      <group>L1_Knowledge</group>
      <groupName>知识性问题</groupName>
      <ability>L2_Knowledge</ability>
      <abilityName>其他知识</abilityName>
      <candidateList>
        <item>〔2022〕7号</item>
      </candidateList>
      <explain>发文字号格式错误。</explain>
      <paraID>155E62DA</paraID>
      <start>30</start>
      <end>38</end>
      <status>modified</status>
      <modifiedWord>〔2022〕7号</modifiedWord>
      <trackRevisions>false</trackRevisions>
    </reviewItem>
    <reviewItem>
      <errorID>fe04cd29-e06b-4aed-b871-2a28f950d78d</errorID>
      <errorWord>&lt;</errorWord>
      <group>L1_Format</group>
      <groupName>格式问题</groupName>
      <ability>L2_HalfPunc</ability>
      <abilityName>全半角检查</abilityName>
      <candidateList>
        <item>〈</item>
      </candidateList>
      <explain>文本全半角错误。</explain>
      <paraID>275818AB</paraID>
      <start>5</start>
      <end>6</end>
      <status>modified</status>
      <modifiedWord>〈</modifiedWord>
      <trackRevisions>false</trackRevisions>
    </reviewItem>
    <reviewItem>
      <errorID>fe605a1f-00ac-497e-b36e-4c6fc81f9e76</errorID>
      <errorWord>&gt;</errorWord>
      <group>L1_Format</group>
      <groupName>格式问题</groupName>
      <ability>L2_HalfPunc</ability>
      <abilityName>全半角检查</abilityName>
      <candidateList>
        <item>〉</item>
      </candidateList>
      <explain>文本全半角错误。</explain>
      <paraID>275818AB</paraID>
      <start>30</start>
      <end>31</end>
      <status>modified</status>
      <modifiedWord>〉</modifiedWord>
      <trackRevisions>false</trackRevisions>
    </reviewItem>
    <reviewItem>
      <errorID>efec71fe-6c9c-4101-92c3-641f592431b8</errorID>
      <errorWord>[2022]55号</errorWord>
      <group>L1_Knowledge</group>
      <groupName>知识性问题</groupName>
      <ability>L2_Knowledge</ability>
      <abilityName>其他知识</abilityName>
      <candidateList>
        <item>〔2022〕55号</item>
      </candidateList>
      <explain>发文字号格式错误。</explain>
      <paraID>275818AB</paraID>
      <start>48</start>
      <end>57</end>
      <status>modified</status>
      <modifiedWord>〔2022〕55号</modifiedWord>
      <trackRevisions>false</trackRevisions>
    </reviewItem>
    <reviewItem>
      <errorID>dec9c78f-e6d7-4bc8-856c-2a34c30b7b0e</errorID>
      <errorWord>胜</errorWord>
      <group>L1_Word</group>
      <groupName>字词问题</groupName>
      <ability>L2_Typo</ability>
      <abilityName>字词错误</abilityName>
      <candidateList>
        <item>胜区</item>
      </candidateList>
      <explain/>
      <paraID>45C667D6</paraID>
      <start>67</start>
      <end>69</end>
      <status>modified</status>
      <modifiedWord>胜区</modifiedWord>
      <trackRevisions>false</trackRevisions>
    </reviewItem>
    <reviewItem>
      <errorID>050481dd-de52-4b72-a64c-0690c2d34baf</errorID>
      <errorWord>符合要求额</errorWord>
      <group>L1_Word</group>
      <groupName>字词问题</groupName>
      <ability>L2_Typo</ability>
      <abilityName>字词错误</abilityName>
      <candidateList>
        <item>符合要求</item>
      </candidateList>
      <explain/>
      <paraID>5B709455</paraID>
      <start>67</start>
      <end>71</end>
      <status>modified</status>
      <modifiedWord>符合要求</modifiedWord>
      <trackRevisions>false</trackRevisions>
    </reviewItem>
    <reviewItem>
      <errorID>92fd485b-30f5-406c-b9ce-eff7ac92f5a9</errorID>
      <errorWord>(</errorWord>
      <group>L1_Format</group>
      <groupName>格式问题</groupName>
      <ability>L2_HalfPunc</ability>
      <abilityName>全半角检查</abilityName>
      <candidateList>
        <item>（</item>
      </candidateList>
      <explain>文本全半角错误。</explain>
      <paraID>637EB222</paraID>
      <start>60</start>
      <end>61</end>
      <status>modified</status>
      <modifiedWord>（</modifiedWord>
      <trackRevisions>false</trackRevisions>
    </reviewItem>
    <reviewItem>
      <errorID>283a9325-0bfc-4fbd-98ba-de51a077846a</errorID>
      <errorWord>)</errorWord>
      <group>L1_Format</group>
      <groupName>格式问题</groupName>
      <ability>L2_HalfPunc</ability>
      <abilityName>全半角检查</abilityName>
      <candidateList>
        <item>）</item>
      </candidateList>
      <explain>文本全半角错误。</explain>
      <paraID>637EB222</paraID>
      <start>63</start>
      <end>64</end>
      <status>modified</status>
      <modifiedWord>）</modifiedWord>
      <trackRevisions>false</trackRevisions>
    </reviewItem>
    <reviewItem>
      <errorID>1b49f2c9-3557-498e-81d6-896af8b38276</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62E071E1</paraID>
      <start>9</start>
      <end>29</end>
      <status>modified</status>
      <modifiedWord>《产业结构调整指导目录（2024年本）》</modifiedWord>
      <trackRevisions>false</trackRevisions>
    </reviewItem>
    <reviewItem>
      <errorID>0d5121ad-0693-4723-a0be-4109afb3a5ee</errorID>
      <errorWord>(</errorWord>
      <group>L1_Format</group>
      <groupName>格式问题</groupName>
      <ability>L2_HalfPunc</ability>
      <abilityName>全半角检查</abilityName>
      <candidateList>
        <item>（</item>
      </candidateList>
      <explain>文本全半角错误。</explain>
      <paraID> CA90C78</paraID>
      <start>30</start>
      <end>31</end>
      <status>modified</status>
      <modifiedWord>（</modifiedWord>
      <trackRevisions>false</trackRevisions>
    </reviewItem>
    <reviewItem>
      <errorID>08dfb03e-a5ab-490d-bb13-ffb9729f4789</errorID>
      <errorWord>)</errorWord>
      <group>L1_Format</group>
      <groupName>格式问题</groupName>
      <ability>L2_HalfPunc</ability>
      <abilityName>全半角检查</abilityName>
      <candidateList>
        <item>）</item>
      </candidateList>
      <explain>文本全半角错误。</explain>
      <paraID> CA90C78</paraID>
      <start>43</start>
      <end>44</end>
      <status>modified</status>
      <modifiedWord>）</modifiedWord>
      <trackRevisions>false</trackRevisions>
    </reviewItem>
    <reviewItem>
      <errorID>b797457f-f9f7-4064-8ee5-4339b9355259</errorID>
      <errorWord>防止</errorWord>
      <group>L1_Word</group>
      <groupName>字词问题</groupName>
      <ability>L2_Typo</ability>
      <abilityName>字词错误</abilityName>
      <candidateList>
        <item>防治</item>
      </candidateList>
      <explain>〈动〉预防和治疗、治理（疾病、灾害等）：～结核病｜～病虫害｜～风沙。</explain>
      <paraID>2A6F4D74</paraID>
      <start>33</start>
      <end>35</end>
      <status>modified</status>
      <modifiedWord>防治</modifiedWord>
      <trackRevisions>false</trackRevisions>
    </reviewItem>
    <reviewItem>
      <errorID>7aead585-d5eb-44bf-9df5-67254753166c</errorID>
      <errorWord>(</errorWord>
      <group>L1_Format</group>
      <groupName>格式问题</groupName>
      <ability>L2_HalfPunc</ability>
      <abilityName>全半角检查</abilityName>
      <candidateList>
        <item>（</item>
      </candidateList>
      <explain>文本全半角错误。</explain>
      <paraID>63E60432</paraID>
      <start>9</start>
      <end>10</end>
      <status>modified</status>
      <modifiedWord>（</modifiedWord>
      <trackRevisions>false</trackRevisions>
    </reviewItem>
    <reviewItem>
      <errorID>5d8ee835-3bb6-4e19-bf27-b59f195c26d6</errorID>
      <errorWord>)</errorWord>
      <group>L1_Format</group>
      <groupName>格式问题</groupName>
      <ability>L2_HalfPunc</ability>
      <abilityName>全半角检查</abilityName>
      <candidateList>
        <item>）</item>
      </candidateList>
      <explain>文本全半角错误。</explain>
      <paraID>63E60432</paraID>
      <start>13</start>
      <end>14</end>
      <status>modified</status>
      <modifiedWord>）</modifiedWord>
      <trackRevisions>false</trackRevisions>
    </reviewItem>
    <reviewItem>
      <errorID>481c8244-8982-4831-9a2e-58a8221af244</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428B60EA</paraID>
      <start>47</start>
      <end>48</end>
      <status>modified</status>
      <modifiedWord>且</modifiedWord>
      <trackRevisions>false</trackRevisions>
    </reviewItem>
    <reviewItem>
      <errorID>8cec80d2-8f0d-4e4a-83be-12cee7c02239</errorID>
      <errorWord>[2021]20号</errorWord>
      <group>L1_Knowledge</group>
      <groupName>知识性问题</groupName>
      <ability>L2_Knowledge</ability>
      <abilityName>其他知识</abilityName>
      <candidateList>
        <item>〔2021〕20号</item>
      </candidateList>
      <explain>发文字号格式错误。</explain>
      <paraID>148FAD79</paraID>
      <start>37</start>
      <end>46</end>
      <status>modified</status>
      <modifiedWord>〔2021〕20号</modifiedWord>
      <trackRevisions>false</trackRevisions>
    </reviewItem>
    <reviewItem>
      <errorID>cf197ceb-39a9-49b2-bb0d-a284232af969</errorID>
      <errorWord>[2022]8号</errorWord>
      <group>L1_Knowledge</group>
      <groupName>知识性问题</groupName>
      <ability>L2_Knowledge</ability>
      <abilityName>其他知识</abilityName>
      <candidateList>
        <item>〔2022〕8号</item>
      </candidateList>
      <explain>发文字号格式错误。</explain>
      <paraID>7DF30333</paraID>
      <start>35</start>
      <end>43</end>
      <status>modified</status>
      <modifiedWord>〔2022〕8号</modifiedWord>
      <trackRevisions>false</trackRevisions>
    </reviewItem>
    <reviewItem>
      <errorID>38732e80-836a-4700-9607-963461e7dbe3</errorID>
      <errorWord>[2024]16号</errorWord>
      <group>L1_Knowledge</group>
      <groupName>知识性问题</groupName>
      <ability>L2_Knowledge</ability>
      <abilityName>其他知识</abilityName>
      <candidateList>
        <item>〔2024〕16号</item>
      </candidateList>
      <explain>发文字号格式错误。</explain>
      <paraID>21F8B6DA</paraID>
      <start>38</start>
      <end>47</end>
      <status>modified</status>
      <modifiedWord>〔2024〕16号</modifiedWord>
      <trackRevisions>false</trackRevisions>
    </reviewItem>
    <reviewItem>
      <errorID>166d5f93-72cd-4764-bc3a-be1289e7ecdf</errorID>
      <errorWord>的的</errorWord>
      <group>L1_Word</group>
      <groupName>字词问题</groupName>
      <ability>L2_Typo</ability>
      <abilityName>字词错误</abilityName>
      <candidateList>
        <item>的</item>
      </candidateList>
      <explain>“的”常用于连接修饰语与名词性中心语，表示属性、所属或描述。</explain>
      <paraID>7FA34F49</paraID>
      <start>14</start>
      <end>15</end>
      <status>modified</status>
      <modifiedWord>的</modifiedWord>
      <trackRevisions>false</trackRevisions>
    </reviewItem>
    <reviewItem>
      <errorID>335350a2-3c70-446f-b897-b7789a53e1a4</errorID>
      <errorWord>[2024]16号</errorWord>
      <group>L1_Knowledge</group>
      <groupName>知识性问题</groupName>
      <ability>L2_Knowledge</ability>
      <abilityName>其他知识</abilityName>
      <candidateList>
        <item>〔2024〕16号</item>
      </candidateList>
      <explain>发文字号格式错误。</explain>
      <paraID> 6EBB675</paraID>
      <start>36</start>
      <end>45</end>
      <status>modified</status>
      <modifiedWord>〔2024〕16号</modifiedWord>
      <trackRevisions>false</trackRevisions>
    </reviewItem>
    <reviewItem>
      <errorID>b28c75b8-26f7-4357-86ac-232a5a365c77</errorID>
      <errorWord>II级</errorWord>
      <group>L1_Knowledge</group>
      <groupName>知识性问题</groupName>
      <ability>L2_Knowledge</ability>
      <abilityName>其他知识</abilityName>
      <candidateList>
        <item>Ⅱ级</item>
      </candidateList>
      <explain/>
      <paraID>1E484068</paraID>
      <start>185</start>
      <end>187</end>
      <status>modified</status>
      <modifiedWord>Ⅱ级</modifiedWord>
      <trackRevisions>false</trackRevisions>
    </reviewItem>
    <reviewItem>
      <errorID>bb96737b-6751-4c9b-a39e-405ad45fa49e</errorID>
      <errorWord>III级</errorWord>
      <group>L1_Knowledge</group>
      <groupName>知识性问题</groupName>
      <ability>L2_Knowledge</ability>
      <abilityName>其他知识</abilityName>
      <candidateList>
        <item>Ⅲ级</item>
      </candidateList>
      <explain/>
      <paraID>1E484068</paraID>
      <start>188</start>
      <end>190</end>
      <status>modified</status>
      <modifiedWord>Ⅲ级</modifiedWord>
      <trackRevisions>false</trackRevisions>
    </reviewItem>
    <reviewItem>
      <errorID>1deeb698-3545-43d9-8cea-885accd2f59f</errorID>
      <errorWord>[2024]16号</errorWord>
      <group>L1_Knowledge</group>
      <groupName>知识性问题</groupName>
      <ability>L2_Knowledge</ability>
      <abilityName>其他知识</abilityName>
      <candidateList>
        <item>〔2024〕16号</item>
      </candidateList>
      <explain>发文字号格式错误。</explain>
      <paraID>4F5C3601</paraID>
      <start>51</start>
      <end>60</end>
      <status>modified</status>
      <modifiedWord>〔2024〕16号</modifiedWord>
      <trackRevisions>false</trackRevisions>
    </reviewItem>
    <reviewItem>
      <errorID>348e90ae-84d9-4d5d-94b0-229aba3599ff</errorID>
      <errorWord>(</errorWord>
      <group>L1_Format</group>
      <groupName>格式问题</groupName>
      <ability>L2_HalfPunc</ability>
      <abilityName>全半角检查</abilityName>
      <candidateList>
        <item>（</item>
      </candidateList>
      <explain>文本全半角错误。</explain>
      <paraID>46295406</paraID>
      <start>29</start>
      <end>30</end>
      <status>modified</status>
      <modifiedWord>（</modifiedWord>
      <trackRevisions>false</trackRevisions>
    </reviewItem>
    <reviewItem>
      <errorID>9cf4d57d-766d-40d1-bdbd-9ccb4efac2e1</errorID>
      <errorWord>)</errorWord>
      <group>L1_Format</group>
      <groupName>格式问题</groupName>
      <ability>L2_HalfPunc</ability>
      <abilityName>全半角检查</abilityName>
      <candidateList>
        <item>）</item>
      </candidateList>
      <explain>文本全半角错误。</explain>
      <paraID>46295406</paraID>
      <start>42</start>
      <end>43</end>
      <status>modified</status>
      <modifiedWord>）</modifiedWord>
      <trackRevisions>false</trackRevisions>
    </reviewItem>
    <reviewItem>
      <errorID>6a7d6d59-d32b-48e7-add1-0dc1a8cf52a0</errorID>
      <errorWord>(</errorWord>
      <group>L1_Format</group>
      <groupName>格式问题</groupName>
      <ability>L2_HalfPunc</ability>
      <abilityName>全半角检查</abilityName>
      <candidateList>
        <item>（</item>
      </candidateList>
      <explain>文本全半角错误。</explain>
      <paraID>2F3BE9B6</paraID>
      <start>20</start>
      <end>21</end>
      <status>modified</status>
      <modifiedWord>（</modifiedWord>
      <trackRevisions>false</trackRevisions>
    </reviewItem>
    <reviewItem>
      <errorID>57b20835-7064-4eb1-8c83-593575a33b2f</errorID>
      <errorWord>)</errorWord>
      <group>L1_Format</group>
      <groupName>格式问题</groupName>
      <ability>L2_HalfPunc</ability>
      <abilityName>全半角检查</abilityName>
      <candidateList>
        <item>）</item>
      </candidateList>
      <explain>文本全半角错误。</explain>
      <paraID>2F3BE9B6</paraID>
      <start>33</start>
      <end>34</end>
      <status>modified</status>
      <modifiedWord>）</modifiedWord>
      <trackRevisions>false</trackRevisions>
    </reviewItem>
    <reviewItem>
      <errorID>8c96269a-d88b-4e00-a243-1dfa1473466e</errorID>
      <errorWord>以及其</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1E1E5EC3</paraID>
      <start>9</start>
      <end>11</end>
      <status>modified</status>
      <modifiedWord>以及</modifiedWord>
      <trackRevisions>false</trackRevisions>
    </reviewItem>
    <reviewItem>
      <errorID>21b8127a-bfbc-473f-a6ea-6421af19d6f3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2A660CC8</paraID>
      <start>124</start>
      <end>125</end>
      <status>modified</status>
      <modifiedWord>—</modifiedWord>
      <trackRevisions>false</trackRevisions>
    </reviewItem>
    <reviewItem>
      <errorID>62449065-9261-4e11-89bb-1ce853b0a7a0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2A660CC8</paraID>
      <start>163</start>
      <end>164</end>
      <status>modified</status>
      <modifiedWord>—</modifiedWord>
      <trackRevisions>false</trackRevisions>
    </reviewItem>
    <reviewItem>
      <errorID>ca5cb82a-ffce-44f9-bd26-591fc0e591df</errorID>
      <errorWord>建立建立</errorWord>
      <group>L1_Word</group>
      <groupName>字词问题</groupName>
      <ability>L2_Typo</ability>
      <abilityName>字词错误</abilityName>
      <candidateList>
        <item>建立</item>
      </candidateList>
      <explain>〈动〉❶开始成立：～政权｜～新的工业基地。❷开始产生；开始形成：～友谊｜～邦交。</explain>
      <paraID>160C0399</paraID>
      <start>6</start>
      <end>8</end>
      <status>modified</status>
      <modifiedWord>建立</modifiedWord>
      <trackRevisions>false</trackRevisions>
    </reviewItem>
    <reviewItem>
      <errorID>a1406ed5-ce37-4c75-aa55-e327e7baa600</errorID>
      <errorWord>废气的</errorWord>
      <group>L1_Word</group>
      <groupName>字词问题</groupName>
      <ability>L2_Typo</ability>
      <abilityName>字词错误</abilityName>
      <candidateList>
        <item>废气</item>
      </candidateList>
      <explain/>
      <paraID> F5EFF5C</paraID>
      <start>7</start>
      <end>9</end>
      <status>modified</status>
      <modifiedWord>废气</modifiedWord>
      <trackRevisions>false</trackRevisions>
    </reviewItem>
    <reviewItem>
      <errorID>90110eed-184e-48d3-aee1-ce501fef18a8</errorID>
      <errorWord>环境环境</errorWord>
      <group>L1_Word</group>
      <groupName>字词问题</groupName>
      <ability>L2_Typo</ability>
      <abilityName>字词错误</abilityName>
      <candidateList>
        <item>环境</item>
      </candidateList>
      <explain>〈名〉❶周围的地方：～优美｜～卫生。❷周围的情况和条件：客观～｜工作～。</explain>
      <paraID>1901D7B5</paraID>
      <start>6</start>
      <end>8</end>
      <status>modified</status>
      <modifiedWord>环境</modifiedWord>
      <trackRevisions>false</trackRevisions>
    </reviewItem>
    <reviewItem>
      <errorID>b731b9fe-e69b-4caa-9790-b9dffe6ce318</errorID>
      <errorWord>填埋厂</errorWord>
      <group>L1_Word</group>
      <groupName>字词问题</groupName>
      <ability>L2_Typo</ability>
      <abilityName>字词错误</abilityName>
      <candidateList>
        <item>填埋场</item>
      </candidateList>
      <explain/>
      <paraID>225DB651</paraID>
      <start>104</start>
      <end>107</end>
      <status>modified</status>
      <modifiedWord>填埋场</modifiedWord>
      <trackRevisions>false</trackRevisions>
    </reviewItem>
    <reviewItem>
      <errorID>d3b6aae2-6338-4692-a917-8b1922e534ea</errorID>
      <errorWord>[2011]94号</errorWord>
      <group>L1_Knowledge</group>
      <groupName>知识性问题</groupName>
      <ability>L2_Knowledge</ability>
      <abilityName>其他知识</abilityName>
      <candidateList>
        <item>〔2011〕94号</item>
      </candidateList>
      <explain>发文字号格式错误。</explain>
      <paraID>225DB651</paraID>
      <start>201</start>
      <end>210</end>
      <status>modified</status>
      <modifiedWord>〔2011〕94号</modifiedWord>
      <trackRevisions>false</trackRevisions>
    </reviewItem>
    <reviewItem>
      <errorID>95eb7b12-5e6b-4dc0-ab3a-4f23c691f7b2</errorID>
      <errorWord>[2017]10号</errorWord>
      <group>L1_Knowledge</group>
      <groupName>知识性问题</groupName>
      <ability>L2_Knowledge</ability>
      <abilityName>其他知识</abilityName>
      <candidateList>
        <item>〔2017〕10号</item>
      </candidateList>
      <explain>发文字号格式错误。</explain>
      <paraID>225DB651</paraID>
      <start>334</start>
      <end>343</end>
      <status>modified</status>
      <modifiedWord>〔2017〕10号</modifiedWord>
      <trackRevisions>false</trackRevisions>
    </reviewItem>
    <reviewItem>
      <errorID>88bb7ce2-74a1-4d1c-8d03-c657d17d9f34</errorID>
      <errorWord>（</errorWord>
      <group>L1_Punc</group>
      <groupName>标点问题</groupName>
      <ability>L2_Punc</ability>
      <abilityName>标点符号检查</abilityName>
      <candidateList/>
      <explain>同一形式括号套用。</explain>
      <paraID>225DB651</paraID>
      <start>492</start>
      <end>493</end>
      <status>unmodified</status>
      <modifiedWord/>
      <trackRevisions>false</trackRevisions>
    </reviewItem>
    <reviewItem>
      <errorID>0d62841a-3f2c-484b-a3a7-110e5915e1a4</errorID>
      <errorWord>）</errorWord>
      <group>L1_Punc</group>
      <groupName>标点问题</groupName>
      <ability>L2_Punc</ability>
      <abilityName>标点符号检查</abilityName>
      <candidateList/>
      <explain>同一形式括号套用。</explain>
      <paraID>225DB651</paraID>
      <start>494</start>
      <end>495</end>
      <status>unmodified</status>
      <modifiedWord/>
      <trackRevisions>false</trackRevisions>
    </reviewItem>
    <reviewItem>
      <errorID>d3ec8245-b4ed-41b4-a48e-828d31bcff9b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14076989</paraID>
      <start>26</start>
      <end>27</end>
      <status>modified</status>
      <modifiedWord>—</modifiedWord>
      <trackRevisions>false</trackRevisions>
    </reviewItem>
    <reviewItem>
      <errorID>6878af91-b52c-41d7-8d4e-3abee339a6b2</errorID>
      <errorWord>鳌合</errorWord>
      <group>L1_Word</group>
      <groupName>字词问题</groupName>
      <ability>L2_Typo</ability>
      <abilityName>字词错误</abilityName>
      <candidateList>
        <item>螯合</item>
      </candidateList>
      <explain>存在发音相同字词的误用。</explain>
      <paraID>14076989</paraID>
      <start>69</start>
      <end>71</end>
      <status>modified</status>
      <modifiedWord>螯合</modifiedWord>
      <trackRevisions>false</trackRevisions>
    </reviewItem>
    <reviewItem>
      <errorID>137cd6ca-2f17-4900-a0f6-8745085c79de</errorID>
      <errorWord>鳌合</errorWord>
      <group>L1_Word</group>
      <groupName>字词问题</groupName>
      <ability>L2_Typo</ability>
      <abilityName>字词错误</abilityName>
      <candidateList>
        <item>螯合</item>
      </candidateList>
      <explain/>
      <paraID>14076989</paraID>
      <start>137</start>
      <end>139</end>
      <status>modified</status>
      <modifiedWord>螯合</modifiedWord>
      <trackRevisions>false</trackRevisions>
    </reviewItem>
    <reviewItem>
      <errorID>44e94fdf-585c-49ff-b9f4-4d2f2e679e7b</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14076989</paraID>
      <start>283</start>
      <end>285</end>
      <status>modified</status>
      <modifiedWord>经过</modifiedWord>
      <trackRevisions>false</trackRevisions>
    </reviewItem>
    <reviewItem>
      <errorID>b50863be-170d-4780-b7f3-c1253292d74f</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14076989</paraID>
      <start>293</start>
      <end>295</end>
      <status>modified</status>
      <modifiedWord>需要</modifiedWord>
      <trackRevisions>false</trackRevisions>
    </reviewItem>
    <reviewItem>
      <errorID>252be3a9-a0e4-402c-8905-879476ef162d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14076989</paraID>
      <start>490</start>
      <end>491</end>
      <status>modified</status>
      <modifiedWord>—</modifiedWord>
      <trackRevisions>false</trackRevisions>
    </reviewItem>
    <reviewItem>
      <errorID>742516db-a236-4fbb-bb71-65a8af07b148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14076989</paraID>
      <start>690</start>
      <end>691</end>
      <status>modified</status>
      <modifiedWord>—</modifiedWord>
      <trackRevisions>false</trackRevisions>
    </reviewItem>
    <reviewItem>
      <errorID>05426e6d-1bda-4e11-8601-8526caaf85d3</errorID>
      <errorWord>号</errorWord>
      <group>L1_Knowledge</group>
      <groupName>知识性问题</groupName>
      <ability>L2_Knowledge</ability>
      <abilityName>其他知识</abilityName>
      <candidateList>
        <item>日</item>
      </candidateList>
      <explain>请检查“号”是否为量词使用错误，建议修改为“日”。</explain>
      <paraID>14076989</paraID>
      <start>769</start>
      <end>770</end>
      <status>modified</status>
      <modifiedWord>日</modifiedWord>
      <trackRevisions>false</trackRevisions>
    </reviewItem>
    <reviewItem>
      <errorID>ce486ace-0a86-4589-883d-39530a210ce8</errorID>
      <errorWord>（</errorWord>
      <group>L1_Punc</group>
      <groupName>标点问题</groupName>
      <ability>L2_Punc</ability>
      <abilityName>标点符号检查</abilityName>
      <candidateList>
        <item/>
      </candidateList>
      <explain>同一形式括号套用。</explain>
      <paraID>14076989</paraID>
      <start>875</start>
      <end>875</end>
      <status>modified</status>
      <modifiedWord/>
      <trackRevisions>false</trackRevisions>
    </reviewItem>
    <reviewItem>
      <errorID>9a80ced0-f2e9-4041-9eea-878a404bc9ba</errorID>
      <errorWord>(2025)31号</errorWord>
      <group>L1_Knowledge</group>
      <groupName>知识性问题</groupName>
      <ability>L2_Knowledge</ability>
      <abilityName>其他知识</abilityName>
      <candidateList>
        <item>〔2025〕31号</item>
      </candidateList>
      <explain>发文字号格式错误。</explain>
      <paraID>14076989</paraID>
      <start>879</start>
      <end>888</end>
      <status>modified</status>
      <modifiedWord>〔2025〕31号</modifiedWord>
      <trackRevisions>false</trackRevisions>
    </reviewItem>
    <reviewItem>
      <errorID>3ac64951-e546-448e-960e-21f877f09620</errorID>
      <errorWord>）</errorWord>
      <group>L1_Punc</group>
      <groupName>标点问题</groupName>
      <ability>L2_Punc</ability>
      <abilityName>标点符号检查</abilityName>
      <candidateList/>
      <explain>同一形式括号套用。</explain>
      <paraID>14076989</paraID>
      <start>888</start>
      <end>889</end>
      <status>unmodified</status>
      <modifiedWord/>
      <trackRevisions>false</trackRevisions>
    </reviewItem>
    <reviewItem>
      <errorID>65ff059f-d9de-425b-bed4-f94cb7e32e89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5E0DE512</paraID>
      <start>15</start>
      <end>17</end>
      <status>modified</status>
      <modifiedWord>》《</modifiedWord>
      <trackRevisions>false</trackRevisions>
    </reviewItem>
    <reviewItem>
      <errorID>b8d36495-a233-45b5-8899-d02fae9837c3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5E0DE512</paraID>
      <start>31</start>
      <end>33</end>
      <status>modified</status>
      <modifiedWord>》《</modifiedWord>
      <trackRevisions>false</trackRevisions>
    </reviewItem>
    <reviewItem>
      <errorID>0394005d-c1e7-4c38-811e-30c8af1bb143</errorID>
      <errorWord>(</errorWord>
      <group>L1_Format</group>
      <groupName>格式问题</groupName>
      <ability>L2_HalfPunc</ability>
      <abilityName>全半角检查</abilityName>
      <candidateList>
        <item>（</item>
      </candidateList>
      <explain>文本全半角错误。</explain>
      <paraID>64C512C5</paraID>
      <start>27</start>
      <end>28</end>
      <status>modified</status>
      <modifiedWord>（</modifiedWord>
      <trackRevisions>false</trackRevisions>
    </reviewItem>
    <reviewItem>
      <errorID>184e8cbe-4ce1-4d6f-bce3-35ffc2997767</errorID>
      <errorWord>)</errorWord>
      <group>L1_Format</group>
      <groupName>格式问题</groupName>
      <ability>L2_HalfPunc</ability>
      <abilityName>全半角检查</abilityName>
      <candidateList>
        <item>）</item>
      </candidateList>
      <explain>文本全半角错误。</explain>
      <paraID>64C512C5</paraID>
      <start>42</start>
      <end>43</end>
      <status>modified</status>
      <modifiedWord>）</modifiedWord>
      <trackRevisions>false</trackRevisions>
    </reviewItem>
    <reviewItem>
      <errorID>173b38b4-df79-4323-96a0-4907684129b0</errorID>
      <errorWord>(</errorWord>
      <group>L1_Format</group>
      <groupName>格式问题</groupName>
      <ability>L2_HalfPunc</ability>
      <abilityName>全半角检查</abilityName>
      <candidateList>
        <item>（</item>
      </candidateList>
      <explain>文本全半角错误。</explain>
      <paraID>64C512C5</paraID>
      <start>215</start>
      <end>216</end>
      <status>modified</status>
      <modifiedWord>（</modifiedWord>
      <trackRevisions>false</trackRevisions>
    </reviewItem>
    <reviewItem>
      <errorID>3e63ff08-6db2-4ba7-a7d5-1cebf4744f10</errorID>
      <errorWord>)</errorWord>
      <group>L1_Word</group>
      <groupName>字词问题</groupName>
      <ability>L2_Typo</ability>
      <abilityName>字词错误</abilityName>
      <candidateList>
        <item>)第</item>
      </candidateList>
      <explain/>
      <paraID>64C512C5</paraID>
      <start>228</start>
      <end>230</end>
      <status>modified</status>
      <modifiedWord>)第</modifiedWord>
      <trackRevisions>false</trackRevisions>
    </reviewItem>
    <reviewItem>
      <errorID>7891da63-3c29-4b90-b5a6-20b83dbf73d7</errorID>
      <errorWord>(</errorWord>
      <group>L1_Format</group>
      <groupName>格式问题</groupName>
      <ability>L2_HalfPunc</ability>
      <abilityName>全半角检查</abilityName>
      <candidateList>
        <item>（</item>
      </candidateList>
      <explain>文本全半角错误。</explain>
      <paraID>64C512C5</paraID>
      <start>254</start>
      <end>255</end>
      <status>modified</status>
      <modifiedWord>（</modifiedWord>
      <trackRevisions>false</trackRevisions>
    </reviewItem>
    <reviewItem>
      <errorID>0b318777-543e-4d2f-ba9a-cda78a2b6a18</errorID>
      <errorWord>)</errorWord>
      <group>L1_Format</group>
      <groupName>格式问题</groupName>
      <ability>L2_HalfPunc</ability>
      <abilityName>全半角检查</abilityName>
      <candidateList>
        <item>）</item>
      </candidateList>
      <explain>文本全半角错误。</explain>
      <paraID>64C512C5</paraID>
      <start>257</start>
      <end>258</end>
      <status>modified</status>
      <modifiedWord>）</modifiedWord>
      <trackRevisions>false</trackRevisions>
    </reviewItem>
    <reviewItem>
      <errorID>c1e21435-fd12-4f4f-b667-96301bf1432f</errorID>
      <errorWord>(</errorWord>
      <group>L1_Format</group>
      <groupName>格式问题</groupName>
      <ability>L2_HalfPunc</ability>
      <abilityName>全半角检查</abilityName>
      <candidateList>
        <item>（</item>
      </candidateList>
      <explain>文本全半角错误。</explain>
      <paraID>64C512C5</paraID>
      <start>259</start>
      <end>260</end>
      <status>modified</status>
      <modifiedWord>（</modifiedWord>
      <trackRevisions>false</trackRevisions>
    </reviewItem>
    <reviewItem>
      <errorID>5453da3b-97d1-4af5-89ce-575900581258</errorID>
      <errorWord>)</errorWord>
      <group>L1_Format</group>
      <groupName>格式问题</groupName>
      <ability>L2_HalfPunc</ability>
      <abilityName>全半角检查</abilityName>
      <candidateList>
        <item>）</item>
      </candidateList>
      <explain>文本全半角错误。</explain>
      <paraID>64C512C5</paraID>
      <start>271</start>
      <end>272</end>
      <status>modified</status>
      <modifiedWord>）</modifiedWord>
      <trackRevisions>false</trackRevisions>
    </reviewItem>
    <reviewItem>
      <errorID>eabd3bfe-bb7e-42df-9185-c34c2f10bcf4</errorID>
      <errorWord>(</errorWord>
      <group>L1_Format</group>
      <groupName>格式问题</groupName>
      <ability>L2_HalfPunc</ability>
      <abilityName>全半角检查</abilityName>
      <candidateList>
        <item>（</item>
      </candidateList>
      <explain>文本全半角错误。</explain>
      <paraID>5C85F395</paraID>
      <start>8</start>
      <end>9</end>
      <status>modified</status>
      <modifiedWord>（</modifiedWord>
      <trackRevisions>false</trackRevisions>
    </reviewItem>
    <reviewItem>
      <errorID>a1a4ee75-3eae-4a3e-b467-b7dfb5a7435c</errorID>
      <errorWord>)</errorWord>
      <group>L1_Format</group>
      <groupName>格式问题</groupName>
      <ability>L2_HalfPunc</ability>
      <abilityName>全半角检查</abilityName>
      <candidateList>
        <item>）</item>
      </candidateList>
      <explain>文本全半角错误。</explain>
      <paraID>5C85F395</paraID>
      <start>15</start>
      <end>16</end>
      <status>modified</status>
      <modifiedWord>）</modifiedWord>
      <trackRevisions>false</trackRevisions>
    </reviewItem>
    <reviewItem>
      <errorID>f2a78859-4b6a-4cda-b00f-a1bb5a27d754</errorID>
      <errorWord>出场</errorWord>
      <group>L1_Word</group>
      <groupName>字词问题</groupName>
      <ability>L2_Typo</ability>
      <abilityName>字词错误</abilityName>
      <candidateList>
        <item>出厂</item>
      </candidateList>
      <explain/>
      <paraID>3EE2905D</paraID>
      <start>87</start>
      <end>89</end>
      <status>modified</status>
      <modifiedWord>出厂</modifiedWord>
      <trackRevisions>false</trackRevisions>
    </reviewItem>
    <reviewItem>
      <errorID>e84440fc-5236-4abf-8bf9-6693471138d7</errorID>
      <errorWord>(</errorWord>
      <group>L1_Format</group>
      <groupName>格式问题</groupName>
      <ability>L2_HalfPunc</ability>
      <abilityName>全半角检查</abilityName>
      <candidateList>
        <item>（</item>
      </candidateList>
      <explain>文本全半角错误。</explain>
      <paraID> 71B3C4D</paraID>
      <start>24</start>
      <end>25</end>
      <status>modified</status>
      <modifiedWord>（</modifiedWord>
      <trackRevisions>false</trackRevisions>
    </reviewItem>
    <reviewItem>
      <errorID>620b699d-b691-4df6-8c33-5b7109216370</errorID>
      <errorWord>)</errorWord>
      <group>L1_Format</group>
      <groupName>格式问题</groupName>
      <ability>L2_HalfPunc</ability>
      <abilityName>全半角检查</abilityName>
      <candidateList>
        <item>）</item>
      </candidateList>
      <explain>文本全半角错误。</explain>
      <paraID> 71B3C4D</paraID>
      <start>37</start>
      <end>38</end>
      <status>modified</status>
      <modifiedWord>）</modifiedWord>
      <trackRevisions>false</trackRevisions>
    </reviewItem>
    <reviewItem>
      <errorID>75e8972f-17bb-438d-80e9-44bd1fd1a09d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6B26C04</paraID>
      <start>0</start>
      <end>2</end>
      <status>modified</status>
      <modifiedWord>1.</modifiedWord>
      <trackRevisions>false</trackRevisions>
    </reviewItem>
    <reviewItem>
      <errorID>d9fdd743-4f4c-4d8b-9970-1bd2b3686c15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7A74AFD2</paraID>
      <start>0</start>
      <end>2</end>
      <status>modified</status>
      <modifiedWord>2.</modifiedWord>
      <trackRevisions>false</trackRevisions>
    </reviewItem>
    <reviewItem>
      <errorID>557f216c-30b0-4a79-a7c4-0c61b31b4a67</errorID>
      <errorWord>库防</errorWord>
      <group>L1_Word</group>
      <groupName>字词问题</groupName>
      <ability>L2_Typo</ability>
      <abilityName>字词错误</abilityName>
      <candidateList>
        <item>库房</item>
      </candidateList>
      <explain>存在发音相同字词的误用。</explain>
      <paraID>7A74AFD2</paraID>
      <start>20</start>
      <end>22</end>
      <status>modified</status>
      <modifiedWord>库房</modifiedWord>
      <trackRevisions>false</trackRevisions>
    </reviewItem>
    <reviewItem>
      <errorID>d99caeb0-d0a0-42a3-844c-c0a8d5285dbd</errorID>
      <errorWord>:</errorWord>
      <group>L1_Format</group>
      <groupName>格式问题</groupName>
      <ability>L2_HalfPunc</ability>
      <abilityName>全半角检查</abilityName>
      <candidateList>
        <item>：</item>
      </candidateList>
      <explain>文本全半角错误。</explain>
      <paraID>7A74AFD2</paraID>
      <start>69</start>
      <end>70</end>
      <status>modified</status>
      <modifiedWord>：</modifiedWord>
      <trackRevisions>false</trackRevisions>
    </reviewItem>
    <reviewItem>
      <errorID>8b8fc5fe-5194-4219-8a7a-15fbe94b714a</errorID>
      <errorWord>:</errorWord>
      <group>L1_Format</group>
      <groupName>格式问题</groupName>
      <ability>L2_HalfPunc</ability>
      <abilityName>全半角检查</abilityName>
      <candidateList>
        <item>：</item>
      </candidateList>
      <explain>文本全半角错误。</explain>
      <paraID>1B9B8F17</paraID>
      <start>16</start>
      <end>17</end>
      <status>modified</status>
      <modifiedWord>：</modifiedWord>
      <trackRevisions>false</trackRevisions>
    </reviewItem>
    <reviewItem>
      <errorID>3099a230-559d-48e9-85d7-e0e30ee0bed3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6CDE419F</paraID>
      <start>0</start>
      <end>2</end>
      <status>modified</status>
      <modifiedWord>1.</modifiedWord>
      <trackRevisions>false</trackRevisions>
    </reviewItem>
    <reviewItem>
      <errorID>27315e0f-d910-4a2f-b08d-bc4773764791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7D2FE9E4</paraID>
      <start>0</start>
      <end>2</end>
      <status>modified</status>
      <modifiedWord>2.</modifiedWord>
      <trackRevisions>false</trackRevisions>
    </reviewItem>
    <reviewItem>
      <errorID>6807dda7-ec58-4106-b228-f670961f2c5d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F02FA1A</paraID>
      <start>0</start>
      <end>2</end>
      <status>modified</status>
      <modifiedWord>3.</modifiedWord>
      <trackRevisions>false</trackRevisions>
    </reviewItem>
    <reviewItem>
      <errorID>dab06698-e440-4be5-b344-7efeaa8896cd</errorID>
      <errorWord>洒落</errorWord>
      <group>L1_Word</group>
      <groupName>字词问题</groupName>
      <ability>L2_Typo</ability>
      <abilityName>字词错误</abilityName>
      <candidateList>
        <item>撒落</item>
      </candidateList>
      <explain/>
      <paraID> F02FA1A</paraID>
      <start>25</start>
      <end>27</end>
      <status>modified</status>
      <modifiedWord>撒落</modifiedWord>
      <trackRevisions>false</trackRevisions>
    </reviewItem>
    <reviewItem>
      <errorID>0ace1492-86c2-445d-ad3f-a688629303ac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48F8102D</paraID>
      <start>0</start>
      <end>2</end>
      <status>modified</status>
      <modifiedWord>4.</modifiedWord>
      <trackRevisions>false</trackRevisions>
    </reviewItem>
    <reviewItem>
      <errorID>22599ce3-bc52-4902-8f32-faf8ebfc2887</errorID>
      <errorWord>于</errorWord>
      <group>L1_Word</group>
      <groupName>字词问题</groupName>
      <ability>L2_Typo</ability>
      <abilityName>字词错误</abilityName>
      <candidateList>
        <item>与</item>
      </candidateList>
      <explain>（舆）yù参与：～会。</explain>
      <paraID>48F8102D</paraID>
      <start>56</start>
      <end>57</end>
      <status>modified</status>
      <modifiedWord>与</modifiedWord>
      <trackRevisions>false</trackRevisions>
    </reviewItem>
    <reviewItem>
      <errorID>2a5df624-5806-49a9-8da1-e4df6e8ab66c</errorID>
      <errorWord>出场</errorWord>
      <group>L1_Word</group>
      <groupName>字词问题</groupName>
      <ability>L2_Typo</ability>
      <abilityName>字词错误</abilityName>
      <candidateList>
        <item>出厂</item>
      </candidateList>
      <explain/>
      <paraID>48F8102D</paraID>
      <start>60</start>
      <end>62</end>
      <status>modified</status>
      <modifiedWord>出厂</modifiedWord>
      <trackRevisions>false</trackRevisions>
    </reviewItem>
    <reviewItem>
      <errorID>7586254d-54ce-463b-99fd-d1d2c7468f0a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78187840</paraID>
      <start>0</start>
      <end>2</end>
      <status>modified</status>
      <modifiedWord>5.</modifiedWord>
      <trackRevisions>false</trackRevisions>
    </reviewItem>
    <reviewItem>
      <errorID>dbad8121-19f5-4077-bd29-ab93e9b5edd2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B1380AE</paraID>
      <start>0</start>
      <end>2</end>
      <status>modified</status>
      <modifiedWord>6.</modifiedWord>
      <trackRevisions>false</trackRevisions>
    </reviewItem>
    <reviewItem>
      <errorID>9c2a27df-286d-47f3-b04f-02aa675720e3</errorID>
      <errorWord>;</errorWord>
      <group>L1_Format</group>
      <groupName>格式问题</groupName>
      <ability>L2_HalfPunc</ability>
      <abilityName>全半角检查</abilityName>
      <candidateList>
        <item>；</item>
      </candidateList>
      <explain>文本全半角错误。</explain>
      <paraID> B1380AE</paraID>
      <start>51</start>
      <end>52</end>
      <status>modified</status>
      <modifiedWord>；</modifiedWord>
      <trackRevisions>false</trackRevisions>
    </reviewItem>
    <reviewItem>
      <errorID>21c3bdf2-5475-4287-8012-79e873bab754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4A5527BC</paraID>
      <start>0</start>
      <end>2</end>
      <status>modified</status>
      <modifiedWord>7.</modifiedWord>
      <trackRevisions>false</trackRevisions>
    </reviewItem>
    <reviewItem>
      <errorID>b1a6898e-acc2-436c-bef6-06ca8ba96ca8</errorID>
      <errorWord>,</errorWord>
      <group>L1_Format</group>
      <groupName>格式问题</groupName>
      <ability>L2_HalfPunc</ability>
      <abilityName>全半角检查</abilityName>
      <candidateList>
        <item>，</item>
      </candidateList>
      <explain>文本全半角错误。</explain>
      <paraID>4A5527BC</paraID>
      <start>39</start>
      <end>40</end>
      <status>modified</status>
      <modifiedWord>，</modifiedWord>
      <trackRevisions>false</trackRevisions>
    </reviewItem>
    <reviewItem>
      <errorID>ac096a94-a0de-4991-ac7b-5fce6f599058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3BD164A1</paraID>
      <start>0</start>
      <end>2</end>
      <status>modified</status>
      <modifiedWord>8.</modifiedWord>
      <trackRevisions>false</trackRevisions>
    </reviewItem>
    <reviewItem>
      <errorID>8fdf8d59-29d0-4cc9-802e-8e6ec0c5308e</errorID>
      <errorWord>;</errorWord>
      <group>L1_Format</group>
      <groupName>格式问题</groupName>
      <ability>L2_HalfPunc</ability>
      <abilityName>全半角检查</abilityName>
      <candidateList>
        <item>；</item>
      </candidateList>
      <explain>文本全半角错误。</explain>
      <paraID>3BD164A1</paraID>
      <start>32</start>
      <end>33</end>
      <status>modified</status>
      <modifiedWord>；</modifiedWord>
      <trackRevisions>false</trackRevisions>
    </reviewItem>
    <reviewItem>
      <errorID>d26541d1-80de-421e-a2f4-2d676be9069c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526357E4</paraID>
      <start>0</start>
      <end>2</end>
      <status>modified</status>
      <modifiedWord>9.</modifiedWord>
      <trackRevisions>false</trackRevisions>
    </reviewItem>
    <reviewItem>
      <errorID>2cb8cfe2-eb7a-4647-889b-45e002796bc6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6C90D780</paraID>
      <start>0</start>
      <end>3</end>
      <status>modified</status>
      <modifiedWord>10.</modifiedWord>
      <trackRevisions>false</trackRevisions>
    </reviewItem>
    <reviewItem>
      <errorID>302766b7-36bf-4f62-92e5-8169fd494b66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67E8340E</paraID>
      <start>0</start>
      <end>3</end>
      <status>modified</status>
      <modifiedWord>11.</modifiedWord>
      <trackRevisions>false</trackRevisions>
    </reviewItem>
    <reviewItem>
      <errorID>7900d0d4-3c9f-4ac2-9578-af0ba7e7326c</errorID>
      <errorWord>(</errorWord>
      <group>L1_Format</group>
      <groupName>格式问题</groupName>
      <ability>L2_HalfPunc</ability>
      <abilityName>全半角检查</abilityName>
      <candidateList>
        <item>（</item>
      </candidateList>
      <explain>文本全半角错误。</explain>
      <paraID>17728385</paraID>
      <start>26</start>
      <end>27</end>
      <status>modified</status>
      <modifiedWord>（</modifiedWord>
      <trackRevisions>false</trackRevisions>
    </reviewItem>
    <reviewItem>
      <errorID>6785d1c0-cdb5-4592-8f94-6f8a955ae30d</errorID>
      <errorWord>)</errorWord>
      <group>L1_Format</group>
      <groupName>格式问题</groupName>
      <ability>L2_HalfPunc</ability>
      <abilityName>全半角检查</abilityName>
      <candidateList>
        <item>）</item>
      </candidateList>
      <explain>文本全半角错误。</explain>
      <paraID>17728385</paraID>
      <start>38</start>
      <end>39</end>
      <status>modified</status>
      <modifiedWord>）</modifiedWord>
      <trackRevisions>false</trackRevisions>
    </reviewItem>
    <reviewItem>
      <errorID>51545021-d192-4013-8931-d8c4f77f0631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69FBDA1E</paraID>
      <start>0</start>
      <end>2</end>
      <status>modified</status>
      <modifiedWord>1.</modifiedWord>
      <trackRevisions>false</trackRevisions>
    </reviewItem>
    <reviewItem>
      <errorID>4511bcd4-9dab-42bd-a61b-541d58887e10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70DED812</paraID>
      <start>0</start>
      <end>2</end>
      <status>modified</status>
      <modifiedWord>2.</modifiedWord>
      <trackRevisions>false</trackRevisions>
    </reviewItem>
    <reviewItem>
      <errorID>fdc8647e-ef7a-49ec-91c9-d799fd5629d9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82CA4E</paraID>
      <start>0</start>
      <end>2</end>
      <status>modified</status>
      <modifiedWord>3.</modifiedWord>
      <trackRevisions>false</trackRevisions>
    </reviewItem>
    <reviewItem>
      <errorID>6cf2adae-bf32-4fde-8782-a91ff1400177</errorID>
      <errorWord>:</errorWord>
      <group>L1_Format</group>
      <groupName>格式问题</groupName>
      <ability>L2_HalfPunc</ability>
      <abilityName>全半角检查</abilityName>
      <candidateList>
        <item>：</item>
      </candidateList>
      <explain>文本全半角错误。</explain>
      <paraID>  82CA4E</paraID>
      <start>24</start>
      <end>25</end>
      <status>modified</status>
      <modifiedWord>：</modifiedWord>
      <trackRevisions>false</trackRevisions>
    </reviewItem>
    <reviewItem>
      <errorID>d473d74a-aa4a-48ca-98ec-29b9ccc3abf0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799FBC12</paraID>
      <start>0</start>
      <end>2</end>
      <status>modified</status>
      <modifiedWord>4.</modifiedWord>
      <trackRevisions>false</trackRevisions>
    </reviewItem>
    <reviewItem>
      <errorID>727e9d71-2a50-4ccb-9ab7-9e058094622d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182145EA</paraID>
      <start>0</start>
      <end>2</end>
      <status>modified</status>
      <modifiedWord>5.</modifiedWord>
      <trackRevisions>false</trackRevisions>
    </reviewItem>
    <reviewItem>
      <errorID>91db0ea3-9f22-4feb-90be-4db6077f0dba</errorID>
      <errorWord>栓挂</errorWord>
      <group>L1_Word</group>
      <groupName>字词问题</groupName>
      <ability>L2_Typo</ability>
      <abilityName>字词错误</abilityName>
      <candidateList>
        <item>拴挂</item>
      </candidateList>
      <explain/>
      <paraID>182145EA</paraID>
      <start>20</start>
      <end>22</end>
      <status>modified</status>
      <modifiedWord>拴挂</modifiedWord>
      <trackRevisions>false</trackRevisions>
    </reviewItem>
    <reviewItem>
      <errorID>be960eb9-1a19-49cc-b7e2-7d353019cc16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42BAD4EE</paraID>
      <start>0</start>
      <end>2</end>
      <status>modified</status>
      <modifiedWord>6.</modifiedWord>
      <trackRevisions>false</trackRevisions>
    </reviewItem>
    <reviewItem>
      <errorID>ac664302-1e2e-4198-b561-a5c0b8230741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2DA4487F</paraID>
      <start>0</start>
      <end>2</end>
      <status>modified</status>
      <modifiedWord>7.</modifiedWord>
      <trackRevisions>false</trackRevisions>
    </reviewItem>
    <reviewItem>
      <errorID>69f84ffe-fce4-4bc0-b860-df229fbbc5aa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4EC85C4C</paraID>
      <start>0</start>
      <end>2</end>
      <status>modified</status>
      <modifiedWord>8.</modifiedWord>
      <trackRevisions>false</trackRevisions>
    </reviewItem>
    <reviewItem>
      <errorID>389c9cd8-3b12-400e-895c-e22807cddc90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28141349</paraID>
      <start>0</start>
      <end>2</end>
      <status>modified</status>
      <modifiedWord>9.</modifiedWord>
      <trackRevisions>false</trackRevisions>
    </reviewItem>
    <reviewItem>
      <errorID>e610e4a8-da60-41b7-b343-3a0f3711b7a4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B5EF9D0</paraID>
      <start>0</start>
      <end>2</end>
      <status>modified</status>
      <modifiedWord>1.</modifiedWord>
      <trackRevisions>false</trackRevisions>
    </reviewItem>
    <reviewItem>
      <errorID>6fa53bca-f26d-4219-8ca0-4568e906d660</errorID>
      <errorWord>(</errorWord>
      <group>L1_Format</group>
      <groupName>格式问题</groupName>
      <ability>L2_HalfPunc</ability>
      <abilityName>全半角检查</abilityName>
      <candidateList>
        <item>（</item>
      </candidateList>
      <explain>文本全半角错误。</explain>
      <paraID>687C5EE7</paraID>
      <start>31</start>
      <end>32</end>
      <status>modified</status>
      <modifiedWord>（</modifiedWord>
      <trackRevisions>false</trackRevisions>
    </reviewItem>
    <reviewItem>
      <errorID>d8a38a5d-9723-44e8-bfff-ea030491161b</errorID>
      <errorWord>)</errorWord>
      <group>L1_Format</group>
      <groupName>格式问题</groupName>
      <ability>L2_HalfPunc</ability>
      <abilityName>全半角检查</abilityName>
      <candidateList>
        <item>）</item>
      </candidateList>
      <explain>文本全半角错误。</explain>
      <paraID>687C5EE7</paraID>
      <start>42</start>
      <end>43</end>
      <status>modified</status>
      <modifiedWord>）</modifiedWord>
      <trackRevisions>false</trackRevisions>
    </reviewItem>
    <reviewItem>
      <errorID>2f439a8f-1845-41c8-8ae4-5edd0a98017c</errorID>
      <errorWord>门式钢架</errorWord>
      <group>L1_Knowledge</group>
      <groupName>知识性问题</groupName>
      <ability>L2_Term</ability>
      <abilityName>专业术语</abilityName>
      <candidateList>
        <item>门式刚架</item>
      </candidateList>
      <explain/>
      <paraID>687C5EE7</paraID>
      <start>74</start>
      <end>78</end>
      <status>modified</status>
      <modifiedWord>门式刚架</modifiedWord>
      <trackRevisions>false</trackRevisions>
    </reviewItem>
    <reviewItem>
      <errorID>dd07c6b7-4d35-440d-9905-314c7b4965c1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25F266F6</paraID>
      <start>0</start>
      <end>2</end>
      <status>modified</status>
      <modifiedWord>2.</modifiedWord>
      <trackRevisions>false</trackRevisions>
    </reviewItem>
    <reviewItem>
      <errorID>3cc82656-8a70-4b08-938c-102595b1f24a</errorID>
      <errorWord>(</errorWord>
      <group>L1_Format</group>
      <groupName>格式问题</groupName>
      <ability>L2_HalfPunc</ability>
      <abilityName>全半角检查</abilityName>
      <candidateList>
        <item>（</item>
      </candidateList>
      <explain>文本全半角错误。</explain>
      <paraID>553042A8</paraID>
      <start>27</start>
      <end>28</end>
      <status>modified</status>
      <modifiedWord>（</modifiedWord>
      <trackRevisions>false</trackRevisions>
    </reviewItem>
    <reviewItem>
      <errorID>ab0304ec-a99a-4f3f-b063-e5d870f1e1b2</errorID>
      <errorWord>)</errorWord>
      <group>L1_Format</group>
      <groupName>格式问题</groupName>
      <ability>L2_HalfPunc</ability>
      <abilityName>全半角检查</abilityName>
      <candidateList>
        <item>）</item>
      </candidateList>
      <explain>文本全半角错误。</explain>
      <paraID>553042A8</paraID>
      <start>40</start>
      <end>41</end>
      <status>modified</status>
      <modifiedWord>）</modifiedWord>
      <trackRevisions>false</trackRevisions>
    </reviewItem>
    <reviewItem>
      <errorID>b1e0c404-c535-42cc-904f-c0118c56c442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63E5F8D1</paraID>
      <start>0</start>
      <end>2</end>
      <status>modified</status>
      <modifiedWord>3.</modifiedWord>
      <trackRevisions>false</trackRevisions>
    </reviewItem>
    <reviewItem>
      <errorID>b24b94f2-5870-4ef8-bd70-89f568460c44</errorID>
      <errorWord>拌合</errorWord>
      <group>L1_Word</group>
      <groupName>字词问题</groupName>
      <ability>L2_Typo</ability>
      <abilityName>字词错误</abilityName>
      <candidateList>
        <item>拌和</item>
      </candidateList>
      <explain/>
      <paraID>4FF3BBF8</paraID>
      <start>22</start>
      <end>24</end>
      <status>modified</status>
      <modifiedWord>拌和</modifiedWord>
      <trackRevisions>false</trackRevisions>
    </reviewItem>
    <reviewItem>
      <errorID>0137ffa2-aea2-4fb4-a0fc-c3edd4b39b0b</errorID>
      <errorWord>)</errorWord>
      <group>L1_Format</group>
      <groupName>格式问题</groupName>
      <ability>L2_HalfPunc</ability>
      <abilityName>全半角检查</abilityName>
      <candidateList>
        <item>）</item>
      </candidateList>
      <explain>文本全半角错误。</explain>
      <paraID>4FF3BBF8</paraID>
      <start>126</start>
      <end>127</end>
      <status>modified</status>
      <modifiedWord>）</modifiedWord>
      <trackRevisions>false</trackRevisions>
    </reviewItem>
    <reviewItem>
      <errorID>73ad02bf-76db-4bd2-bd10-6f789f3746f0</errorID>
      <errorWord>施工期</errorWord>
      <group>L1_Word</group>
      <groupName>字词问题</groupName>
      <ability>L2_Typo</ability>
      <abilityName>字词错误</abilityName>
      <candidateList>
        <item>施工</item>
      </candidateList>
      <explain>〈动〉按照设计的规格和要求建筑房屋、桥梁、道路、水利工程等。</explain>
      <paraID>79583828</paraID>
      <start>20</start>
      <end>22</end>
      <status>modified</status>
      <modifiedWord>施工</modifiedWord>
      <trackRevisions>false</trackRevisions>
    </reviewItem>
    <reviewItem>
      <errorID>17ed5cb9-64b8-4309-98c6-63b1a5958af3</errorID>
      <errorWord>垃圾焚烧场</errorWord>
      <group>L1_Word</group>
      <groupName>字词问题</groupName>
      <ability>L2_Typo</ability>
      <abilityName>字词错误</abilityName>
      <candidateList>
        <item>垃圾焚烧厂</item>
      </candidateList>
      <explain/>
      <paraID>11B60F65</paraID>
      <start>59</start>
      <end>64</end>
      <status>modified</status>
      <modifiedWord>垃圾焚烧厂</modifiedWord>
      <trackRevisions>false</trackRevisions>
    </reviewItem>
    <reviewItem>
      <errorID>577bd808-72d2-48a5-a36c-42f5615c758d</errorID>
      <errorWord>(</errorWord>
      <group>L1_Format</group>
      <groupName>格式问题</groupName>
      <ability>L2_HalfPunc</ability>
      <abilityName>全半角检查</abilityName>
      <candidateList>
        <item>（</item>
      </candidateList>
      <explain>文本全半角错误。</explain>
      <paraID>7A4F31B5</paraID>
      <start>7</start>
      <end>8</end>
      <status>modified</status>
      <modifiedWord>（</modifiedWord>
      <trackRevisions>false</trackRevisions>
    </reviewItem>
    <reviewItem>
      <errorID>8e651de9-5d60-4b4e-ac3a-fad58747ef99</errorID>
      <errorWord>)</errorWord>
      <group>L1_Format</group>
      <groupName>格式问题</groupName>
      <ability>L2_HalfPunc</ability>
      <abilityName>全半角检查</abilityName>
      <candidateList>
        <item>）</item>
      </candidateList>
      <explain>文本全半角错误。</explain>
      <paraID>7A4F31B5</paraID>
      <start>9</start>
      <end>10</end>
      <status>modified</status>
      <modifiedWord>）</modifiedWord>
      <trackRevisions>false</trackRevisions>
    </reviewItem>
    <reviewItem>
      <errorID>700bc5c6-88ed-4f20-a445-7a7b825f84ed</errorID>
      <errorWord>(</errorWord>
      <group>L1_Format</group>
      <groupName>格式问题</groupName>
      <ability>L2_HalfPunc</ability>
      <abilityName>全半角检查</abilityName>
      <candidateList>
        <item>（</item>
      </candidateList>
      <explain>文本全半角错误。</explain>
      <paraID>7A4F31B5</paraID>
      <start>40</start>
      <end>41</end>
      <status>modified</status>
      <modifiedWord>（</modifiedWord>
      <trackRevisions>false</trackRevisions>
    </reviewItem>
    <reviewItem>
      <errorID>519ddda0-24c9-4e1d-8a6e-289d07472c42</errorID>
      <errorWord>)</errorWord>
      <group>L1_Format</group>
      <groupName>格式问题</groupName>
      <ability>L2_HalfPunc</ability>
      <abilityName>全半角检查</abilityName>
      <candidateList>
        <item>）</item>
      </candidateList>
      <explain>文本全半角错误。</explain>
      <paraID>7A4F31B5</paraID>
      <start>42</start>
      <end>43</end>
      <status>modified</status>
      <modifiedWord>）</modifiedWord>
      <trackRevisions>false</trackRevisions>
    </reviewItem>
    <reviewItem>
      <errorID>67b75a57-bff2-405e-bc40-d56adbabe773</errorID>
      <errorWord>(</errorWord>
      <group>L1_Format</group>
      <groupName>格式问题</groupName>
      <ability>L2_HalfPunc</ability>
      <abilityName>全半角检查</abilityName>
      <candidateList>
        <item>（</item>
      </candidateList>
      <explain>文本全半角错误。</explain>
      <paraID>7A4F31B5</paraID>
      <start>97</start>
      <end>98</end>
      <status>modified</status>
      <modifiedWord>（</modifiedWord>
      <trackRevisions>false</trackRevisions>
    </reviewItem>
    <reviewItem>
      <errorID>13ede606-6f1d-4192-8c72-125519119c3b</errorID>
      <errorWord>)</errorWord>
      <group>L1_Format</group>
      <groupName>格式问题</groupName>
      <ability>L2_HalfPunc</ability>
      <abilityName>全半角检查</abilityName>
      <candidateList>
        <item>）</item>
      </candidateList>
      <explain>文本全半角错误。</explain>
      <paraID>7A4F31B5</paraID>
      <start>99</start>
      <end>100</end>
      <status>modified</status>
      <modifiedWord>）</modifiedWord>
      <trackRevisions>false</trackRevisions>
    </reviewItem>
    <reviewItem>
      <errorID>cb093d64-61ab-42a7-b12f-301afbe2fb96</errorID>
      <errorWord>(</errorWord>
      <group>L1_Format</group>
      <groupName>格式问题</groupName>
      <ability>L2_HalfPunc</ability>
      <abilityName>全半角检查</abilityName>
      <candidateList>
        <item>（</item>
      </candidateList>
      <explain>文本全半角错误。</explain>
      <paraID>7A4F31B5</paraID>
      <start>151</start>
      <end>152</end>
      <status>modified</status>
      <modifiedWord>（</modifiedWord>
      <trackRevisions>false</trackRevisions>
    </reviewItem>
    <reviewItem>
      <errorID>b4930313-9a1c-4f7b-94b1-122aa7c6199d</errorID>
      <errorWord>)</errorWord>
      <group>L1_Format</group>
      <groupName>格式问题</groupName>
      <ability>L2_HalfPunc</ability>
      <abilityName>全半角检查</abilityName>
      <candidateList>
        <item>）</item>
      </candidateList>
      <explain>文本全半角错误。</explain>
      <paraID>7A4F31B5</paraID>
      <start>153</start>
      <end>154</end>
      <status>modified</status>
      <modifiedWord>）</modifiedWord>
      <trackRevisions>false</trackRevisions>
    </reviewItem>
    <reviewItem>
      <errorID>0780e73f-77c1-4b81-b12e-c25331f47024</errorID>
      <errorWord>后2020</errorWord>
      <group>L1_Word</group>
      <groupName>字词问题</groupName>
      <ability>L2_Typo</ability>
      <abilityName>字词错误</abilityName>
      <candidateList>
        <item>2020</item>
      </candidateList>
      <explain/>
      <paraID>35E1146A</paraID>
      <start>61</start>
      <end>65</end>
      <status>modified</status>
      <modifiedWord>2020</modifiedWord>
      <trackRevisions>false</trackRevisions>
    </reviewItem>
    <reviewItem>
      <errorID>4e9c9991-d393-47d5-8e05-c63b051688ef</errorID>
      <errorWord>目前现状</errorWord>
      <group>L1_Word</group>
      <groupName>字词问题</groupName>
      <ability>L2_Typo</ability>
      <abilityName>字词错误</abilityName>
      <candidateList>
        <item>现状</item>
      </candidateList>
      <explain/>
      <paraID>35E1146A</paraID>
      <start>94</start>
      <end>96</end>
      <status>modified</status>
      <modifiedWord>现状</modifiedWord>
      <trackRevisions>false</trackRevisions>
    </reviewItem>
    <reviewItem>
      <errorID>72cf0eb0-6e28-40e9-aae0-05e03834925c</errorID>
      <errorWord>（</errorWord>
      <group>L1_Punc</group>
      <groupName>标点问题</groupName>
      <ability>L2_Punc</ability>
      <abilityName>标点符号检查</abilityName>
      <candidateList/>
      <explain>同一形式括号套用。</explain>
      <paraID>1FD301F1</paraID>
      <start>57</start>
      <end>58</end>
      <status>unmodified</status>
      <modifiedWord/>
      <trackRevisions>false</trackRevisions>
    </reviewItem>
    <reviewItem>
      <errorID>917839bb-cd8a-4ac8-9644-83ddc6b586b0</errorID>
      <errorWord>）</errorWord>
      <group>L1_Punc</group>
      <groupName>标点问题</groupName>
      <ability>L2_Punc</ability>
      <abilityName>标点符号检查</abilityName>
      <candidateList/>
      <explain>同一形式括号套用。</explain>
      <paraID>1FD301F1</paraID>
      <start>59</start>
      <end>60</end>
      <status>unmodified</status>
      <modifiedWord/>
      <trackRevisions>false</trackRevisions>
    </reviewItem>
    <reviewItem>
      <errorID>434e262f-7d53-45a2-89cd-504d5644acc7</errorID>
      <errorWord>，</errorWord>
      <group>L1_Format</group>
      <groupName>格式问题</groupName>
      <ability>L2_HalfPunc</ability>
      <abilityName>全半角检查</abilityName>
      <candidateList>
        <item>,</item>
      </candidateList>
      <explain>文本全半角错误。</explain>
      <paraID>1D7D1FD3</paraID>
      <start>5</start>
      <end>6</end>
      <status>modified</status>
      <modifiedWord>,</modifiedWord>
      <trackRevisions>false</trackRevisions>
    </reviewItem>
    <reviewItem>
      <errorID>2d602744-19f1-4659-a385-94056b1b6b18</errorID>
      <errorWord>：~</errorWord>
      <group>L1_Punc</group>
      <groupName>标点问题</groupName>
      <ability>L2_Punc</ability>
      <abilityName>标点符号检查</abilityName>
      <candidateList>
        <item>：</item>
      </candidateList>
      <explain/>
      <paraID>32376ADC</paraID>
      <start>5</start>
      <end>6</end>
      <status>modified</status>
      <modifiedWord>：</modifiedWord>
      <trackRevisions>false</trackRevisions>
    </reviewItem>
    <reviewItem>
      <errorID>f05dd35f-9eb5-4151-aa95-d84c800a4f0c</errorID>
      <errorWord>会都</errorWord>
      <group>L1_Word</group>
      <groupName>字词问题</groupName>
      <ability>L2_Typo</ability>
      <abilityName>字词错误</abilityName>
      <candidateList>
        <item>会员</item>
      </candidateList>
      <explain/>
      <paraID>17807433</paraID>
      <start>0</start>
      <end>2</end>
      <status>ignored</status>
      <modifiedWord/>
      <trackRevisions>false</trackRevisions>
    </reviewItem>
    <reviewItem>
      <errorID>edd404d4-f561-4824-93a9-48f0dc9f412e</errorID>
      <errorWord>震动器</errorWord>
      <group>L1_Word</group>
      <groupName>字词问题</groupName>
      <ability>L2_Typo</ability>
      <abilityName>字词错误</abilityName>
      <candidateList>
        <item>振动器</item>
      </candidateList>
      <explain>存在发音相同字词的误用。</explain>
      <paraID>7A222366</paraID>
      <start>12</start>
      <end>15</end>
      <status>ignored</status>
      <modifiedWord/>
      <trackRevisions>false</trackRevisions>
    </reviewItem>
    <reviewItem>
      <errorID>0b13f9b4-b3bc-4e41-9d47-b20515007cc3</errorID>
      <errorWord>，</errorWord>
      <group>L1_Format</group>
      <groupName>格式问题</groupName>
      <ability>L2_HalfPunc</ability>
      <abilityName>全半角检查</abilityName>
      <candidateList>
        <item>, </item>
      </candidateList>
      <explain>文本全半角错误。</explain>
      <paraID>1F280F5E</paraID>
      <start>11</start>
      <end>13</end>
      <status>modified</status>
      <modifiedWord>, </modifiedWord>
      <trackRevisions>false</trackRevisions>
    </reviewItem>
    <reviewItem>
      <errorID>7dfeeebb-69e4-45bc-adb4-f1d25fa3b420</errorID>
      <errorWord>，</errorWord>
      <group>L1_Format</group>
      <groupName>格式问题</groupName>
      <ability>L2_HalfPunc</ability>
      <abilityName>全半角检查</abilityName>
      <candidateList>
        <item>, </item>
      </candidateList>
      <explain>文本全半角错误。</explain>
      <paraID>12CDE40B</paraID>
      <start>15</start>
      <end>17</end>
      <status>modified</status>
      <modifiedWord>, </modifiedWord>
      <trackRevisions>false</trackRevisions>
    </reviewItem>
    <reviewItem>
      <errorID>b27a7b0a-5265-43d5-9f6d-99461f675800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1753953A</paraID>
      <start>0</start>
      <end>2</end>
      <status>modified</status>
      <modifiedWord>1.</modifiedWord>
      <trackRevisions>false</trackRevisions>
    </reviewItem>
    <reviewItem>
      <errorID>24d2b944-0697-4073-8cff-9c52e724d9d0</errorID>
      <errorWord>目前现状</errorWord>
      <group>L1_Word</group>
      <groupName>字词问题</groupName>
      <ability>L2_Typo</ability>
      <abilityName>字词错误</abilityName>
      <candidateList>
        <item>现状</item>
      </candidateList>
      <explain/>
      <paraID>527699F7</paraID>
      <start>177</start>
      <end>179</end>
      <status>modified</status>
      <modifiedWord>现状</modifiedWord>
      <trackRevisions>false</trackRevisions>
    </reviewItem>
    <reviewItem>
      <errorID>5319ff87-0b2e-4b02-a209-47928c3c0aa9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7E30F067</paraID>
      <start>0</start>
      <end>2</end>
      <status>modified</status>
      <modifiedWord>2.</modifiedWord>
      <trackRevisions>false</trackRevisions>
    </reviewItem>
    <reviewItem>
      <errorID>4c2defbd-9d44-4d21-85a0-0ee9d68ef60c</errorID>
      <errorWord>程</errorWord>
      <group>L1_Word</group>
      <groupName>字词问题</groupName>
      <ability>L2_Typo</ability>
      <abilityName>字词错误</abilityName>
      <candidateList>
        <item>程中</item>
      </candidateList>
      <explain/>
      <paraID>1DB9FF42</paraID>
      <start>29</start>
      <end>31</end>
      <status>modified</status>
      <modifiedWord>程中</modifiedWord>
      <trackRevisions>false</trackRevisions>
    </reviewItem>
    <reviewItem>
      <errorID>48496ddb-ea9e-4a50-9bc0-a65eff78f73e</errorID>
      <errorWord>(</errorWord>
      <group>L1_Format</group>
      <groupName>格式问题</groupName>
      <ability>L2_HalfPunc</ability>
      <abilityName>全半角检查</abilityName>
      <candidateList>
        <item>（</item>
      </candidateList>
      <explain>文本全半角错误。</explain>
      <paraID>3D99AF77</paraID>
      <start>69</start>
      <end>70</end>
      <status>modified</status>
      <modifiedWord>（</modifiedWord>
      <trackRevisions>false</trackRevisions>
    </reviewItem>
    <reviewItem>
      <errorID>1153c8b7-4253-4e6a-a87f-681902668393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3D99AF77</paraID>
      <start>84</start>
      <end>85</end>
      <status>modified</status>
      <modifiedWord>—</modifiedWord>
      <trackRevisions>false</trackRevisions>
    </reviewItem>
    <reviewItem>
      <errorID>13f1af4c-2075-454c-b2a4-8eb40b5f4bd8</errorID>
      <errorWord>)</errorWord>
      <group>L1_Format</group>
      <groupName>格式问题</groupName>
      <ability>L2_HalfPunc</ability>
      <abilityName>全半角检查</abilityName>
      <candidateList>
        <item>）</item>
      </candidateList>
      <explain>文本全半角错误。</explain>
      <paraID>3D99AF77</paraID>
      <start>90</start>
      <end>91</end>
      <status>modified</status>
      <modifiedWord>）</modifiedWord>
      <trackRevisions>false</trackRevisions>
    </reviewItem>
    <reviewItem>
      <errorID>f40a0482-afb4-4f45-ac48-c1a8c7e4c18e</errorID>
      <errorWord>面也</errorWord>
      <group>L1_Word</group>
      <groupName>字词问题</groupName>
      <ability>L2_Typo</ability>
      <abilityName>字词错误</abilityName>
      <candidateList>
        <item>面</item>
      </candidateList>
      <explain/>
      <paraID>4BED473D</paraID>
      <start>6</start>
      <end>7</end>
      <status>modified</status>
      <modifiedWord>面</modifiedWord>
      <trackRevisions>false</trackRevisions>
    </reviewItem>
    <reviewItem>
      <errorID>a4dce6f9-02e3-4cbf-ade6-862b394d3138</errorID>
      <errorWord>~</errorWord>
      <group>L1_Format</group>
      <groupName>格式问题</groupName>
      <ability>L2_HalfPunc</ability>
      <abilityName>全半角检查</abilityName>
      <candidateList>
        <item>～</item>
      </candidateList>
      <explain>文本全半角错误。</explain>
      <paraID>573689ED</paraID>
      <start>72</start>
      <end>73</end>
      <status>modified</status>
      <modifiedWord>～</modifiedWord>
      <trackRevisions>false</trackRevisions>
    </reviewItem>
    <reviewItem>
      <errorID>0d391b41-7e5e-45b4-9f52-2e5b12b67749</errorID>
      <errorWord>成</errorWord>
      <group>L1_Word</group>
      <groupName>字词问题</groupName>
      <ability>L2_Typo</ability>
      <abilityName>字词错误</abilityName>
      <candidateList>
        <item>呈</item>
      </candidateList>
      <explain>存在发音相同字词的误用。</explain>
      <paraID>573689ED</paraID>
      <start>85</start>
      <end>86</end>
      <status>modified</status>
      <modifiedWord>呈</modifiedWord>
      <trackRevisions>false</trackRevisions>
    </reviewItem>
    <reviewItem>
      <errorID>2a8f6ae6-ec1a-41c5-9df7-0b4f089f95a2</errorID>
      <errorWord>目前现状</errorWord>
      <group>L1_Word</group>
      <groupName>字词问题</groupName>
      <ability>L2_Typo</ability>
      <abilityName>字词错误</abilityName>
      <candidateList>
        <item>现状</item>
      </candidateList>
      <explain/>
      <paraID>76C8EE38</paraID>
      <start>3</start>
      <end>5</end>
      <status>modified</status>
      <modifiedWord>现状</modifiedWord>
      <trackRevisions>false</trackRevisions>
    </reviewItem>
    <reviewItem>
      <errorID>2b1239eb-d027-4896-9da8-c0ecb7a025a2</errorID>
      <errorWord>进厂</errorWord>
      <group>L1_Word</group>
      <groupName>字词问题</groupName>
      <ability>L2_Typo</ability>
      <abilityName>字词错误</abilityName>
      <candidateList>
        <item>进场</item>
      </candidateList>
      <explain/>
      <paraID>79E72E61</paraID>
      <start>7</start>
      <end>9</end>
      <status>modified</status>
      <modifiedWord>进场</modifiedWord>
      <trackRevisions>false</trackRevisions>
    </reviewItem>
    <reviewItem>
      <errorID>c1efd0b0-dd3f-4eec-b59a-0c138fdd5a9c</errorID>
      <errorWord>性</errorWord>
      <group>L1_Word</group>
      <groupName>字词问题</groupName>
      <ability>L2_Typo</ability>
      <abilityName>字词错误</abilityName>
      <candidateList>
        <item>型</item>
      </candidateList>
      <explain/>
      <paraID>20BDB5FF</paraID>
      <start>25</start>
      <end>26</end>
      <status>modified</status>
      <modifiedWord>型</modifiedWord>
      <trackRevisions>false</trackRevisions>
    </reviewItem>
    <reviewItem>
      <errorID>b6c1953c-6b79-408a-ae86-ef55c16c5602</errorID>
      <errorWord>储</errorWord>
      <group>L1_Word</group>
      <groupName>字词问题</groupName>
      <ability>L2_Typo</ability>
      <abilityName>字词错误</abilityName>
      <candidateList>
        <item>贮</item>
      </candidateList>
      <explain/>
      <paraID> A211443</paraID>
      <start>33</start>
      <end>34</end>
      <status>modified</status>
      <modifiedWord>贮</modifiedWord>
      <trackRevisions>false</trackRevisions>
    </reviewItem>
    <reviewItem>
      <errorID>98a193f7-478c-4b03-b716-0a0a0d8c807d</errorID>
      <errorWord>处</errorWord>
      <group>L1_Word</group>
      <groupName>字词问题</groupName>
      <ability>L2_Typo</ability>
      <abilityName>字词错误</abilityName>
      <candidateList>
        <item>除</item>
      </candidateList>
      <explain/>
      <paraID>1FA9700C</paraID>
      <start>5</start>
      <end>6</end>
      <status>modified</status>
      <modifiedWord>除</modifiedWord>
      <trackRevisions>false</trackRevisions>
    </reviewItem>
    <reviewItem>
      <errorID>28a2a8f3-e15d-4836-9a7c-e6acd913e279</errorID>
      <errorWord>设</errorWord>
      <group>L1_Word</group>
      <groupName>字词问题</groupName>
      <ability>L2_Typo</ability>
      <abilityName>字词错误</abilityName>
      <candidateList>
        <item>设置</item>
      </candidateList>
      <explain>〈动〉❶设立：这座剧院是为儿童～的。❷安放；安装：～障碍。</explain>
      <paraID>1FA9700C</paraID>
      <start>6</start>
      <end>8</end>
      <status>modified</status>
      <modifiedWord>设置</modifiedWord>
      <trackRevisions>false</trackRevisions>
    </reviewItem>
    <reviewItem>
      <errorID>688647e9-3619-4b66-b905-22b481706561</errorID>
      <errorWord>垃圾池中</errorWord>
      <group>L1_Word</group>
      <groupName>字词问题</groupName>
      <ability>L2_Typo</ability>
      <abilityName>字词错误</abilityName>
      <candidateList>
        <item>垃圾池</item>
      </candidateList>
      <explain/>
      <paraID>1FA9700C</paraID>
      <start>27</start>
      <end>30</end>
      <status>modified</status>
      <modifiedWord>垃圾池</modifiedWord>
      <trackRevisions>false</trackRevisions>
    </reviewItem>
    <reviewItem>
      <errorID>cd4f6d84-cbd3-47d9-acbf-f2b84a7f7db8</errorID>
      <errorWord>很好</errorWord>
      <group>L1_Word</group>
      <groupName>字词问题</groupName>
      <ability>L2_Typo</ability>
      <abilityName>字词错误</abilityName>
      <candidateList>
        <item>良好</item>
      </candidateList>
      <explain/>
      <paraID>6D5A322A</paraID>
      <start>47</start>
      <end>49</end>
      <status>modified</status>
      <modifiedWord>良好</modifiedWord>
      <trackRevisions>false</trackRevisions>
    </reviewItem>
    <reviewItem>
      <errorID>ca43704f-c062-4ca9-8182-b7141e3d7bfa</errorID>
      <errorWord>外逸</errorWord>
      <group>L1_Word</group>
      <groupName>字词问题</groupName>
      <ability>L2_Typo</ability>
      <abilityName>字词错误</abilityName>
      <candidateList>
        <item>外溢</item>
      </candidateList>
      <explain/>
      <paraID>6D5A322A</paraID>
      <start>84</start>
      <end>86</end>
      <status>modified</status>
      <modifiedWord>外溢</modifiedWord>
      <trackRevisions>false</trackRevisions>
    </reviewItem>
    <reviewItem>
      <errorID>240919ae-14a5-4668-b610-c74ee64af7cc</errorID>
      <errorWord>（</errorWord>
      <group>L1_Format</group>
      <groupName>格式问题</groupName>
      <ability>L2_HalfPunc</ability>
      <abilityName>全半角检查</abilityName>
      <candidateList>
        <item>(</item>
      </candidateList>
      <explain>文本全半角错误。</explain>
      <paraID> 5ECCE11</paraID>
      <start>9</start>
      <end>10</end>
      <status>modified</status>
      <modifiedWord>(</modifiedWord>
      <trackRevisions>false</trackRevisions>
    </reviewItem>
    <reviewItem>
      <errorID>7fe5e6db-ff2d-4d5f-a495-3d4049029811</errorID>
      <errorWord>）</errorWord>
      <group>L1_Format</group>
      <groupName>格式问题</groupName>
      <ability>L2_HalfPunc</ability>
      <abilityName>全半角检查</abilityName>
      <candidateList>
        <item>)</item>
      </candidateList>
      <explain>文本全半角错误。</explain>
      <paraID> 5ECCE11</paraID>
      <start>21</start>
      <end>22</end>
      <status>modified</status>
      <modifiedWord>)</modifiedWord>
      <trackRevisions>false</trackRevisions>
    </reviewItem>
    <reviewItem>
      <errorID>f0fbf55c-9c27-47e2-ab9a-e51d09870896</errorID>
      <errorWord>～</errorWord>
      <group>L1_Format</group>
      <groupName>格式问题</groupName>
      <ability>L2_HalfPunc</ability>
      <abilityName>全半角检查</abilityName>
      <candidateList>
        <item>~</item>
      </candidateList>
      <explain>文本全半角错误。</explain>
      <paraID>59D9962A</paraID>
      <start>9</start>
      <end>10</end>
      <status>modified</status>
      <modifiedWord>~</modifiedWord>
      <trackRevisions>false</trackRevisions>
    </reviewItem>
    <reviewItem>
      <errorID>17512e58-88cb-4c23-a683-4d8503bbab7b</errorID>
      <errorWord>（</errorWord>
      <group>L1_Format</group>
      <groupName>格式问题</groupName>
      <ability>L2_HalfPunc</ability>
      <abilityName>全半角检查</abilityName>
      <candidateList>
        <item>(</item>
      </candidateList>
      <explain>文本全半角错误。</explain>
      <paraID>59D9962A</paraID>
      <start>19</start>
      <end>20</end>
      <status>modified</status>
      <modifiedWord>(</modifiedWord>
      <trackRevisions>false</trackRevisions>
    </reviewItem>
    <reviewItem>
      <errorID>5225e6fa-86a8-4198-852c-1aa2a3d6af99</errorID>
      <errorWord>～</errorWord>
      <group>L1_Format</group>
      <groupName>格式问题</groupName>
      <ability>L2_HalfPunc</ability>
      <abilityName>全半角检查</abilityName>
      <candidateList>
        <item>~</item>
      </candidateList>
      <explain>文本全半角错误。</explain>
      <paraID>59D9962A</paraID>
      <start>24</start>
      <end>25</end>
      <status>modified</status>
      <modifiedWord>~</modifiedWord>
      <trackRevisions>false</trackRevisions>
    </reviewItem>
    <reviewItem>
      <errorID>d277c345-a84c-4fe8-9eb3-c7f2c49f564b</errorID>
      <errorWord>）</errorWord>
      <group>L1_Format</group>
      <groupName>格式问题</groupName>
      <ability>L2_HalfPunc</ability>
      <abilityName>全半角检查</abilityName>
      <candidateList>
        <item>)</item>
      </candidateList>
      <explain>文本全半角错误。</explain>
      <paraID>59D9962A</paraID>
      <start>36</start>
      <end>37</end>
      <status>modified</status>
      <modifiedWord>)</modifiedWord>
      <trackRevisions>false</trackRevisions>
    </reviewItem>
    <reviewItem>
      <errorID>53659ebe-8e6a-4539-b5a9-e3c00d4f186d</errorID>
      <errorWord>60～110％</errorWord>
      <group>L1_Knowledge</group>
      <groupName>知识性问题</groupName>
      <ability>L2_Knowledge</ability>
      <abilityName>其他知识</abilityName>
      <candidateList>
        <item>60％～110％</item>
      </candidateList>
      <explain>1. “60～110％”中的单位“％”仅出现在后一个数字上，容易引起歧义；根据《现代汉语标点符号数字用法规范手册》，数字表示范围两边需要使用统一的格式。2. 根据标点国标 4.13 中的规则，数字、时间或地域连接符应使用（视觉上更长的）“—”或“～”。</explain>
      <paraID>1DA35A64</paraID>
      <start>0</start>
      <end>8</end>
      <status>modified</status>
      <modifiedWord>60％～110％</modifiedWord>
      <trackRevisions>false</trackRevisions>
    </reviewItem>
    <reviewItem>
      <errorID>ce399a75-89b9-429f-87df-f46488aee1a8</errorID>
      <errorWord>刷屏</errorWord>
      <group>L1_Official</group>
      <groupName>公文问题</groupName>
      <ability>L2_Official</ability>
      <abilityName>公文问题</abilityName>
      <candidateList/>
      <explain>公文中禁止出现该词语</explain>
      <paraID>125DD2AC</paraID>
      <start>53</start>
      <end>55</end>
      <status>unmodified</status>
      <modifiedWord/>
      <trackRevisions>false</trackRevisions>
    </reviewItem>
    <reviewItem>
      <errorID>745eb467-c972-4242-8727-cc409122000c</errorID>
      <errorWord>产生出</errorWord>
      <group>L1_Word</group>
      <groupName>字词问题</groupName>
      <ability>L2_Typo</ability>
      <abilityName>字词错误</abilityName>
      <candidateList>
        <item>产生</item>
      </candidateList>
      <explain/>
      <paraID>3467CFF3</paraID>
      <start>85</start>
      <end>87</end>
      <status>modified</status>
      <modifiedWord>产生</modifiedWord>
      <trackRevisions>false</trackRevisions>
    </reviewItem>
    <reviewItem>
      <errorID>b7224f53-384d-4ddf-b255-0bf4de5c2208</errorID>
      <errorWord>（</errorWord>
      <group>L1_Format</group>
      <groupName>格式问题</groupName>
      <ability>L2_HalfPunc</ability>
      <abilityName>全半角检查</abilityName>
      <candidateList>
        <item>(</item>
      </candidateList>
      <explain>文本全半角错误。</explain>
      <paraID>69FE0880</paraID>
      <start>6</start>
      <end>7</end>
      <status>modified</status>
      <modifiedWord>(</modifiedWord>
      <trackRevisions>false</trackRevisions>
    </reviewItem>
    <reviewItem>
      <errorID>affa0dc4-215c-4834-95fb-06023560b917</errorID>
      <errorWord>）</errorWord>
      <group>L1_Format</group>
      <groupName>格式问题</groupName>
      <ability>L2_HalfPunc</ability>
      <abilityName>全半角检查</abilityName>
      <candidateList>
        <item>)</item>
      </candidateList>
      <explain>文本全半角错误。</explain>
      <paraID>69FE0880</paraID>
      <start>8</start>
      <end>9</end>
      <status>modified</status>
      <modifiedWord>)</modifiedWord>
      <trackRevisions>false</trackRevisions>
    </reviewItem>
    <reviewItem>
      <errorID>e69a6c4f-23ba-4df8-9b13-48ebcf6c0f0a</errorID>
      <errorWord>排汽</errorWord>
      <group>L1_Word</group>
      <groupName>字词问题</groupName>
      <ability>L2_Typo</ability>
      <abilityName>字词错误</abilityName>
      <candidateList>
        <item>排气</item>
      </candidateList>
      <explain/>
      <paraID>7A1587BF</paraID>
      <start>0</start>
      <end>2</end>
      <status>modified</status>
      <modifiedWord>排气</modifiedWord>
      <trackRevisions>false</trackRevisions>
    </reviewItem>
    <reviewItem>
      <errorID>dd2edd35-7292-4851-9da0-f1fbee67ec71</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5EDC9CC2</paraID>
      <start>68</start>
      <end>75</end>
      <status>modified</status>
      <modifiedWord>20%—30%</modifiedWord>
      <trackRevisions>false</trackRevisions>
    </reviewItem>
    <reviewItem>
      <errorID>7b3a7542-1707-48a9-864e-3b84c69afdc5</errorID>
      <errorWord>程</errorWord>
      <group>L1_Word</group>
      <groupName>字词问题</groupName>
      <ability>L2_Typo</ability>
      <abilityName>字词错误</abilityName>
      <candidateList>
        <item>程中</item>
      </candidateList>
      <explain/>
      <paraID>5076B563</paraID>
      <start>10</start>
      <end>12</end>
      <status>modified</status>
      <modifiedWord>程中</modifiedWord>
      <trackRevisions>false</trackRevisions>
    </reviewItem>
    <reviewItem>
      <errorID>dcbb0932-bd1a-4928-ae51-86d51046a3c4</errorID>
      <errorWord>进入到</errorWord>
      <group>L1_Word</group>
      <groupName>字词问题</groupName>
      <ability>L2_Typo</ability>
      <abilityName>字词错误</abilityName>
      <candidateList>
        <item>进入</item>
      </candidateList>
      <explain>〈动〉支进到某个范围或某个时期里：～学校｜～新阶段◇～角色。</explain>
      <paraID>5076B563</paraID>
      <start>27</start>
      <end>29</end>
      <status>modified</status>
      <modifiedWord>进入</modifiedWord>
      <trackRevisions>false</trackRevisions>
    </reviewItem>
    <reviewItem>
      <errorID>3f984d2e-50c9-4a24-9de5-de3b9d84478d</errorID>
      <errorWord>起动</errorWord>
      <group>L1_Word</group>
      <groupName>字词问题</groupName>
      <ability>L2_Typo</ability>
      <abilityName>字词错误</abilityName>
      <candidateList>
        <item>启动</item>
      </candidateList>
      <explain>〈动〉❶（机器、仪表、电气设备等）开始工作：～电流｜～继电器｜车轮～。❷（法令、规划、方案等）开始实施或进行：扶贫工程已正式～。❸开拓；发动：～农村市场｜大力～消费需求。</explain>
      <paraID>5ED88AF1</paraID>
      <start>75</start>
      <end>77</end>
      <status>modified</status>
      <modifiedWord>启动</modifiedWord>
      <trackRevisions>false</trackRevisions>
    </reviewItem>
    <reviewItem>
      <errorID>8c836e57-ee5e-4e86-8492-466817437590</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560CC392</paraID>
      <start>14</start>
      <end>18</end>
      <status>modified</status>
      <modifiedWord>不得泄露</modifiedWord>
      <trackRevisions>false</trackRevisions>
    </reviewItem>
    <reviewItem>
      <errorID>125e2027-3edf-4cca-9e90-41838f16f9fa</errorID>
      <errorWord>消音器</errorWord>
      <group>L1_Word</group>
      <groupName>字词问题</groupName>
      <ability>L2_Typo</ability>
      <abilityName>字词错误</abilityName>
      <candidateList>
        <item>消声器</item>
      </candidateList>
      <explain/>
      <paraID>6E98AE95</paraID>
      <start>31</start>
      <end>34</end>
      <status>modified</status>
      <modifiedWord>消声器</modifiedWord>
      <trackRevisions>false</trackRevisions>
    </reviewItem>
    <reviewItem>
      <errorID>ab0faa8d-20bc-49c3-9792-bffbe45e6242</errorID>
      <errorWord>消音器</errorWord>
      <group>L1_Word</group>
      <groupName>字词问题</groupName>
      <ability>L2_Typo</ability>
      <abilityName>字词错误</abilityName>
      <candidateList>
        <item>消声器</item>
      </candidateList>
      <explain/>
      <paraID>6E98AE95</paraID>
      <start>38</start>
      <end>41</end>
      <status>modified</status>
      <modifiedWord>消声器</modifiedWord>
      <trackRevisions>false</trackRevisions>
    </reviewItem>
    <reviewItem>
      <errorID>76d8b80f-b7e7-46d4-9d08-615992bec3a8</errorID>
      <errorWord>（</errorWord>
      <group>L1_Format</group>
      <groupName>格式问题</groupName>
      <ability>L2_HalfPunc</ability>
      <abilityName>全半角检查</abilityName>
      <candidateList>
        <item>(</item>
      </candidateList>
      <explain>文本全半角错误。</explain>
      <paraID>7E31AA84</paraID>
      <start>3</start>
      <end>4</end>
      <status>modified</status>
      <modifiedWord>(</modifiedWord>
      <trackRevisions>false</trackRevisions>
    </reviewItem>
    <reviewItem>
      <errorID>e9bca461-9a0b-45ec-9fea-17147b1e701f</errorID>
      <errorWord>）</errorWord>
      <group>L1_Format</group>
      <groupName>格式问题</groupName>
      <ability>L2_HalfPunc</ability>
      <abilityName>全半角检查</abilityName>
      <candidateList>
        <item>)</item>
      </candidateList>
      <explain>文本全半角错误。</explain>
      <paraID>7E31AA84</paraID>
      <start>8</start>
      <end>9</end>
      <status>modified</status>
      <modifiedWord>)</modifiedWord>
      <trackRevisions>false</trackRevisions>
    </reviewItem>
    <reviewItem>
      <errorID>39fd741a-b0e4-4a4b-ace5-f04a874265dd</errorID>
      <errorWord>(</errorWord>
      <group>L1_Format</group>
      <groupName>格式问题</groupName>
      <ability>L2_HalfPunc</ability>
      <abilityName>全半角检查</abilityName>
      <candidateList>
        <item>（</item>
      </candidateList>
      <explain>文本全半角错误。</explain>
      <paraID>27924820</paraID>
      <start>30</start>
      <end>31</end>
      <status>modified</status>
      <modifiedWord>（</modifiedWord>
      <trackRevisions>false</trackRevisions>
    </reviewItem>
    <reviewItem>
      <errorID>cdc17eeb-ebe1-4bc7-91be-5d8b2e98117c</errorID>
      <errorWord>)</errorWord>
      <group>L1_Format</group>
      <groupName>格式问题</groupName>
      <ability>L2_HalfPunc</ability>
      <abilityName>全半角检查</abilityName>
      <candidateList>
        <item>）</item>
      </candidateList>
      <explain>文本全半角错误。</explain>
      <paraID>27924820</paraID>
      <start>37</start>
      <end>38</end>
      <status>modified</status>
      <modifiedWord>）</modifiedWord>
      <trackRevisions>false</trackRevisions>
    </reviewItem>
    <reviewItem>
      <errorID>d56ab5a0-c6fe-4f4d-8a8e-f44de2429786</errorID>
      <errorWord>(</errorWord>
      <group>L1_Format</group>
      <groupName>格式问题</groupName>
      <ability>L2_HalfPunc</ability>
      <abilityName>全半角检查</abilityName>
      <candidateList>
        <item>（</item>
      </candidateList>
      <explain>文本全半角错误。</explain>
      <paraID>157ECC6D</paraID>
      <start>32</start>
      <end>33</end>
      <status>modified</status>
      <modifiedWord>（</modifiedWord>
      <trackRevisions>false</trackRevisions>
    </reviewItem>
    <reviewItem>
      <errorID>73bcd4f2-a594-49a5-9e74-2732ff52c356</errorID>
      <errorWord>)</errorWord>
      <group>L1_Format</group>
      <groupName>格式问题</groupName>
      <ability>L2_HalfPunc</ability>
      <abilityName>全半角检查</abilityName>
      <candidateList>
        <item>）</item>
      </candidateList>
      <explain>文本全半角错误。</explain>
      <paraID>157ECC6D</paraID>
      <start>39</start>
      <end>40</end>
      <status>modified</status>
      <modifiedWord>）</modifiedWord>
      <trackRevisions>false</trackRevisions>
    </reviewItem>
    <reviewItem>
      <errorID>5aef0967-9002-4bd8-8b0c-5d583fc192eb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2C8695F9</paraID>
      <start>28</start>
      <end>29</end>
      <status>modified</status>
      <modifiedWord>—</modifiedWord>
      <trackRevisions>false</trackRevisions>
    </reviewItem>
    <reviewItem>
      <errorID>1fda270d-36fa-4961-88e2-81c16f7992fa</errorID>
      <errorWord>(</errorWord>
      <group>L1_Format</group>
      <groupName>格式问题</groupName>
      <ability>L2_HalfPunc</ability>
      <abilityName>全半角检查</abilityName>
      <candidateList>
        <item>（</item>
      </candidateList>
      <explain>文本全半角错误。</explain>
      <paraID>42344A52</paraID>
      <start>30</start>
      <end>31</end>
      <status>modified</status>
      <modifiedWord>（</modifiedWord>
      <trackRevisions>false</trackRevisions>
    </reviewItem>
    <reviewItem>
      <errorID>138ec4e9-8267-4612-ac04-5bb4c182591f</errorID>
      <errorWord>)</errorWord>
      <group>L1_Format</group>
      <groupName>格式问题</groupName>
      <ability>L2_HalfPunc</ability>
      <abilityName>全半角检查</abilityName>
      <candidateList>
        <item>）</item>
      </candidateList>
      <explain>文本全半角错误。</explain>
      <paraID>42344A52</paraID>
      <start>37</start>
      <end>38</end>
      <status>modified</status>
      <modifiedWord>）</modifiedWord>
      <trackRevisions>false</trackRevisions>
    </reviewItem>
    <reviewItem>
      <errorID>1c0c6e88-3e9d-405d-a4c8-3daa7ec625f2</errorID>
      <errorWord>＜</errorWord>
      <group>L1_Format</group>
      <groupName>格式问题</groupName>
      <ability>L2_HalfPunc</ability>
      <abilityName>全半角检查</abilityName>
      <candidateList>
        <item>&lt;</item>
      </candidateList>
      <explain>文本全半角错误。</explain>
      <paraID>7384A6E6</paraID>
      <start>0</start>
      <end>1</end>
      <status>modified</status>
      <modifiedWord>&lt;</modifiedWord>
      <trackRevisions>false</trackRevisions>
    </reviewItem>
    <reviewItem>
      <errorID>be8a4a9a-1398-4ed4-8669-4ad09760566c</errorID>
      <errorWord>＜</errorWord>
      <group>L1_Format</group>
      <groupName>格式问题</groupName>
      <ability>L2_HalfPunc</ability>
      <abilityName>全半角检查</abilityName>
      <candidateList>
        <item>&lt;</item>
      </candidateList>
      <explain>文本全半角错误。</explain>
      <paraID>64F56192</paraID>
      <start>0</start>
      <end>1</end>
      <status>modified</status>
      <modifiedWord>&lt;</modifiedWord>
      <trackRevisions>false</trackRevisions>
    </reviewItem>
    <reviewItem>
      <errorID>96e1200e-69d4-4cb4-830a-a14e5ac92710</errorID>
      <errorWord>＜</errorWord>
      <group>L1_Format</group>
      <groupName>格式问题</groupName>
      <ability>L2_HalfPunc</ability>
      <abilityName>全半角检查</abilityName>
      <candidateList>
        <item>&lt;</item>
      </candidateList>
      <explain>文本全半角错误。</explain>
      <paraID>5233381C</paraID>
      <start>0</start>
      <end>1</end>
      <status>modified</status>
      <modifiedWord>&lt;</modifiedWord>
      <trackRevisions>false</trackRevisions>
    </reviewItem>
    <reviewItem>
      <errorID>3c3c3a2e-a46d-4854-a9ed-b07c6e0f2d65</errorID>
      <errorWord>＜</errorWord>
      <group>L1_Format</group>
      <groupName>格式问题</groupName>
      <ability>L2_HalfPunc</ability>
      <abilityName>全半角检查</abilityName>
      <candidateList>
        <item>&lt;</item>
      </candidateList>
      <explain>文本全半角错误。</explain>
      <paraID>7C87BB60</paraID>
      <start>0</start>
      <end>1</end>
      <status>modified</status>
      <modifiedWord>&lt;</modifiedWord>
      <trackRevisions>false</trackRevisions>
    </reviewItem>
    <reviewItem>
      <errorID>bc1c4075-757d-4681-a4e7-c2cae8a701df</errorID>
      <errorWord>（</errorWord>
      <group>L1_Punc</group>
      <groupName>标点问题</groupName>
      <ability>L2_Punc</ability>
      <abilityName>标点符号检查</abilityName>
      <candidateList/>
      <explain>同一形式括号套用。</explain>
      <paraID>2980F71C</paraID>
      <start>28</start>
      <end>29</end>
      <status>unmodified</status>
      <modifiedWord/>
      <trackRevisions>false</trackRevisions>
    </reviewItem>
    <reviewItem>
      <errorID>c4cbb070-2ebd-4686-b19d-7ad33ccbbe08</errorID>
      <errorWord>）</errorWord>
      <group>L1_Punc</group>
      <groupName>标点问题</groupName>
      <ability>L2_Punc</ability>
      <abilityName>标点符号检查</abilityName>
      <candidateList/>
      <explain>同一形式括号套用。</explain>
      <paraID>2980F71C</paraID>
      <start>30</start>
      <end>31</end>
      <status>unmodified</status>
      <modifiedWord/>
      <trackRevisions>false</trackRevisions>
    </reviewItem>
    <reviewItem>
      <errorID>ff8c11f6-36bd-40c0-98d0-2a92171fbb45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3F56CCBB</paraID>
      <start>76</start>
      <end>77</end>
      <status>modified</status>
      <modifiedWord>—</modifiedWord>
      <trackRevisions>false</trackRevisions>
    </reviewItem>
    <reviewItem>
      <errorID>9b6d09ff-57ee-4452-ba19-0e331f6bf921</errorID>
      <errorWord>*</errorWord>
      <group>L1_Punc</group>
      <groupName>标点问题</groupName>
      <ability>L2_Punc</ability>
      <abilityName>标点符号检查</abilityName>
      <candidateList/>
      <explain/>
      <paraID>6050FF49</paraID>
      <start>0</start>
      <end>1</end>
      <status>unmodified</status>
      <modifiedWord/>
      <trackRevisions>false</trackRevisions>
    </reviewItem>
    <reviewItem>
      <errorID>20520ce1-b678-475a-acd4-a0f58b8444a7</errorID>
      <errorWord>来自于</errorWord>
      <group>L1_Word</group>
      <groupName>字词问题</groupName>
      <ability>L2_Typo</ability>
      <abilityName>字词错误</abilityName>
      <candidateList>
        <item>来自</item>
      </candidateList>
      <explain/>
      <paraID>6050FF49</paraID>
      <start>8</start>
      <end>10</end>
      <status>modified</status>
      <modifiedWord>来自</modifiedWord>
      <trackRevisions>false</trackRevisions>
    </reviewItem>
    <reviewItem>
      <errorID>2752ba5c-1918-463e-acb4-c865adcd38b7</errorID>
      <errorWord>及以</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198F1CC5</paraID>
      <start>15</start>
      <end>16</end>
      <status>modified</status>
      <modifiedWord>及</modifiedWord>
      <trackRevisions>false</trackRevisions>
    </reviewItem>
    <reviewItem>
      <errorID>90824a99-e27b-40fe-b685-5e24c3890326</errorID>
      <errorWord>已按</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62CA74EE</paraID>
      <start>35</start>
      <end>36</end>
      <status>modified</status>
      <modifiedWord>已</modifiedWord>
      <trackRevisions>false</trackRevisions>
    </reviewItem>
    <reviewItem>
      <errorID>450a1f59-72fd-46b2-a815-26854450e513</errorID>
      <errorWord>.</errorWord>
      <group>L1_Punc</group>
      <groupName>标点问题</groupName>
      <ability>L2_Punc</ability>
      <abilityName>标点符号检查</abilityName>
      <candidateList>
        <item/>
      </candidateList>
      <explain>标题文本后不使用标点符号。</explain>
      <paraID>42394141</paraID>
      <start>1</start>
      <end>1</end>
      <status>modified</status>
      <modifiedWord/>
      <trackRevisions>false</trackRevisions>
    </reviewItem>
    <reviewItem>
      <errorID>b04ed0a5-fc6c-4fb4-87df-1acfe28b8fe5</errorID>
      <errorWord>.</errorWord>
      <group>L1_Punc</group>
      <groupName>标点问题</groupName>
      <ability>L2_Punc</ability>
      <abilityName>标点符号检查</abilityName>
      <candidateList>
        <item/>
      </candidateList>
      <explain>标题文本后不使用标点符号。</explain>
      <paraID>7EA68B24</paraID>
      <start>1</start>
      <end>1</end>
      <status>modified</status>
      <modifiedWord/>
      <trackRevisions>false</trackRevisions>
    </reviewItem>
    <reviewItem>
      <errorID>355ab1f9-dcfc-4f7c-ad05-c066bf502cc3</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4A39762C</paraID>
      <start>104</start>
      <end>106</end>
      <status>modified</status>
      <modifiedWord>5）</modifiedWord>
      <trackRevisions>false</trackRevisions>
    </reviewItem>
    <reviewItem>
      <errorID>be5ca8a6-0d60-4c40-92ce-8e04e2fec24a</errorID>
      <errorWord>去年</errorWord>
      <group>L1_Knowledge</group>
      <groupName>知识性问题</groupName>
      <ability>L2_Time</ability>
      <abilityName>日期时间</abilityName>
      <candidateList/>
      <explain>在公文场景，请避免使用“去年”这种模糊表述。</explain>
      <paraID>5E12D37F</paraID>
      <start>81</start>
      <end>83</end>
      <status>unmodified</status>
      <modifiedWord/>
      <trackRevisions>false</trackRevisions>
    </reviewItem>
    <reviewItem>
      <errorID>a9001000-a451-47c5-948b-2ff0f557e0b5</errorID>
      <errorWord>去年</errorWord>
      <group>L1_Knowledge</group>
      <groupName>知识性问题</groupName>
      <ability>L2_Time</ability>
      <abilityName>日期时间</abilityName>
      <candidateList/>
      <explain>在公文场景，请避免使用“去年”这种模糊表述。</explain>
      <paraID>5E12D37F</paraID>
      <start>105</start>
      <end>107</end>
      <status>unmodified</status>
      <modifiedWord/>
      <trackRevisions>false</trackRevisions>
    </reviewItem>
    <reviewItem>
      <errorID>6be8aa8a-7df0-447f-85e0-6c2afbee3bad</errorID>
      <errorWord>(</errorWord>
      <group>L1_Format</group>
      <groupName>格式问题</groupName>
      <ability>L2_HalfPunc</ability>
      <abilityName>全半角检查</abilityName>
      <candidateList>
        <item>（</item>
      </candidateList>
      <explain>文本全半角错误。</explain>
      <paraID>788C0183</paraID>
      <start>10</start>
      <end>11</end>
      <status>modified</status>
      <modifiedWord>（</modifiedWord>
      <trackRevisions>false</trackRevisions>
    </reviewItem>
    <reviewItem>
      <errorID>d8c54ca1-68cb-4fc0-a88d-3ae780bb91d9</errorID>
      <errorWord>)</errorWord>
      <group>L1_Format</group>
      <groupName>格式问题</groupName>
      <ability>L2_HalfPunc</ability>
      <abilityName>全半角检查</abilityName>
      <candidateList>
        <item>）</item>
      </candidateList>
      <explain>文本全半角错误。</explain>
      <paraID>788C0183</paraID>
      <start>22</start>
      <end>23</end>
      <status>modified</status>
      <modifiedWord>）</modifiedWord>
      <trackRevisions>false</trackRevisions>
    </reviewItem>
    <reviewItem>
      <errorID>eb4de04e-d531-4f8b-ac92-192c1cfab1a0</errorID>
      <errorWord>(</errorWord>
      <group>L1_Format</group>
      <groupName>格式问题</groupName>
      <ability>L2_HalfPunc</ability>
      <abilityName>全半角检查</abilityName>
      <candidateList>
        <item>（</item>
      </candidateList>
      <explain>文本全半角错误。</explain>
      <paraID>6B0A280B</paraID>
      <start>6</start>
      <end>7</end>
      <status>modified</status>
      <modifiedWord>（</modifiedWord>
      <trackRevisions>false</trackRevisions>
    </reviewItem>
    <reviewItem>
      <errorID>00775004-2106-42d1-96fc-9bf328628490</errorID>
      <errorWord>)</errorWord>
      <group>L1_Format</group>
      <groupName>格式问题</groupName>
      <ability>L2_HalfPunc</ability>
      <abilityName>全半角检查</abilityName>
      <candidateList>
        <item>）</item>
      </candidateList>
      <explain>文本全半角错误。</explain>
      <paraID>6B0A280B</paraID>
      <start>14</start>
      <end>15</end>
      <status>modified</status>
      <modifiedWord>）</modifiedWord>
      <trackRevisions>false</trackRevisions>
    </reviewItem>
    <reviewItem>
      <errorID>1c439190-5df3-482a-a494-13f32fb4f0bc</errorID>
      <errorWord>超过的</errorWord>
      <group>L1_Word</group>
      <groupName>字词问题</groupName>
      <ability>L2_Typo</ability>
      <abilityName>字词错误</abilityName>
      <candidateList>
        <item>超过</item>
      </candidateList>
      <explain/>
      <paraID>6B0A280B</paraID>
      <start>42</start>
      <end>44</end>
      <status>modified</status>
      <modifiedWord>超过</modifiedWord>
      <trackRevisions>false</trackRevisions>
    </reviewItem>
    <reviewItem>
      <errorID>a4092d69-c25c-43ce-b34d-23249f78ba2a</errorID>
      <errorWord>]</errorWord>
      <group>L1_Punc</group>
      <groupName>标点问题</groupName>
      <ability>L2_Punc</ability>
      <abilityName>标点符号检查</abilityName>
      <candidateList/>
      <explain/>
      <paraID>6B0A280B</paraID>
      <start>50</start>
      <end>51</end>
      <status>unmodified</status>
      <modifiedWord/>
      <trackRevisions>false</trackRevisions>
    </reviewItem>
    <reviewItem>
      <errorID>a8357972-4e62-4047-8454-54d693664df5</errorID>
      <errorWord>(</errorWord>
      <group>L1_Format</group>
      <groupName>格式问题</groupName>
      <ability>L2_HalfPunc</ability>
      <abilityName>全半角检查</abilityName>
      <candidateList>
        <item>（</item>
      </candidateList>
      <explain>文本全半角错误。</explain>
      <paraID>63F477C5</paraID>
      <start>6</start>
      <end>7</end>
      <status>modified</status>
      <modifiedWord>（</modifiedWord>
      <trackRevisions>false</trackRevisions>
    </reviewItem>
    <reviewItem>
      <errorID>21cbdc61-2843-4805-a768-c8b0644a6150</errorID>
      <errorWord>)</errorWord>
      <group>L1_Format</group>
      <groupName>格式问题</groupName>
      <ability>L2_HalfPunc</ability>
      <abilityName>全半角检查</abilityName>
      <candidateList>
        <item>）</item>
      </candidateList>
      <explain>文本全半角错误。</explain>
      <paraID>63F477C5</paraID>
      <start>15</start>
      <end>16</end>
      <status>modified</status>
      <modifiedWord>）</modifiedWord>
      <trackRevisions>false</trackRevisions>
    </reviewItem>
    <reviewItem>
      <errorID>d86db220-0f4e-4b97-be43-4e15c2f9ba65</errorID>
      <errorWord>超过的</errorWord>
      <group>L1_Word</group>
      <groupName>字词问题</groupName>
      <ability>L2_Typo</ability>
      <abilityName>字词错误</abilityName>
      <candidateList>
        <item>超过</item>
      </candidateList>
      <explain/>
      <paraID>63F477C5</paraID>
      <start>60</start>
      <end>62</end>
      <status>modified</status>
      <modifiedWord>超过</modifiedWord>
      <trackRevisions>false</trackRevisions>
    </reviewItem>
    <reviewItem>
      <errorID>29192968-c5ff-4cac-aa91-c9f6acde3d55</errorID>
      <errorWord>和以及</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612EF5A6</paraID>
      <start>7</start>
      <end>9</end>
      <status>modified</status>
      <modifiedWord>以及</modifiedWord>
      <trackRevisions>false</trackRevisions>
    </reviewItem>
    <reviewItem>
      <errorID>2259699f-3173-4126-af3e-668b38d6c082</errorID>
      <errorWord>(</errorWord>
      <group>L1_Format</group>
      <groupName>格式问题</groupName>
      <ability>L2_HalfPunc</ability>
      <abilityName>全半角检查</abilityName>
      <candidateList>
        <item>（</item>
      </candidateList>
      <explain>文本全半角错误。</explain>
      <paraID>2AB2FEA0</paraID>
      <start>207</start>
      <end>208</end>
      <status>modified</status>
      <modifiedWord>（</modifiedWord>
      <trackRevisions>false</trackRevisions>
    </reviewItem>
    <reviewItem>
      <errorID>9dc21d50-c77e-4c49-9b4c-14389c70bf80</errorID>
      <errorWord>[2024]16号</errorWord>
      <group>L1_Knowledge</group>
      <groupName>知识性问题</groupName>
      <ability>L2_Knowledge</ability>
      <abilityName>其他知识</abilityName>
      <candidateList>
        <item>〔2024〕16号</item>
      </candidateList>
      <explain>发文字号格式错误。</explain>
      <paraID>2AB2FEA0</paraID>
      <start>211</start>
      <end>220</end>
      <status>modified</status>
      <modifiedWord>〔2024〕16号</modifiedWord>
      <trackRevisions>false</trackRevisions>
    </reviewItem>
    <reviewItem>
      <errorID>e4e0fac8-da2b-4774-b6db-e2642e0bd236</errorID>
      <errorWord>)</errorWord>
      <group>L1_Format</group>
      <groupName>格式问题</groupName>
      <ability>L2_HalfPunc</ability>
      <abilityName>全半角检查</abilityName>
      <candidateList>
        <item>）</item>
      </candidateList>
      <explain>文本全半角错误。</explain>
      <paraID>2AB2FEA0</paraID>
      <start>220</start>
      <end>221</end>
      <status>modified</status>
      <modifiedWord>）</modifiedWord>
      <trackRevisions>false</trackRevisions>
    </reviewItem>
    <reviewItem>
      <errorID>31b84797-928f-4206-be58-adbc8cbfaa08</errorID>
      <errorWord>&lt;</errorWord>
      <group>L1_Format</group>
      <groupName>格式问题</groupName>
      <ability>L2_HalfPunc</ability>
      <abilityName>全半角检查</abilityName>
      <candidateList>
        <item>〈</item>
      </candidateList>
      <explain>文本全半角错误。</explain>
      <paraID>2AB2FEA0</paraID>
      <start>274</start>
      <end>275</end>
      <status>modified</status>
      <modifiedWord>〈</modifiedWord>
      <trackRevisions>false</trackRevisions>
    </reviewItem>
    <reviewItem>
      <errorID>59974736-64e5-418c-ab1b-42c3b463bb28</errorID>
      <errorWord>&gt;</errorWord>
      <group>L1_Format</group>
      <groupName>格式问题</groupName>
      <ability>L2_HalfPunc</ability>
      <abilityName>全半角检查</abilityName>
      <candidateList>
        <item>〉</item>
      </candidateList>
      <explain>文本全半角错误。</explain>
      <paraID>2AB2FEA0</paraID>
      <start>287</start>
      <end>288</end>
      <status>modified</status>
      <modifiedWord>〉</modifiedWord>
      <trackRevisions>false</trackRevisions>
    </reviewItem>
    <reviewItem>
      <errorID>8939fb0c-b0a9-417c-aa41-a46a576233a2</errorID>
      <errorWord>[2023]154号</errorWord>
      <group>L1_Knowledge</group>
      <groupName>知识性问题</groupName>
      <ability>L2_Knowledge</ability>
      <abilityName>其他知识</abilityName>
      <candidateList>
        <item>〔2023〕154号</item>
      </candidateList>
      <explain>发文字号格式错误。</explain>
      <paraID>2AB2FEA0</paraID>
      <start>315</start>
      <end>325</end>
      <status>modified</status>
      <modifiedWord>〔2023〕154号</modifiedWord>
      <trackRevisions>false</trackRevisions>
    </reviewItem>
    <reviewItem>
      <errorID>8084100f-6082-48b1-93ff-5211faa7a543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5801D9C7</paraID>
      <start>0</start>
      <end>2</end>
      <status>modified</status>
      <modifiedWord>1.</modifiedWord>
      <trackRevisions>false</trackRevisions>
    </reviewItem>
    <reviewItem>
      <errorID>40f78c03-936b-49ee-9556-c33c74e21092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39781A06</paraID>
      <start>0</start>
      <end>3</end>
      <status>modified</status>
      <modifiedWord>（1）</modifiedWord>
      <trackRevisions>false</trackRevisions>
    </reviewItem>
    <reviewItem>
      <errorID>d01f75f0-b887-47c9-9b29-f7e97f7e824e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21EC9BF5</paraID>
      <start>0</start>
      <end>3</end>
      <status>modified</status>
      <modifiedWord>（2）</modifiedWord>
      <trackRevisions>false</trackRevisions>
    </reviewItem>
    <reviewItem>
      <errorID>72e36a8d-b346-477c-a42e-cbdb8674a40e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142C12A5</paraID>
      <start>0</start>
      <end>3</end>
      <status>modified</status>
      <modifiedWord>（3）</modifiedWord>
      <trackRevisions>false</trackRevisions>
    </reviewItem>
    <reviewItem>
      <errorID>331b934b-348d-4a81-9e15-f401d6939dda</errorID>
      <errorWord>散状</errorWord>
      <group>L1_Word</group>
      <groupName>字词问题</groupName>
      <ability>L2_Typo</ability>
      <abilityName>字词错误</abilityName>
      <candidateList>
        <item>散装</item>
      </candidateList>
      <explain/>
      <paraID>142C12A5</paraID>
      <start>3</start>
      <end>5</end>
      <status>modified</status>
      <modifiedWord>散装</modifiedWord>
      <trackRevisions>false</trackRevisions>
    </reviewItem>
    <reviewItem>
      <errorID>a21fd3c1-e863-46fe-ba4a-99611243f5af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729FA5C9</paraID>
      <start>0</start>
      <end>2</end>
      <status>modified</status>
      <modifiedWord>2.</modifiedWord>
      <trackRevisions>false</trackRevisions>
    </reviewItem>
    <reviewItem>
      <errorID>57034548-08c8-45a1-bd60-ba2d4beace08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330171D1</paraID>
      <start>0</start>
      <end>3</end>
      <status>modified</status>
      <modifiedWord>（1）</modifiedWord>
      <trackRevisions>false</trackRevisions>
    </reviewItem>
    <reviewItem>
      <errorID>140414de-dd66-4d4b-b5e2-56de78462614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6C07A808</paraID>
      <start>0</start>
      <end>3</end>
      <status>modified</status>
      <modifiedWord>（2）</modifiedWord>
      <trackRevisions>false</trackRevisions>
    </reviewItem>
    <reviewItem>
      <errorID>80c53c83-ddd8-47b4-a065-e3cd39bf64ba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63AB83F1</paraID>
      <start>0</start>
      <end>2</end>
      <status>modified</status>
      <modifiedWord>3.</modifiedWord>
      <trackRevisions>false</trackRevisions>
    </reviewItem>
    <reviewItem>
      <errorID>54a60599-27f7-420f-9488-e1edf75cc3cf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2FC36654</paraID>
      <start>0</start>
      <end>3</end>
      <status>modified</status>
      <modifiedWord>（1）</modifiedWord>
      <trackRevisions>false</trackRevisions>
    </reviewItem>
    <reviewItem>
      <errorID>320004ba-bd77-4c32-99ca-905b3e3f343d</errorID>
      <errorWord>;</errorWord>
      <group>L1_Format</group>
      <groupName>格式问题</groupName>
      <ability>L2_HalfPunc</ability>
      <abilityName>全半角检查</abilityName>
      <candidateList>
        <item>；</item>
      </candidateList>
      <explain>文本全半角错误。</explain>
      <paraID>2FC36654</paraID>
      <start>30</start>
      <end>31</end>
      <status>modified</status>
      <modifiedWord>；</modifiedWord>
      <trackRevisions>false</trackRevisions>
    </reviewItem>
    <reviewItem>
      <errorID>7a3112ba-9f27-4a27-977a-3ba2c5eb2e95</errorID>
      <errorWord>使用过</errorWord>
      <group>L1_Word</group>
      <groupName>字词问题</groupName>
      <ability>L2_Typo</ability>
      <abilityName>字词错误</abilityName>
      <candidateList>
        <item>使用</item>
      </candidateList>
      <explain>〈动〉使人员、器物、资金等为某种目的服务：～干部｜合理～资金。</explain>
      <paraID>2FC36654</paraID>
      <start>46</start>
      <end>48</end>
      <status>modified</status>
      <modifiedWord>使用</modifiedWord>
      <trackRevisions>false</trackRevisions>
    </reviewItem>
    <reviewItem>
      <errorID>551a46b3-7d2c-4563-a07a-15eaeec1c37e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747E9BF3</paraID>
      <start>0</start>
      <end>3</end>
      <status>modified</status>
      <modifiedWord>（2）</modifiedWord>
      <trackRevisions>false</trackRevisions>
    </reviewItem>
    <reviewItem>
      <errorID>78e53535-27c3-47fa-950a-63b914031e1e</errorID>
      <errorWord>(</errorWord>
      <group>L1_Format</group>
      <groupName>格式问题</groupName>
      <ability>L2_HalfPunc</ability>
      <abilityName>全半角检查</abilityName>
      <candidateList>
        <item>（</item>
      </candidateList>
      <explain>文本全半角错误。</explain>
      <paraID>2237BB20</paraID>
      <start>7</start>
      <end>8</end>
      <status>modified</status>
      <modifiedWord>（</modifiedWord>
      <trackRevisions>false</trackRevisions>
    </reviewItem>
    <reviewItem>
      <errorID>8712506b-9a81-4b98-ad0d-d4a60d3dd409</errorID>
      <errorWord>~</errorWord>
      <group>L1_Format</group>
      <groupName>格式问题</groupName>
      <ability>L2_HalfPunc</ability>
      <abilityName>全半角检查</abilityName>
      <candidateList>
        <item>～</item>
      </candidateList>
      <explain>文本全半角错误。</explain>
      <paraID>2237BB20</paraID>
      <start>15</start>
      <end>16</end>
      <status>modified</status>
      <modifiedWord>～</modifiedWord>
      <trackRevisions>false</trackRevisions>
    </reviewItem>
    <reviewItem>
      <errorID>ce7e6598-8f4c-4086-8988-61cff9d19f9c</errorID>
      <errorWord>)</errorWord>
      <group>L1_Format</group>
      <groupName>格式问题</groupName>
      <ability>L2_HalfPunc</ability>
      <abilityName>全半角检查</abilityName>
      <candidateList>
        <item>）</item>
      </candidateList>
      <explain>文本全半角错误。</explain>
      <paraID>2237BB20</paraID>
      <start>24</start>
      <end>25</end>
      <status>modified</status>
      <modifiedWord>）</modifiedWord>
      <trackRevisions>false</trackRevisions>
    </reviewItem>
    <reviewItem>
      <errorID>484fcd7a-0b98-4582-9b9b-a75a5e976fd1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5AF3EEC4</paraID>
      <start>0</start>
      <end>3</end>
      <status>modified</status>
      <modifiedWord>（3）</modifiedWord>
      <trackRevisions>false</trackRevisions>
    </reviewItem>
    <reviewItem>
      <errorID>c94289ef-4907-49bf-8ff7-44db418ef4c6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19EDC500</paraID>
      <start>0</start>
      <end>3</end>
      <status>modified</status>
      <modifiedWord>（4）</modifiedWord>
      <trackRevisions>false</trackRevisions>
    </reviewItem>
    <reviewItem>
      <errorID>5d514d5a-16e2-4184-9ccb-fa0a39215dac</errorID>
      <errorWord>配戴</errorWord>
      <group>L1_Word</group>
      <groupName>字词问题</groupName>
      <ability>L2_Alias</ability>
      <abilityName>也作/曾用词</abilityName>
      <candidateList>
        <item>佩戴</item>
      </candidateList>
      <explain>词汇[配戴]为不规范表述或旧称，其规范书面表述为[佩戴]。</explain>
      <paraID>19EDC500</paraID>
      <start>38</start>
      <end>40</end>
      <status>modified</status>
      <modifiedWord>佩戴</modifiedWord>
      <trackRevisions>false</trackRevisions>
    </reviewItem>
    <reviewItem>
      <errorID>65f84378-68a9-470c-b62a-67cac6322c97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5E0F5701</paraID>
      <start>0</start>
      <end>3</end>
      <status>modified</status>
      <modifiedWord>（5）</modifiedWord>
      <trackRevisions>false</trackRevisions>
    </reviewItem>
    <reviewItem>
      <errorID>6d2b4a24-4bd2-463c-93f3-253605a2ed94</errorID>
      <errorWord>,</errorWord>
      <group>L1_Format</group>
      <groupName>格式问题</groupName>
      <ability>L2_HalfPunc</ability>
      <abilityName>全半角检查</abilityName>
      <candidateList>
        <item>，</item>
      </candidateList>
      <explain>文本全半角错误。</explain>
      <paraID>5E0F5701</paraID>
      <start>15</start>
      <end>16</end>
      <status>modified</status>
      <modifiedWord>，</modifiedWord>
      <trackRevisions>false</trackRevisions>
    </reviewItem>
    <reviewItem>
      <errorID>af2b3686-b8ac-4c74-8ae8-d5328548cae4</errorID>
      <errorWord>设</errorWord>
      <group>L1_Word</group>
      <groupName>字词问题</groupName>
      <ability>L2_Typo</ability>
      <abilityName>字词错误</abilityName>
      <candidateList>
        <item>设立</item>
      </candidateList>
      <explain/>
      <paraID>5E0F5701</paraID>
      <start>44</start>
      <end>46</end>
      <status>modified</status>
      <modifiedWord>设立</modifiedWord>
      <trackRevisions>false</trackRevisions>
    </reviewItem>
    <reviewItem>
      <errorID>ff7c06e4-b54c-4a3b-9690-4a0166afeda2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1B8C8068</paraID>
      <start>0</start>
      <end>2</end>
      <status>modified</status>
      <modifiedWord>4.</modifiedWord>
      <trackRevisions>false</trackRevisions>
    </reviewItem>
    <reviewItem>
      <errorID>e7345669-10fa-43b3-bb24-147cce2caf42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54B79F74</paraID>
      <start>0</start>
      <end>3</end>
      <status>modified</status>
      <modifiedWord>（1）</modifiedWord>
      <trackRevisions>false</trackRevisions>
    </reviewItem>
    <reviewItem>
      <errorID>9b081054-734d-4c45-a5f0-c7a121650f30</errorID>
      <errorWord>中请</errorWord>
      <group>L1_Word</group>
      <groupName>字词问题</groupName>
      <ability>L2_Typo</ability>
      <abilityName>字词错误</abilityName>
      <candidateList>
        <item>申请</item>
      </candidateList>
      <explain>〈动〉向上级或有关部门说明理由，提出请求：～书｜～助学贷款。</explain>
      <paraID>54B79F74</paraID>
      <start>139</start>
      <end>141</end>
      <status>modified</status>
      <modifiedWord>申请</modifiedWord>
      <trackRevisions>false</trackRevisions>
    </reviewItem>
    <reviewItem>
      <errorID>f5a31fd2-ed04-4f6e-9942-0d569df4745b</errorID>
      <errorWord>的</errorWord>
      <group>L1_Word</group>
      <groupName>字词问题</groupName>
      <ability>L2_Typo</ability>
      <abilityName>字词错误</abilityName>
      <candidateList>
        <item>的履</item>
      </candidateList>
      <explain/>
      <paraID>54B79F74</paraID>
      <start>148</start>
      <end>150</end>
      <status>modified</status>
      <modifiedWord>的履</modifiedWord>
      <trackRevisions>false</trackRevisions>
    </reviewItem>
    <reviewItem>
      <errorID>22ed2450-b2ab-496d-92e6-432d3f8b03c8</errorID>
      <errorWord>行</errorWord>
      <group>L1_Word</group>
      <groupName>字词问题</groupName>
      <ability>L2_Typo</ability>
      <abilityName>字词错误</abilityName>
      <candidateList>
        <item>有</item>
      </candidateList>
      <explain>存在字形相近字词的误用。</explain>
      <paraID>54B79F74</paraID>
      <start>150</start>
      <end>151</end>
      <status>modified</status>
      <modifiedWord>有</modifiedWord>
      <trackRevisions>false</trackRevisions>
    </reviewItem>
    <reviewItem>
      <errorID>7eb1e164-0f98-48f1-892e-3be4914105e6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19F3302</paraID>
      <start>0</start>
      <end>3</end>
      <status>modified</status>
      <modifiedWord>（2）</modifiedWord>
      <trackRevisions>false</trackRevisions>
    </reviewItem>
    <reviewItem>
      <errorID>d703c41d-97e7-4a38-bc27-b94a3491199b</errorID>
      <errorWord>鳌合</errorWord>
      <group>L1_Word</group>
      <groupName>字词问题</groupName>
      <ability>L2_Typo</ability>
      <abilityName>字词错误</abilityName>
      <candidateList>
        <item>螯合</item>
      </candidateList>
      <explain/>
      <paraID>7CA487F8</paraID>
      <start>43</start>
      <end>45</end>
      <status>modified</status>
      <modifiedWord>螯合</modifiedWord>
      <trackRevisions>false</trackRevisions>
    </reviewItem>
    <reviewItem>
      <errorID>47628572-dd32-4b71-baad-f7fe16ab6db7</errorID>
      <errorWord>废</errorWord>
      <group>L1_Word</group>
      <groupName>字词问题</groupName>
      <ability>L2_Typo</ability>
      <abilityName>字词错误</abilityName>
      <candidateList>
        <item>废气</item>
      </candidateList>
      <explain/>
      <paraID>5004E680</paraID>
      <start>111</start>
      <end>113</end>
      <status>modified</status>
      <modifiedWord>废气</modifiedWord>
      <trackRevisions>false</trackRevisions>
    </reviewItem>
    <reviewItem>
      <errorID>41354341-3e5c-45ba-a118-326eb442280a</errorID>
      <errorWord>做</errorWord>
      <group>L1_Word</group>
      <groupName>字词问题</groupName>
      <ability>L2_Typo</ability>
      <abilityName>字词错误</abilityName>
      <candidateList>
        <item>作</item>
      </candidateList>
      <explain>存在发音相同字词的误用。</explain>
      <paraID>5004E680</paraID>
      <start>265</start>
      <end>266</end>
      <status>modified</status>
      <modifiedWord>作</modifiedWord>
      <trackRevisions>false</trackRevisions>
    </reviewItem>
    <reviewItem>
      <errorID>22fd769c-e745-4578-bf23-002820bfa85f</errorID>
      <errorWord>贮存库</errorWord>
      <group>L1_Word</group>
      <groupName>字词问题</groupName>
      <ability>L2_Typo</ability>
      <abilityName>字词错误</abilityName>
      <candidateList>
        <item>贮存</item>
      </candidateList>
      <explain/>
      <paraID>7BB96ED4</paraID>
      <start>105</start>
      <end>107</end>
      <status>modified</status>
      <modifiedWord>贮存</modifiedWord>
      <trackRevisions>false</trackRevisions>
    </reviewItem>
    <reviewItem>
      <errorID>91b4cae8-507b-4fd9-8a51-325da9c21390</errorID>
      <errorWord>融于</errorWord>
      <group>L1_Word</group>
      <groupName>字词问题</groupName>
      <ability>L2_Typo</ability>
      <abilityName>字词错误</abilityName>
      <candidateList>
        <item>溶于</item>
      </candidateList>
      <explain>存在发音相同字词的误用。</explain>
      <paraID>4681A233</paraID>
      <start>46</start>
      <end>48</end>
      <status>modified</status>
      <modifiedWord>溶于</modifiedWord>
      <trackRevisions>false</trackRevisions>
    </reviewItem>
    <reviewItem>
      <errorID>2a848b43-e1b5-457e-a64c-16736309d3c9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4681A233</paraID>
      <start>62</start>
      <end>63</end>
      <status>modified</status>
      <modifiedWord>地</modifiedWord>
      <trackRevisions>false</trackRevisions>
    </reviewItem>
    <reviewItem>
      <errorID>259df370-fbf1-4c60-86e1-b844705204d0</errorID>
      <errorWord>kw</errorWord>
      <group>L1_Word</group>
      <groupName>字词问题</groupName>
      <ability>L2_Typo</ability>
      <abilityName>字词错误</abilityName>
      <candidateList>
        <item>kW</item>
      </candidateList>
      <explain/>
      <paraID>21EAE757</paraID>
      <start>1</start>
      <end>3</end>
      <status>modified</status>
      <modifiedWord>kW</modifiedWord>
      <trackRevisions>false</trackRevisions>
    </reviewItem>
    <reviewItem>
      <errorID>65554735-5ba7-4a41-b674-9466ee2723ef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624D6BA4</paraID>
      <start>0</start>
      <end>2</end>
      <status>modified</status>
      <modifiedWord>1.</modifiedWord>
      <trackRevisions>false</trackRevisions>
    </reviewItem>
    <reviewItem>
      <errorID>4f6a08d9-4782-474b-b8b7-05f2a299a989</errorID>
      <errorWord>生活废水</errorWord>
      <group>L1_Knowledge</group>
      <groupName>知识性问题</groupName>
      <ability>L2_Term</ability>
      <abilityName>专业术语</abilityName>
      <candidateList>
        <item>生活污水</item>
      </candidateList>
      <explain/>
      <paraID>42113C0D</paraID>
      <start>128</start>
      <end>132</end>
      <status>modified</status>
      <modifiedWord>生活污水</modifiedWord>
      <trackRevisions>false</trackRevisions>
    </reviewItem>
    <reviewItem>
      <errorID>2f744ac6-1b0c-4444-84e5-aab02d9909e5</errorID>
      <errorWord>(</errorWord>
      <group>L1_Format</group>
      <groupName>格式问题</groupName>
      <ability>L2_HalfPunc</ability>
      <abilityName>全半角检查</abilityName>
      <candidateList>
        <item>（</item>
      </candidateList>
      <explain>文本全半角错误。</explain>
      <paraID>3B7EB42B</paraID>
      <start>82</start>
      <end>83</end>
      <status>modified</status>
      <modifiedWord>（</modifiedWord>
      <trackRevisions>false</trackRevisions>
    </reviewItem>
    <reviewItem>
      <errorID>fc579bd1-e4df-4174-8296-71e763a37c0f</errorID>
      <errorWord>(</errorWord>
      <group>L1_Punc</group>
      <groupName>标点问题</groupName>
      <ability>L2_Punc</ability>
      <abilityName>标点符号检查</abilityName>
      <candidateList/>
      <explain>同一形式括号套用。</explain>
      <paraID>3B7EB42B</paraID>
      <start>90</start>
      <end>91</end>
      <status>unmodified</status>
      <modifiedWord/>
      <trackRevisions>false</trackRevisions>
    </reviewItem>
    <reviewItem>
      <errorID>0e5209ff-bbdf-4f40-89bd-00dc7bbf0b33</errorID>
      <errorWord>)</errorWord>
      <group>L1_Punc</group>
      <groupName>标点问题</groupName>
      <ability>L2_Punc</ability>
      <abilityName>标点符号检查</abilityName>
      <candidateList/>
      <explain>同一形式括号套用。</explain>
      <paraID>3B7EB42B</paraID>
      <start>92</start>
      <end>93</end>
      <status>unmodified</status>
      <modifiedWord/>
      <trackRevisions>false</trackRevisions>
    </reviewItem>
    <reviewItem>
      <errorID>f6361eeb-461e-498a-8209-152319102d68</errorID>
      <errorWord>)</errorWord>
      <group>L1_Format</group>
      <groupName>格式问题</groupName>
      <ability>L2_HalfPunc</ability>
      <abilityName>全半角检查</abilityName>
      <candidateList>
        <item>）</item>
      </candidateList>
      <explain>文本全半角错误。</explain>
      <paraID>3B7EB42B</paraID>
      <start>93</start>
      <end>94</end>
      <status>modified</status>
      <modifiedWord>）</modifiedWord>
      <trackRevisions>false</trackRevisions>
    </reviewItem>
    <reviewItem>
      <errorID>036d37fa-071b-4147-b5a5-465c461c0f19</errorID>
      <errorWord>(</errorWord>
      <group>L1_Format</group>
      <groupName>格式问题</groupName>
      <ability>L2_HalfPunc</ability>
      <abilityName>全半角检查</abilityName>
      <candidateList>
        <item>（</item>
      </candidateList>
      <explain>文本全半角错误。</explain>
      <paraID>3B7EB42B</paraID>
      <start>148</start>
      <end>149</end>
      <status>modified</status>
      <modifiedWord>（</modifiedWord>
      <trackRevisions>false</trackRevisions>
    </reviewItem>
    <reviewItem>
      <errorID>9da559d5-bf86-4a37-b5aa-707ec5360cbc</errorID>
      <errorWord>法律、法规</errorWord>
      <group>L1_Word</group>
      <groupName>字词问题</groupName>
      <ability>L2_Typo</ability>
      <abilityName>字词错误</abilityName>
      <candidateList>
        <item>法律法规</item>
      </candidateList>
      <explain/>
      <paraID>5190BD8E</paraID>
      <start>14</start>
      <end>18</end>
      <status>modified</status>
      <modifiedWord>法律法规</modifiedWord>
      <trackRevisions>false</trackRevisions>
    </reviewItem>
    <reviewItem>
      <errorID>b884f533-c53e-4ab0-a5c5-8eb00c358833</errorID>
      <errorWord>最小程度</errorWord>
      <group>L1_Word</group>
      <groupName>字词问题</groupName>
      <ability>L2_Typo</ability>
      <abilityName>字词错误</abilityName>
      <candidateList>
        <item>最低程度</item>
      </candidateList>
      <explain/>
      <paraID>628BA042</paraID>
      <start>136</start>
      <end>140</end>
      <status>modified</status>
      <modifiedWord>最低程度</modifiedWord>
      <trackRevisions>false</trackRevisions>
    </reviewItem>
    <reviewItem>
      <errorID>9f7f3cbc-519f-4485-b277-0f0d0a2dae02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45B87CF4</paraID>
      <start>0</start>
      <end>3</end>
      <status>modified</status>
      <modifiedWord>（1）</modifiedWord>
      <trackRevisions>false</trackRevisions>
    </reviewItem>
    <reviewItem>
      <errorID>d9b782b0-f812-4c39-a77c-7e0bfafc669f</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4822FE40</paraID>
      <start>0</start>
      <end>1</end>
      <status>modified</status>
      <modifiedWord>①</modifiedWord>
      <trackRevisions>false</trackRevisions>
    </reviewItem>
    <reviewItem>
      <errorID>00106c31-16b8-4564-a2e6-1ad5ce448491</errorID>
      <errorWord>程</errorWord>
      <group>L1_Word</group>
      <groupName>字词问题</groupName>
      <ability>L2_Typo</ability>
      <abilityName>字词错误</abilityName>
      <candidateList>
        <item>程中</item>
      </candidateList>
      <explain/>
      <paraID>487D53BD</paraID>
      <start>38</start>
      <end>40</end>
      <status>modified</status>
      <modifiedWord>程中</modifiedWord>
      <trackRevisions>false</trackRevisions>
    </reviewItem>
    <reviewItem>
      <errorID>ae711431-687d-43c9-be23-b56b6f936ba3</errorID>
      <errorWord>防治</errorWord>
      <group>L1_Word</group>
      <groupName>字词问题</groupName>
      <ability>L2_Typo</ability>
      <abilityName>字词错误</abilityName>
      <candidateList>
        <item>防止</item>
      </candidateList>
      <explain>〈动〉预先设法制止（坏事发生）：～煤气中毒｜～交通事故。</explain>
      <paraID>487D53BD</paraID>
      <start>47</start>
      <end>49</end>
      <status>modified</status>
      <modifiedWord>防止</modifiedWord>
      <trackRevisions>false</trackRevisions>
    </reviewItem>
    <reviewItem>
      <errorID>a47d36b5-1be6-4ce2-a66d-5553c97dec63</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6A7DA32E</paraID>
      <start>0</start>
      <end>1</end>
      <status>modified</status>
      <modifiedWord>②</modifiedWord>
      <trackRevisions>false</trackRevisions>
    </reviewItem>
    <reviewItem>
      <errorID>eb2e194a-b70f-4f8c-9577-1d868a5ffc7f</errorID>
      <errorWord>未端控制</errorWord>
      <group>L1_Knowledge</group>
      <groupName>知识性问题</groupName>
      <ability>L2_Term</ability>
      <abilityName>专业术语</abilityName>
      <candidateList>
        <item>前端控制</item>
      </candidateList>
      <explain/>
      <paraID> 7A62106</paraID>
      <start>0</start>
      <end>4</end>
      <status>modified</status>
      <modifiedWord>前端控制</modifiedWord>
      <trackRevisions>false</trackRevisions>
    </reviewItem>
    <reviewItem>
      <errorID>4d22dfc9-9f73-49ff-9d53-b8c6e27aa6fc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8B54C7B</paraID>
      <start>0</start>
      <end>3</end>
      <status>modified</status>
      <modifiedWord>（2）</modifiedWord>
      <trackRevisions>false</trackRevisions>
    </reviewItem>
    <reviewItem>
      <errorID>1c3ac2fc-56df-4dab-ab8b-85ebe35e2ada</errorID>
      <errorWord>防渗处理</errorWord>
      <group>L1_Knowledge</group>
      <groupName>知识性问题</groupName>
      <ability>L2_Term</ability>
      <abilityName>专业术语</abilityName>
      <candidateList>
        <item>防蚀处理</item>
      </candidateList>
      <explain/>
      <paraID>557C89C3</paraID>
      <start>82</start>
      <end>86</end>
      <status>modified</status>
      <modifiedWord>防蚀处理</modifiedWord>
      <trackRevisions>false</trackRevisions>
    </reviewItem>
    <reviewItem>
      <errorID>bda3c83a-6ef8-47bf-b785-eaca4984eebf</errorID>
      <errorWord>(</errorWord>
      <group>L1_Format</group>
      <groupName>格式问题</groupName>
      <ability>L2_HalfPunc</ability>
      <abilityName>全半角检查</abilityName>
      <candidateList>
        <item>（</item>
      </candidateList>
      <explain>文本全半角错误。</explain>
      <paraID>557C89C3</paraID>
      <start>99</start>
      <end>100</end>
      <status>modified</status>
      <modifiedWord>（</modifiedWord>
      <trackRevisions>false</trackRevisions>
    </reviewItem>
    <reviewItem>
      <errorID>c9648cfb-d912-4d3c-807d-d36a5cccf1d9</errorID>
      <errorWord>)</errorWord>
      <group>L1_Format</group>
      <groupName>格式问题</groupName>
      <ability>L2_HalfPunc</ability>
      <abilityName>全半角检查</abilityName>
      <candidateList>
        <item>）</item>
      </candidateList>
      <explain>文本全半角错误。</explain>
      <paraID>557C89C3</paraID>
      <start>107</start>
      <end>108</end>
      <status>modified</status>
      <modifiedWord>）</modifiedWord>
      <trackRevisions>false</trackRevisions>
    </reviewItem>
    <reviewItem>
      <errorID>1e0c3c2d-1111-4658-ac80-7340a0b78baa</errorID>
      <errorWord>防</errorWord>
      <group>L1_Word</group>
      <groupName>字词问题</groupName>
      <ability>L2_Typo</ability>
      <abilityName>字词错误</abilityName>
      <candidateList>
        <item>防控</item>
      </candidateList>
      <explain/>
      <paraID> 6EE4EB9</paraID>
      <start>24</start>
      <end>26</end>
      <status>modified</status>
      <modifiedWord>防控</modifiedWord>
      <trackRevisions>false</trackRevisions>
    </reviewItem>
    <reviewItem>
      <errorID>cded9091-a02e-41a0-9250-751f050f7382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37CDC7A3</paraID>
      <start>0</start>
      <end>3</end>
      <status>modified</status>
      <modifiedWord>（3）</modifiedWord>
      <trackRevisions>false</trackRevisions>
    </reviewItem>
    <reviewItem>
      <errorID>a9aa560a-4cee-46f8-b0a4-eaacd2b74fc3</errorID>
      <errorWord>撤漏</errorWord>
      <group>L1_Word</group>
      <groupName>字词问题</groupName>
      <ability>L2_Typo</ability>
      <abilityName>字词错误</abilityName>
      <candidateList>
        <item>撒漏</item>
      </candidateList>
      <explain/>
      <paraID>25A618DF</paraID>
      <start>119</start>
      <end>121</end>
      <status>modified</status>
      <modifiedWord>撒漏</modifiedWord>
      <trackRevisions>false</trackRevisions>
    </reviewItem>
    <reviewItem>
      <errorID>c64dbc03-54da-4cc8-9ba0-f8eb1c8ee614</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2DE8E646</paraID>
      <start>0</start>
      <end>1</end>
      <status>modified</status>
      <modifiedWord>①</modifiedWord>
      <trackRevisions>false</trackRevisions>
    </reviewItem>
    <reviewItem>
      <errorID>b1c2847f-efeb-46c9-a169-0b99c1ccd632</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609C3B92</paraID>
      <start>0</start>
      <end>1</end>
      <status>modified</status>
      <modifiedWord>②</modifiedWord>
      <trackRevisions>false</trackRevisions>
    </reviewItem>
    <reviewItem>
      <errorID>a09c3b89-6943-47f8-894f-52116f338ee4</errorID>
      <errorWord>泄露</errorWord>
      <group>L1_Word</group>
      <groupName>字词问题</groupName>
      <ability>L2_Typo</ability>
      <abilityName>字词错误</abilityName>
      <candidateList>
        <item>泄漏</item>
      </candidateList>
      <explain/>
      <paraID>728D332F</paraID>
      <start>53</start>
      <end>55</end>
      <status>modified</status>
      <modifiedWord>泄漏</modifiedWord>
      <trackRevisions>false</trackRevisions>
    </reviewItem>
    <reviewItem>
      <errorID>c019c5ee-b346-463e-b9e0-f4f16df80dfb</errorID>
      <errorWord>(</errorWord>
      <group>L1_Format</group>
      <groupName>格式问题</groupName>
      <ability>L2_HalfPunc</ability>
      <abilityName>全半角检查</abilityName>
      <candidateList>
        <item>（</item>
      </candidateList>
      <explain>文本全半角错误。</explain>
      <paraID>25F10543</paraID>
      <start>64</start>
      <end>65</end>
      <status>modified</status>
      <modifiedWord>（</modifiedWord>
      <trackRevisions>false</trackRevisions>
    </reviewItem>
    <reviewItem>
      <errorID>8e4232fb-545c-4476-b103-7dee4e12ee48</errorID>
      <errorWord>)</errorWord>
      <group>L1_Format</group>
      <groupName>格式问题</groupName>
      <ability>L2_HalfPunc</ability>
      <abilityName>全半角检查</abilityName>
      <candidateList>
        <item>）</item>
      </candidateList>
      <explain>文本全半角错误。</explain>
      <paraID>25F10543</paraID>
      <start>77</start>
      <end>78</end>
      <status>modified</status>
      <modifiedWord>）</modifiedWord>
      <trackRevisions>false</trackRevisions>
    </reviewItem>
    <reviewItem>
      <errorID>d0f4697f-652e-4be9-90a1-93397892816d</errorID>
      <errorWord>(</errorWord>
      <group>L1_Format</group>
      <groupName>格式问题</groupName>
      <ability>L2_HalfPunc</ability>
      <abilityName>全半角检查</abilityName>
      <candidateList>
        <item>（</item>
      </candidateList>
      <explain>文本全半角错误。</explain>
      <paraID>25F10543</paraID>
      <start>93</start>
      <end>94</end>
      <status>modified</status>
      <modifiedWord>（</modifiedWord>
      <trackRevisions>false</trackRevisions>
    </reviewItem>
    <reviewItem>
      <errorID>6d3ea3d7-b001-4fca-9376-f1164eb08ca8</errorID>
      <errorWord>)</errorWord>
      <group>L1_Format</group>
      <groupName>格式问题</groupName>
      <ability>L2_HalfPunc</ability>
      <abilityName>全半角检查</abilityName>
      <candidateList>
        <item>）</item>
      </candidateList>
      <explain>文本全半角错误。</explain>
      <paraID>25F10543</paraID>
      <start>106</start>
      <end>107</end>
      <status>modified</status>
      <modifiedWord>）</modifiedWord>
      <trackRevisions>false</trackRevisions>
    </reviewItem>
    <reviewItem>
      <errorID>b1191471-6948-48f6-840d-dbf45a25662c</errorID>
      <errorWord>(</errorWord>
      <group>L1_Format</group>
      <groupName>格式问题</groupName>
      <ability>L2_HalfPunc</ability>
      <abilityName>全半角检查</abilityName>
      <candidateList>
        <item>（</item>
      </candidateList>
      <explain>文本全半角错误。</explain>
      <paraID>25F10543</paraID>
      <start>122</start>
      <end>123</end>
      <status>modified</status>
      <modifiedWord>（</modifiedWord>
      <trackRevisions>false</trackRevisions>
    </reviewItem>
    <reviewItem>
      <errorID>0271e1d2-9fb4-481a-b975-68f1a453c98a</errorID>
      <errorWord>)</errorWord>
      <group>L1_Format</group>
      <groupName>格式问题</groupName>
      <ability>L2_HalfPunc</ability>
      <abilityName>全半角检查</abilityName>
      <candidateList>
        <item>）</item>
      </candidateList>
      <explain>文本全半角错误。</explain>
      <paraID>25F10543</paraID>
      <start>135</start>
      <end>136</end>
      <status>modified</status>
      <modifiedWord>）</modifiedWord>
      <trackRevisions>false</trackRevisions>
    </reviewItem>
    <reviewItem>
      <errorID>cbc99d8a-02c4-4b23-899a-f282e8df4913</errorID>
      <errorWord>(</errorWord>
      <group>L1_Format</group>
      <groupName>格式问题</groupName>
      <ability>L2_HalfPunc</ability>
      <abilityName>全半角检查</abilityName>
      <candidateList>
        <item>（</item>
      </candidateList>
      <explain>文本全半角错误。</explain>
      <paraID>630DFE47</paraID>
      <start>62</start>
      <end>63</end>
      <status>modified</status>
      <modifiedWord>（</modifiedWord>
      <trackRevisions>false</trackRevisions>
    </reviewItem>
    <reviewItem>
      <errorID>91d001ed-2666-4c43-93fc-b4668f807590</errorID>
      <errorWord>)</errorWord>
      <group>L1_Format</group>
      <groupName>格式问题</groupName>
      <ability>L2_HalfPunc</ability>
      <abilityName>全半角检查</abilityName>
      <candidateList>
        <item>）</item>
      </candidateList>
      <explain>文本全半角错误。</explain>
      <paraID>630DFE47</paraID>
      <start>75</start>
      <end>76</end>
      <status>modified</status>
      <modifiedWord>）</modifiedWord>
      <trackRevisions>false</trackRevisions>
    </reviewItem>
    <reviewItem>
      <errorID>21a520b9-164d-4bae-b0d9-e9fc1f336bf8</errorID>
      <errorWord>(</errorWord>
      <group>L1_Format</group>
      <groupName>格式问题</groupName>
      <ability>L2_HalfPunc</ability>
      <abilityName>全半角检查</abilityName>
      <candidateList>
        <item>（</item>
      </candidateList>
      <explain>文本全半角错误。</explain>
      <paraID>630DFE47</paraID>
      <start>103</start>
      <end>104</end>
      <status>modified</status>
      <modifiedWord>（</modifiedWord>
      <trackRevisions>false</trackRevisions>
    </reviewItem>
    <reviewItem>
      <errorID>bab127c8-4698-446f-994e-778a4c4334c0</errorID>
      <errorWord>)</errorWord>
      <group>L1_Format</group>
      <groupName>格式问题</groupName>
      <ability>L2_HalfPunc</ability>
      <abilityName>全半角检查</abilityName>
      <candidateList>
        <item>）</item>
      </candidateList>
      <explain>文本全半角错误。</explain>
      <paraID>630DFE47</paraID>
      <start>108</start>
      <end>109</end>
      <status>modified</status>
      <modifiedWord>）</modifiedWord>
      <trackRevisions>false</trackRevisions>
    </reviewItem>
    <reviewItem>
      <errorID>1a7cca3a-2e97-490e-8cda-3d987392c8b0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3372C518</paraID>
      <start>0</start>
      <end>3</end>
      <status>modified</status>
      <modifiedWord>（1）</modifiedWord>
      <trackRevisions>false</trackRevisions>
    </reviewItem>
    <reviewItem>
      <errorID>3d0624c5-4a54-4699-ab06-78684a64e175</errorID>
      <errorWord>(</errorWord>
      <group>L1_Format</group>
      <groupName>格式问题</groupName>
      <ability>L2_HalfPunc</ability>
      <abilityName>全半角检查</abilityName>
      <candidateList>
        <item>（</item>
      </candidateList>
      <explain>文本全半角错误。</explain>
      <paraID>3372C518</paraID>
      <start>19</start>
      <end>20</end>
      <status>modified</status>
      <modifiedWord>（</modifiedWord>
      <trackRevisions>false</trackRevisions>
    </reviewItem>
    <reviewItem>
      <errorID>eda39ed1-9ba1-4177-90a4-5a543ffe6ac6</errorID>
      <errorWord>)</errorWord>
      <group>L1_Format</group>
      <groupName>格式问题</groupName>
      <ability>L2_HalfPunc</ability>
      <abilityName>全半角检查</abilityName>
      <candidateList>
        <item>）</item>
      </candidateList>
      <explain>文本全半角错误。</explain>
      <paraID>3372C518</paraID>
      <start>32</start>
      <end>33</end>
      <status>modified</status>
      <modifiedWord>）</modifiedWord>
      <trackRevisions>false</trackRevisions>
    </reviewItem>
    <reviewItem>
      <errorID>cd0a5af1-16f0-489d-b320-9405174bcb25</errorID>
      <errorWord>(</errorWord>
      <group>L1_Format</group>
      <groupName>格式问题</groupName>
      <ability>L2_HalfPunc</ability>
      <abilityName>全半角检查</abilityName>
      <candidateList>
        <item>（</item>
      </candidateList>
      <explain>文本全半角错误。</explain>
      <paraID>3372C518</paraID>
      <start>97</start>
      <end>98</end>
      <status>modified</status>
      <modifiedWord>（</modifiedWord>
      <trackRevisions>false</trackRevisions>
    </reviewItem>
    <reviewItem>
      <errorID>cc9d31ae-545a-4b00-870d-f696afc6a798</errorID>
      <errorWord>)</errorWord>
      <group>L1_Format</group>
      <groupName>格式问题</groupName>
      <ability>L2_HalfPunc</ability>
      <abilityName>全半角检查</abilityName>
      <candidateList>
        <item>）</item>
      </candidateList>
      <explain>文本全半角错误。</explain>
      <paraID>3372C518</paraID>
      <start>99</start>
      <end>100</end>
      <status>modified</status>
      <modifiedWord>）</modifiedWord>
      <trackRevisions>false</trackRevisions>
    </reviewItem>
    <reviewItem>
      <errorID>b6928922-d167-4a92-86d6-93de9ba9debd</errorID>
      <errorWord>建</errorWord>
      <group>L1_Word</group>
      <groupName>字词问题</groupName>
      <ability>L2_Typo</ability>
      <abilityName>字词错误</abilityName>
      <candidateList>
        <item>建项</item>
      </candidateList>
      <explain/>
      <paraID>1819D91A</paraID>
      <start>5</start>
      <end>7</end>
      <status>modified</status>
      <modifiedWord>建项</modifiedWord>
      <trackRevisions>false</trackRevisions>
    </reviewItem>
    <reviewItem>
      <errorID>afb9a86e-9ec7-4ed5-b902-1a85cf37d80a</errorID>
      <errorWord>土</errorWord>
      <group>L1_Word</group>
      <groupName>字词问题</groupName>
      <ability>L2_Typo</ability>
      <abilityName>字词错误</abilityName>
      <candidateList>
        <item>土地</item>
      </candidateList>
      <explain/>
      <paraID>185C2EEC</paraID>
      <start>52</start>
      <end>54</end>
      <status>modified</status>
      <modifiedWord>土地</modifiedWord>
      <trackRevisions>false</trackRevisions>
    </reviewItem>
    <reviewItem>
      <errorID>f6b9aa50-4081-476c-8f75-7285f33aa5a8</errorID>
      <errorWord>士壤</errorWord>
      <group>L1_Word</group>
      <groupName>字词问题</groupName>
      <ability>L2_Typo</ability>
      <abilityName>字词错误</abilityName>
      <candidateList>
        <item>土壤</item>
      </candidateList>
      <explain/>
      <paraID>185C2EEC</paraID>
      <start>62</start>
      <end>64</end>
      <status>modified</status>
      <modifiedWord>土壤</modifiedWord>
      <trackRevisions>false</trackRevisions>
    </reviewItem>
    <reviewItem>
      <errorID>d70adee4-98d0-49cd-b73a-f5da71fea249</errorID>
      <errorWord>库防</errorWord>
      <group>L1_Word</group>
      <groupName>字词问题</groupName>
      <ability>L2_Typo</ability>
      <abilityName>字词错误</abilityName>
      <candidateList>
        <item>库房</item>
      </candidateList>
      <explain>存在发音相同字词的误用。</explain>
      <paraID>185C2EEC</paraID>
      <start>86</start>
      <end>88</end>
      <status>modified</status>
      <modifiedWord>库房</modifiedWord>
      <trackRevisions>false</trackRevisions>
    </reviewItem>
    <reviewItem>
      <errorID>07b80c40-9d98-42cc-b7ed-35bb559e8558</errorID>
      <errorWord>项且</errorWord>
      <group>L1_Word</group>
      <groupName>字词问题</groupName>
      <ability>L2_Typo</ability>
      <abilityName>字词错误</abilityName>
      <candidateList>
        <item>项目</item>
      </candidateList>
      <explain>〈名〉事物分成的门类：服务～｜体育～｜建设～。</explain>
      <paraID>185C2EEC</paraID>
      <start>126</start>
      <end>128</end>
      <status>modified</status>
      <modifiedWord>项目</modifiedWord>
      <trackRevisions>false</trackRevisions>
    </reviewItem>
    <reviewItem>
      <errorID>f61f99fb-7981-4fd9-9648-c10e9f72dc9c</errorID>
      <errorWord>做</errorWord>
      <group>L1_Word</group>
      <groupName>字词问题</groupName>
      <ability>L2_Typo</ability>
      <abilityName>字词错误</abilityName>
      <candidateList>
        <item>作</item>
      </candidateList>
      <explain>存在发音相同字词的误用。</explain>
      <paraID> 3A8D7C5</paraID>
      <start>100</start>
      <end>101</end>
      <status>modified</status>
      <modifiedWord>作</modifiedWord>
      <trackRevisions>false</trackRevisions>
    </reviewItem>
    <reviewItem>
      <errorID>f7c2fc89-b92a-4d2e-9c1c-060a9b5e5354</errorID>
      <errorWord>(</errorWord>
      <group>L1_Format</group>
      <groupName>格式问题</groupName>
      <ability>L2_HalfPunc</ability>
      <abilityName>全半角检查</abilityName>
      <candidateList>
        <item>（</item>
      </candidateList>
      <explain>文本全半角错误。</explain>
      <paraID>6CACB3EA</paraID>
      <start>3</start>
      <end>4</end>
      <status>modified</status>
      <modifiedWord>（</modifiedWord>
      <trackRevisions>false</trackRevisions>
    </reviewItem>
    <reviewItem>
      <errorID>6a08800d-212a-4c7f-8f5c-23c898bb75cb</errorID>
      <errorWord>)</errorWord>
      <group>L1_Format</group>
      <groupName>格式问题</groupName>
      <ability>L2_HalfPunc</ability>
      <abilityName>全半角检查</abilityName>
      <candidateList>
        <item>）</item>
      </candidateList>
      <explain>文本全半角错误。</explain>
      <paraID>6CACB3EA</paraID>
      <start>9</start>
      <end>10</end>
      <status>modified</status>
      <modifiedWord>）</modifiedWord>
      <trackRevisions>false</trackRevisions>
    </reviewItem>
    <reviewItem>
      <errorID>18193ef0-4556-43b4-a2c5-fadad41653cd</errorID>
      <errorWord>(</errorWord>
      <group>L1_Format</group>
      <groupName>格式问题</groupName>
      <ability>L2_HalfPunc</ability>
      <abilityName>全半角检查</abilityName>
      <candidateList>
        <item>（</item>
      </candidateList>
      <explain>文本全半角错误。</explain>
      <paraID>2DF9BFF5</paraID>
      <start>21</start>
      <end>22</end>
      <status>modified</status>
      <modifiedWord>（</modifiedWord>
      <trackRevisions>false</trackRevisions>
    </reviewItem>
    <reviewItem>
      <errorID>825e4f66-03bd-4bbb-8fe4-e160a2d5a548</errorID>
      <errorWord>)</errorWord>
      <group>L1_Format</group>
      <groupName>格式问题</groupName>
      <ability>L2_HalfPunc</ability>
      <abilityName>全半角检查</abilityName>
      <candidateList>
        <item>）</item>
      </candidateList>
      <explain>文本全半角错误。</explain>
      <paraID>2DF9BFF5</paraID>
      <start>32</start>
      <end>33</end>
      <status>modified</status>
      <modifiedWord>）</modifiedWord>
      <trackRevisions>false</trackRevisions>
    </reviewItem>
    <reviewItem>
      <errorID>0ced5105-b8c6-4653-9b4e-7ee6106a4873</errorID>
      <errorWord>(</errorWord>
      <group>L1_Format</group>
      <groupName>格式问题</groupName>
      <ability>L2_HalfPunc</ability>
      <abilityName>全半角检查</abilityName>
      <candidateList>
        <item>（</item>
      </candidateList>
      <explain>文本全半角错误。</explain>
      <paraID> 97E81DA</paraID>
      <start>11</start>
      <end>12</end>
      <status>modified</status>
      <modifiedWord>（</modifiedWord>
      <trackRevisions>false</trackRevisions>
    </reviewItem>
    <reviewItem>
      <errorID>ad87045f-5f62-4ac7-9fb1-7c1eeacf940f</errorID>
      <errorWord>)</errorWord>
      <group>L1_Format</group>
      <groupName>格式问题</groupName>
      <ability>L2_HalfPunc</ability>
      <abilityName>全半角检查</abilityName>
      <candidateList>
        <item>）</item>
      </candidateList>
      <explain>文本全半角错误。</explain>
      <paraID> 97E81DA</paraID>
      <start>22</start>
      <end>23</end>
      <status>modified</status>
      <modifiedWord>）</modifiedWord>
      <trackRevisions>false</trackRevisions>
    </reviewItem>
    <reviewItem>
      <errorID>4152cabb-2134-479e-9325-24a732cf510c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AA8F289</paraID>
      <start>0</start>
      <end>2</end>
      <status>modified</status>
      <modifiedWord>3.</modifiedWord>
      <trackRevisions>false</trackRevisions>
    </reviewItem>
    <reviewItem>
      <errorID>365d7ee3-b357-43df-9fd3-e130bce2fcae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4B2366BB</paraID>
      <start>0</start>
      <end>2</end>
      <status>modified</status>
      <modifiedWord>3.</modifiedWord>
      <trackRevisions>false</trackRevisions>
    </reviewItem>
    <reviewItem>
      <errorID>11768381-527d-4e0c-b487-3fe3c9cf7c05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2681C644</paraID>
      <start>0</start>
      <end>2</end>
      <status>modified</status>
      <modifiedWord>4.</modifiedWord>
      <trackRevisions>false</trackRevisions>
    </reviewItem>
    <reviewItem>
      <errorID>564cdc53-e4e9-49e7-acb8-9e4648213cce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671B3689</paraID>
      <start>0</start>
      <end>2</end>
      <status>modified</status>
      <modifiedWord>5.</modifiedWord>
      <trackRevisions>false</trackRevisions>
    </reviewItem>
    <reviewItem>
      <errorID>a2fd5d86-cae2-4c62-862d-76ed0a188161</errorID>
      <errorWord>，</errorWord>
      <group>L1_Word</group>
      <groupName>字词问题</groupName>
      <ability>L2_Typo</ability>
      <abilityName>字词错误</abilityName>
      <candidateList>
        <item>，在</item>
      </candidateList>
      <explain/>
      <paraID>30C2A18D</paraID>
      <start>126</start>
      <end>128</end>
      <status>modified</status>
      <modifiedWord>，在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51026d-7292-4aa7-ab8d-980b8d46fd0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86</Pages>
  <Words>1471</Words>
  <Characters>1616</Characters>
  <Lines>292</Lines>
  <Paragraphs>82</Paragraphs>
  <TotalTime>9</TotalTime>
  <ScaleCrop>false</ScaleCrop>
  <LinksUpToDate>false</LinksUpToDate>
  <CharactersWithSpaces>1628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2023-02-13T08:21:00Z</dcterms:created>
  <dc:creator>lhj</dc:creator>
  <cp:lastModifiedBy>a moon</cp:lastModifiedBy>
  <cp:lastPrinted>2025-09-03T06:18:00Z</cp:lastPrinted>
  <dcterms:modified xsi:type="dcterms:W3CDTF">2025-12-31T07:23:56Z</dcterms:modified>
  <dc:title>附件2</dc:title>
  <cp:revision>3435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3ECC026677AA452B8C54F97B93B2CE6B_13</vt:lpwstr>
  </property>
  <property fmtid="{D5CDD505-2E9C-101B-9397-08002B2CF9AE}" pid="4" name="KSOTemplateDocerSaveRecord">
    <vt:lpwstr>eyJoZGlkIjoiNzUzZDE2YzA3NDM3Nzg1MDY1NmNiNWFjNjBmZDhiOWMiLCJ1c2VySWQiOiIyNjEyMzM3ODAifQ==</vt:lpwstr>
  </property>
</Properties>
</file>